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9456" w14:textId="77777777" w:rsidR="007C1781" w:rsidRDefault="007C1781" w:rsidP="009E1A9B">
      <w:pPr>
        <w:widowControl w:val="0"/>
        <w:autoSpaceDE w:val="0"/>
        <w:autoSpaceDN w:val="0"/>
        <w:adjustRightInd w:val="0"/>
        <w:spacing w:line="240" w:lineRule="auto"/>
        <w:jc w:val="right"/>
        <w:rPr>
          <w:rFonts w:ascii="Times New Roman" w:hAnsi="Times New Roman" w:cs="Times New Roman"/>
          <w:b/>
          <w:sz w:val="24"/>
          <w:szCs w:val="24"/>
        </w:rPr>
      </w:pPr>
    </w:p>
    <w:p w14:paraId="3528A0A1" w14:textId="77777777" w:rsidR="007C1781" w:rsidRDefault="007C1781" w:rsidP="009E1A9B">
      <w:pPr>
        <w:widowControl w:val="0"/>
        <w:autoSpaceDE w:val="0"/>
        <w:autoSpaceDN w:val="0"/>
        <w:adjustRightInd w:val="0"/>
        <w:spacing w:line="240" w:lineRule="auto"/>
        <w:jc w:val="right"/>
        <w:rPr>
          <w:rFonts w:ascii="Times New Roman" w:hAnsi="Times New Roman" w:cs="Times New Roman"/>
          <w:b/>
          <w:sz w:val="24"/>
          <w:szCs w:val="24"/>
        </w:rPr>
      </w:pPr>
    </w:p>
    <w:p w14:paraId="72A6FDDA" w14:textId="77777777" w:rsidR="009E1A9B" w:rsidRPr="00AD6688" w:rsidRDefault="00C6604B" w:rsidP="009E1A9B">
      <w:pPr>
        <w:widowControl w:val="0"/>
        <w:autoSpaceDE w:val="0"/>
        <w:autoSpaceDN w:val="0"/>
        <w:adjustRightInd w:val="0"/>
        <w:spacing w:line="240" w:lineRule="auto"/>
        <w:jc w:val="right"/>
        <w:rPr>
          <w:rFonts w:ascii="Times New Roman" w:hAnsi="Times New Roman" w:cs="Times New Roman"/>
          <w:b/>
          <w:sz w:val="24"/>
          <w:szCs w:val="24"/>
        </w:rPr>
      </w:pPr>
      <w:r w:rsidRPr="00AD6688">
        <w:rPr>
          <w:rFonts w:ascii="Times New Roman" w:hAnsi="Times New Roman" w:cs="Times New Roman"/>
          <w:b/>
          <w:sz w:val="24"/>
          <w:szCs w:val="24"/>
        </w:rPr>
        <w:t xml:space="preserve">Occupational Hazards and Injuries among Health Workers in the </w:t>
      </w:r>
      <w:proofErr w:type="spellStart"/>
      <w:r w:rsidRPr="00AD6688">
        <w:rPr>
          <w:rFonts w:ascii="Times New Roman" w:hAnsi="Times New Roman" w:cs="Times New Roman"/>
          <w:b/>
          <w:sz w:val="24"/>
          <w:szCs w:val="24"/>
        </w:rPr>
        <w:t>Ahafo</w:t>
      </w:r>
      <w:proofErr w:type="spellEnd"/>
      <w:r w:rsidRPr="00AD6688">
        <w:rPr>
          <w:rFonts w:ascii="Times New Roman" w:hAnsi="Times New Roman" w:cs="Times New Roman"/>
          <w:b/>
          <w:sz w:val="24"/>
          <w:szCs w:val="24"/>
        </w:rPr>
        <w:t xml:space="preserve"> </w:t>
      </w:r>
      <w:proofErr w:type="spellStart"/>
      <w:r w:rsidRPr="00AD6688">
        <w:rPr>
          <w:rFonts w:ascii="Times New Roman" w:hAnsi="Times New Roman" w:cs="Times New Roman"/>
          <w:b/>
          <w:sz w:val="24"/>
          <w:szCs w:val="24"/>
        </w:rPr>
        <w:t>Ano</w:t>
      </w:r>
      <w:proofErr w:type="spellEnd"/>
      <w:r w:rsidRPr="00AD6688">
        <w:rPr>
          <w:rFonts w:ascii="Times New Roman" w:hAnsi="Times New Roman" w:cs="Times New Roman"/>
          <w:b/>
          <w:sz w:val="24"/>
          <w:szCs w:val="24"/>
        </w:rPr>
        <w:t xml:space="preserve"> North Municipal</w:t>
      </w:r>
      <w:r w:rsidR="00436A75" w:rsidRPr="00AD6688">
        <w:rPr>
          <w:rFonts w:ascii="Times New Roman" w:hAnsi="Times New Roman" w:cs="Times New Roman"/>
          <w:b/>
          <w:sz w:val="24"/>
          <w:szCs w:val="24"/>
        </w:rPr>
        <w:t xml:space="preserve"> Hospital</w:t>
      </w:r>
      <w:r w:rsidRPr="00AD6688">
        <w:rPr>
          <w:rFonts w:ascii="Times New Roman" w:hAnsi="Times New Roman" w:cs="Times New Roman"/>
          <w:b/>
          <w:sz w:val="24"/>
          <w:szCs w:val="24"/>
        </w:rPr>
        <w:t>, Tepa, Ghana</w:t>
      </w:r>
    </w:p>
    <w:p w14:paraId="0B658B56" w14:textId="77777777" w:rsidR="007668C6" w:rsidRDefault="007668C6" w:rsidP="007668C6">
      <w:pPr>
        <w:pStyle w:val="Heading1"/>
      </w:pPr>
      <w:bookmarkStart w:id="0" w:name="_Toc79350918"/>
    </w:p>
    <w:p w14:paraId="519F0E60" w14:textId="77777777" w:rsidR="007C1781" w:rsidRDefault="007C1781" w:rsidP="007C1781"/>
    <w:p w14:paraId="5DF75230" w14:textId="77777777" w:rsidR="007C1781" w:rsidRDefault="007C1781" w:rsidP="007C1781">
      <w:pPr>
        <w:pStyle w:val="Heading1"/>
      </w:pPr>
    </w:p>
    <w:p w14:paraId="7418E90E" w14:textId="77777777" w:rsidR="007C1781" w:rsidRPr="007C1781" w:rsidRDefault="007C1781" w:rsidP="007C1781"/>
    <w:p w14:paraId="7AB1B452" w14:textId="77777777" w:rsidR="007668C6" w:rsidRPr="00AD6688" w:rsidRDefault="007668C6" w:rsidP="007668C6"/>
    <w:p w14:paraId="0E5F9FC2" w14:textId="77777777" w:rsidR="009E1A9B" w:rsidRPr="00AD6688" w:rsidRDefault="00E15D01" w:rsidP="009E1A9B">
      <w:pPr>
        <w:spacing w:line="240" w:lineRule="auto"/>
        <w:rPr>
          <w:rFonts w:ascii="Times New Roman" w:hAnsi="Times New Roman" w:cs="Times New Roman"/>
        </w:rPr>
      </w:pPr>
      <w:r w:rsidRPr="00AD6688">
        <w:rPr>
          <w:rFonts w:ascii="Times New Roman" w:hAnsi="Times New Roman" w:cs="Times New Roman"/>
          <w:b/>
          <w:sz w:val="24"/>
          <w:szCs w:val="24"/>
        </w:rPr>
        <w:t>ABSTRACT</w:t>
      </w:r>
      <w:bookmarkEnd w:id="0"/>
    </w:p>
    <w:p w14:paraId="05809399" w14:textId="0437BBAB" w:rsidR="00063F84" w:rsidRPr="00AD6688" w:rsidRDefault="00E15D01" w:rsidP="009E1A9B">
      <w:pPr>
        <w:spacing w:line="240" w:lineRule="auto"/>
        <w:rPr>
          <w:rFonts w:ascii="Times New Roman" w:hAnsi="Times New Roman" w:cs="Times New Roman"/>
        </w:rPr>
      </w:pPr>
      <w:r w:rsidRPr="00AD6688">
        <w:rPr>
          <w:rFonts w:ascii="Times New Roman" w:hAnsi="Times New Roman" w:cs="Times New Roman"/>
          <w:b/>
          <w:sz w:val="24"/>
          <w:szCs w:val="24"/>
        </w:rPr>
        <w:t>Background:</w:t>
      </w:r>
      <w:r w:rsidRPr="00AD6688">
        <w:rPr>
          <w:rFonts w:ascii="Times New Roman" w:hAnsi="Times New Roman" w:cs="Times New Roman"/>
          <w:sz w:val="24"/>
          <w:szCs w:val="24"/>
        </w:rPr>
        <w:t xml:space="preserve"> An occupational hazard and injury is described as any personal injury or hazards, disease or death that results from an occupational accident. Globally, occupational hazard has been identified as the leading cause </w:t>
      </w:r>
      <w:r w:rsidR="00AD7C55">
        <w:rPr>
          <w:rFonts w:ascii="Times New Roman" w:hAnsi="Times New Roman" w:cs="Times New Roman"/>
          <w:sz w:val="24"/>
          <w:szCs w:val="24"/>
        </w:rPr>
        <w:t>of</w:t>
      </w:r>
      <w:r w:rsidRPr="00AD6688">
        <w:rPr>
          <w:rFonts w:ascii="Times New Roman" w:hAnsi="Times New Roman" w:cs="Times New Roman"/>
          <w:sz w:val="24"/>
          <w:szCs w:val="24"/>
        </w:rPr>
        <w:t xml:space="preserve"> industrial ailment accounting for over 11% of disability. </w:t>
      </w:r>
      <w:commentRangeStart w:id="1"/>
      <w:r w:rsidRPr="00AD6688">
        <w:rPr>
          <w:rFonts w:ascii="Times New Roman" w:hAnsi="Times New Roman" w:cs="Times New Roman"/>
          <w:sz w:val="24"/>
          <w:szCs w:val="24"/>
        </w:rPr>
        <w:t>Failure</w:t>
      </w:r>
      <w:commentRangeEnd w:id="1"/>
      <w:r w:rsidR="00F15201">
        <w:rPr>
          <w:rStyle w:val="CommentReference"/>
        </w:rPr>
        <w:commentReference w:id="1"/>
      </w:r>
      <w:r w:rsidRPr="00AD6688">
        <w:rPr>
          <w:rFonts w:ascii="Times New Roman" w:hAnsi="Times New Roman" w:cs="Times New Roman"/>
          <w:sz w:val="24"/>
          <w:szCs w:val="24"/>
        </w:rPr>
        <w:t xml:space="preserve"> to address operational injuries result to apathy, fatigue and disincentive to workers which inhibit the zeal to work. </w:t>
      </w:r>
    </w:p>
    <w:p w14:paraId="30AAF7F3"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b/>
          <w:sz w:val="24"/>
          <w:szCs w:val="24"/>
        </w:rPr>
        <w:t>Methods:</w:t>
      </w:r>
      <w:r w:rsidRPr="00AD6688">
        <w:rPr>
          <w:rFonts w:ascii="Times New Roman" w:hAnsi="Times New Roman" w:cs="Times New Roman"/>
          <w:sz w:val="24"/>
          <w:szCs w:val="24"/>
        </w:rPr>
        <w:t xml:space="preserve"> The study was conducted to assess the occupational hazards and injuries among health workers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 xml:space="preserve">. </w:t>
      </w:r>
      <w:r w:rsidRPr="00AD6688">
        <w:rPr>
          <w:rFonts w:ascii="Times New Roman" w:hAnsi="Times New Roman" w:cs="Times New Roman"/>
          <w:sz w:val="24"/>
          <w:szCs w:val="24"/>
          <w:lang w:val="en-GB"/>
        </w:rPr>
        <w:t xml:space="preserve">A cross sectional and health facility-based study was conducted to realise the objectives of </w:t>
      </w:r>
      <w:commentRangeStart w:id="2"/>
      <w:r w:rsidRPr="00AD6688">
        <w:rPr>
          <w:rFonts w:ascii="Times New Roman" w:hAnsi="Times New Roman" w:cs="Times New Roman"/>
          <w:sz w:val="24"/>
          <w:szCs w:val="24"/>
          <w:lang w:val="en-GB"/>
        </w:rPr>
        <w:t>the study. Health workers were selected at the facility level using convenient sampling technique. The study approach was quantitative, and questionnaire was used to collect data among the health workers. Data collected was analysed using SPSS package version 21.0. It involved a descriptive analysis where</w:t>
      </w:r>
      <w:commentRangeEnd w:id="2"/>
      <w:r w:rsidR="00EB45F1">
        <w:rPr>
          <w:rStyle w:val="CommentReference"/>
        </w:rPr>
        <w:commentReference w:id="2"/>
      </w:r>
      <w:r w:rsidRPr="00AD6688">
        <w:rPr>
          <w:rFonts w:ascii="Times New Roman" w:hAnsi="Times New Roman" w:cs="Times New Roman"/>
          <w:sz w:val="24"/>
          <w:szCs w:val="24"/>
          <w:lang w:val="en-GB"/>
        </w:rPr>
        <w:t xml:space="preserve"> data was presented in a form of tables and charts. </w:t>
      </w:r>
    </w:p>
    <w:p w14:paraId="29F6F4EE" w14:textId="77777777" w:rsidR="00DE5B58" w:rsidRPr="00AD6688" w:rsidRDefault="00DE5B58" w:rsidP="006635CC">
      <w:pPr>
        <w:spacing w:after="0" w:line="240" w:lineRule="auto"/>
        <w:jc w:val="both"/>
        <w:rPr>
          <w:rFonts w:ascii="Times New Roman" w:hAnsi="Times New Roman" w:cs="Times New Roman"/>
          <w:b/>
          <w:sz w:val="24"/>
          <w:szCs w:val="24"/>
          <w:lang w:val="en-GB"/>
        </w:rPr>
      </w:pPr>
    </w:p>
    <w:p w14:paraId="021F052A"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b/>
          <w:sz w:val="24"/>
          <w:szCs w:val="24"/>
          <w:lang w:val="en-GB"/>
        </w:rPr>
        <w:t>Results</w:t>
      </w:r>
      <w:r w:rsidR="00A61743" w:rsidRPr="00AD6688">
        <w:rPr>
          <w:rFonts w:ascii="Times New Roman" w:hAnsi="Times New Roman" w:cs="Times New Roman"/>
          <w:b/>
          <w:sz w:val="24"/>
          <w:szCs w:val="24"/>
          <w:lang w:val="en-GB"/>
        </w:rPr>
        <w:t xml:space="preserve"> and Findings</w:t>
      </w:r>
      <w:r w:rsidRPr="00AD6688">
        <w:rPr>
          <w:rFonts w:ascii="Times New Roman" w:hAnsi="Times New Roman" w:cs="Times New Roman"/>
          <w:b/>
          <w:sz w:val="24"/>
          <w:szCs w:val="24"/>
          <w:lang w:val="en-GB"/>
        </w:rPr>
        <w:t xml:space="preserve">: </w:t>
      </w:r>
      <w:r w:rsidRPr="00AD6688">
        <w:rPr>
          <w:rFonts w:ascii="Times New Roman" w:hAnsi="Times New Roman" w:cs="Times New Roman"/>
          <w:sz w:val="24"/>
          <w:szCs w:val="24"/>
          <w:lang w:val="en-GB"/>
        </w:rPr>
        <w:t>The findings revealed that, health workers were not diagnosed of infections. However, physical injuries (75.7%) such as fall, burns and lifting of patient were major occupational hazards and injuries health workers suffered.</w:t>
      </w:r>
      <w:r w:rsidRPr="00AD6688">
        <w:rPr>
          <w:rFonts w:ascii="Times New Roman" w:eastAsia="SimSun" w:hAnsi="Times New Roman" w:cs="Times New Roman"/>
          <w:bCs/>
          <w:sz w:val="24"/>
          <w:szCs w:val="24"/>
        </w:rPr>
        <w:t xml:space="preserve"> Majority of health workers (78.9%) had no PPE to use in their facility and hindered their work output. Few PPE available were cover/cap (26.5%) and mask (30.5%). However, only 38.6% of the health workers have had training on its usage. </w:t>
      </w:r>
      <w:r w:rsidRPr="00AD6688">
        <w:rPr>
          <w:rFonts w:ascii="Times New Roman" w:hAnsi="Times New Roman" w:cs="Times New Roman"/>
          <w:sz w:val="24"/>
          <w:szCs w:val="24"/>
        </w:rPr>
        <w:t xml:space="preserve">The majority of health workers 235 (90.7%) had never reported any </w:t>
      </w:r>
      <w:r w:rsidRPr="00AD6688">
        <w:rPr>
          <w:rFonts w:ascii="Times New Roman" w:hAnsi="Times New Roman" w:cs="Times New Roman"/>
          <w:sz w:val="24"/>
          <w:szCs w:val="24"/>
          <w:lang w:val="en-GB"/>
        </w:rPr>
        <w:t>occupational hazards and injuries</w:t>
      </w:r>
      <w:r w:rsidRPr="00AD6688">
        <w:rPr>
          <w:rFonts w:ascii="Times New Roman" w:hAnsi="Times New Roman" w:cs="Times New Roman"/>
          <w:sz w:val="24"/>
          <w:szCs w:val="24"/>
        </w:rPr>
        <w:t xml:space="preserve"> to the health facilities. </w:t>
      </w:r>
    </w:p>
    <w:p w14:paraId="7B15C04C" w14:textId="77777777" w:rsidR="00DE5B58" w:rsidRPr="00AD6688" w:rsidRDefault="00DE5B58" w:rsidP="006635CC">
      <w:pPr>
        <w:spacing w:after="0" w:line="240" w:lineRule="auto"/>
        <w:jc w:val="both"/>
        <w:rPr>
          <w:rFonts w:ascii="Times New Roman" w:hAnsi="Times New Roman" w:cs="Times New Roman"/>
          <w:b/>
          <w:sz w:val="24"/>
          <w:szCs w:val="24"/>
        </w:rPr>
      </w:pPr>
    </w:p>
    <w:p w14:paraId="0C7F0B9E"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b/>
          <w:sz w:val="24"/>
          <w:szCs w:val="24"/>
        </w:rPr>
        <w:t>Conclusions:</w:t>
      </w:r>
      <w:r w:rsidRPr="00AD6688">
        <w:rPr>
          <w:rFonts w:ascii="Times New Roman" w:hAnsi="Times New Roman" w:cs="Times New Roman"/>
          <w:sz w:val="24"/>
          <w:szCs w:val="24"/>
        </w:rPr>
        <w:t xml:space="preserve"> </w:t>
      </w:r>
      <w:commentRangeStart w:id="3"/>
      <w:r w:rsidRPr="00AD6688">
        <w:rPr>
          <w:rFonts w:ascii="Times New Roman" w:hAnsi="Times New Roman" w:cs="Times New Roman"/>
          <w:sz w:val="24"/>
          <w:szCs w:val="24"/>
        </w:rPr>
        <w:t>Occupational health hazards are common among health workers and were not adequately reported. Training of health workers on measures to mitigate these hazards and injuries may also enhance the reporting behavior and</w:t>
      </w:r>
      <w:r w:rsidR="00640BC8" w:rsidRPr="00AD6688">
        <w:rPr>
          <w:rFonts w:ascii="Times New Roman" w:hAnsi="Times New Roman" w:cs="Times New Roman"/>
          <w:sz w:val="24"/>
          <w:szCs w:val="24"/>
        </w:rPr>
        <w:t xml:space="preserve"> its management when it occ</w:t>
      </w:r>
      <w:commentRangeEnd w:id="3"/>
      <w:r w:rsidR="00FB1782">
        <w:rPr>
          <w:rStyle w:val="CommentReference"/>
        </w:rPr>
        <w:commentReference w:id="3"/>
      </w:r>
      <w:r w:rsidR="00640BC8" w:rsidRPr="00AD6688">
        <w:rPr>
          <w:rFonts w:ascii="Times New Roman" w:hAnsi="Times New Roman" w:cs="Times New Roman"/>
          <w:sz w:val="24"/>
          <w:szCs w:val="24"/>
        </w:rPr>
        <w:t>urs.</w:t>
      </w:r>
    </w:p>
    <w:p w14:paraId="00ED54F0" w14:textId="77777777" w:rsidR="009E1A9B" w:rsidRPr="00AD6688" w:rsidRDefault="009E1A9B" w:rsidP="009E1A9B"/>
    <w:p w14:paraId="2BE038EE" w14:textId="77777777" w:rsidR="009E1A9B" w:rsidRPr="00AD6688" w:rsidRDefault="009E1A9B" w:rsidP="009E1A9B">
      <w:pPr>
        <w:rPr>
          <w:rFonts w:ascii="Times New Roman" w:hAnsi="Times New Roman" w:cs="Times New Roman"/>
          <w:sz w:val="24"/>
          <w:szCs w:val="24"/>
        </w:rPr>
        <w:sectPr w:rsidR="009E1A9B" w:rsidRPr="00AD6688" w:rsidSect="009E1A9B">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720" w:left="720" w:header="708" w:footer="708" w:gutter="0"/>
          <w:pgNumType w:fmt="lowerRoman" w:start="1"/>
          <w:cols w:space="708"/>
          <w:titlePg/>
          <w:docGrid w:linePitch="360"/>
        </w:sectPr>
      </w:pPr>
      <w:r w:rsidRPr="00AD6688">
        <w:rPr>
          <w:rFonts w:ascii="Times New Roman" w:hAnsi="Times New Roman" w:cs="Times New Roman"/>
          <w:b/>
          <w:sz w:val="24"/>
          <w:szCs w:val="24"/>
        </w:rPr>
        <w:t>Key words;</w:t>
      </w:r>
      <w:r w:rsidRPr="00AD6688">
        <w:rPr>
          <w:rFonts w:ascii="Times New Roman" w:hAnsi="Times New Roman" w:cs="Times New Roman"/>
          <w:sz w:val="24"/>
          <w:szCs w:val="24"/>
        </w:rPr>
        <w:t xml:space="preserve"> Occupational Hazards and Injuries among Health Workers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Hospital, Tepa, Ghana</w:t>
      </w:r>
    </w:p>
    <w:p w14:paraId="53F4CFB6"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4" w:name="_Toc40796291"/>
      <w:bookmarkStart w:id="5" w:name="_Toc79350921"/>
      <w:r w:rsidRPr="00AD6688">
        <w:rPr>
          <w:rFonts w:ascii="Times New Roman" w:hAnsi="Times New Roman" w:cs="Times New Roman"/>
          <w:b/>
          <w:color w:val="auto"/>
          <w:sz w:val="24"/>
          <w:szCs w:val="24"/>
        </w:rPr>
        <w:t>1.1 Background of the Study</w:t>
      </w:r>
      <w:bookmarkEnd w:id="4"/>
      <w:bookmarkEnd w:id="5"/>
    </w:p>
    <w:p w14:paraId="71D168DF"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An Occupational hazard and injury is recounted as any injury or hazards, disease or death that spring from an occupational accident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1fnBNA0u","properties":{"formattedCitation":"(1)","plainCitation":"(1)","noteIndex":0},"citationItems":[{"id":"vN2fituk/VD0EbMAX","uris":["http://www.mendeley.com/documents/?uuid=1aeeac3b-635f-454f-8a3b-fbdb4bc7beb5"],"itemData":{"DOI":"10.1016/S0140-6736(18)32225-6","ISSN":"1474547X","PMID":"30496105","abstract":"Background The Global Burden of Diseases, Injuries, and Risk Factors Study (GBD) 2017 comparative risk assessment (CRA) is a comprehensive approach to risk factor quantification that offers a useful tool for synthesising evidence on risks and risk-outcome associations. With each annual GBD study, we update the GBD CRA to incorporate improved methods, new risks and risk-outcome pairs, and new data on risk exposure levels and risk- outcome associations. Methods We used the CRA framework developed for previous iterations of GBD to estimate levels and trends in exposure, attributable deaths, and attributable disability-adjusted life-years (DALYs), by age group, sex, year, and location for 84 behavioural, environmental and occupational, and metabolic risks or groups of risks from 1990 to 2017. This study included 476 risk-outcome pairs that met the GBD study criteria for convincing or probable evidence of causation. We extracted relative risk and exposure estimates from 46 749 randomised controlled trials, cohort studies, household surveys, census data, satellite data, and other sources. We used statistical models to pool data, adjust for bias, and incorporate covariates. Using the counterfactual scenario of theoretical minimum risk exposure level (TMREL), we estimated the portion of deaths and DALYs that could be attributed to a given risk. We explored the relationship between development and risk exposure by modelling the relationship between the Socio-demographic Index (SDI) and risk-weighted exposure prevalence and estimated expected levels of exposure and risk-attributable burden by SDI. Finally, we explored temporal changes in risk-attributable DALYs by decomposing those changes into six main component drivers of change as follows: (1) population growth; (2) changes in population age structures; (3) changes in exposure to environmental and occupational risks; (4) changes in exposure to behavioural risks; (5) changes in exposure to metabolic risks; and (6) changes due to all other factors, approximated as the risk-deleted death and DALY rates, where the risk-deleted rate is the rate that would be observed had we reduced the exposure levels to the TMREL for all risk factors included in GBD 2017.","author":[{"dropping-particle":"","family":"Stanaway","given":"Jeffrey D.","non-dropping-particle":"","parse-names":false,"suffix":""},{"dropping-particle":"","family":"Afshin","given":"Ashkan","non-dropping-particle":"","parse-names":false,"suffix":""},{"dropping-particle":"","family":"Gakidou","given":"Emmanuela","non-dropping-particle":"","parse-names":false,"suffix":""},{"dropping-particle":"","family":"Lim","given":"Stephen S.","non-dropping-particle":"","parse-names":false,"suffix":""},{"dropping-particle":"","family":"Abate","given":"Degu","non-dropping-particle":"","parse-names":false,"suffix":""},{"dropping-particle":"","family":"Abate","given":"Kalkidan Hassen","non-dropping-particle":"","parse-names":false,"suffix":""},{"dropping-particle":"","family":"Abbafati","given":"Cristiana","non-dropping-particle":"","parse-names":false,"suffix":""},{"dropping-particle":"","family":"Abbasi","given":"Nooshin","non-dropping-particle":"","parse-names":false,"suffix":""},{"dropping-particle":"","family":"Abbastabar","given":"Hedayat","non-dropping-particle":"","parse-names":false,"suffix":""},{"dropping-particle":"","family":"Abd-Allah","given":"Foad","non-dropping-particle":"","parse-names":false,"suffix":""},{"dropping-particle":"","family":"Abdela","given":"Jemal","non-dropping-particle":"","parse-names":false,"suffix":""},{"dropping-particle":"","family":"Abdelalim","given":"Ahmed","non-dropping-particle":"","parse-names":false,"suffix":""},{"dropping-particle":"","family":"Abdollahpour","given":"Ibrahim","non-dropping-particle":"","parse-names":false,"suffix":""},{"dropping-particle":"","family":"Abdulkader","given":"Rizwan Suliankatchi","non-dropping-particle":"","parse-names":false,"suffix":""},{"dropping-particle":"","family":"Abebe","given":"Molla","non-dropping-particle":"","parse-names":false,"suffix":""},{"dropping-particle":"","family":"Abebe","given":"Zegeye","non-dropping-particle":"","parse-names":false,"suffix":""},{"dropping-particle":"","family":"Abera","given":"Semaw F.","non-dropping-particle":"","parse-names":false,"suffix":""},{"dropping-particle":"","family":"Abil","given":"Olifan Zewdie","non-dropping-particle":"","parse-names":false,"suffix":""},{"dropping-particle":"","family":"Abraha","given":"Haftom Niguse","non-dropping-particle":"","parse-names":false,"suffix":""},{"dropping-particle":"","family":"Abrham","given":"Aklilu Roba","non-dropping-particle":"","parse-names":false,"suffix":""},{"dropping-particle":"","family":"Abu-Raddad","given":"Laith Jamal","non-dropping-particle":"","parse-names":false,"suffix":""},{"dropping-particle":"","family":"Abu-Rmeileh","given":"Niveen M.E.","non-dropping-particle":"","parse-names":false,"suffix":""},{"dropping-particle":"","family":"Accrombessi","given":"Manfred Mario Kokou","non-dropping-particle":"","parse-names":false,"suffix":""},{"dropping-particle":"","family":"Acharya","given":"Dilaram","non-dropping-particle":"","parse-names":false,"suffix":""},{"dropping-particle":"","family":"Acharya","given":"Pawan","non-dropping-particle":"","parse-names":false,"suffix":""},{"dropping-particle":"","family":"Adamu","given":"Abdu A.","non-dropping-particle":"","parse-names":false,"suffix":""},{"dropping-particle":"","family":"Adane","given":"Akilew Awoke","non-dropping-particle":"","parse-names":false,"suffix":""},{"dropping-particle":"","family":"Adebayo","given":"Oladimeji M.","non-dropping-particle":"","parse-names":false,"suffix":""},{"dropping-particle":"","family":"Adedoyin","given":"Rufus Adesoji","non-dropping-particle":"","parse-names":false,"suffix":""},{"dropping-particle":"","family":"Adekanmbi","given":"Victor","non-dropping-particle":"","parse-names":false,"suffix":""},{"dropping-particle":"","family":"Ademi","given":"Zanfina","non-dropping-particle":"","parse-names":false,"suffix":""},{"dropping-particle":"","family":"Adetokunboh","given":"Olatunji O.","non-dropping-particle":"","parse-names":false,"suffix":""},{"dropping-particle":"","family":"Adib","given":"Mina G.","non-dropping-particle":"","parse-names":false,"suffix":""},{"dropping-particle":"","family":"Admasie","given":"Amha","non-dropping-particle":"","parse-names":false,"suffix":""},{"dropping-particle":"","family":"Adsuar","given":"Jose C.","non-dropping-particle":"","parse-names":false,"suffix":""},{"dropping-particle":"","family":"Afanvi","given":"Kossivi Agbelenko","non-dropping-particle":"","parse-names":false,"suffix":""},{"dropping-particle":"","family":"Afarideh","given":"Mohsen","non-dropping-particle":"","parse-names":false,"suffix":""},{"dropping-particle":"","family":"Agarwal","given":"Gina","non-dropping-particle":"","parse-names":false,"suffix":""},{"dropping-particle":"","family":"Aggarwal","given":"Anju","non-dropping-particle":"","parse-names":false,"suffix":""},{"dropping-particle":"","family":"Aghayan","given":"Sargis Aghasi","non-dropping-particle":"","parse-names":false,"suffix":""},{"dropping-particle":"","family":"Agrawal","given":"Anurag","non-dropping-particle":"","parse-names":false,"suffix":""},{"dropping-particle":"","family":"Agrawal","given":"Sutapa","non-dropping-particle":"","parse-names":false,"suffix":""},{"dropping-particle":"","family":"Ahmadi","given":"Alireza","non-dropping-particle":"","parse-names":false,"suffix":""},{"dropping-particle":"","family":"Ahmadi","given":"Mehdi","non-dropping-particle":"","parse-names":false,"suffix":""},{"dropping-particle":"","family":"Ahmadieh","given":"Hamid","non-dropping-particle":"","parse-names":false,"suffix":""},{"dropping-particle":"","family":"Ahmed","given":"Muktar Beshir","non-dropping-particle":"","parse-names":false,"suffix":""},{"dropping-particle":"","family":"Aichour","given":"Amani Nidhal","non-dropping-particle":"","parse-names":false,"suffix":""},{"dropping-particle":"","family":"Aichour","given":"Ibtihel","non-dropping-particle":"","parse-names":false,"suffix":""},{"dropping-particle":"","family":"Aichour","given":"Miloud Taki Eddine","non-dropping-particle":"","parse-names":false,"suffix":""},{"dropping-particle":"","family":"Akbari","given":"Mohammad Esmaeil","non-dropping-particle":"","parse-names":false,"suffix":""},{"dropping-particle":"","family":"Akinyemiju","given":"Tomi","non-dropping-particle":"","parse-names":false,"suffix":""},{"dropping-particle":"","family":"Akseer","given":"Nadia","non-dropping-particle":"","parse-names":false,"suffix":""},{"dropping-particle":"","family":"Al-Aly","given":"Ziyad","non-dropping-particle":"","parse-names":false,"suffix":""},{"dropping-particle":"","family":"Al-Eyadhy","given":"Ayman","non-dropping-particle":"","parse-names":false,"suffix":""},{"dropping-particle":"","family":"Al-Mekhlafi","given":"Hesham M.","non-dropping-particle":"","parse-names":false,"suffix":""},{"dropping-particle":"","family":"Alahdab","given":"Fares","non-dropping-particle":"","parse-names":false,"suffix":""},{"dropping-particle":"","family":"Alam","given":"Khurshid","non-dropping-particle":"","parse-names":false,"suffix":""},{"dropping-particle":"","family":"Alam","given":"Samiah","non-dropping-particle":"","parse-names":false,"suffix":""},{"dropping-particle":"","family":"Alam","given":"Tahiya","non-dropping-particle":"","parse-names":false,"suffix":""},{"dropping-particle":"","family":"Alashi","given":"Alaa","non-dropping-particle":"","parse-names":false,"suffix":""},{"dropping-particle":"","family":"Alavian","given":"Seyed Moayed","non-dropping-particle":"","parse-names":false,"suffix":""},{"dropping-particle":"","family":"Alene","given":"Kefyalew Addis","non-dropping-particle":"","parse-names":false,"suffix":""},{"dropping-particle":"","family":"Ali","given":"Komal","non-dropping-particle":"","parse-names":false,"suffix":""},{"dropping-particle":"","family":"Ali","given":"Syed Mustafa","non-dropping-particle":"","parse-names":false,"suffix":""},{"dropping-particle":"","family":"Alijanzadeh","given":"Mehran","non-dropping-particle":"","parse-names":false,"suffix":""},{"dropping-particle":"","family":"Alizadeh-Navaei","given":"Reza","non-dropping-particle":"","parse-names":false,"suffix":""},{"dropping-particle":"","family":"Aljunid","given":"Syed Mohamed","non-dropping-particle":"","parse-names":false,"suffix":""},{"dropping-particle":"","family":"Alkerwi","given":"Ala'a","non-dropping-particle":"","parse-names":false,"suffix":""},{"dropping-particle":"","family":"Alla","given":"François","non-dropping-particle":"","parse-names":false,"suffix":""},{"dropping-particle":"","family":"Alsharif","given":"Ubai","non-dropping-particle":"","parse-names":false,"suffix":""},{"dropping-particle":"","family":"Altirkawi","given":"Khalid","non-dropping-particle":"","parse-names":false,"suffix":""},{"dropping-particle":"","family":"Alvis-Guzman","given":"Nelson","non-dropping-particle":"","parse-names":false,"suffix":""},{"dropping-particle":"","family":"Amare","given":"Azmeraw T.","non-dropping-particle":"","parse-names":false,"suffix":""},{"dropping-particle":"","family":"Ammar","given":"Walid","non-dropping-particle":"","parse-names":false,"suffix":""},{"dropping-particle":"","family":"Anber","given":"Nahla Hamed","non-dropping-particle":"","parse-names":false,"suffix":""},{"dropping-particle":"","family":"Anderson","given":"Jason A.","non-dropping-particle":"","parse-names":false,"suffix":""},{"dropping-particle":"","family":"Andrei","given":"Catalina Liliana","non-dropping-particle":"","parse-names":false,"suffix":""},{"dropping-particle":"","family":"Androudi","given":"Sofia","non-dropping-particle":"","parse-names":false,"suffix":""},{"dropping-particle":"","family":"Animut","given":"Megbaru Debalkie","non-dropping-particle":"","parse-names":false,"suffix":""},{"dropping-particle":"","family":"Anjomshoa","given":"Mina","non-dropping-particle":"","parse-names":false,"suffix":""},{"dropping-particle":"","family":"Ansha","given":"Mustafa Geleto","non-dropping-particle":"","parse-names":false,"suffix":""},{"dropping-particle":"","family":"Antó","given":"Josep M.","non-dropping-particle":"","parse-names":false,"suffix":""},{"dropping-particle":"","family":"Antonio","given":"Carl Abelardo T.","non-dropping-particle":"","parse-names":false,"suffix":""},{"dropping-particle":"","family":"Anwari","given":"Palwasha","non-dropping-particle":"","parse-names":false,"suffix":""},{"dropping-particle":"","family":"Appiah","given":"Lambert Tetteh","non-dropping-particle":"","parse-names":false,"suffix":""},{"dropping-particle":"","family":"Appiah","given":"Seth Christopher Yaw","non-dropping-particle":"","parse-names":false,"suffix":""},{"dropping-particle":"","family":"Arabloo","given":"Jalal","non-dropping-particle":"","parse-names":false,"suffix":""},{"dropping-particle":"","family":"Aremu","given":"Olatunde","non-dropping-particle":"","parse-names":false,"suffix":""},{"dropping-particle":"","family":"Ärnlöv","given":"Johan","non-dropping-particle":"","parse-names":false,"suffix":""},{"dropping-particle":"","family":"Artaman","given":"Al","non-dropping-particle":"","parse-names":false,"suffix":""},{"dropping-particle":"","family":"Aryal","given":"Krishna K.","non-dropping-particle":"","parse-names":false,"suffix":""},{"dropping-particle":"","family":"Asayesh","given":"Hamid","non-dropping-particle":"","parse-names":false,"suffix":""},{"dropping-particle":"","family":"Ataro","given":"Zerihun","non-dropping-particle":"","parse-names":false,"suffix":""},{"dropping-particle":"","family":"Ausloos","given":"Marcel","non-dropping-particle":"","parse-names":false,"suffix":""},{"dropping-particle":"","family":"Avokpaho","given":"Euripide F.G.A.","non-dropping-particle":"","parse-names":false,"suffix":""},{"dropping-particle":"","family":"Awasthi","given":"Ashish","non-dropping-particle":"","parse-names":false,"suffix":""},{"dropping-particle":"","family":"Quintanilla","given":"Beatriz Paulina Ayala","non-dropping-particle":"","parse-names":false,"suffix":""},{"dropping-particle":"","family":"Ayer","given":"Rakesh","non-dropping-particle":"","parse-names":false,"suffix":""},{"dropping-particle":"","family":"Ayuk","given":"Tambe B.","non-dropping-particle":"","parse-names":false,"suffix":""},{"dropping-particle":"","family":"Azzopardi","given":"Peter S.","non-dropping-particle":"","parse-names":false,"suffix":""},{"dropping-particle":"","family":"Babazadeh","given":"Arefeh","non-dropping-particle":"","parse-names":false,"suffix":""},{"dropping-particle":"","family":"Badali","given":"Hamid","non-dropping-particle":"","parse-names":false,"suffix":""},{"dropping-particle":"","family":"Badawi","given":"Alaa","non-dropping-particle":"","parse-names":false,"suffix":""},{"dropping-particle":"","family":"Balakrishnan","given":"Kalpana","non-dropping-particle":"","parse-names":false,"suffix":""},{"dropping-particle":"","family":"Bali","given":"Ayele Geleto","non-dropping-particle":"","parse-names":false,"suffix":""},{"dropping-particle":"","family":"Ball","given":"Kylie","non-dropping-particle":"","parse-names":false,"suffix":""},{"dropping-particle":"","family":"Ballew","given":"Shoshana H.","non-dropping-particle":"","parse-names":false,"suffix":""},{"dropping-particle":"","family":"Banach","given":"Maciej","non-dropping-particle":"","parse-names":false,"suffix":""},{"dropping-particle":"","family":"Banoub","given":"Joseph Adel Mattar","non-dropping-particle":"","parse-names":false,"suffix":""},{"dropping-particle":"","family":"Barac","given":"Aleksandra","non-dropping-particle":"","parse-names":false,"suffix":""},{"dropping-particle":"","family":"Barker-Collo","given":"Suzanne Lyn","non-dropping-particle":"","parse-names":false,"suffix":""},{"dropping-particle":"","family":"Bärnighausen","given":"Till Winfried","non-dropping-particle":"","parse-names":false,"suffix":""},{"dropping-particle":"","family":"Barrero","given":"Lope H.","non-dropping-particle":"","parse-names":false,"suffix":""},{"dropping-particle":"","family":"Basu","given":"Sanjay","non-dropping-particle":"","parse-names":false,"suffix":""},{"dropping-particle":"","family":"Baune","given":"Bernhard T.","non-dropping-particle":"","parse-names":false,"suffix":""},{"dropping-particle":"","family":"Bazargan-Hejazi","given":"Shahrzad","non-dropping-particle":"","parse-names":false,"suffix":""},{"dropping-particle":"","family":"Bedi","given":"Neeraj","non-dropping-particle":"","parse-names":false,"suffix":""},{"dropping-particle":"","family":"Beghi","given":"Ettore","non-dropping-particle":"","parse-names":false,"suffix":""},{"dropping-particle":"","family":"Behzadifar","given":"Masoud","non-dropping-particle":"","parse-names":false,"suffix":""},{"dropping-particle":"","family":"Behzadifar","given":"Meysam","non-dropping-particle":"","parse-names":false,"suffix":""},{"dropping-particle":"","family":"Béjot","given":"Yannick","non-dropping-particle":"","parse-names":false,"suffix":""},{"dropping-particle":"","family":"Bekele","given":"Bayu Begashaw","non-dropping-particle":"","parse-names":false,"suffix":""},{"dropping-particle":"","family":"Bekru","given":"Eyasu Tamru","non-dropping-particle":"","parse-names":false,"suffix":""},{"dropping-particle":"","family":"Belay","given":"Ezra","non-dropping-particle":"","parse-names":false,"suffix":""},{"dropping-particle":"","family":"Belay","given":"Yihalem Abebe","non-dropping-particle":"","parse-names":false,"suffix":""},{"dropping-particle":"","family":"Bell","given":"Michelle L.","non-dropping-particle":"","parse-names":false,"suffix":""},{"dropping-particle":"","family":"Bello","given":"Aminu K.","non-dropping-particle":"","parse-names":false,"suffix":""},{"dropping-particle":"","family":"Bennett","given":"Derrick A.","non-dropping-particle":"","parse-names":false,"suffix":""},{"dropping-particle":"","family":"Bensenor","given":"Isabela M.","non-dropping-particle":"","parse-names":false,"suffix":""},{"dropping-particle":"","family":"Bergeron","given":"Gilles","non-dropping-particle":"","parse-names":false,"suffix":""},{"dropping-particle":"","family":"Berhane","given":"Adugnaw","non-dropping-particle":"","parse-names":false,"suffix":""},{"dropping-particle":"","family":"Bernabe","given":"Eduardo","non-dropping-particle":"","parse-names":false,"suffix":""},{"dropping-particle":"","family":"Bernstein","given":"Robert S.","non-dropping-particle":"","parse-names":false,"suffix":""},{"dropping-particle":"","family":"Beuran","given":"Mircea","non-dropping-particle":"","parse-names":false,"suffix":""},{"dropping-particle":"","family":"Beyranvand","given":"Tina","non-dropping-particle":"","parse-names":false,"suffix":""},{"dropping-particle":"","family":"Bhala","given":"Neeraj","non-dropping-particle":"","parse-names":false,"suffix":""},{"dropping-particle":"","family":"Bhalla","given":"Ashish","non-dropping-particle":"","parse-names":false,"suffix":""},{"dropping-particle":"","family":"Bhattarai","given":"Suraj","non-dropping-particle":"","parse-names":false,"suffix":""},{"dropping-particle":"","family":"Bhutta","given":"Zulfiqar A.","non-dropping-particle":"","parse-names":false,"suffix":""},{"dropping-particle":"","family":"Biadgo","given":"Belete","non-dropping-particle":"","parse-names":false,"suffix":""},{"dropping-particle":"","family":"Bijani","given":"Ali","non-dropping-particle":"","parse-names":false,"suffix":""},{"dropping-particle":"","family":"Bikbov","given":"Boris","non-dropping-particle":"","parse-names":false,"suffix":""},{"dropping-particle":"","family":"Bilano","given":"Ver","non-dropping-particle":"","parse-names":false,"suffix":""},{"dropping-particle":"","family":"Bililign","given":"Nigus","non-dropping-particle":"","parse-names":false,"suffix":""},{"dropping-particle":"Bin","family":"Sayeed","given":"Muhammad Shahdaat","non-dropping-particle":"","parse-names":false,"suffix":""},{"dropping-particle":"","family":"Bisanzio","given":"Donal","non-dropping-particle":"","parse-names":false,"suffix":""},{"dropping-particle":"","family":"Biswas","given":"Tuhin","non-dropping-particle":"","parse-names":false,"suffix":""},{"dropping-particle":"","family":"Bjorge","given":"Tone","non-dropping-particle":"","parse-names":false,"suffix":""},{"dropping-particle":"","family":"Blacker","given":"Brigette F.","non-dropping-particle":"","parse-names":false,"suffix":""},{"dropping-particle":"","family":"Bleyer","given":"Archie","non-dropping-particle":"","parse-names":false,"suffix":""},{"dropping-particle":"","family":"Borschmann","given":"Rohan","non-dropping-particle":"","parse-names":false,"suffix":""},{"dropping-particle":"","family":"Bou-Orm","given":"Ibrahim R.","non-dropping-particle":"","parse-names":false,"suffix":""},{"dropping-particle":"","family":"Boufous","given":"Soufiane","non-dropping-particle":"","parse-names":false,"suffix":""},{"dropping-particle":"","family":"Bourne","given":"Rupert","non-dropping-particle":"","parse-names":false,"suffix":""},{"dropping-particle":"","family":"Brady","given":"Oliver J.","non-dropping-particle":"","parse-names":false,"suffix":""},{"dropping-particle":"","family":"Brauer","given":"Michael","non-dropping-particle":"","parse-names":false,"suffix":""},{"dropping-particle":"","family":"Brazinova","given":"Alexandra","non-dropping-particle":"","parse-names":false,"suffix":""},{"dropping-particle":"","family":"Breitborde","given":"Nicholas J.K.","non-dropping-particle":"","parse-names":false,"suffix":""},{"dropping-particle":"","family":"Brenner","given":"Hermann","non-dropping-particle":"","parse-names":false,"suffix":""},{"dropping-particle":"","family":"Briko","given":"Andrey Nikolaevich","non-dropping-particle":"","parse-names":false,"suffix":""},{"dropping-particle":"","family":"Britton","given":"Gabrielle","non-dropping-particle":"","parse-names":false,"suffix":""},{"dropping-particle":"","family":"Brugha","given":"Traolach","non-dropping-particle":"","parse-names":false,"suffix":""},{"dropping-particle":"","family":"Buchbinder","given":"Rachelle","non-dropping-particle":"","parse-names":false,"suffix":""},{"dropping-particle":"","family":"Burnett","given":"Richard T.","non-dropping-particle":"","parse-names":false,"suffix":""},{"dropping-particle":"","family":"Busse","given":"Reinhard","non-dropping-particle":"","parse-names":false,"suffix":""},{"dropping-particle":"","family":"Butt","given":"Zahid A.","non-dropping-particle":"","parse-names":false,"suffix":""},{"dropping-particle":"","family":"Cahill","given":"Leah E.","non-dropping-particle":"","parse-names":false,"suffix":""},{"dropping-particle":"","family":"Cahuana-Hurtado","given":"Lucero","non-dropping-particle":"","parse-names":false,"suffix":""},{"dropping-particle":"","family":"Campos-Nonato","given":"Ismael R.","non-dropping-particle":"","parse-names":false,"suffix":""},{"dropping-particle":"","family":"Cárdenas","given":"Rosario","non-dropping-particle":"","parse-names":false,"suffix":""},{"dropping-particle":"","family":"Carreras","given":"Giulia","non-dropping-particle":"","parse-names":false,"suffix":""},{"dropping-particle":"","family":"Carrero","given":"Juan J.","non-dropping-particle":"","parse-names":false,"suffix":""},{"dropping-particle":"","family":"Carvalho","given":"Félix","non-dropping-particle":"","parse-names":false,"suffix":""},{"dropping-particle":"","family":"Castaneda-Orjuela","given":"Carlos A.","non-dropping-particle":"","parse-names":false,"suffix":""},{"dropping-particle":"","family":"Rivas","given":"Jacqueline Castillo","non-dropping-particle":"","parse-names":false,"suffix":""},{"dropping-particle":"","family":"Castro","given":"Franz","non-dropping-particle":"","parse-names":false,"suffix":""},{"dropping-particle":"","family":"Catalá-López","given":"Ferrán","non-dropping-particle":"","parse-names":false,"suffix":""},{"dropping-particle":"","family":"Causey","given":"Kate","non-dropping-particle":"","parse-names":false,"suffix":""},{"dropping-particle":"","family":"Cercy","given":"Kelly M.","non-dropping-particle":"","parse-names":false,"suffix":""},{"dropping-particle":"","family":"Cerin","given":"Ester","non-dropping-particle":"","parse-names":false,"suffix":""},{"dropping-particle":"","family":"Chaiah","given":"Yazan","non-dropping-particle":"","parse-names":false,"suffix":""},{"dropping-particle":"","family":"Chang","given":"Hsing Yi","non-dropping-particle":"","parse-names":false,"suffix":""},{"dropping-particle":"","family":"Chang","given":"Jung Chen","non-dropping-particle":"","parse-names":false,"suffix":""},{"dropping-particle":"","family":"Chang","given":"Kai Lan","non-dropping-particle":"","parse-names":false,"suffix":""},{"dropping-particle":"","family":"Charlson","given":"Fiona J.","non-dropping-particle":"","parse-names":false,"suffix":""},{"dropping-particle":"","family":"Chattopadhyay","given":"Aparajita","non-dropping-particle":"","parse-names":false,"suffix":""},{"dropping-particle":"","family":"Chattu","given":"Vijay Kumar","non-dropping-particle":"","parse-names":false,"suffix":""},{"dropping-particle":"","family":"Chee","given":"Miao Li","non-dropping-particle":"","parse-names":false,"suffix":""},{"dropping-particle":"","family":"Cheng","given":"Ching Yu","non-dropping-particle":"","parse-names":false,"suffix":""},{"dropping-particle":"","family":"Chew","given":"Adrienne","non-dropping-particle":"","parse-names":false,"suffix":""},{"dropping-particle":"","family":"Chiang","given":"Peggy Pei Chia","non-dropping-particle":"","parse-names":false,"suffix":""},{"dropping-particle":"","family":"Chimed-Ochir","given":"Odgerel","non-dropping-particle":"","parse-names":false,"suffix":""},{"dropping-particle":"","family":"Chin","given":"Ken Lee","non-dropping-particle":"","parse-names":false,"suffix":""},{"dropping-particle":"","family":"Chitheer","given":"Abdulaal","non-dropping-particle":"","parse-names":false,"suffix":""},{"dropping-particle":"","family":"Choi","given":"Jee Young J.","non-dropping-particle":"","parse-names":false,"suffix":""},{"dropping-particle":"","family":"Chowdhury","given":"Rajiv","non-dropping-particle":"","parse-names":false,"suffix":""},{"dropping-particle":"","family":"Christensen","given":"Hanne","non-dropping-particle":"","parse-names":false,"suffix":""},{"dropping-particle":"","family":"Christopher","given":"Devasahayam J.","non-dropping-particle":"","parse-names":false,"suffix":""},{"dropping-particle":"","family":"Chung","given":"Sheng Chia","non-dropping-particle":"","parse-names":false,"suffix":""},{"dropping-particle":"","family":"Cicuttini","given":"Flavia M.","non-dropping-particle":"","parse-names":false,"suffix":""},{"dropping-particle":"","family":"Cirillo","given":"Massimo","non-dropping-particle":"","parse-names":false,"suffix":""},{"dropping-particle":"","family":"Cohen","given":"Aaron J.","non-dropping-particle":"","parse-names":false,"suffix":""},{"dropping-particle":"","family":"Collado-Mateo","given":"Daniel","non-dropping-particle":"","parse-names":false,"suffix":""},{"dropping-particle":"","family":"Cooper","given":"Cyrus","non-dropping-particle":"","parse-names":false,"suffix":""},{"dropping-particle":"","family":"Cooper","given":"Owen R.","non-dropping-particle":"","parse-names":false,"suffix":""},{"dropping-particle":"","family":"Coresh","given":"Josef","non-dropping-particle":"","parse-names":false,"suffix":""},{"dropping-particle":"","family":"Cornaby","given":"Leslie","non-dropping-particle":"","parse-names":false,"suffix":""},{"dropping-particle":"","family":"Cortesi","given":"Paolo Angelo","non-dropping-particle":"","parse-names":false,"suffix":""},{"dropping-particle":"","family":"Cortinovis","given":"Monica","non-dropping-particle":"","parse-names":false,"suffix":""},{"dropping-particle":"","family":"Costa","given":"Megan","non-dropping-particle":"","parse-names":false,"suffix":""},{"dropping-particle":"","family":"Cousin","given":"Ewerton","non-dropping-particle":"","parse-names":false,"suffix":""},{"dropping-particle":"","family":"Criqui","given":"Michael H.","non-dropping-particle":"","parse-names":false,"suffix":""},{"dropping-particle":"","family":"Cromwell","given":"Elizabeth A.","non-dropping-particle":"","parse-names":false,"suffix":""},{"dropping-particle":"","family":"Cundiff","given":"David K.","non-dropping-particle":"","parse-names":false,"suffix":""},{"dropping-particle":"","family":"Daba","given":"Alemneh Kabeta","non-dropping-particle":"","parse-names":false,"suffix":""},{"dropping-particle":"","family":"Dachew","given":"Berihun Assefa","non-dropping-particle":"","parse-names":false,"suffix":""},{"dropping-particle":"","family":"Dadi","given":"Abel Fekadu","non-dropping-particle":"","parse-names":false,"suffix":""},{"dropping-particle":"","family":"Damasceno","given":"Albertino Antonio Moura","non-dropping-particle":"","parse-names":false,"suffix":""},{"dropping-particle":"","family":"Dandona","given":"Lalit","non-dropping-particle":"","parse-names":false,"suffix":""},{"dropping-particle":"","family":"Dandona","given":"Rakhi","non-dropping-particle":"","parse-names":false,"suffix":""},{"dropping-particle":"","family":"Darby","given":"Sarah C.","non-dropping-particle":"","parse-names":false,"suffix":""},{"dropping-particle":"","family":"Dargan","given":"Paul I.","non-dropping-particle":"","parse-names":false,"suffix":""},{"dropping-particle":"","family":"Daryani","given":"Ahmad","non-dropping-particle":"","parse-names":false,"suffix":""},{"dropping-particle":"Das","family":"Gupta","given":"Rajat","non-dropping-particle":"","parse-names":false,"suffix":""},{"dropping-particle":"Das","family":"Neves","given":"José","non-dropping-particle":"","parse-names":false,"suffix":""},{"dropping-particle":"","family":"Dasa","given":"Tamirat Tesfaye","non-dropping-particle":"","parse-names":false,"suffix":""},{"dropping-particle":"","family":"Dash","given":"Aditya Prasad","non-dropping-particle":"","parse-names":false,"suffix":""},{"dropping-particle":"","family":"Davitoiu","given":"Dragos Virgil","non-dropping-particle":"","parse-names":false,"suffix":""},{"dropping-particle":"","family":"Davletov","given":"Kairat","non-dropping-particle":"","parse-names":false,"suffix":""},{"dropping-particle":"","family":"La Cruz-Góngora","given":"Vanessa","non-dropping-particle":"De","parse-names":false,"suffix":""},{"dropping-particle":"De","family":"Hoz","given":"Fernando Pio","non-dropping-particle":"La","parse-names":false,"suffix":""},{"dropping-particle":"De","family":"Leo","given":"Diego","non-dropping-particle":"","parse-names":false,"suffix":""},{"dropping-particle":"De","family":"Neve","given":"Jan Walter","non-dropping-particl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P.","non-dropping-particle":"","parse-names":false,"suffix":""},{"dropping-particle":"","family":"Demoz","given":"Gebre Teklemariam","non-dropping-particle":"","parse-names":false,"suffix":""},{"dropping-particle":"","family":"Denova-Gutiérrez","given":"Edgar","non-dropping-particle":"","parse-names":false,"suffix":""},{"dropping-particle":"","family":"Deribe","given":"Kebede","non-dropping-particle":"","parse-names":false,"suffix":""},{"dropping-particle":"","family":"Dervenis","given":"Nikolaos","non-dropping-particle":"","parse-names":false,"suffix":""},{"dropping-particle":"","family":"Deshpande","given":"Aniruddha","non-dropping-particle":"","parse-names":false,"suffix":""},{"dropping-particle":"","family":"Jarlais","given":"Don C.Des","non-dropping-particle":"","parse-names":false,"suffix":""},{"dropping-particle":"","family":"Dessie","given":"Getenet Ayalew","non-dropping-particle":"","parse-names":false,"suffix":""},{"dropping-particle":"","family":"Deveber","given":"Gabrielle Aline","non-dropping-particle":"","parse-names":false,"suffix":""},{"dropping-particle":"","family":"Dey","given":"Subhojit","non-dropping-particle":"","parse-names":false,"suffix":""},{"dropping-particle":"","family":"Dharmaratne","given":"Samath Dhamminda","non-dropping-particle":"","parse-names":false,"suffix":""},{"dropping-particle":"","family":"Dhimal","given":"Meghnath","non-dropping-particle":"","parse-names":false,"suffix":""},{"dropping-particle":"","family":"Dinberu","given":"Mesfin Tadese","non-dropping-particle":"","parse-names":false,"suffix":""},{"dropping-particle":"","family":"Ding","given":"Eric L.","non-dropping-particle":"","parse-names":false,"suffix":""},{"dropping-particle":"","family":"Diro","given":"Helen Derara","non-dropping-particle":"","parse-names":false,"suffix":""},{"dropping-particle":"","family":"Djalalinia","given":"Shirin","non-dropping-particle":"","parse-names":false,"suffix":""},{"dropping-particle":"","family":"Do","given":"Huyen Phuc","non-dropping-particle":"","parse-names":false,"suffix":""},{"dropping-particle":"","family":"Dokova","given":"Klara","non-dropping-particle":"","parse-names":false,"suffix":""},{"dropping-particle":"","family":"Doku","given":"David Teye","non-dropping-particle":"","parse-names":false,"suffix":""},{"dropping-particle":"","family":"Doyle","given":"Kerrie E.","non-dropping-particle":"","parse-names":false,"suffix":""},{"dropping-particle":"","family":"Driscoll","given":"Tim R.","non-dropping-particle":"","parse-names":false,"suffix":""},{"dropping-particle":"","family":"Dubey","given":"Manisha","non-dropping-particle":"","parse-names":false,"suffix":""},{"dropping-particle":"","family":"Dubljanin","given":"Eleonora","non-dropping-particle":"","parse-names":false,"suffix":""},{"dropping-particle":"","family":"Duken","given":"Eyasu Ejeta","non-dropping-particle":"","parse-names":false,"suffix":""},{"dropping-particle":"","family":"Duncan","given":"Bruce B.","non-dropping-particle":"","parse-names":false,"suffix":""},{"dropping-particle":"","family":"Duraes","given":"Andre R.","non-dropping-particle":"","parse-names":false,"suffix":""},{"dropping-particle":"","family":"Ebert","given":"Natalie","non-dropping-particle":"","parse-names":false,"suffix":""},{"dropping-particle":"","family":"Ebrahimi","given":"Hedyeh","non-dropping-particle":"","parse-names":false,"suffix":""},{"dropping-particle":"","family":"Ebrahimpour","given":"Soheil","non-dropping-particle":"","parse-names":false,"suffix":""},{"dropping-particle":"","family":"Edvardsson","given":"David","non-dropping-particle":"","parse-names":false,"suffix":""},{"dropping-particle":"","family":"Effiong","given":"Andem","non-dropping-particle":"","parse-names":false,"suffix":""},{"dropping-particle":"","family":"Eggen","given":"Anne Elise","non-dropping-particle":"","parse-names":false,"suffix":""},{"dropping-particle":"El","family":"Bcheraoui","given":"Charbel","non-dropping-particle":"","parse-names":false,"suffix":""},{"dropping-particle":"","family":"El-Khatib","given":"Ziad","non-dropping-particle":"","parse-names":false,"suffix":""},{"dropping-particle":"","family":"Elyazar","given":"Iqbal Rf","non-dropping-particle":"","parse-names":false,"suffix":""},{"dropping-particle":"","family":"Enayati","given":"Ahmadali","non-dropping-particle":"","parse-names":false,"suffix":""},{"dropping-particle":"","family":"Endries","given":"Aman Yesuf","non-dropping-particle":"","parse-names":false,"suffix":""},{"dropping-particle":"","family":"Er","given":"Benjamin","non-dropping-particle":"","parse-names":false,"suffix":""},{"dropping-particle":"","family":"Erskine","given":"Holly E.","non-dropping-particle":"","parse-names":false,"suffix":""},{"dropping-particle":"","family":"Eskandarieh","given":"Sharareh","non-dropping-particle":"","parse-names":false,"suffix":""},{"dropping-particle":"","family":"Esteghamati","given":"Alireza","non-dropping-particle":"","parse-names":false,"suffix":""},{"dropping-particle":"","family":"Estep","given":"Kara","non-dropping-particle":"","parse-names":false,"suffix":""},{"dropping-particle":"","family":"Fakhim","given":"Hamed","non-dropping-particle":"","parse-names":false,"suffix":""},{"dropping-particle":"","family":"Faramarzi","given":"Mahbobeh","non-dropping-particle":"","parse-names":false,"suffix":""},{"dropping-particle":"","family":"Fareed","given":"Mohammad","non-dropping-particle":"","parse-names":false,"suffix":""},{"dropping-particle":"","family":"Farid","given":"Talha A.","non-dropping-particle":"","parse-names":false,"suffix":""},{"dropping-particle":"","family":"Farinha","given":"Carla Sofia Esá","non-dropping-particle":"","parse-names":false,"suffix":""},{"dropping-particle":"","family":"Farioli","given":"Andrea","non-dropping-particle":"","parse-names":false,"suffix":""},{"dropping-particle":"","family":"Faro","given":"Andre","non-dropping-particle":"","parse-names":false,"suffix":""},{"dropping-particle":"","family":"Farvid","given":"Maryam S.","non-dropping-particle":"","parse-names":false,"suffix":""},{"dropping-particle":"","family":"Farzaei","given":"Mohammad Hosein","non-dropping-particle":"","parse-names":false,"suffix":""},{"dropping-particle":"","family":"Fatima","given":"Batool","non-dropping-particle":"","parse-names":false,"suffix":""},{"dropping-particle":"","family":"Fay","given":"Kairsten A.","non-dropping-particle":"","parse-names":false,"suffix":""},{"dropping-particle":"","family":"Fazaeli","given":"Ali Akbar","non-dropping-particle":"","parse-names":false,"suffix":""},{"dropping-particle":"","family":"Feigin","given":"Valery L.","non-dropping-particle":"","parse-names":false,"suffix":""},{"dropping-particle":"","family":"Feigl","given":"Andrea B.","non-dropping-particle":"","parse-names":false,"suffix":""},{"dropping-particle":"","family":"Fereshtehnejad","given":"Seyed Mohammad","non-dropping-particle":"","parse-names":false,"suffix":""},{"dropping-particle":"","family":"Fernandes","given":"Eduarda","non-dropping-particle":"","parse-names":false,"suffix":""},{"dropping-particle":"","family":"Fernandes","given":"Joao C.","non-dropping-particle":"","parse-names":false,"suffix":""},{"dropping-particle":"","family":"Ferrara","given":"Giannina","non-dropping-particle":"","parse-names":false,"suffix":""},{"dropping-particle":"","family":"Ferrari","given":"Alize J.","non-dropping-particle":"","parse-names":false,"suffix":""},{"dropping-particle":"","family":"Ferreira","given":"Manuela L.","non-dropping-particle":"","parse-names":false,"suffix":""},{"dropping-particle":"","family":"Filip","given":"Irina","non-dropping-particle":"","parse-names":false,"suffix":""},{"dropping-particle":"","family":"Finger","given":"Jonas David","non-dropping-particle":"","parse-names":false,"suffix":""},{"dropping-particle":"","family":"Fischer","given":"Florian","non-dropping-particle":"","parse-names":false,"suffix":""},{"dropping-particle":"","family":"Foigt","given":"Nataliya A.","non-dropping-particle":"","parse-names":false,"suffix":""},{"dropping-particle":"","family":"Foreman","given":"Kyle J.","non-dropping-particle":"","parse-names":false,"suffix":""},{"dropping-particle":"","family":"Fukumoto","given":"Takeshi","non-dropping-particle":"","parse-names":false,"suffix":""},{"dropping-particle":"","family":"Fullman","given":"Nancy","non-dropping-particle":"","parse-names":false,"suffix":""},{"dropping-particle":"","family":"Fürst","given":"Thomas","non-dropping-particle":"","parse-names":false,"suffix":""},{"dropping-particle":"","family":"Furtado","given":"Joao M.","non-dropping-particle":"","parse-names":false,"suffix":""},{"dropping-particle":"","family":"Futran","given":"Neal D.","non-dropping-particle":"","parse-names":false,"suffix":""},{"dropping-particle":"","family":"Gall","given":"Seana","non-dropping-particle":"","parse-names":false,"suffix":""},{"dropping-particle":"","family":"Gallus","given":"Silvano","non-dropping-particle":"","parse-names":false,"suffix":""},{"dropping-particle":"","family":"Gamkrelidze","given":"Amiran","non-dropping-particle":"","parse-names":false,"suffix":""},{"dropping-particle":"","family":"Ganji","given":"Morsaleh","non-dropping-particle":"","parse-names":false,"suffix":""},{"dropping-particle":"","family":"Garcia-Basteiro","given":"Alberto L.","non-dropping-particle":"","parse-names":false,"suffix":""},{"dropping-particle":"","family":"Gardner","given":"William M.","non-dropping-particle":"","parse-names":false,"suffix":""},{"dropping-particle":"","family":"Gebre","given":"Abadi Kahsu","non-dropping-particle":"","parse-names":false,"suffix":""},{"dropping-particle":"","family":"Gebremedhin","given":"Amanuel Tesfay","non-dropping-particle":"","parse-names":false,"suffix":""},{"dropping-particle":"","family":"Gebremichael","given":"Teklu Gebrehiwo","non-dropping-particle":"","parse-names":false,"suffix":""},{"dropping-particle":"","family":"Gelano","given":"Tilayie Feto","non-dropping-particle":"","parse-names":false,"suffix":""},{"dropping-particle":"","family":"Geleijnse","given":"Johanna M.","non-dropping-particle":"","parse-names":false,"suffix":""},{"dropping-particle":"","family":"Geramo","given":"Yilma Chisha Dea","non-dropping-particle":"","parse-names":false,"suffix":""},{"dropping-particle":"","family":"Gething","given":"Peter W.","non-dropping-particle":"","parse-names":false,"suffix":""},{"dropping-particle":"","family":"Gezae","given":"Kebede Embaye","non-dropping-particle":"","parse-names":false,"suffix":""},{"dropping-particle":"","family":"Ghadimi","given":"Reza","non-dropping-particle":"","parse-names":false,"suffix":""},{"dropping-particle":"","family":"Ghadiri","given":"Keyghobad","non-dropping-particle":"","parse-names":false,"suffix":""},{"dropping-particle":"","family":"Falavarjani","given":"Khalil Ghasemi","non-dropping-particle":"","parse-names":false,"suffix":""},{"dropping-particle":"","family":"Ghasemi-Kasman","given":"Maryam","non-dropping-particle":"","parse-names":false,"suffix":""},{"dropping-particle":"","family":"Ghimire","given":"Mamata","non-dropping-particle":"","parse-names":false,"suffix":""},{"dropping-particle":"","family":"Ghosh","given":"Rakesh","non-dropping-particle":"","parse-names":false,"suffix":""},{"dropping-particle":"","family":"Ghoshal","given":"Aloke Gopal","non-dropping-particle":"","parse-names":false,"suffix":""},{"dropping-particle":"","family":"Giampaoli","given":"Simona","non-dropping-particle":"","parse-names":false,"suffix":""},{"dropping-particle":"","family":"Gill","given":"Paramjit Singh","non-dropping-particle":"","parse-names":false,"suffix":""},{"dropping-particle":"","family":"Gill","given":"Tiffany K.","non-dropping-particle":"","parse-names":false,"suffix":""},{"dropping-particle":"","family":"Gillum","given":"Richard F.","non-dropping-particle":"","parse-names":false,"suffix":""},{"dropping-particle":"","family":"Ginawi","given":"Ibrahim Abdelmageed","non-dropping-particle":"","parse-names":false,"suffix":""},{"dropping-particle":"","family":"Giussani","given":"Giorgia","non-dropping-particle":"","parse-names":false,"suffix":""},{"dropping-particle":"V.","family":"Gnedovskaya","given":"Elena","non-dropping-particle":"","parse-names":false,"suffix":""},{"dropping-particle":"","family":"Godwin","given":"William W.","non-dropping-particle":"","parse-names":false,"suffix":""},{"dropping-particle":"","family":"Goli","given":"Srinivas","non-dropping-particle":"","parse-names":false,"suffix":""},{"dropping-particle":"","family":"Gómez-Dantés","given":"Hector","non-dropping-particle":"","parse-names":false,"suffix":""},{"dropping-particle":"","family":"Gona","given":"Philimon N.","non-dropping-particle":"","parse-names":false,"suffix":""},{"dropping-particle":"","family":"Gopalani","given":"Sameer Vali","non-dropping-particle":"","parse-names":false,"suffix":""},{"dropping-particle":"","family":"Goulart","given":"Alessandra C.","non-dropping-particle":"","parse-names":false,"suffix":""},{"dropping-particle":"","family":"Grada","given":"Ayman","non-dropping-particle":"","parse-names":false,"suffix":""},{"dropping-particle":"","family":"Grams","given":"Morgan E.","non-dropping-particle":"","parse-names":false,"suffix":""},{"dropping-particle":"","family":"Grosso","given":"Giuseppe","non-dropping-particle":"","parse-names":false,"suffix":""},{"dropping-particle":"","family":"Gugnani","given":"Harish Chander","non-dropping-particle":"","parse-names":false,"suffix":""},{"dropping-particle":"","family":"Guo","given":"Yuming","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utiérrez","given":"Reyna Alma","non-dropping-particle":"","parse-names":false,"suffix":""},{"dropping-particle":"","family":"Gutiérrez-Torres","given":"Daniela S.","non-dropping-particle":"","parse-names":false,"suffix":""},{"dropping-particle":"","family":"Haagsma","given":"Juanita A.","non-dropping-particle":"","parse-names":false,"suffix":""},{"dropping-particle":"","family":"Habtewold","given":"Tesfa Dejenie","non-dropping-particle":"","parse-names":false,"suffix":""},{"dropping-particle":"","family":"Hachinski","given":"Vladimir","non-dropping-particle":"","parse-names":false,"suffix":""},{"dropping-particle":"","family":"Hafezi-Nejad","given":"Nima","non-dropping-particle":"","parse-names":false,"suffix":""},{"dropping-particle":"","family":"Hagos","given":"Tekleberhan B.","non-dropping-particle":"","parse-names":false,"suffix":""},{"dropping-particle":"","family":"Hailegiyorgis","given":"Tewodros Tesfa","non-dropping-particle":"","parse-names":false,"suffix":""},{"dropping-particle":"","family":"Hailu","given":"Gessessew Bugssa","non-dropping-particle":"","parse-names":false,"suffix":""},{"dropping-particle":"","family":"Haj-Mirzaian","given":"Arvin","non-dropping-particle":"","parse-names":false,"suffix":""},{"dropping-particle":"","family":"Haj-Mirzaian","given":"Arya","non-dropping-particle":"","parse-names":false,"suffix":""},{"dropping-particle":"","family":"Hamadeh","given":"Randah R.","non-dropping-particle":"","parse-names":false,"suffix":""},{"dropping-particle":"","family":"Hamidi","given":"Samer","non-dropping-particle":"","parse-names":false,"suffix":""},{"dropping-particle":"","family":"Handal","given":"Alexis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Maria","non-dropping-particle":"","parse-names":false,"suffix":""},{"dropping-particle":"","family":"Hassankhani","given":"Hadi","non-dropping-particle":"","parse-names":false,"suffix":""},{"dropping-particle":"","family":"Hassen","given":"Hamid Yimam","non-dropping-particle":"","parse-names":false,"suffix":""},{"dropping-particle":"","family":"Havmoeller","given":"Rasmus","non-dropping-particle":"","parse-names":false,"suffix":""},{"dropping-particle":"","family":"Hawley","given":"Caitlin N.","non-dropping-particle":"","parse-names":false,"suffix":""},{"dropping-particle":"","family":"Hay","given":"Simon I.","non-dropping-particle":"","parse-names":false,"suffix":""},{"dropping-particle":"","family":"Hedayatizadeh-Omran","given":"Akbar","non-dropping-particle":"","parse-names":false,"suffix":""},{"dropping-particle":"","family":"Heibati","given":"Behzad","non-dropping-particle":"","parse-names":false,"suffix":""},{"dropping-particle":"","family":"Heidari","given":"Behnam","non-dropping-particle":"","parse-names":false,"suffix":""},{"dropping-particle":"","family":"Heidari","given":"Mohsen","non-dropping-particle":"","parse-names":false,"suffix":""},{"dropping-particle":"","family":"Hendrie","given":"Delia","non-dropping-particle":"","parse-names":false,"suffix":""},{"dropping-particle":"","family":"Henok","given":"Andualem","non-dropping-particle":"","parse-names":false,"suffix":""},{"dropping-particle":"","family":"Heredia-Pi","given":"Ileana","non-dropping-particle":"","parse-names":false,"suffix":""},{"dropping-particle":"","family":"Herteliu","given":"Claudiu","non-dropping-particle":"","parse-names":false,"suffix":""},{"dropping-particle":"","family":"Heydarpour","given":"Fatemeh","non-dropping-particle":"","parse-names":false,"suffix":""},{"dropping-particle":"","family":"Heydarpour","given":"Sousan","non-dropping-particle":"","parse-names":false,"suffix":""},{"dropping-particle":"","family":"Hibstu","given":"Desalegn T.","non-dropping-particle":"","parse-names":false,"suffix":""},{"dropping-particle":"","family":"Higazi","given":"Tarig B.","non-dropping-particle":"","parse-names":false,"suffix":""},{"dropping-particle":"","family":"Hilawe","given":"Esayas Haregot","non-dropping-particle":"","parse-names":false,"suffix":""},{"dropping-particle":"","family":"Hoek","given":"Hans W.","non-dropping-particle":"","parse-names":false,"suffix":""},{"dropping-particle":"","family":"Hoffman","given":"Howard J.","non-dropping-particle":"","parse-names":false,"suffix":""},{"dropping-particle":"","family":"Hole","given":"Michael K.","non-dropping-particle":"","parse-names":false,"suffix":""},{"dropping-particle":"","family":"Rad","given":"Enayatollah Homaie","non-dropping-particle":"","parse-names":false,"suffix":""},{"dropping-particle":"","family":"Hoogar","given":"Praveen","non-dropping-particle":"","parse-names":false,"suffix":""},{"dropping-particle":"","family":"Hosgood","given":"H. Dean","non-dropping-particle":"","parse-names":false,"suffix":""},{"dropping-particle":"","family":"Hosseini","given":"Seyed 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y","given":"Damian G.","non-dropping-particle":"","parse-names":false,"suffix":""},{"dropping-particle":"","family":"Hsairi","given":"Mohamed","non-dropping-particle":"","parse-names":false,"suffix":""},{"dropping-particle":"","family":"Hsiao","given":"Thomas","non-dropping-particle":"","parse-names":false,"suffix":""},{"dropping-particle":"","family":"Hu","given":"Guoqing","non-dropping-particle":"","parse-names":false,"suffix":""},{"dropping-particle":"","family":"Hu","given":"Howard","non-dropping-particle":"","parse-names":false,"suffix":""},{"dropping-particle":"","family":"Huang","given":"John J.","non-dropping-particle":"","parse-names":false,"suffix":""},{"dropping-particle":"","family":"Hussen","given":"Mamusha Aman","non-dropping-particle":"","parse-names":false,"suffix":""},{"dropping-particle":"","family":"Huynh","given":"Chantal K.","non-dropping-particle":"","parse-names":false,"suffix":""},{"dropping-particle":"","family":"Iburg","given":"Kim Moesgaard","non-dropping-particle":"","parse-names":false,"suffix":""},{"dropping-particle":"","family":"Ikeda","given":"Nayu","non-dropping-particle":"","parse-names":false,"suffix":""},{"dropping-particle":"","family":"Ilesanmi","given":"Olayinka Stephen","non-dropping-particle":"","parse-names":false,"suffix":""},{"dropping-particle":"","family":"Iqbal","given":"Usman","non-dropping-particle":"","parse-names":false,"suffix":""},{"dropping-particle":"","family":"Irvani","given":"Seyed Sina Naghibi","non-dropping-particle":"","parse-names":false,"suffix":""},{"dropping-particle":"","family":"Irvine","given":"Caleb Mackay Salpeter","non-dropping-particle":"","parse-names":false,"suffix":""},{"dropping-particle":"","family":"Islam","given":"Sheikh Mohammed Shariful","non-dropping-particle":"","parse-names":false,"suffix":""},{"dropping-particle":"","family":"Islami","given":"Farhadl","non-dropping-particle":"","parse-names":false,"suffix":""},{"dropping-particle":"","family":"Jackson","given":"Maria D.","non-dropping-particle":"","parse-names":false,"suffix":""},{"dropping-particle":"","family":"Jacobsen","given":"Kathryn H.","non-dropping-particle":"","parse-names":false,"suffix":""},{"dropping-particle":"","family":"Jahangiry","given":"Leila","non-dropping-particle":"","parse-names":false,"suffix":""},{"dropping-particle":"","family":"Jahanmehr","given":"Nader","non-dropping-particle":"","parse-names":false,"suffix":""},{"dropping-particle":"","family":"Jain","given":"Sudhir Kumar","non-dropping-particle":"","parse-names":false,"suffix":""},{"dropping-particle":"","family":"Jakovljevic","given":"Mihajlo","non-dropping-particle":"","parse-names":false,"suffix":""},{"dropping-particle":"","family":"James","given":"Spencer L.","non-dropping-particle":"","parse-names":false,"suffix":""},{"dropping-particle":"","family":"Jassal","given":"Simerjot K.","non-dropping-particle":"","parse-names":false,"suffix":""},{"dropping-particle":"","family":"Jayatilleke","given":"Achala Upendra","non-dropping-particle":"","parse-names":false,"suffix":""},{"dropping-particle":"","family":"Jeemon","given":"Panniyammakal","non-dropping-particle":"","parse-names":false,"suffix":""},{"dropping-particle":"","family":"Jha","given":"Ravi Prakash","non-dropping-particle":"","parse-names":false,"suffix":""},{"dropping-particle":"","family":"Jha","given":"Vivekanand","non-dropping-particle":"","parse-names":false,"suffix":""},{"dropping-particle":"","family":"Ji","given":"John S.","non-dropping-particle":"","parse-names":false,"suffix":""},{"dropping-particle":"","family":"Jonas","given":"Jost B.","non-dropping-particle":"","parse-names":false,"suffix":""},{"dropping-particle":"","family":"Jonnagaddala","given":"Jitendra","non-dropping-particle":"","parse-names":false,"suffix":""},{"dropping-particle":"","family":"Shushtari","given":"Zahra Jorjoran","non-dropping-particle":"","parse-names":false,"suffix":""},{"dropping-particle":"","family":"Joshi","given":"Ankur","non-dropping-particle":"","parse-names":false,"suffix":""},{"dropping-particle":"","family":"Jozwiak","given":"Jacek Jerzy","non-dropping-particle":"","parse-names":false,"suffix":""},{"dropping-particle":"","family":"Jürisson","given":"Mikk","non-dropping-particle":"","parse-names":false,"suffix":""},{"dropping-particle":"","family":"Kabir","given":"Zubair","non-dropping-particle":"","parse-names":false,"suffix":""},{"dropping-particle":"","family":"Kahsay","given":"Amaha","non-dropping-particle":"","parse-names":false,"suffix":""},{"dropping-particle":"","family":"Kalani","given":"Rizwan","non-dropping-particle":"","parse-names":false,"suffix":""},{"dropping-particle":"","family":"Kanchan","given":"Tanuj","non-dropping-particle":"","parse-names":false,"suffix":""},{"dropping-particle":"","family":"Kant","given":"Surya","non-dropping-particle":"","parse-names":false,"suffix":""},{"dropping-particle":"","family":"Kar","given":"Chittaranjan","non-dropping-particle":"","parse-names":false,"suffix":""},{"dropping-particle":"","family":"Karami","given":"Manoochehr","non-dropping-particle":"","parse-names":false,"suffix":""},{"dropping-particle":"","family":"Matin","given":"Behzad Karami","non-dropping-particle":"","parse-names":false,"suffix":""},{"dropping-particle":"","family":"Karch","given":"André","non-dropping-particle":"","parse-names":false,"suffix":""},{"dropping-particle":"","family":"Karema","given":"Corine","non-dropping-particle":"","parse-names":false,"suffix":""},{"dropping-particle":"","family":"Karimi","given":"Narges","non-dropping-particle":"","parse-names":false,"suffix":""},{"dropping-particle":"","family":"Karimi","given":"Seyed M.","non-dropping-particle":"","parse-names":false,"suffix":""},{"dropping-particle":"","family":"Kasaeian","given":"Amir","non-dropping-particle":"","parse-names":false,"suffix":""},{"dropping-particle":"","family":"Kassa","given":"Dessalegn H.","non-dropping-particle":"","parse-names":false,"suffix":""},{"dropping-particle":"","family":"Kassa","given":"Getachew Mullu","non-dropping-particle":"","parse-names":false,"suffix":""},{"dropping-particle":"","family":"Kassa","given":"Tesfaye Dessale","non-dropping-particle":"","parse-names":false,"suffix":""},{"dropping-particle":"","family":"Kassebaum","given":"Nicholas J.","non-dropping-particle":"","parse-names":false,"suffix":""},{"dropping-particle":"","family":"Katikireddi","given":"Srinivasa Vittal","non-dropping-particle":"","parse-names":false,"suffix":""},{"dropping-particle":"","family":"Kaul","given":"Anil","non-dropping-particle":"","parse-names":false,"suffix":""},{"dropping-particle":"","family":"Kawakami","given":"Norito","non-dropping-particle":"","parse-names":false,"suffix":""},{"dropping-particle":"","family":"Kazemi","given":"Zhila","non-dropping-particle":"","parse-names":false,"suffix":""},{"dropping-particle":"","family":"Karyani","given":"Ali Kazemi","non-dropping-particle":"","parse-names":false,"suffix":""},{"dropping-particle":"","family":"Kefale","given":"Adane Teshome","non-dropping-particle":"","parse-names":false,"suffix":""},{"dropping-particle":"","family":"Keiyoro","given":"Peter Njenga","non-dropping-particle":"","parse-names":false,"suffix":""},{"dropping-particle":"","family":"Kemp","given":"Grant Rodgers","non-dropping-particle":"","parse-names":false,"suffix":""},{"dropping-particle":"","family":"Kengne","given":"Andre Pascal","non-dropping-particle":"","parse-names":false,"suffix":""},{"dropping-particle":"","family":"Keren","given":"Andre","non-dropping-particle":"","parse-names":false,"suffix":""},{"dropping-particle":"","family":"Kesavachandran","given":"Chandrasekharan Nair","non-dropping-particle":"","parse-names":false,"suffix":""},{"dropping-particle":"","family":"Khader","given":"Yousef Saleh","non-dropping-particle":"","parse-names":false,"suffix":""},{"dropping-particle":"","family":"Khafaei","given":"Behzad","non-dropping-particle":"","parse-names":false,"suffix":""},{"dropping-particle":"","family":"Khafaie","given":"Morteza Abdullatif","non-dropping-particle":"","parse-names":false,"suffix":""},{"dropping-particle":"","family":"Khajavi","given":"Alireza","non-dropping-particle":"","parse-names":false,"suffix":""},{"dropping-particle":"","family":"Khalid","given":"Nauman","non-dropping-particle":"","parse-names":false,"suffix":""},{"dropping-particle":"","family":"Khalil","given":"Ibrahim A.","non-dropping-particle":"","parse-names":false,"suffix":""},{"dropping-particle":"","family":"Khan","given":"Gulfaraz","non-dropping-particle":"","parse-names":false,"suffix":""},{"dropping-particle":"","family":"Khan","given":"Muhammad Shahzeb","non-dropping-particle":"","parse-names":false,"suffix":""},{"dropping-particle":"","family":"Khan","given":"Muhammad Ali","non-dropping-particle":"","parse-names":false,"suffix":""},{"dropping-particle":"","family":"Khang","given":"Young Ho","non-dropping-particle":"","parse-names":false,"suffix":""},{"dropping-particle":"","family":"Khater","given":"Mona M.","non-dropping-particle":"","parse-names":false,"suffix":""},{"dropping-particle":"","family":"Khazaei","given":"Mohammad","non-dropping-particle":"","parse-names":false,"suffix":""},{"dropping-particle":"","family":"Khazaie","given":"Habibolah","non-dropping-particle":"","parse-names":false,"suffix":""},{"dropping-particle":"","family":"Khoja","given":"Abdullah T.","non-dropping-particle":"","parse-names":false,"suffix":""},{"dropping-particle":"","family":"Khosravi","given":"Ardeshir","non-dropping-particle":"","parse-names":false,"suffix":""},{"dropping-particle":"","family":"Khosravi","given":"Mohammad Hossein","non-dropping-particle":"","parse-names":false,"suffix":""},{"dropping-particle":"","family":"Kiadaliri","given":"Aliasghar A.","non-dropping-particle":"","parse-names":false,"suffix":""},{"dropping-particle":"","family":"Kiirithio","given":"Daniel N.","non-dropping-particle":"","parse-names":false,"suffix":""},{"dropping-particle":"Il","family":"Kim","given":"Cho","non-dropping-particle":"","parse-names":false,"suffix":""},{"dropping-particle":"","family":"Kim","given":"Daniel","non-dropping-particle":"","parse-names":false,"suffix":""},{"dropping-particle":"","family":"Kim","given":"Young Eun","non-dropping-particle":"","parse-names":false,"suffix":""},{"dropping-particle":"","family":"Kim","given":"Yun Jin","non-dropping-particle":"","parse-names":false,"suffix":""},{"dropping-particle":"","family":"Kimokoti","given":"Ruth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non-dropping-particle":"","parse-names":false,"suffix":""},{"dropping-particle":"","family":"Kivimäki","given":"Mika","non-dropping-particle":"","parse-names":false,"suffix":""},{"dropping-particle":"","family":"Knibbs","given":"Luke D.","non-dropping-particle":"","parse-names":false,"suffix":""},{"dropping-particle":"","family":"Knudsen","given":"Ann Kristin Skrindo","non-dropping-particle":"","parse-names":false,"suffix":""},{"dropping-particle":"","family":"Kochhar","given":"Sonali","non-dropping-particle":"","parse-names":false,"suffix":""},{"dropping-particle":"","family":"Kokubo","given":"Yoshihiro","non-dropping-particle":"","parse-names":false,"suffix":""},{"dropping-particle":"","family":"Kolola","given":"Tufa","non-dropping-particle":"","parse-names":false,"suffix":""},{"dropping-particle":"","family":"Kopec","given":"Jacek A.","non-dropping-particle":"","parse-names":false,"suffix":""},{"dropping-particle":"","family":"Kosen","given":"Soewarta","non-dropping-particle":"","parse-names":false,"suffix":""},{"dropping-particle":"","family":"Koul","given":"Parvaiz A.","non-dropping-particle":"","parse-names":false,"suffix":""},{"dropping-particle":"","family":"Koyanagi","given":"Ai","non-dropping-particle":"","parse-names":false,"suffix":""},{"dropping-particle":"","family":"Kravchenko","given":"Michael A.","non-dropping-particle":"","parse-names":false,"suffix":""},{"dropping-particle":"","family":"Krishan","given":"Kewal","non-dropping-particle":"","parse-names":false,"suffix":""},{"dropping-particle":"","family":"Krohn","given":"Kristopher J.","non-dropping-particle":"","parse-names":false,"suffix":""},{"dropping-particle":"","family":"Kromhout","given":"Hans","non-dropping-particle":"","parse-names":false,"suffix":""},{"dropping-particle":"","family":"Defo","given":"Barthelemy Kuate","non-dropping-particle":"","parse-names":false,"suffix":""},{"dropping-particle":"","family":"Bicer","given":"Burcu Kucuk","non-dropping-particle":"","parse-names":false,"suffix":""},{"dropping-particle":"","family":"Kumar","given":"G. Anil","non-dropping-particle":"","parse-names":false,"suffix":""},{"dropping-particle":"","family":"Kumar","given":"Manasi","non-dropping-particle":"","parse-names":false,"suffix":""},{"dropping-particle":"","family":"Kuzin","given":"Igor","non-dropping-particle":"","parse-names":false,"suffix":""},{"dropping-particle":"","family":"Kyu","given":"Hmwe Hmwe","non-dropping-particle":"","parse-names":false,"suffix":""},{"dropping-particle":"","family":"Lachat","given":"Carl","non-dropping-particle":"","parse-names":false,"suffix":""},{"dropping-particle":"","family":"Lad","given":"Deepesh P.","non-dropping-particle":"","parse-names":false,"suffix":""},{"dropping-particle":"","family":"Lad","given":"Sheetal D.","non-dropping-particle":"","parse-names":false,"suffix":""},{"dropping-particle":"","family":"Lafranconi","given":"Alessandra","non-dropping-particle":"","parse-names":false,"suffix":""},{"dropping-particle":"","family":"Lalloo","given":"Ratilal","non-dropping-particle":"","parse-names":false,"suffix":""},{"dropping-particle":"","family":"Lallukka","given":"Tea","non-dropping-particle":"","parse-names":false,"suffix":""},{"dropping-particle":"","family":"Lami","given":"Faris Hasan","non-dropping-particle":"","parse-names":false,"suffix":""},{"dropping-particle":"","family":"Lang","given":"Justin J.","non-dropping-particle":"","parse-names":false,"suffix":""},{"dropping-particle":"","family":"Lansingh","given":"Van C.","non-dropping-particle":"","parse-names":false,"suffix":""},{"dropping-particle":"","family":"Larson","given":"Samantha Leigh","non-dropping-particle":"","parse-names":false,"suffix":""},{"dropping-particle":"","family":"Latifi","given":"Arman","non-dropping-particle":"","parse-names":false,"suffix":""},{"dropping-particle":"V.","family":"Lazarus","given":"Jeffrey","non-dropping-particle":"","parse-names":false,"suffix":""},{"dropping-particle":"","family":"Lee","given":"Paul H.","non-dropping-particle":"","parse-names":false,"suffix":""},{"dropping-particle":"","family":"Leigh","given":"James","non-dropping-particle":"","parse-names":false,"suffix":""},{"dropping-particle":"","family":"Leili","given":"Mostafa","non-dropping-particle":"","parse-names":false,"suffix":""},{"dropping-particle":"","family":"Leshargie","given":"Cheru Tesema","non-dropping-particle":"","parse-names":false,"suffix":""},{"dropping-particle":"","family":"Leung","given":"Janni","non-dropping-particle":"","parse-names":false,"suffix":""},{"dropping-particle":"","family":"Levi","given":"Miriam","non-dropping-particle":"","parse-names":false,"suffix":""},{"dropping-particle":"","family":"Lewycka","given":"Sonia","non-dropping-particle":"","parse-names":false,"suffix":""},{"dropping-particle":"","family":"Li","given":"Shanshan","non-dropping-particle":"","parse-names":false,"suffix":""},{"dropping-particle":"","family":"Li","given":"Yichong","non-dropping-particle":"","parse-names":false,"suffix":""},{"dropping-particle":"","family":"Liang","given":"Juan","non-dropping-particle":"","parse-names":false,"suffix":""},{"dropping-particle":"","family":"Liang","given":"Xiaofeng","non-dropping-particle":"","parse-names":false,"suffix":""},{"dropping-particle":"","family":"Liao","given":"Yu","non-dropping-particle":"","parse-names":false,"suffix":""},{"dropping-particle":"","family":"Liben","given":"Misgan Legesse","non-dropping-particle":"","parse-names":false,"suffix":""},{"dropping-particle":"","family":"Lim","given":"Lee Ling","non-dropping-particle":"","parse-names":false,"suffix":""},{"dropping-particle":"","family":"Linn","given":"Shai","non-dropping-particle":"","parse-names":false,"suffix":""},{"dropping-particle":"","family":"Liu","given":"Shiwei","non-dropping-particle":"","parse-names":false,"suffix":""},{"dropping-particle":"","family":"Lodha","given":"Rakesh","non-dropping-particle":"","parse-names":false,"suffix":""},{"dropping-particle":"","family":"Logroscino","given":"Giancarlo","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A.","non-dropping-particle":"","parse-names":false,"suffix":""},{"dropping-particle":"","family":"Lozano","given":"Rafael","non-dropping-particle":"","parse-names":false,"suffix":""},{"dropping-particle":"","family":"Lucas","given":"Tim C.D.","non-dropping-particle":"","parse-names":false,"suffix":""},{"dropping-particle":"","family":"Lunevicius","given":"Raimundas","non-dropping-particle":"","parse-names":false,"suffix":""},{"dropping-particle":"","family":"Ma","given":"Stefan","non-dropping-particle":"","parse-names":false,"suffix":""},{"dropping-particle":"","family":"Macarayan","given":"Erlyn Rachelle King","non-dropping-particle":"","parse-names":false,"suffix":""},{"dropping-particle":"","family":"Machado","given":"Ísis Eloah","non-dropping-particle":"","parse-names":false,"suffix":""},{"dropping-particle":"","family":"Madotto","given":"Fabiana","non-dropping-particle":"","parse-names":false,"suffix":""},{"dropping-particle":"","family":"Mai","given":"Hue Th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ta","given":"Deborah Carvalho","non-dropping-particle":"","parse-names":false,"suffix":""},{"dropping-particle":"","family":"Mamun","given":"Abdullah A.","non-dropping-particle":"","parse-names":false,"suffix":""},{"dropping-particle":"","family":"Manda","given":"Ana Laura","non-dropping-particle":"","parse-names":false,"suffix":""},{"dropping-particle":"","family":"Manguerra","given":"Helena","non-dropping-particle":"","parse-names":false,"suffix":""},{"dropping-particle":"","family":"Mansournia","given":"Mohammad Ali","non-dropping-particle":"","parse-names":false,"suffix":""},{"dropping-particle":"","family":"Mantovani","given":"Lorenzo Giovanni","non-dropping-particle":"","parse-names":false,"suffix":""},{"dropping-particle":"","family":"Maravilla","given":"Joemer C.","non-dropping-particle":"","parse-names":false,"suffix":""},{"dropping-particle":"","family":"Marcenes","given":"Wagner","non-dropping-particle":"","parse-names":false,"suffix":""},{"dropping-particle":"","family":"Marks","given":"Ashley","non-dropping-particle":"","parse-names":false,"suffix":""},{"dropping-particle":"V.","family":"Martin","given":"Randall","non-dropping-particle":"","parse-names":false,"suffix":""},{"dropping-particle":"","family":"Martins","given":"Sheila C.O.","non-dropping-particle":"","parse-names":false,"suffix":""},{"dropping-particle":"","family":"Martins-Melo","given":"Francisco Rogerlândio","non-dropping-particle":"","parse-names":false,"suffix":""},{"dropping-particle":"","family":"März","given":"Winfried","non-dropping-particle":"","parse-names":false,"suffix":""},{"dropping-particle":"","family":"Marzan","given":"Melvin B.","non-dropping-particle":"","parse-names":false,"suffix":""},{"dropping-particle":"","family":"Massenburg","given":"Benjamin Ballard","non-dropping-particle":"","parse-names":false,"suffix":""},{"dropping-particle":"","family":"Mathur","given":"Manu Raj","non-dropping-particle":"","parse-names":false,"suffix":""},{"dropping-particle":"","family":"Mathur","given":"Prashant","non-dropping-particle":"","parse-names":false,"suffix":""},{"dropping-particle":"","family":"Matsushita","given":"Kunihiro","non-dropping-particle":"","parse-names":false,"suffix":""},{"dropping-particle":"","family":"Maulik","given":"Pallab K.","non-dropping-particle":"","parse-names":false,"suffix":""},{"dropping-particle":"","family":"Mazidi","given":"Mohsen","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ehrotra","given":"Ravi","non-dropping-particle":"","parse-names":false,"suffix":""},{"dropping-particle":"","family":"Mehta","given":"Kala M.","non-dropping-particle":"","parse-names":false,"suffix":""},{"dropping-particle":"","family":"Mehta","given":"Varshil","non-dropping-particle":"","parse-names":false,"suffix":""},{"dropping-particle":"","family":"Meier","given":"Toni","non-dropping-particle":"","parse-names":false,"suffix":""},{"dropping-particle":"","family":"Mekonnen","given":"Fantahun Ayenew","non-dropping-particle":"","parse-names":false,"suffix":""},{"dropping-particle":"","family":"Melaku","given":"Yohannes A.","non-dropping-particle":"","parse-names":false,"suffix":""},{"dropping-particle":"","family":"Melese","given":"Addisu","non-dropping-particle":"","parse-names":false,"suffix":""},{"dropping-particle":"","family":"Melku","given":"Mulugeta","non-dropping-particle":"","parse-names":false,"suffix":""},{"dropping-particle":"","family":"Memiah","given":"Peter T.N.","non-dropping-particle":"","parse-names":false,"suffix":""},{"dropping-particle":"","family":"Memish","given":"Ziad A.","non-dropping-particle":"","parse-names":false,"suffix":""},{"dropping-particle":"","family":"Mendoza","given":"Walter","non-dropping-particle":"","parse-names":false,"suffix":""},{"dropping-particle":"","family":"Mengistu","given":"Desalegn Tadese","non-dropping-particle":"","parse-names":false,"suffix":""},{"dropping-particle":"","family":"Mensah","given":"George A.","non-dropping-particle":"","parse-names":false,"suffix":""},{"dropping-particle":"","family":"Mensink","given":"Gert B.M.","non-dropping-particle":"","parse-names":false,"suffix":""},{"dropping-particle":"","family":"Mereta","given":"Seid Tiku","non-dropping-particle":"","parse-names":false,"suffix":""},{"dropping-particle":"","family":"Meretoja","given":"Atte","non-dropping-particle":"","parse-names":false,"suffix":""},{"dropping-particle":"","family":"Meretoja","given":"Tuomo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J.","non-dropping-particle":"","parse-names":false,"suffix":""},{"dropping-particle":"","family":"Mestrovic","given":"Tomislav","non-dropping-particle":"","parse-names":false,"suffix":""},{"dropping-particle":"","family":"Mezgebe","given":"Haftay Berhane","non-dropping-particle":"","parse-names":false,"suffix":""},{"dropping-particle":"","family":"Miazgowski","given":"Bartosz","non-dropping-particle":"","parse-names":false,"suffix":""},{"dropping-particle":"","family":"Miazgowski","given":"Tomasz","non-dropping-particle":"","parse-names":false,"suffix":""},{"dropping-particle":"","family":"Millear","given":"Anoushka I.","non-dropping-particle":"","parse-names":false,"suffix":""},{"dropping-particle":"","family":"Miller","given":"Ted R.","non-dropping-particle":"","parse-names":false,"suffix":""},{"dropping-particle":"","family":"Miller-Petrie","given":"Molly Katherine","non-dropping-particle":"","parse-names":false,"suffix":""},{"dropping-particle":"","family":"Mini","given":"G. K.","non-dropping-particle":"","parse-names":false,"suffix":""},{"dropping-particle":"","family":"Mirarefin","given":"Mojde","non-dropping-particle":"","parse-names":false,"suffix":""},{"dropping-particle":"","family":"Mirica","given":"Andreea","non-dropping-particle":"","parse-names":false,"suffix":""},{"dropping-particle":"","family":"Mirrakhimov","given":"Erkin M.","non-dropping-particle":"","parse-names":false,"suffix":""},{"dropping-particle":"","family":"Misganaw","given":"Awoke Temesgen","non-dropping-particle":"","parse-names":false,"suffix":""},{"dropping-particle":"","family":"Mitiku","given":"Habtamu","non-dropping-particle":"","parse-names":false,"suffix":""},{"dropping-particle":"","family":"Moazen","given":"Babak","non-dropping-particle":"","parse-names":false,"suffix":""},{"dropping-particle":"","family":"Mohajer","given":"Bahram","non-dropping-particle":"","parse-names":false,"suffix":""},{"dropping-particle":"","family":"Mohammad","given":"Karzan Abdulmuhsin","non-dropping-particle":"","parse-names":false,"suffix":""},{"dropping-particle":"","family":"Mohammadi","given":"Moslem","non-dropping-particle":"","parse-names":false,"suffix":""},{"dropping-particle":"","family":"Mohammadifard","given":"Noushin","non-dropping-particle":"","parse-names":false,"suffix":""},{"dropping-particle":"","family":"Mohammadnia-Afrouzi","given":"Mousa","non-dropping-particle":"","parse-names":false,"suffix":""},{"dropping-particle":"","family":"Mohammed","given":"Shafiu","non-dropping-particle":"","parse-names":false,"suffix":""},{"dropping-particle":"","family":"Mohebi","given":"Farnam","non-dropping-particle":"","parse-names":false,"suffix":""},{"dropping-particle":"","family":"Mokdad","given":"Ali H.","non-dropping-particle":"","parse-names":false,"suffix":""},{"dropping-particle":"","family":"Molokhia","given":"Mariam","non-dropping-particle":"","parse-names":false,"suffix":""},{"dropping-particle":"","family":"Momeniha","given":"Fatemeh","non-dropping-particle":"","parse-names":false,"suffix":""},{"dropping-particle":"","family":"Monasta","given":"Lorenzo","non-dropping-particle":"","parse-names":false,"suffix":""},{"dropping-particle":"","family":"Moodley","given":"Yoshan","non-dropping-particle":"","parse-names":false,"suffix":""},{"dropping-particle":"","family":"Moradi","given":"Ghobad","non-dropping-particle":"","parse-names":false,"suffix":""},{"dropping-particle":"","family":"Moradi-Lakeh","given":"Maziar","non-dropping-particle":"","parse-names":false,"suffix":""},{"dropping-particle":"","family":"Moradinazar","given":"Mehdi","non-dropping-particle":"","parse-names":false,"suffix":""},{"dropping-particle":"","family":"Moraga","given":"Paula","non-dropping-particle":"","parse-names":false,"suffix":""},{"dropping-particle":"","family":"Morawska","given":"Lidia","non-dropping-particle":"","parse-names":false,"suffix":""},{"dropping-particle":"","family":"Morgado-Da-costa","given":"Joana","non-dropping-particle":"","parse-names":false,"suffix":""},{"dropping-particle":"","family":"Morrison","given":"Shane Douglas","non-dropping-particle":"","parse-names":false,"suffix":""},{"dropping-particle":"","family":"Moschos","given":"Marilita M.","non-dropping-particle":"","parse-names":false,"suffix":""},{"dropping-particle":"","family":"Mouodi","given":"Simin","non-dropping-particle":"","parse-names":false,"suffix":""},{"dropping-particle":"","family":"Mousavi","given":"Seyyed Meysam","non-dropping-particle":"","parse-names":false,"suffix":""},{"dropping-particle":"","family":"Mozaffarian","given":"Dariush","non-dropping-particle":"","parse-names":false,"suffix":""},{"dropping-particle":"","family":"Mruts","given":"Kalayu Brhane","non-dropping-particle":"","parse-names":false,"suffix":""},{"dropping-particle":"","family":"Muche","given":"Achenef Asmamaw","non-dropping-particle":"","parse-names":false,"suffix":""},{"dropping-particle":"","family":"Muchie","given":"Kindie Fentahun","non-dropping-particle":"","parse-names":false,"suffix":""},{"dropping-particle":"","family":"Mueller","given":"Ulrich Otto","non-dropping-particle":"","parse-names":false,"suffix":""},{"dropping-particle":"","family":"Muhammed","given":"Oumer Sada","non-dropping-particle":"","parse-names":false,"suffix":""},{"dropping-particle":"","family":"Mukhopadhyay","given":"Satinath","non-dropping-particle":"","parse-names":false,"suffix":""},{"dropping-particle":"","family":"Muller","given":"Kate","non-dropping-particle":"","parse-names":false,"suffix":""},{"dropping-particle":"","family":"Musa","given":"Kamarul Imran","non-dropping-particle":"","parse-names":false,"suffix":""},{"dropping-particle":"","family":"Mustafa","given":"Ghulam","non-dropping-particle":"","parse-names":false,"suffix":""},{"dropping-particle":"","family":"Nabhan","given":"Ashraf F.","non-dropping-particle":"","parse-names":false,"suffix":""},{"dropping-particle":"","family":"Naghavi","given":"Mohsen","non-dropping-particle":"","parse-names":false,"suffix":""},{"dropping-particle":"","family":"Naheed","given":"Aliya","non-dropping-particle":"","parse-names":false,"suffix":""},{"dropping-particle":"","family":"Nahvijou","given":"Azin","non-dropping-particle":"","parse-names":false,"suffix":""},{"dropping-particle":"","family":"Naik","given":"Gurudatta","non-dropping-particle":"","parse-names":false,"suffix":""},{"dropping-particle":"","family":"Naik","given":"Nitish","non-dropping-particle":"","parse-names":false,"suffix":""},{"dropping-particle":"","family":"Najafi","given":"Farid","non-dropping-particle":"","parse-names":false,"suffix":""},{"dropping-particle":"","family":"Nangia","given":"Vinay","non-dropping-particle":"","parse-names":false,"suffix":""},{"dropping-particle":"","family":"Nansseu","given":"Jobert Richie","non-dropping-particle":"","parse-names":false,"suffix":""},{"dropping-particle":"","family":"Nascimento","given":"Bruno Ramos","non-dropping-particle":"","parse-names":false,"suffix":""},{"dropping-particle":"","family":"Neal","given":"Bruce","non-dropping-particle":"","parse-names":false,"suffix":""},{"dropping-particle":"","family":"Neamati","given":"Nahid","non-dropping-particle":"","parse-names":false,"suffix":""},{"dropping-particle":"","family":"Negoi","given":"Ionut","non-dropping-particle":"","parse-names":false,"suffix":""},{"dropping-particle":"","family":"Negoi","given":"Ruxandra Irina","non-dropping-particle":"","parse-names":false,"suffix":""},{"dropping-particle":"","family":"Neupane","given":"Subas","non-dropping-particle":"","parse-names":false,"suffix":""},{"dropping-particle":"","family":"Newton","given":"Charles Richard James","non-dropping-particle":"","parse-names":false,"suffix":""},{"dropping-particle":"","family":"Ngunjiri","given":"Josephine W.","non-dropping-particle":"","parse-names":false,"suffix":""},{"dropping-particle":"","family":"Nguyen","given":"Anh Quynh","non-dropping-particle":"","parse-names":false,"suffix":""},{"dropping-particle":"","family":"Nguyen","given":"Grant","non-dropping-particle":"","parse-names":false,"suffix":""},{"dropping-particle":"","family":"Nguyen","given":"Ha Thu","non-dropping-particle":"","parse-names":false,"suffix":""},{"dropping-particle":"","family":"Nguyen","given":"Huong Lan Thi","non-dropping-particle":"","parse-names":false,"suffix":""},{"dropping-particle":"","family":"Nguyen","given":"Huong Thanh","non-dropping-particle":"","parse-names":false,"suffix":""},{"dropping-particle":"","family":"Nguyen","given":"Minh","non-dropping-particle":"","parse-names":false,"suffix":""},{"dropping-particle":"","family":"Nguyen","given":"Nam Ba","non-dropping-particle":"","parse-names":false,"suffix":""},{"dropping-particle":"","family":"Nichols","given":"Emma","non-dropping-particle":"","parse-names":false,"suffix":""},{"dropping-particle":"","family":"Nie","given":"Jing","non-dropping-particle":"","parse-names":false,"suffix":""},{"dropping-particle":"","family":"Ningrum","given":"Dina Nur Anggraini","non-dropping-particle":"","parse-names":false,"suffix":""},{"dropping-particle":"","family":"Nirayo","given":"Yirga Legesse","non-dropping-particle":"","parse-names":false,"suffix":""},{"dropping-particle":"","family":"Nishi","given":"Nobuo","non-dropping-particle":"","parse-names":false,"suffix":""},{"dropping-particle":"","family":"Nixon","given":"Molly R.","non-dropping-particle":"","parse-names":false,"suffix":""},{"dropping-particle":"","family":"Nojomi","given":"Marzieh","non-dropping-particle":"","parse-names":false,"suffix":""},{"dropping-particle":"","family":"Nomura","given":"Shuhei","non-dropping-particle":"","parse-names":false,"suffix":""},{"dropping-particle":"","family":"Norheim","given":"Ole F.","non-dropping-particle":"","parse-names":false,"suffix":""},{"dropping-particle":"","family":"Noroozi","given":"Mehdi","non-dropping-particle":"","parse-names":false,"suffix":""},{"dropping-particle":"","family":"Norrving","given":"Bo","non-dropping-particle":"","parse-names":false,"suffix":""},{"dropping-particle":"","family":"Noubiap","given":"Jean Jacques","non-dropping-particle":"","parse-names":false,"suffix":""},{"dropping-particle":"","family":"Nouri","given":"Hamid Reza","non-dropping-particle":"","parse-names":false,"suffix":""},{"dropping-particle":"","family":"Shiadeh","given":"Malihe Nourollahpour","non-dropping-particle":"","parse-names":false,"suffix":""},{"dropping-particle":"","family":"Nowroozi","given":"Mohammad Reza","non-dropping-particle":"","parse-names":false,"suffix":""},{"dropping-particle":"","family":"Nsoesie","given":"Elaine O.","non-dropping-particle":"","parse-names":false,"suffix":""},{"dropping-particle":"","family":"Nyasulu","given":"Peter S.","non-dropping-particle":"","parse-names":false,"suffix":""},{"dropping-particle":"","family":"Obermeyer","given":"Carla M.","non-dropping-particle":"","parse-names":false,"suffix":""},{"dropping-particle":"","family":"Odell","given":"Christopher M.","non-dropping-particle":"","parse-names":false,"suffix":""},{"dropping-particle":"","family":"Ofori-Asenso","given":"Richard","non-dropping-particle":"","parse-names":false,"suffix":""},{"dropping-particle":"","family":"Ogbo","given":"Felix Akpojene","non-dropping-particle":"","parse-names":false,"suffix":""},{"dropping-particle":"","family":"Oh","given":"In Hwan","non-dropping-particle":"","parse-names":false,"suffix":""},{"dropping-particle":"","family":"Oladimeji","given":"Olanrewaju","non-dropping-particle":"","parse-names":false,"suffix":""},{"dropping-particle":"","family":"Olagunju","given":"Andrew T.","non-dropping-particle":"","parse-names":false,"suffix":""},{"dropping-particle":"","family":"Olagunju","given":"Tinuke O.","non-dropping-particle":"","parse-names":false,"suffix":""},{"dropping-particle":"","family":"Olivares","given":"Pedro R.","non-dropping-particle":"","parse-names":false,"suffix":""},{"dropping-particle":"","family":"Olsen","given":"Helen Elizabeth","non-dropping-particle":"","parse-names":false,"suffix":""},{"dropping-particle":"","family":"Olusanya","given":"Bolajoko Olubukunola","non-dropping-particle":"","parse-names":false,"suffix":""},{"dropping-particle":"","family":"Olusanya","given":"Jacob Olusegun","non-dropping-particle":"","parse-names":false,"suffix":""},{"dropping-particle":"","family":"Ong","given":"Kanyin L.","non-dropping-particle":"","parse-names":false,"suffix":""},{"dropping-particle":"","family":"Ong","given":"Sok King","non-dropping-particle":"","parse-names":false,"suffix":""},{"dropping-particle":"","family":"Oren","given":"Eyal","non-dropping-particle":"","parse-names":false,"suffix":""},{"dropping-particle":"","family":"Orpana","given":"Heather M.","non-dropping-particle":"","parse-names":false,"suffix":""},{"dropping-particle":"","family":"Ortiz","given":"Alberto","non-dropping-particle":"","parse-names":false,"suffix":""},{"dropping-particle":"","family":"Ota","given":"Erika","non-dropping-particle":"","parse-names":false,"suffix":""},{"dropping-particle":"","family":"Otstavnov","given":"Stanislav S.","non-dropping-particle":"","parse-names":false,"suffix":""},{"dropping-particle":"","family":"Overland","given":"Simon","non-dropping-particle":"","parse-names":false,"suffix":""},{"dropping-particle":"","family":"Owolabi","given":"Mayowa Ojo","non-dropping-particle":"","parse-names":false,"suffix":""},{"dropping-particle":"","family":"Mahesh","given":"P.","non-dropping-particle":"","parse-names":false,"suffix":""},{"dropping-particle":"","family":"Pacella","given":"Rosana","non-dropping-particle":"","parse-names":false,"suffix":""},{"dropping-particle":"","family":"Pakhare","given":"Abhijit P.","non-dropping-particle":"","parse-names":false,"suffix":""},{"dropping-particle":"","family":"Pakpour","given":"Amir H.","non-dropping-particle":"","parse-names":false,"suffix":""},{"dropping-particle":"","family":"Pana","given":"Adrian","non-dropping-particle":"","parse-names":false,"suffix":""},{"dropping-particle":"","family":"Panda-Jonas","given":"Songhomitra","non-dropping-particle":"","parse-names":false,"suffix":""},{"dropping-particle":"","family":"Park","given":"Eun Kee","non-dropping-particle":"","parse-names":false,"suffix":""},{"dropping-particle":"","family":"Parry","given":"Charles D.H.","non-dropping-particle":"","parse-names":false,"suffix":""},{"dropping-particle":"","family":"Parsian","given":"Hadi","non-dropping-particle":"","parse-names":false,"suffix":""},{"dropping-particle":"","family":"Patel","given":"Shanti","non-dropping-particle":"","parse-names":false,"suffix":""},{"dropping-particle":"","family":"Pati","given":"Sanghamitra","non-dropping-particle":"","parse-names":false,"suffix":""},{"dropping-particle":"","family":"Patil","given":"Snehal T.","non-dropping-particle":"","parse-names":false,"suffix":""},{"dropping-particle":"","family":"Patle","given":"Ajay","non-dropping-particle":"","parse-names":false,"suffix":""},{"dropping-particle":"","family":"Patton","given":"George C.","non-dropping-particle":"","parse-names":false,"suffix":""},{"dropping-particle":"","family":"Paudel","given":"Deepak","non-dropping-particle":"","parse-names":false,"suffix":""},{"dropping-particle":"","family":"Paulson","given":"Katherine R.","non-dropping-particle":"","parse-names":false,"suffix":""},{"dropping-particle":"","family":"Ballesteros","given":"Wayra Citlali Paz","non-dropping-particle":"","parse-names":false,"suffix":""},{"dropping-particle":"","family":"Pearce","given":"Neil","non-dropping-particle":"","parse-names":false,"suffix":""},{"dropping-particle":"","family":"Pereira","given":"Alexandre","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etzold","given":"Max","non-dropping-particle":"","parse-names":false,"suffix":""},{"dropping-particle":"","family":"Pham","given":"Hai Quang","non-dropping-particle":"","parse-names":false,"suffix":""},{"dropping-particle":"","family":"Phillips","given":"Michael R.","non-dropping-particle":"","parse-names":false,"suffix":""},{"dropping-particle":"","family":"Pillay","given":"Julian David","non-dropping-particle":"","parse-names":false,"suffix":""},{"dropping-particle":"","family":"Piradov","given":"Michael A.","non-dropping-particle":"","parse-names":false,"suffix":""},{"dropping-particle":"","family":"Pirsaheb","given":"Meghdad","non-dropping-particle":"","parse-names":false,"suffix":""},{"dropping-particle":"","family":"Pischon","given":"Tobias","non-dropping-particle":"","parse-names":false,"suffix":""},{"dropping-particle":"","family":"Pishgar","given":"Farhad","non-dropping-particle":"","parse-names":false,"suffix":""},{"dropping-particle":"","family":"Plana-Ripoll","given":"Oleguer","non-dropping-particle":"","parse-names":false,"suffix":""},{"dropping-particle":"","family":"Plass","given":"Dietrich","non-dropping-particle":"","parse-names":false,"suffix":""},{"dropping-particle":"","family":"Polinder","given":"Suzanne","non-dropping-particle":"","parse-names":false,"suffix":""},{"dropping-particle":"","family":"Polkinghorne","given":"Kevan R.","non-dropping-particle":"","parse-names":false,"suffix":""},{"dropping-particle":"","family":"Postma","given":"Maarten J.","non-dropping-particle":"","parse-names":false,"suffix":""},{"dropping-particle":"","family":"Poulton","given":"Richie","non-dropping-particle":"","parse-names":false,"suffix":""},{"dropping-particle":"","family":"Pourshams","given":"Akram","non-dropping-particle":"","parse-names":false,"suffix":""},{"dropping-particle":"","family":"Poustchi","given":"Hossein","non-dropping-particle":"","parse-names":false,"suffix":""},{"dropping-particle":"","family":"Prabhakaran","given":"Dorairaj","non-dropping-particle":"","parse-names":false,"suffix":""},{"dropping-particle":"","family":"Prakash","given":"Swayam","non-dropping-particle":"","parse-names":false,"suffix":""},{"dropping-particle":"","family":"Prasad","given":"Narayan","non-dropping-particle":"","parse-names":false,"suffix":""},{"dropping-particle":"","family":"Purcell","given":"Caroline A.","non-dropping-particle":"","parse-names":false,"suffix":""},{"dropping-particle":"","family":"Purwar","given":"Manorama B.","non-dropping-particle":"","parse-names":false,"suffix":""},{"dropping-particle":"","family":"Qorbani","given":"Mostafa","non-dropping-particle":"","parse-names":false,"suffix":""},{"dropping-particle":"","family":"Radfar","given":"Amir","non-dropping-particle":"","parse-names":false,"suffix":""},{"dropping-particle":"","family":"Rafay","given":"Anwar","non-dropping-particle":"","parse-names":false,"suffix":""},{"dropping-particle":"","family":"Rafiei","given":"Alireza","non-dropping-particle":"","parse-names":false,"suffix":""},{"dropping-particle":"","family":"Rahim","given":"Fakher","non-dropping-particle":"","parse-names":false,"suffix":""},{"dropping-particle":"","family":"Rahimi","given":"Zohreh","non-dropping-particle":"","parse-names":false,"suffix":""},{"dropping-particle":"","family":"Rahimi-Movaghar","given":"Afarin","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Ur","non-dropping-particle":"","parse-names":false,"suffix":""},{"dropping-particle":"","family":"Rahman","given":"Muhammad Aziz","non-dropping-particle":"","parse-names":false,"suffix":""},{"dropping-particle":"","family":"Rai","given":"Rajesh Kumar","non-dropping-particle":"","parse-names":false,"suffix":""},{"dropping-particle":"","family":"Rajati","given":"Fatemeh","non-dropping-particle":"","parse-names":false,"suffix":""},{"dropping-particle":"","family":"Rajsic","given":"Sasa","non-dropping-particle":"","parse-names":false,"suffix":""},{"dropping-particle":"","family":"Raju","given":"Sree Bhushan","non-dropping-particle":"","parse-names":false,"suffix":""},{"dropping-particle":"","family":"Ram","given":"Usha","non-dropping-particle":"","parse-names":false,"suffix":""},{"dropping-particle":"","family":"Ranabhat","given":"Chhabi Lal","non-dropping-particle":"","parse-names":false,"suffix":""},{"dropping-particle":"","family":"Ranjan","given":"Prabhat","non-dropping-particle":"","parse-names":false,"suffix":""},{"dropping-particle":"","family":"Rath","given":"Goura Kishor","non-dropping-particle":"","parse-names":false,"suffix":""},{"dropping-particle":"","family":"Rawaf","given":"David Laith","non-dropping-particle":"","parse-names":false,"suffix":""},{"dropping-particle":"","family":"Rawaf","given":"Salman","non-dropping-particle":"","parse-names":false,"suffix":""},{"dropping-particle":"","family":"Reddy","given":"K. Srinath","non-dropping-particle":"","parse-names":false,"suffix":""},{"dropping-particle":"","family":"Rehm","given":"Colin D.","non-dropping-particle":"","parse-names":false,"suffix":""},{"dropping-particle":"","family":"Rehm","given":"Jürgen","non-dropping-particle":"","parse-names":false,"suffix":""},{"dropping-particle":"","family":"Reiner","given":"Robert C.","non-dropping-particle":"","parse-names":false,"suffix":""},{"dropping-particle":"","family":"Reitsma","given":"Marissa B.","non-dropping-particle":"","parse-names":false,"suffix":""},{"dropping-particle":"","family":"Remuzzi","given":"Giuseppe","non-dropping-particle":"","parse-names":false,"suffix":""},{"dropping-particle":"","family":"Renzaho","given":"Andre M.N.","non-dropping-particle":"","parse-names":false,"suffix":""},{"dropping-particle":"","family":"Resnikoff","given":"Serge","non-dropping-particle":"","parse-names":false,"suffix":""},{"dropping-particle":"","family":"Reynales-Shigematsu","given":"Luz Myriam","non-dropping-particle":"","parse-names":false,"suffix":""},{"dropping-particle":"","family":"Rezaei","given":"Satar","non-dropping-particle":"","parse-names":false,"suffix":""},{"dropping-particle":"","family":"Ribeiro","given":"Antonio Luiz P.","non-dropping-particle":"","parse-names":false,"suffix":""},{"dropping-particle":"","family":"Rivera","given":"Juan A.","non-dropping-particle":"","parse-names":false,"suffix":""},{"dropping-particle":"","family":"Roba","given":"Kedir Teji","non-dropping-particle":"","parse-names":false,"suffix":""},{"dropping-particle":"","family":"Rodríguez-Ramírez","given":"Sonia","non-dropping-particle":"","parse-names":false,"suffix":""},{"dropping-particle":"","family":"Roever","given":"Leonardo","non-dropping-particle":"","parse-names":false,"suffix":""},{"dropping-particle":"","family":"Román","given":"Yesenia","non-dropping-particle":"","parse-names":false,"suffix":""},{"dropping-particle":"","family":"Ronfani","given":"Luca","non-dropping-particle":"","parse-names":false,"suffix":""},{"dropping-particle":"","family":"Roshandel","given":"Gholamreza","non-dropping-particle":"","parse-names":false,"suffix":""},{"dropping-particle":"","family":"Rostami","given":"Ali","non-dropping-particle":"","parse-names":false,"suffix":""},{"dropping-particle":"","family":"Roth","given":"Gregory A.","non-dropping-particle":"","parse-names":false,"suffix":""},{"dropping-particle":"","family":"Rothenbacher","given":"Dietrich","non-dropping-particle":"","parse-names":false,"suffix":""},{"dropping-particle":"","family":"Roy","given":"Ambuj","non-dropping-particle":"","parse-names":false,"suffix":""},{"dropping-particle":"","family":"Rubagotti","given":"Enrico","non-dropping-particle":"","parse-names":false,"suffix":""},{"dropping-particle":"","family":"Rushton","given":"Lesley","non-dropping-particle":"","parse-names":false,"suffix":""},{"dropping-particle":"","family":"Sabanayagam","given":"Charumathi","non-dropping-particle":"","parse-names":false,"suffix":""},{"dropping-particle":"","family":"Sachdev","given":"Perminder S.","non-dropping-particle":"","parse-names":false,"suffix":""},{"dropping-particle":"","family":"Saddik","given":"Basema","non-dropping-particle":"","parse-names":false,"suffix":""},{"dropping-particle":"","family":"Sadeghi","given":"Ehsan","non-dropping-particle":"","parse-names":false,"suffix":""},{"dropping-particle":"","family":"Moghaddam","given":"Sahar Saeedi","non-dropping-particle":"","parse-names":false,"suffix":""},{"dropping-particle":"","family":"Safari","given":"Hosein","non-dropping-particle":"","parse-names":false,"suffix":""},{"dropping-particle":"","family":"Safari","given":"Yahya","non-dropping-particle":"","parse-names":false,"suffix":""},{"dropping-particle":"","family":"Safari-Faramani","given":"Roya","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hraian","given":"Mohammad Ali","non-dropping-particle":"","parse-names":false,"suffix":""},{"dropping-particle":"","family":"Sajadi","given":"Haniye Sadat","non-dropping-particle":"","parse-names":false,"suffix":""},{"dropping-particle":"","family":"Salam","given":"Nasir","non-dropping-particle":"","parse-names":false,"suffix":""},{"dropping-particle":"","family":"Salamati","given":"Payman","non-dropping-particle":"","parse-names":false,"suffix":""},{"dropping-particle":"","family":"Saleem","given":"Zikria","non-dropping-particle":"","parse-names":false,"suffix":""},{"dropping-particle":"","family":"Salimi","given":"Yahya","non-dropping-particle":"","parse-names":false,"suffix":""},{"dropping-particle":"","family":"Salimzadeh","given":"Hamideh","non-dropping-particle":"","parse-names":false,"suffix":""},{"dropping-particle":"","family":"Salomon","given":"Joshua A.","non-dropping-particle":"","parse-names":false,"suffix":""},{"dropping-particle":"","family":"Salvi","given":"Devashri Digvijay","non-dropping-particle":"","parse-names":false,"suffix":""},{"dropping-particle":"","family":"Salz","given":"Inbal","non-dropping-particle":"","parse-names":false,"suffix":""},{"dropping-particle":"","family":"Samy","given":"Abdallah M.","non-dropping-particle":"","parse-names":false,"suffix":""},{"dropping-particle":"","family":"Sanabria","given":"Juan","non-dropping-particle":"","parse-names":false,"suffix":""},{"dropping-particle":"","family":"Sanchez-Nino","given":"Maria Dolores","non-dropping-particle":"","parse-names":false,"suffix":""},{"dropping-particle":"","family":"Sánchez-Pimienta","given":"Tania G.","non-dropping-particle":"","parse-names":false,"suffix":""},{"dropping-particle":"","family":"Sanders","given":"Taren","non-dropping-particle":"","parse-names":false,"suffix":""},{"dropping-particle":"","family":"Sang","given":"Yingying","non-dropping-particle":"","parse-names":false,"suffix":""},{"dropping-particle":"","family":"Santomauro","given":"Damian Francesco","non-dropping-particle":"","parse-names":false,"suffix":""},{"dropping-particle":"","family":"Santos","given":"Itamar S.","non-dropping-particle":"","parse-names":false,"suffix":""},{"dropping-particle":"","family":"Santos","given":"Joao Vasco","non-dropping-particle":"","parse-names":false,"suffix":""},{"dropping-particle":"","family":"Milicevic","given":"Milena M.Santric","non-dropping-particle":"","parse-names":false,"suffix":""},{"dropping-particle":"","family":"Jose","given":"Bruno Piassi Sao","non-dropping-particle":"","parse-names":false,"suffix":""},{"dropping-particle":"","family":"Sardana","given":"Mayank","non-dropping-particle":"","parse-names":false,"suffix":""},{"dropping-particle":"","family":"Sarker","given":"Abdur Razzaque","non-dropping-particle":"","parse-names":false,"suffix":""},{"dropping-particle":"","family":"Sarmiento-Suárez","given":"Rodrigo","non-dropping-particle":"","parse-names":false,"suffix":""},{"dropping-particle":"","family":"Sarrafzadegan","given":"Nizal","non-dropping-particle":"","parse-names":false,"suffix":""},{"dropping-particle":"","family":"Sartorius","given":"Benn","non-dropping-particle":"","parse-names":false,"suffix":""},{"dropping-particle":"","family":"Sarvi","given":"Shahabeddin","non-dropping-particle":"","parse-names":false,"suffix":""},{"dropping-particle":"","family":"Sathian","given":"Brijesh","non-dropping-particle":"","parse-names":false,"suffix":""},{"dropping-particle":"","family":"Satpathy","given":"Maheswar","non-dropping-particle":"","parse-names":false,"suffix":""},{"dropping-particle":"","family":"Sawant","given":"Arundhati R.","non-dropping-particle":"","parse-names":false,"suffix":""},{"dropping-particle":"","family":"Sawhney","given":"Monika","non-dropping-particle":"","parse-names":false,"suffix":""},{"dropping-particle":"","family":"Saylan","given":"Mete","non-dropping-particle":"","parse-names":false,"suffix":""},{"dropping-particle":"","family":"Sayyah","given":"Mehdi","non-dropping-particle":"","parse-names":false,"suffix":""},{"dropping-particle":"","family":"Schaeffner","given":"Elke","non-dropping-particle":"","parse-names":false,"suffix":""},{"dropping-particle":"","family":"Schmidt","given":"Maria Ines","non-dropping-particle":"","parse-names":false,"suffix":""},{"dropping-particle":"","family":"Schneider","given":"Ione J.C.","non-dropping-particle":"","parse-names":false,"suffix":""},{"dropping-particle":"","family":"Schöttker","given":"Ben","non-dropping-particle":"","parse-names":false,"suffix":""},{"dropping-particle":"","family":"Schutte","given":"Aletta Elisabeth","non-dropping-particle":"","parse-names":false,"suffix":""},{"dropping-particle":"","family":"Schwebel","given":"David C.","non-dropping-particle":"","parse-names":false,"suffix":""},{"dropping-particle":"","family":"Schwendicke","given":"Falk","non-dropping-particle":"","parse-names":false,"suffix":""},{"dropping-particle":"","family":"Scott","given":"James G.","non-dropping-particle":"","parse-names":false,"suffix":""},{"dropping-particle":"","family":"Seedat","given":"Soraya","non-dropping-particle":"","parse-names":false,"suffix":""},{"dropping-particle":"","family":"Sekerija","given":"Mario","non-dropping-particle":"","parse-names":false,"suffix":""},{"dropping-particle":"","family":"Sepanlou","given":"Sadaf G.","non-dropping-particle":"","parse-names":false,"suffix":""},{"dropping-particle":"","family":"Serre","given":"Marc L.","non-dropping-particle":"","parse-names":false,"suffix":""},{"dropping-particle":"","family":"Serván-Mori","given":"Edson","non-dropping-particle":"","parse-names":false,"suffix":""},{"dropping-particle":"","family":"Seyedmousavi","given":"Seyedmojtaba","non-dropping-particle":"","parse-names":false,"suffix":""},{"dropping-particle":"","family":"Shabaninejad","given":"Hosein","non-dropping-particle":"","parse-names":false,"suffix":""},{"dropping-particle":"","family":"Shaddick","given":"Gavin","non-dropping-particle":"","parse-names":false,"suffix":""},{"dropping-particle":"","family":"Shafieesabet","given":"Azadeh","non-dropping-particle":"","parse-names":false,"suffix":""},{"dropping-particle":"","family":"Shahbazi","given":"Mehdi","non-dropping-particle":"","parse-names":false,"suffix":""},{"dropping-particle":"","family":"Shaheen","given":"Amira A.","non-dropping-particle":"","parse-names":false,"suffix":""},{"dropping-particle":"","family":"Shaikh","given":"Masood Ali","non-dropping-particle":"","parse-names":false,"suffix":""},{"dropping-particle":"","family":"Levy","given":"Teresa Shamah","non-dropping-particle":"","parse-names":false,"suffix":""},{"dropping-particle":"","family":"Shams-Beyranvand","given":"Mehran","non-dropping-particle":"","parse-names":false,"suffix":""},{"dropping-particle":"","family":"Shamsi","given":"Mohammadbagher","non-dropping-particle":"","parse-names":false,"suffix":""},{"dropping-particle":"","family":"Sharafi","given":"Heidar","non-dropping-particle":"","parse-names":false,"suffix":""},{"dropping-particle":"","family":"Sharafi","given":"Kiomars","non-dropping-particle":"","parse-names":false,"suffix":""},{"dropping-particle":"","family":"Sharif","given":"Mehdi","non-dropping-particle":"","parse-names":false,"suffix":""},{"dropping-particle":"","family":"Sharif-Alhoseini","given":"Mahdi","non-dropping-particle":"","parse-names":false,"suffix":""},{"dropping-particle":"","family":"Sharifi","given":"Hamid","non-dropping-particle":"","parse-names":false,"suffix":""},{"dropping-particle":"","family":"Sharma","given":"Jayendra","non-dropping-particle":"","parse-names":false,"suffix":""},{"dropping-particle":"","family":"Sharma","given":"Meenakshi","non-dropping-particle":"","parse-names":false,"suffix":""},{"dropping-particle":"","family":"Sharma","given":"Rajesh","non-dropping-particle":"","parse-names":false,"suffix":""},{"dropping-particle":"","family":"She","given":"Jun","non-dropping-particle":"","parse-names":false,"suffix":""},{"dropping-particle":"","family":"Sheikh","given":"Aziz","non-dropping-particle":"","parse-names":false,"suffix":""},{"dropping-particle":"","family":"Shi","given":"Peilin","non-dropping-particle":"","parse-names":false,"suffix":""},{"dropping-particle":"","family":"Shibuya","given":"Kenji","non-dropping-particle":"","parse-names":false,"suffix":""},{"dropping-particle":"","family":"Shiferaw","given":"Mekonnen Sisay","non-dropping-particle":"","parse-names":false,"suffix":""},{"dropping-particle":"","family":"Shigematsu","given":"Mika","non-dropping-particle":"","parse-names":false,"suffix":""},{"dropping-particle":"","family":"Shin","given":"Min Jeong","non-dropping-particle":"","parse-names":false,"suffix":""},{"dropping-particle":"","family":"Shiri","given":"Rahman","non-dropping-particle":"","parse-names":false,"suffix":""},{"dropping-particle":"","family":"Shirkoohi","given":"Reza","non-dropping-particle":"","parse-names":false,"suffix":""},{"dropping-particle":"","family":"Shiue","given":"Ivy","non-dropping-particle":"","parse-names":false,"suffix":""},{"dropping-particle":"","family":"Shokraneh","given":"Farhad","non-dropping-particle":"","parse-names":false,"suffix":""},{"dropping-particle":"","family":"Shoman","given":"Haitham","non-dropping-particle":"","parse-names":false,"suffix":""},{"dropping-particle":"","family":"Shrime","given":"Mark G.","non-dropping-particle":"","parse-names":false,"suffix":""},{"dropping-particle":"","family":"Shupler","given":"Matthew S.","non-dropping-particle":"","parse-names":false,"suffix":""},{"dropping-particle":"","family":"Si","given":"Si","non-dropping-particle":"","parse-names":false,"suffix":""},{"dropping-particle":"","family":"Siabani","given":"Soraya","non-dropping-particle":"","parse-names":false,"suffix":""},{"dropping-particle":"","family":"Sibai","given":"Abla Mehio","non-dropping-particle":"","parse-names":false,"suffix":""},{"dropping-particle":"","family":"Siddiqi","given":"Tariq J.","non-dropping-particle":"","parse-names":false,"suffix":""},{"dropping-particle":"","family":"Sigfusdottir","given":"Inga Dora","non-dropping-particle":"","parse-names":false,"suffix":""},{"dropping-particle":"","family":"Sigurvinsdottir","given":"Rannveig","non-dropping-particle":"","parse-names":false,"suffix":""},{"dropping-particle":"","family":"Silva","given":"Diego Augusto Santos","non-dropping-particle":"","parse-names":false,"suffix":""},{"dropping-particle":"","family":"Silva","given":"Joao Pedro","non-dropping-particle":"","parse-names":false,"suffix":""},{"dropping-particle":"","family":"Silveira","given":"Dayane Gabriele Alves","non-dropping-particle":"","parse-names":false,"suffix":""},{"dropping-particle":"","family":"Singh","given":"Jasvinder A.","non-dropping-particle":"","parse-names":false,"suffix":""},{"dropping-particle":"","family":"Singh","given":"Narinder Pal","non-dropping-particle":"","parse-names":false,"suffix":""},{"dropping-particle":"","family":"Singh","given":"Virendra","non-dropping-particle":"","parse-names":false,"suffix":""},{"dropping-particle":"","family":"Sinha","given":"Dhirendra Narain","non-dropping-particle":"","parse-names":false,"suffix":""},{"dropping-particle":"","family":"Skiadaresi","given":"Eirini","non-dropping-particle":"","parse-names":false,"suffix":""},{"dropping-particle":"","family":"Skirbekk","given":"Vegard","non-dropping-particle":"","parse-names":false,"suffix":""},{"dropping-particle":"","family":"Smith","given":"David L.","non-dropping-particle":"","parse-names":false,"suffix":""},{"dropping-particle":"","family":"Smith","given":"Mari","non-dropping-particle":"","parse-names":false,"suffix":""},{"dropping-particle":"","family":"Sobaih","given":"Badr Hasan","non-dropping-particle":"","parse-names":false,"suffix":""},{"dropping-particle":"","family":"Sobhani","given":"Soheila","non-dropping-particle":"","parse-names":false,"suffix":""},{"dropping-particle":"","family":"Somayaji","given":"Ranjani","non-dropping-particle":"","parse-names":false,"suffix":""},{"dropping-particle":"","family":"Soofi","given":"Moslem","non-dropping-particle":"","parse-names":false,"suffix":""},{"dropping-particle":"","family":"Sorensen","given":"Reed J.D.","non-dropping-particle":"","parse-names":false,"suffix":""},{"dropping-particle":"","family":"Soriano","given":"Joan B.","non-dropping-particle":"","parse-names":false,"suffix":""},{"dropping-particle":"","family":"Soyiri","given":"Ireneous N.","non-dropping-particle":"","parse-names":false,"suffix":""},{"dropping-particle":"","family":"Spinelli","given":"Angela","non-dropping-particle":"","parse-names":false,"suffix":""},{"dropping-particle":"","family":"Sposato","given":"Luciano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T.","non-dropping-particle":"","parse-names":false,"suffix":""},{"dropping-particle":"","family":"Srinivasan","given":"Vinay","non-dropping-particle":"","parse-names":false,"suffix":""},{"dropping-particle":"","family":"Starodubov","given":"Vladimir I.","non-dropping-particle":"","parse-names":false,"suffix":""},{"dropping-particle":"","family":"Steckling","given":"Nadine","non-dropping-particle":"","parse-names":false,"suffix":""},{"dropping-particle":"","family":"Stein","given":"Dan J.","non-dropping-particle":"","parse-names":false,"suffix":""},{"dropping-particle":"","family":"Stein","given":"Murray B.","non-dropping-particle":"","parse-names":false,"suffix":""},{"dropping-particle":"","family":"Stevanovic","given":"Goran","non-dropping-particle":"","parse-names":false,"suffix":""},{"dropping-particle":"","family":"Stockfelt","given":"Leo","non-dropping-particle":"","parse-names":false,"suffix":""},{"dropping-particle":"","family":"Stokes","given":"Mark A.","non-dropping-particle":"","parse-names":false,"suffix":""},{"dropping-particle":"","family":"Sturua","given":"Lela","non-dropping-particle":"","parse-names":false,"suffix":""},{"dropping-particle":"","family":"Subart","given":"Michelle L.","non-dropping-particle":"","parse-names":false,"suffix":""},{"dropping-particle":"","family":"Sudaryanto","given":"Agus","non-dropping-particle":"","parse-names":false,"suffix":""},{"dropping-particle":"","family":"Sufiyan","given":"Mu'awiyyah Babale","non-dropping-particle":"","parse-names":false,"suffix":""},{"dropping-particle":"","family":"Sulo","given":"Gerhard","non-dropping-particle":"","parse-names":false,"suffix":""},{"dropping-particle":"","family":"Sunguya","given":"Bruno F.","non-dropping-particle":"","parse-names":false,"suffix":""},{"dropping-particle":"","family":"Sur","given":"Patrick John","non-dropping-particle":"","parse-names":false,"suffix":""},{"dropping-particle":"","family":"Sykes","given":"Bryan LTZA","non-dropping-particle":"","parse-names":false,"suffix":""},{"dropping-particle":"","family":"Szoeke","given":"Cassandra E.I.","non-dropping-particle":"","parse-names":false,"suffix":""},{"dropping-particle":"","family":"Tabarés-Seisdedos","given":"Rafael","non-dropping-particle":"","parse-names":false,"suffix":""},{"dropping-particle":"","family":"Tabuchi","given":"Takahiro","non-dropping-particle":"","parse-names":false,"suffix":""},{"dropping-particle":"","family":"Tadakamadla","given":"Santosh Kumar","non-dropping-particle":"","parse-names":false,"suffix":""},{"dropping-particle":"","family":"Takahashi","given":"Ken","non-dropping-particle":"","parse-names":false,"suffix":""},{"dropping-particle":"","family":"Tandon","given":"Nikhil","non-dropping-particle":"","parse-names":false,"suffix":""},{"dropping-particle":"","family":"Tassew","given":"Segen Gebremeskel","non-dropping-particle":"","parse-names":false,"suffix":""},{"dropping-particle":"","family":"Tavakkoli","given":"Mohammad","non-dropping-particle":"","parse-names":false,"suffix":""},{"dropping-particle":"","family":"Taveira","given":"Nuno","non-dropping-particle":"","parse-names":false,"suffix":""},{"dropping-particle":"","family":"Tehrani-Banihashemi","given":"Arash","non-dropping-particle":"","parse-names":false,"suffix":""},{"dropping-particle":"","family":"Tekalign","given":"Tigist Gashaw","non-dropping-particle":"","parse-names":false,"suffix":""},{"dropping-particle":"","family":"Tekelemedhin","given":"Shishay Wahdey","non-dropping-particle":"","parse-names":false,"suffix":""},{"dropping-particle":"","family":"Tekle","given":"Merhawi Gebremedhin","non-dropping-particle":"","parse-names":false,"suffix":""},{"dropping-particle":"","family":"Temesgen","given":"Habtamu","non-dropping-particle":"","parse-names":false,"suffix":""},{"dropping-particle":"","family":"Temsah","given":"Mohamad Hani","non-dropping-particle":"","parse-names":false,"suffix":""},{"dropping-particle":"","family":"Temsah","given":"Omar","non-dropping-particle":"","parse-names":false,"suffix":""},{"dropping-particle":"","family":"Terkawi","given":"Abdullah Sulieman","non-dropping-particle":"","parse-names":false,"suffix":""},{"dropping-particle":"","family":"Tessema","given":"Belay","non-dropping-particle":"","parse-names":false,"suffix":""},{"dropping-particle":"","family":"Teweldemedhin","given":"Mebrahtu","non-dropping-particle":"","parse-names":false,"suffix":""},{"dropping-particle":"","family":"Thankappan","given":"Kavumpurathu Raman","non-dropping-particle":"","parse-names":false,"suffix":""},{"dropping-particle":"","family":"Theis","given":"Andrew","non-dropping-particle":"","parse-names":false,"suffix":""},{"dropping-particle":"","family":"Thirunavukkarasu","given":"Sathish","non-dropping-particle":"","parse-names":false,"suffix":""},{"dropping-particle":"","family":"Thomas","given":"Hannah J.","non-dropping-particle":"","parse-names":false,"suffix":""},{"dropping-particle":"","family":"Thomas","given":"Matthew Lloyd","non-dropping-particle":"","parse-names":false,"suffix":""},{"dropping-particle":"","family":"Thomas","given":"Nihal","non-dropping-particle":"","parse-names":false,"suffix":""},{"dropping-particle":"","family":"Thurston","given":"George D.","non-dropping-particle":"","parse-names":false,"suffix":""},{"dropping-particle":"","family":"Tilahun","given":"Binyam","non-dropping-particle":"","parse-names":false,"suffix":""},{"dropping-particle":"","family":"Tillmann","given":"Taavi","non-dropping-particle":"","parse-names":false,"suffix":""},{"dropping-particle":"","family":"To","given":"Quyen G.","non-dropping-particle":"","parse-names":false,"suffix":""},{"dropping-particle":"","family":"Tobollik","given":"Myriam","non-dropping-particle":"","parse-names":false,"suffix":""},{"dropping-particle":"","family":"Tonelli","given":"Marcello","non-dropping-particle":"","parse-names":false,"suffix":""},{"dropping-particle":"","family":"Topor-Madry","given":"Roman","non-dropping-particle":"","parse-names":false,"suffix":""},{"dropping-particle":"","family":"Torre","given":"Anna E.","non-dropping-particle":"","parse-names":false,"suffix":""},{"dropping-particle":"","family":"Tortajada-Girbés","given":"Miguel","non-dropping-particle":"","parse-names":false,"suffix":""},{"dropping-particle":"","family":"Touvier","given":"Mathilde","non-dropping-particle":"","parse-names":false,"suffix":""},{"dropping-particle":"","family":"Tovani-Palone","given":"Marcos Roberto","non-dropping-particle":"","parse-names":false,"suffix":""},{"dropping-particle":"","family":"Towbin","given":"Jeffrey A.","non-dropping-particle":"","parse-names":false,"suffix":""},{"dropping-particle":"","family":"Tran","given":"Bach Xuan","non-dropping-particle":"","parse-names":false,"suffix":""},{"dropping-particle":"","family":"Tran","given":"Khanh Bao","non-dropping-particle":"","parse-names":false,"suffix":""},{"dropping-particle":"","family":"Truelsen","given":"Thomas Clement","non-dropping-particle":"","parse-names":false,"suffix":""},{"dropping-particle":"","family":"Truong","given":"Nu Thi","non-dropping-particle":"","parse-names":false,"suffix":""},{"dropping-particle":"","family":"Tsadik","given":"Afewerki Gebremeskel","non-dropping-particle":"","parse-names":false,"suffix":""},{"dropping-particle":"","family":"Car","given":"Lorainne Tudor","non-dropping-particle":"","parse-names":false,"suffix":""},{"dropping-particle":"","family":"Tuzcu","given":"E. Murat","non-dropping-particle":"","parse-names":false,"suffix":""},{"dropping-particle":"","family":"Tymeson","given":"Hayley D.","non-dropping-particle":"","parse-names":false,"suffix":""},{"dropping-particle":"","family":"Tyrovolas","given":"Stefanos","non-dropping-particle":"","parse-names":false,"suffix":""},{"dropping-particle":"","family":"Ukwaja","given":"Kingsley N.","non-dropping-particle":"","parse-names":false,"suffix":""},{"dropping-particle":"","family":"Ullah","given":"Irfan","non-dropping-particle":"","parse-names":false,"suffix":""},{"dropping-particle":"","family":"Updike","given":"Rachel L.","non-dropping-particle":"","parse-names":false,"suffix":""},{"dropping-particle":"","family":"Usman","given":"Muhammad Shariq","non-dropping-particle":"","parse-names":false,"suffix":""},{"dropping-particle":"","family":"Uthman","given":"Olalekan A.","non-dropping-particle":"","parse-names":false,"suffix":""},{"dropping-particle":"","family":"Vaduganathan","given":"Muthiah","non-dropping-particle":"","parse-names":false,"suffix":""},{"dropping-particle":"","family":"Vaezi","given":"Afsane","non-dropping-particle":"","parse-names":false,"suffix":""},{"dropping-particle":"","family":"Valdez","given":"Pascual R.","non-dropping-particle":"","parse-names":false,"suffix":""},{"dropping-particle":"","family":"Donkelaar","given":"Aaron","non-dropping-particle":"Van","parse-names":false,"suffix":""},{"dropping-particle":"","family":"Varavikova","given":"Elena","non-dropping-particle":"","parse-names":false,"suffix":""},{"dropping-particle":"","family":"Varughese","given":"Santosh","non-dropping-particle":"","parse-names":false,"suffix":""},{"dropping-particle":"","family":"Vasankari","given":"Tommi Juhani","non-dropping-particle":"","parse-names":false,"suffix":""},{"dropping-particle":"","family":"Venkateswaran","given":"Vidhya","non-dropping-particle":"","parse-names":false,"suffix":""},{"dropping-particle":"","family":"Venketasubramanian","given":"Narayanaswamy","non-dropping-particle":"","parse-names":false,"suffix":""},{"dropping-particle":"","family":"Villafaina","given":"Santos","non-dropping-particle":"","parse-names":false,"suffix":""},{"dropping-particle":"","family":"Violante","given":"Francesco S.","non-dropping-particle":"","parse-names":false,"suffix":""},{"dropping-particle":"","family":"Vladimirov","given":"Sergey Konstantinovitch","non-dropping-particle":"","parse-names":false,"suffix":""},{"dropping-particle":"","family":"Vlassov","given":"Vasily","non-dropping-particle":"","parse-names":false,"suffix":""},{"dropping-particle":"","family":"Vollset","given":"Stein Emil","non-dropping-particle":"","parse-names":false,"suffix":""},{"dropping-particle":"","family":"Vos","given":"Theo","non-dropping-particle":"","parse-names":false,"suffix":""},{"dropping-particle":"","family":"Vosoughi","given":"Kia","non-dropping-particle":"","parse-names":false,"suffix":""},{"dropping-particle":"","family":"Vu","given":"Giang Thu","non-dropping-particle":"","parse-names":false,"suffix":""},{"dropping-particle":"","family":"Vujcic","given":"Isidora S.","non-dropping-particle":"","parse-names":false,"suffix":""},{"dropping-particle":"","family":"Wagnew","given":"Fasil Shiferaw","non-dropping-particle":"","parse-names":false,"suffix":""},{"dropping-particle":"","family":"Waheed","given":"Yasir","non-dropping-particle":"","parse-names":false,"suffix":""},{"dropping-particle":"","family":"Waller","given":"Stephen G.","non-dropping-particle":"","parse-names":false,"suffix":""},{"dropping-particle":"","family":"Walson","given":"Judd L.","non-dropping-particle":"","parse-names":false,"suffix":""},{"dropping-particle":"","family":"Wang","given":"Yafeng","non-dropping-particle":"","parse-names":false,"suffix":""},{"dropping-particle":"","family":"Wang","given":"Yanping","non-dropping-particle":"","parse-names":false,"suffix":""},{"dropping-particle":"","family":"Wang","given":"Yuan Pang","non-dropping-particle":"","parse-names":false,"suffix":""},{"dropping-particle":"","family":"Weiderpass","given":"Elisabete","non-dropping-particle":"","parse-names":false,"suffix":""},{"dropping-particle":"","family":"Weintraub","given":"Robert G.","non-dropping-particle":"","parse-names":false,"suffix":""},{"dropping-particle":"","family":"Weldegebreal","given":"Fitsum","non-dropping-particle":"","parse-names":false,"suffix":""},{"dropping-particle":"","family":"Werdecker","given":"Andrea","non-dropping-particle":"","parse-names":false,"suffix":""},{"dropping-particle":"","family":"Werkneh","given":"Adhena Ayaliew","non-dropping-particle":"","parse-names":false,"suffix":""},{"dropping-particle":"","family":"West","given":"J. Jason","non-dropping-particle":"","parse-names":false,"suffix":""},{"dropping-particle":"","family":"Westerman","given":"Ronny","non-dropping-particle":"","parse-names":false,"suffix":""},{"dropping-particle":"","family":"Whiteford","given":"Harvey A.","non-dropping-particle":"","parse-names":false,"suffix":""},{"dropping-particle":"","family":"Widecka","given":"Justyna","non-dropping-particle":"","parse-names":false,"suffix":""},{"dropping-particle":"","family":"Wijeratne","given":"Tissa","non-dropping-particle":"","parse-names":false,"suffix":""},{"dropping-particle":"","family":"Winkler","given":"Andrea Sylvia","non-dropping-particle":"","parse-names":false,"suffix":""},{"dropping-particle":"","family":"Wiyeh","given":"Alison B.","non-dropping-particle":"","parse-names":false,"suffix":""},{"dropping-particle":"","family":"Wiysonge","given":"Charles Shey","non-dropping-particle":"","parse-names":false,"suffix":""},{"dropping-particle":"","family":"Wolfe","given":"Charles D.A.","non-dropping-particle":"","parse-names":false,"suffix":""},{"dropping-particle":"","family":"Wong","given":"Tien Yin","non-dropping-particle":"","parse-names":false,"suffix":""},{"dropping-particle":"","family":"Wu","given":"Shouling","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dollahpour","given":"Ali","non-dropping-particle":"","parse-names":false,"suffix":""},{"dropping-particle":"","family":"Jabbari","given":"Seyed Hossein Yahyazadeh","non-dropping-particle":"","parse-names":false,"suffix":""},{"dropping-particle":"","family":"Yamada","given":"Tomohide","non-dropping-particle":"","parse-names":false,"suffix":""},{"dropping-particle":"","family":"Yan","given":"Lijing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asin","given":"Yasin Jemal","non-dropping-particle":"","parse-names":false,"suffix":""},{"dropping-particle":"","family":"Yeshaneh","given":"Alex","non-dropping-particle":"","parse-names":false,"suffix":""},{"dropping-particle":"","family":"Yimer","given":"Ebrahim M.","non-dropping-particle":"","parse-names":false,"suffix":""},{"dropping-particle":"","family":"Yip","given":"Paul","non-dropping-particle":"","parse-names":false,"suffix":""},{"dropping-particle":"","family":"Yisma","given":"Engida","non-dropping-particle":"","parse-names":false,"suffix":""},{"dropping-particle":"","family":"Yonemoto","given":"Naohiro","non-dropping-particle":"","parse-names":false,"suffix":""},{"dropping-particle":"","family":"Yoon","given":"Seok Jun","non-dropping-particle":"","parse-names":false,"suffix":""},{"dropping-particle":"","family":"Yotebieng","given":"Marcel","non-dropping-particle":"","parse-names":false,"suffix":""},{"dropping-particle":"","family":"Younis","given":"Mustafa Z.","non-dropping-particle":"","parse-names":false,"suffix":""},{"dropping-particle":"","family":"Yousefifard","given":"Mahmoud","non-dropping-particle":"","parse-names":false,"suffix":""},{"dropping-particle":"","family":"Yu","given":"Chuanhua","non-dropping-particle":"","parse-names":false,"suffix":""},{"dropping-particle":"","family":"Zaidi","given":"Zoubida","non-dropping-particle":"","parse-names":false,"suffix":""},{"dropping-particle":"Bin","family":"Zaman","given":"Sojib","non-dropping-particle":"","parse-names":false,"suffix":""},{"dropping-particle":"","family":"Zamani","given":"Mohammad","non-dropping-particle":"","parse-names":false,"suffix":""},{"dropping-particle":"","family":"Zavala-Arciniega","given":"Luis","non-dropping-particle":"","parse-names":false,"suffix":""},{"dropping-particle":"","family":"Zhang","given":"Anthony Lin","non-dropping-particle":"","parse-names":false,"suffix":""},{"dropping-particle":"","family":"Zhang","given":"Hao","non-dropping-particle":"","parse-names":false,"suffix":""},{"dropping-particle":"","family":"Zhang","given":"Kai","non-dropping-particle":"","parse-names":false,"suffix":""},{"dropping-particle":"","family":"Zhou","given":"Maigeng","non-dropping-particle":"","parse-names":false,"suffix":""},{"dropping-particle":"","family":"Zimsen","given":"Stephanie R.M.","non-dropping-particle":"","parse-names":false,"suffix":""},{"dropping-particle":"","family":"Zodpey","given":"Sanjay","non-dropping-particle":"","parse-names":false,"suffix":""},{"dropping-particle":"","family":"Murray","given":"Christopher J.L.","non-dropping-particle":"","parse-names":false,"suffix":""}],"container-title":"The Lancet","id":"ITEM-1","issue":"10159","issued":{"date-parts":[["2018"]]},"page":"1923-1994","title":"Global, regional, and national comparative risk assessment of 84 behavioural, environmental and occupational, and metabolic risks or clusters of risks for 195 countries and territories, 1990-2017: A systematic analysis for the Global Burden of Disease Stu","type":"article-journal","volume":"392"}}],"schema":"https://github.com/citation-style-language/schema/raw/master/csl-citation.json"}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Globally, occupational hazard has been identified as the leading cause of industrial indisposition accounting for over 11% of disability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eAjJRkH","properties":{"formattedCitation":"(2)","plainCitation":"(2)","noteIndex":0},"citationItems":[{"id":"vN2fituk/Kj2iiyMT","uris":["http://www.mendeley.com/documents/?uuid=55a379d2-8299-44e5-b56d-5261b9071014"],"itemData":{"DOI":"10.1136/injuryprev-2013-040950","ISSN":"1353-8047","PMID":"24914101","abstract":"Background There are few population-based studies on household child injury in African countries. Objectives To determine the incidence, characteristics and risk factors of household and neighbourhood injury among children in semiurban communities in Kumasi, Ghana. Methods We conducted a cross-sectional populationweighted survey of 200 randomly selected caregivers of children under 18, representing 6801 households. Caregivers were interviewed about moderate to severe childhood injuries occurring within the past 6 months, for which the child staying home from school or activity, and/or required medical care. Multivariable logistic regression was used to identify factors associated with injury risk. Results Annual injury incidence was 593.5 injuries per 1000 children. Common causes of injury were falls (315.7 injuries per 1000 children), followed by cuts/ lacerations and burns. Most injuries (93.8%) were of moderate severity. Children whose caregivers were hourly workers (AOR=1.97; 95% CI 1.06 to 3.68) had increased odds of sustaining an injury compared to those of unemployed caregivers. Girls had decreased odds of injury (AOR=0.59; 95% CI 0.39 to 0.91). Cooking outdoors (AOR=0.45; 95% CI 0.27 to 0.76) and presence of cabinet/cupboards (AOR=0.41; 95% CI 0.24 to 0.70) in the house were protective. Among children under 5 years of age, living in uncompleted accommodation was associated with higher odds of injury compared with living in a rented single room (AOR=3.67; 95% CI 1.17 to 11.48). Conclusions The incidence of household and neighbourhood child injury is high in semiurban Kumasi. We identified several novel injury risk factors (hourly work, younger children) and protective factors (cooking outdoors, presence of cabinet/cupboards). These data may identify priorities for household injury prevention.","author":[{"dropping-particle":"","family":"Gyedu","given":"Adam","non-dropping-particle":"","parse-names":false,"suffix":""},{"dropping-particle":"","family":"Nakua","given":"E. K.","non-dropping-particle":"","parse-names":false,"suffix":""},{"dropping-particle":"","family":"Otupiri","given":"E.","non-dropping-particle":"","parse-names":false,"suffix":""},{"dropping-particle":"","family":"Mock","given":"C.","non-dropping-particle":"","parse-names":false,"suffix":""},{"dropping-particle":"","family":"Donkor","given":"P.","non-dropping-particle":"","parse-names":false,"suffix":""},{"dropping-particle":"","family":"Ebel","given":"B.","non-dropping-particle":"","parse-names":false,"suffix":""}],"container-title":"Injury Prevention","id":"ITEM-1","issue":"e1","issued":{"date-parts":[["2015","4"]]},"page":"e71-e79","title":"Incidence, characteristics and risk factors for household and neighbourhood injury among young children in semiurban Ghana: a population-based household survey","type":"article-journal","volume":"21"}}],"schema":"https://github.com/citation-style-language/schema/raw/master/csl-citation.json"}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(2)</w:t>
      </w:r>
      <w:r w:rsidRPr="00AD6688">
        <w:rPr>
          <w:rFonts w:ascii="Times New Roman" w:hAnsi="Times New Roman" w:cs="Times New Roman"/>
          <w:sz w:val="24"/>
          <w:szCs w:val="24"/>
        </w:rPr>
        <w:fldChar w:fldCharType="end"/>
      </w:r>
      <w:r w:rsidRPr="00AD6688">
        <w:rPr>
          <w:rFonts w:ascii="Times New Roman" w:hAnsi="Times New Roman" w:cs="Times New Roman"/>
          <w:color w:val="333333"/>
          <w:sz w:val="24"/>
          <w:szCs w:val="24"/>
          <w:shd w:val="clear" w:color="auto" w:fill="FFFFFF"/>
        </w:rPr>
        <w:t>.</w:t>
      </w:r>
      <w:r w:rsidRPr="00AD6688">
        <w:rPr>
          <w:rFonts w:ascii="Times New Roman" w:hAnsi="Times New Roman" w:cs="Times New Roman"/>
          <w:sz w:val="24"/>
          <w:szCs w:val="24"/>
        </w:rPr>
        <w:t xml:space="preserve"> Health care is a non-traditional employment setting, envisaged by the general public to be pristine and secure. However, hazard consciousness is frequently lacking. Furthermore, given the distinctive task of caring for the sick, self-protection practice, which normally </w:t>
      </w:r>
      <w:proofErr w:type="spellStart"/>
      <w:r w:rsidRPr="00AD6688">
        <w:rPr>
          <w:rFonts w:ascii="Times New Roman" w:hAnsi="Times New Roman" w:cs="Times New Roman"/>
          <w:sz w:val="24"/>
          <w:szCs w:val="24"/>
        </w:rPr>
        <w:t>succour</w:t>
      </w:r>
      <w:proofErr w:type="spellEnd"/>
      <w:r w:rsidRPr="00AD6688">
        <w:rPr>
          <w:rFonts w:ascii="Times New Roman" w:hAnsi="Times New Roman" w:cs="Times New Roman"/>
          <w:sz w:val="24"/>
          <w:szCs w:val="24"/>
        </w:rPr>
        <w:t xml:space="preserve"> in protecting workers, are suspended in a culture of selfless commitment to patient care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INRK5TFe","properties":{"formattedCitation":"(3)","plainCitation":"(3)","noteIndex":0},"citationItems":[{"id":"vN2fituk/pHbPBxWP","uris":["http://www.mendeley.com/documents/?uuid=277b3104-88ba-4a7e-8178-f095ff43c5c8"],"itemData":{"DOI":"10.1016/j.aogh.2014.08.001","ISSN":"22149996","PMID":"25459333","abstract":"Background Possessing every hazard class, the health care sector poses significant health threats to its workforce in both high-resource settings and low- and middle-income countries (LMICs). Objectives The aim of this paper was to examine the applicability of the classical hierarchy of hazard control technologies in resource-constrained health care settings. Methods Using a biologic and chemical hazard example, the hazard control hierarchy was applied for risk mitigation. Findings Even when resource constraints force a reordered selection of hazard control elements, risk reduction can be achieved across a variety of hazard classes. Conclusion For LMICs with limited resources, the hazard control hierarchy can be effectively employed, although the selection of methods may be reordered, to achieve significant hazard control. Such prevention strategies can thereby strengthen and sustain a critical pillar of the health system, its workforce.","author":[{"dropping-particle":"","family":"McDiarmid","given":"Melissa A.","non-dropping-particle":"","parse-names":false,"suffix":""}],"container-title":"Annals of Global Health","id":"ITEM-1","issue":"4","issued":{"date-parts":[["2014"]]},"page":"315-319","publisher":"Elsevier Inc","title":"Hazards of the health care sector: Looking beyond infectious disease","type":"article-journal","volume":"80"}}],"schema":"https://github.com/citation-style-language/schema/raw/master/csl-citation.json"}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world of work has changed dramatically. </w:t>
      </w:r>
      <w:commentRangeStart w:id="6"/>
      <w:r w:rsidRPr="00AD6688">
        <w:rPr>
          <w:rFonts w:ascii="Times New Roman" w:hAnsi="Times New Roman" w:cs="Times New Roman"/>
          <w:sz w:val="24"/>
          <w:szCs w:val="24"/>
        </w:rPr>
        <w:t xml:space="preserve">Proliferation has affected the structure of workplaces, the way work is performed, and occupational safety and health (OSH). </w:t>
      </w:r>
      <w:commentRangeEnd w:id="6"/>
      <w:r w:rsidR="003E3840">
        <w:rPr>
          <w:rStyle w:val="CommentReference"/>
        </w:rPr>
        <w:commentReference w:id="6"/>
      </w:r>
      <w:r w:rsidRPr="00AD6688">
        <w:rPr>
          <w:rFonts w:ascii="Times New Roman" w:hAnsi="Times New Roman" w:cs="Times New Roman"/>
          <w:sz w:val="24"/>
          <w:szCs w:val="24"/>
        </w:rPr>
        <w:t xml:space="preserve">Despite enormous strength in improving OHS over the past century, an estimated 317 million non-fatal occupational injuries and 321,000 occupational fatalities occur globally each year, that is 151 workers sustain a work-related accident every 15 seconds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ZOTERO_TEMP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{Citation}</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(ILO 2013). Poor workplace is a substantial economic burden on individuals, employers, and society. Estimates from the International Social Security Association (ISSA) suggest that costs associated with nonfatal workplace accidents alone equal approximately 4 percent of world gross domestic product (GDP) each year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WCtw5Hd1","properties":{"formattedCitation":"(4)","plainCitation":"(4)","noteIndex":0},"citationItems":[{"id":"vN2fituk/hdz1Jikt","uris":["http://www.mendeley.com/documents/?uuid=90844e29-0e7a-4a40-a5cd-ff3574460676"],"itemData":{"DOI":"10.1596/978-1-4648-0522-6_ch6","ISBN":"9781464805226","PMID":"30212110","abstract":"The world of work has changed dramatically. Globalization affects the structure of workplaces, the way work is performed, and occupational safety and health (OSH). Despite great strides in improving OSH during the past century, an estimated 317 million nonfatal occupational injuries and 321,000 occupational fatalities occur globally each year, that is, 151 workers sustain a work-related accident every 15 seconds (ILO 2013a). Poor workplace safety and health place a substantial economic burden on individuals, employers, and society. Estimates from the International Social Security Association (ISSA) suggest that costs associated with nonfatal workplace accidents alone equal approximately 4 percent of world gross domestic product (GDP) each year (ISSA 2014; SafeWork 2012). Although virtually every job entails some risk for injury, the magnitude of risk varies widely across jobs, sectors, geographic regions, and individuals. Occupational injury rates have been rising in low- and middle-income countries (LMICs), but declining in high-income countries (HICs), although the effect of globalization has been mixed. The steady decline in Australia, North America, and Western Europe is due, at least in part, to the export of labor-intensive and often more dangerous industrial production to regions where salaries are lower, workplace regulations are less stringent, and working conditions are generally poorer. However, in HICs the number of small firms and informal sector jobs has grown markedly. These firms and jobs are underserved by OSH regulations and enforcement; are difficult to reach with traditional OSH services; and have greater, but largely hidden, risk for accident and injury. Consequently, although the true burden of occupational injury in HICs remains uncertain, an estimated 6.9 million worker injuries occurred in the European Union (EU) during 2006 and 8.5 million occurred in the United States during 2007 (Chau and others 2014; Leigh and Marcin 2012). Occupational injuries and fatalities take an even greater toll in LMICs, where a large portion of the population works in the informal sector or in high-hazard sectors, including agriculture, construction, fishing, and mining, with associated costs as high as 10 percent of GDP. The great recession of 2007–09 had a negative effect on OSH in many countries. Corporations downsized, restructured, and outsourced or transferred work to third-party employers, temporary employment agencies, or independent contrac…","author":[{"dropping-particle":"","family":"Abdalla","given":"Safa","non-dropping-particle":"","parse-names":false,"suffix":""},{"dropping-particle":"","family":"Apramian","given":"Spenser S.","non-dropping-particle":"","parse-names":false,"suffix":""},{"dropping-particle":"","family":"Cantley","given":"Linda F.","non-dropping-particle":"","parse-names":false,"suffix":""},{"dropping-particle":"","family":"Cullen","given":"Mark R.","non-dropping-particle":"","parse-names":false,"suffix":""}],"container-title":"Disease Control Priorities, Third Edition (Volume 7): Injury Prevention and Environmental Health","id":"ITEM-1","issued":{"date-parts":[["2017","10","27"]]},"page":"97-132","publisher":"The World Bank","title":"Occupation and Risk for Injuries","type":"chapter"}}],"schema":"https://github.com/citation-style-language/schema/raw/master/csl-citation.json"}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09B11CE4" w14:textId="77777777" w:rsidR="002F4F67" w:rsidRPr="00AD6688" w:rsidRDefault="00E15D01" w:rsidP="006635CC">
      <w:pPr>
        <w:spacing w:line="240" w:lineRule="auto"/>
        <w:jc w:val="both"/>
        <w:rPr>
          <w:rFonts w:ascii="Times New Roman" w:hAnsi="Times New Roman" w:cs="Times New Roman"/>
          <w:color w:val="000000"/>
          <w:sz w:val="24"/>
          <w:szCs w:val="24"/>
        </w:rPr>
      </w:pPr>
      <w:r w:rsidRPr="00AD6688">
        <w:rPr>
          <w:rFonts w:ascii="Times New Roman" w:hAnsi="Times New Roman" w:cs="Times New Roman"/>
          <w:color w:val="000000"/>
          <w:sz w:val="24"/>
          <w:szCs w:val="24"/>
        </w:rPr>
        <w:t xml:space="preserve">Findings from the International </w:t>
      </w:r>
      <w:proofErr w:type="spellStart"/>
      <w:r w:rsidRPr="00AD6688">
        <w:rPr>
          <w:rFonts w:ascii="Times New Roman" w:hAnsi="Times New Roman" w:cs="Times New Roman"/>
          <w:color w:val="000000"/>
          <w:sz w:val="24"/>
          <w:szCs w:val="24"/>
        </w:rPr>
        <w:t>Labour</w:t>
      </w:r>
      <w:proofErr w:type="spellEnd"/>
      <w:r w:rsidRPr="00AD6688">
        <w:rPr>
          <w:rFonts w:ascii="Times New Roman" w:hAnsi="Times New Roman" w:cs="Times New Roman"/>
          <w:color w:val="000000"/>
          <w:sz w:val="24"/>
          <w:szCs w:val="24"/>
        </w:rPr>
        <w:t xml:space="preserve"> </w:t>
      </w:r>
      <w:proofErr w:type="spellStart"/>
      <w:r w:rsidRPr="00AD6688">
        <w:rPr>
          <w:rFonts w:ascii="Times New Roman" w:hAnsi="Times New Roman" w:cs="Times New Roman"/>
          <w:color w:val="000000"/>
          <w:sz w:val="24"/>
          <w:szCs w:val="24"/>
        </w:rPr>
        <w:t>Organisation</w:t>
      </w:r>
      <w:proofErr w:type="spellEnd"/>
      <w:r w:rsidRPr="00AD6688">
        <w:rPr>
          <w:rFonts w:ascii="Times New Roman" w:hAnsi="Times New Roman" w:cs="Times New Roman"/>
          <w:color w:val="000000"/>
          <w:sz w:val="24"/>
          <w:szCs w:val="24"/>
        </w:rPr>
        <w:t xml:space="preserve"> (ILO) revealed that work-related injuries and accidents that account for economic losses are as high as 4% of the global GDP (ILO, 2013). Sharps and needle stick injuries are occupational hazards to healthcare workers</w:t>
      </w:r>
      <w:r w:rsidRPr="00AD6688">
        <w:rPr>
          <w:rFonts w:ascii="Times New Roman" w:hAnsi="Times New Roman" w:cs="Times New Roman"/>
          <w:sz w:val="24"/>
          <w:szCs w:val="24"/>
        </w:rPr>
        <w:t xml:space="preserve">. Healthcare workers are exposed to deadly blood borne pathogens through contaminated needles and other sharp objects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9L5yZiSi","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color w:val="000000"/>
          <w:sz w:val="24"/>
          <w:szCs w:val="24"/>
        </w:rPr>
        <w:t>In most African and Asian countries, health workers are leaving their jobs due to the growing threat of injuries and illness related to occupationally acquired disease or illness (</w:t>
      </w:r>
      <w:r w:rsidRPr="00AD6688">
        <w:rPr>
          <w:rFonts w:ascii="Times New Roman" w:hAnsi="Times New Roman" w:cs="Times New Roman"/>
          <w:sz w:val="24"/>
          <w:szCs w:val="24"/>
        </w:rPr>
        <w:t>Mohammad, 2014)</w:t>
      </w:r>
      <w:r w:rsidRPr="00AD6688">
        <w:rPr>
          <w:rFonts w:ascii="Times New Roman" w:hAnsi="Times New Roman" w:cs="Times New Roman"/>
          <w:color w:val="000000"/>
          <w:sz w:val="24"/>
          <w:szCs w:val="24"/>
        </w:rPr>
        <w:t xml:space="preserve">. Significant improvement has been achieved in occupational health and safety (OSH) as several countries have identified its relevance and the need to give optimum premium to preventing accidents and ill-health. However, the correlation between OHS and workplace accidents and injuries show that existing OHS are ineffective at the healthcare environment </w:t>
      </w:r>
      <w:r w:rsidRPr="00AD6688">
        <w:rPr>
          <w:rFonts w:ascii="Times New Roman" w:hAnsi="Times New Roman" w:cs="Times New Roman"/>
          <w:color w:val="000000"/>
          <w:sz w:val="24"/>
          <w:szCs w:val="24"/>
        </w:rPr>
        <w:fldChar w:fldCharType="begin"/>
      </w:r>
      <w:r w:rsidRPr="00AD6688">
        <w:rPr>
          <w:rFonts w:ascii="Times New Roman" w:hAnsi="Times New Roman" w:cs="Times New Roman"/>
          <w:color w:val="000000"/>
          <w:sz w:val="24"/>
          <w:szCs w:val="24"/>
        </w:rPr>
        <w:instrText xml:space="preserve"> ADDIN ZOTERO_ITEM CSL_CITATION {"citationID":"EEpDhXiJ","properties":{"formattedCitation":"(6)","plainCitation":"(6)","noteIndex":0},"citationItems":[{"id":"vN2fituk/9rfjJJ6o","uris":["http://www.mendeley.com/documents/?uuid=5b31199c-633a-4f45-bd49-96b546b173f1"],"itemData":{"DOI":"10.1155/2020/6354895","ISSN":"2314-6133","PMID":"32258132","abstract":"Background . The study examines the mediation effect of safety knowledge in causal the relationship between Occupational Health and Safety Management Frameworks (OHSMF) and occupational injuries and workplace accidents in the Ghanaian Oil and Gas Industry. The study explores different dimensions of occupational health and safety management systems, workplace accidents, and occupational injuries. The study adopted a cross-sectional survey design. A total of 699 respondents through a convenience and purposive sampling technique were selected in three government-owned oil and gas organizations for the study. Correlation, multiple regression analysis, and bootstrapping methods were used for data analysis. The findings of both the regression and correlation analysis indicated that there is a moderately strong negative and significant relationship between Occupational Health and Safety Management Frameworks (OHSMF) and workplace accidents and occupational injuries. Safety knowledge significantly mediates the causal relationship between OHSMF and workplace accidents and injuries. Safety training was found to be a significant predictor of safety knowledge, work-related injuries, and workplace accidents. The negative relationship between OHSMF and workplace accidents and injuries shows that the existing OHSMF are either ineffective or lack the acceptable safety standards to control hazard exposures in the industry. Management must invest in frequent safety training and orientations to improve safety knowledge among workers. The study further recommends government and industry players to extend serious attention towards the promotion and improvement of occupational health and safety management systems in Ghana.","author":[{"dropping-particle":"","family":"Liu","given":"Suxia","non-dropping-particle":"","parse-names":false,"suffix":""},{"dropping-particle":"","family":"Nkrumah","given":"Edmund Nana Kwame","non-dropping-particle":"","parse-names":false,"suffix":""},{"dropping-particle":"","family":"Akoto","given":"Linda Serwah","non-dropping-particle":"","parse-names":false,"suffix":""},{"dropping-particle":"","family":"Gyabeng","given":"Emmanuel","non-dropping-particle":"","parse-names":false,"suffix":""},{"dropping-particle":"","family":"Nkrumah","given":"Erasmus","non-dropping-particle":"","parse-names":false,"suffix":""}],"container-title":"BioMed Research International","id":"ITEM-1","issued":{"date-parts":[["2020","3","13"]]},"page":"1-14","title":"The State of Occupational Health and Safety Management Frameworks (OHSMF) and Occupational Injuries and Accidents in the Ghanaian Oil and Gas Industry: Assessing the Mediating Role of Safety Knowledge","type":"article-journal","volume":"2020"}}],"schema":"https://github.com/citation-style-language/schema/raw/master/csl-citation.json"} </w:instrText>
      </w:r>
      <w:r w:rsidRPr="00AD6688">
        <w:rPr>
          <w:rFonts w:ascii="Times New Roman" w:hAnsi="Times New Roman" w:cs="Times New Roman"/>
          <w:color w:val="000000"/>
          <w:sz w:val="24"/>
          <w:szCs w:val="24"/>
        </w:rPr>
        <w:fldChar w:fldCharType="separate"/>
      </w:r>
      <w:r w:rsidRPr="00AD6688">
        <w:rPr>
          <w:rFonts w:ascii="Times New Roman" w:hAnsi="Times New Roman" w:cs="Times New Roman"/>
          <w:sz w:val="24"/>
          <w:szCs w:val="24"/>
        </w:rPr>
        <w:t>(6)</w:t>
      </w:r>
      <w:r w:rsidRPr="00AD6688">
        <w:rPr>
          <w:rFonts w:ascii="Times New Roman" w:hAnsi="Times New Roman" w:cs="Times New Roman"/>
          <w:color w:val="000000"/>
          <w:sz w:val="24"/>
          <w:szCs w:val="24"/>
        </w:rPr>
        <w:fldChar w:fldCharType="end"/>
      </w:r>
      <w:r w:rsidRPr="00AD6688">
        <w:rPr>
          <w:rFonts w:ascii="Times New Roman" w:hAnsi="Times New Roman" w:cs="Times New Roman"/>
          <w:color w:val="000000"/>
          <w:sz w:val="24"/>
          <w:szCs w:val="24"/>
        </w:rPr>
        <w:t xml:space="preserve">. A </w:t>
      </w:r>
      <w:r w:rsidRPr="00AD6688">
        <w:rPr>
          <w:rFonts w:ascii="Times New Roman" w:hAnsi="Times New Roman" w:cs="Times New Roman"/>
          <w:sz w:val="24"/>
          <w:szCs w:val="24"/>
        </w:rPr>
        <w:t xml:space="preserve">study on assessment of safety practices and injuries associated with wood processing found that occupational injuries and illnesses such as headache, back pain, leg and hip pain and respiratory problems are, repeatedly reported by workers </w:t>
      </w:r>
      <w:r w:rsidRPr="00AD6688">
        <w:rPr>
          <w:rFonts w:ascii="Times New Roman" w:hAnsi="Times New Roman" w:cs="Times New Roman"/>
          <w:color w:val="000000"/>
          <w:sz w:val="24"/>
          <w:szCs w:val="24"/>
        </w:rPr>
        <w:t>(</w:t>
      </w:r>
      <w:proofErr w:type="spellStart"/>
      <w:r w:rsidRPr="00AD6688">
        <w:rPr>
          <w:rFonts w:ascii="Times New Roman" w:hAnsi="Times New Roman" w:cs="Times New Roman"/>
          <w:sz w:val="24"/>
          <w:szCs w:val="24"/>
        </w:rPr>
        <w:t>Amponsah</w:t>
      </w:r>
      <w:proofErr w:type="spellEnd"/>
      <w:r w:rsidRPr="00AD6688">
        <w:rPr>
          <w:rFonts w:ascii="Times New Roman" w:hAnsi="Times New Roman" w:cs="Times New Roman"/>
          <w:sz w:val="24"/>
          <w:szCs w:val="24"/>
        </w:rPr>
        <w:t xml:space="preserve"> et al. 2013). </w:t>
      </w:r>
      <w:r w:rsidRPr="00AD6688">
        <w:rPr>
          <w:rFonts w:ascii="Times New Roman" w:hAnsi="Times New Roman" w:cs="Times New Roman"/>
          <w:color w:val="000000"/>
          <w:sz w:val="24"/>
          <w:szCs w:val="24"/>
        </w:rPr>
        <w:t xml:space="preserve">Therefore, managers need to put in measures to enforce practice of safety, especially the use of personal protective equipment (PPE), to reduce hazards and injuries associated with wood processing </w:t>
      </w:r>
      <w:r w:rsidRPr="00AD6688">
        <w:rPr>
          <w:rFonts w:ascii="Times New Roman" w:hAnsi="Times New Roman" w:cs="Times New Roman"/>
          <w:color w:val="000000"/>
          <w:sz w:val="24"/>
          <w:szCs w:val="24"/>
        </w:rPr>
        <w:fldChar w:fldCharType="begin"/>
      </w:r>
      <w:r w:rsidRPr="00AD6688">
        <w:rPr>
          <w:rFonts w:ascii="Times New Roman" w:hAnsi="Times New Roman" w:cs="Times New Roman"/>
          <w:color w:val="000000"/>
          <w:sz w:val="24"/>
          <w:szCs w:val="24"/>
        </w:rPr>
        <w:instrText xml:space="preserve"> ADDIN ZOTERO_ITEM CSL_CITATION {"citationID":"nSSolvIc","properties":{"formattedCitation":"(7)","plainCitation":"(7)","noteIndex":0},"citationItems":[{"id":"vN2fituk/kGlee2IV","uris":["http://www.mendeley.com/documents/?uuid=0d15bb8d-f094-4888-b5aa-326491a0c51c"],"itemData":{"DOI":"10.4236/ojsst.2015.51002","ISSN":"2162-5999","abstract":"This paper reports the assessment of safety practices and injuries in a timber company in Ghana. A cross-sectional survey design was used for the study. Data were collected from 300 respondents at a sawmill in Ghana using a 5-point Likert-type scale questionnaire. Descriptive and inferential statistics were used for the data analyses. The result indicates that the mean rating of the respondents on their use of personal protective equipment ranged from 1.09 to 2.51. This implies that the workers of the sawmill rarely or never wear: gloves, overall, goggles, face shield, nose and mouth mask, earplugs or helmet during wood processing. Additionally, the mean ratings of the respondents regarding safety practices, machine and maintenance ranged from 2.42 to 4.03 with three out of the eight items having mean ratings higher than the theoretical mean of 3.0. The ratings of the respondents of the saw doctoring department on their practice of safety on machine and maintenance were significantly higher than those of the other departments. The result of the study further suggests that the workers of this sawmill do rarely report of: skin irritation/derma- titis, eye irritation, lack of appetite, arm/leg amputation, neck pains, hearing loss and poor eye sight problems. However, they usually report of headaches, nausea, respiratory problems, small cuts, back pains, and hip and leg pains. The outcome of this study therefore suggests that the management of the sawmill studied needs to do more to enforce practice of safety, especially the use of personal protective equipment, to reduce hazards and injuries associated with wood processing in the firm.","author":[{"dropping-particle":"","family":"Mitchual","given":"Stephen J.","non-dropping-particle":"","parse-names":false,"suffix":""},{"dropping-particle":"","family":"Donkoh","given":"Mark","non-dropping-particle":"","parse-names":false,"suffix":""},{"dropping-particle":"","family":"Bih","given":"Francis","non-dropping-particle":"","parse-names":false,"suffix":""}],"container-title":"Open Journal of Safety Science and Technology","id":"ITEM-1","issue":"01","issued":{"date-parts":[["2015"]]},"page":"10-19","title":"Assessment of Safety Practices and Injuries Associated with Wood Processing in a Timber Company in Ghana","type":"article-journal","volume":"05"}}],"schema":"https://github.com/citation-style-language/schema/raw/master/csl-citation.json"} </w:instrText>
      </w:r>
      <w:r w:rsidRPr="00AD6688">
        <w:rPr>
          <w:rFonts w:ascii="Times New Roman" w:hAnsi="Times New Roman" w:cs="Times New Roman"/>
          <w:color w:val="000000"/>
          <w:sz w:val="24"/>
          <w:szCs w:val="24"/>
        </w:rPr>
        <w:fldChar w:fldCharType="separate"/>
      </w:r>
      <w:r w:rsidRPr="00AD6688">
        <w:rPr>
          <w:rFonts w:ascii="Times New Roman" w:hAnsi="Times New Roman" w:cs="Times New Roman"/>
          <w:sz w:val="24"/>
          <w:szCs w:val="24"/>
        </w:rPr>
        <w:t>(7)</w:t>
      </w:r>
      <w:r w:rsidRPr="00AD6688">
        <w:rPr>
          <w:rFonts w:ascii="Times New Roman" w:hAnsi="Times New Roman" w:cs="Times New Roman"/>
          <w:color w:val="000000"/>
          <w:sz w:val="24"/>
          <w:szCs w:val="24"/>
        </w:rPr>
        <w:fldChar w:fldCharType="end"/>
      </w:r>
      <w:r w:rsidRPr="00AD6688">
        <w:rPr>
          <w:rFonts w:ascii="Times New Roman" w:hAnsi="Times New Roman" w:cs="Times New Roman"/>
          <w:color w:val="000000"/>
          <w:sz w:val="24"/>
          <w:szCs w:val="24"/>
        </w:rPr>
        <w:t>.</w:t>
      </w:r>
      <w:r w:rsidRPr="00AD6688">
        <w:rPr>
          <w:rFonts w:ascii="Times New Roman" w:hAnsi="Times New Roman" w:cs="Times New Roman"/>
          <w:sz w:val="24"/>
          <w:szCs w:val="24"/>
        </w:rPr>
        <w:t xml:space="preserve"> Similarly, other authors have high lifted open wounds and fractures as the commonest and least injuries recorded by building construction workers in Ghana(</w:t>
      </w:r>
      <w:proofErr w:type="spellStart"/>
      <w:r w:rsidRPr="00AD6688">
        <w:rPr>
          <w:rFonts w:ascii="Times New Roman" w:hAnsi="Times New Roman" w:cs="Times New Roman"/>
          <w:sz w:val="24"/>
          <w:szCs w:val="24"/>
        </w:rPr>
        <w:t>Amissah</w:t>
      </w:r>
      <w:proofErr w:type="spellEnd"/>
      <w:r w:rsidRPr="00AD6688">
        <w:rPr>
          <w:rFonts w:ascii="Times New Roman" w:hAnsi="Times New Roman" w:cs="Times New Roman"/>
          <w:sz w:val="24"/>
          <w:szCs w:val="24"/>
        </w:rPr>
        <w:t xml:space="preserve"> et al, 2019). Failure to address operational injuries result to apathy, fatigue and disincentive to workers which inhibit the zeal to work.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kLHsmgy","properties":{"formattedCitation":"(8)","plainCitation":"(8)","noteIndex":0},"citationItems":[{"id":"vN2fituk/7xk8XyQe","uris":["http://www.mendeley.com/documents/?uuid=2a66dbde-ec0e-475c-99d0-5d846770ec59"],"itemData":{"DOI":"10.1186/s13104-019-4744-8","ISSN":"17560500","PMID":"31694711","abstract":"Objective: This study aims to examine the predisposing factors influencing occupational injuries among frontline construction workers in Ghana. A cross-sectional survey was carried out with 634 frontline construction workers in Kumasi metropolis of Ghana using a structured questionnaire. The study was conducted from December 2016 to June 2017 using a household-based approach. The respondents were selected through a two-stage sampling approach. A multivariate logistics regression model was employed to examine the association between risk factors and injury. Data was analyzed employing descriptive and inferential statistics with STATA version 14. Results: The study found an injury prevalence of 57.91% among the workers. Open Wounds (37.29%) and fractures (6.78%) were the common and least injuries recorded respectively. The proximal factors (age, sex of worker, income) and distal factors (e.g. work structure, trade specialization, working hours, job/task location, and monthly off days) were risk factors for occupational injuries among frontline construction workers. The study recommends that policymakers and occupational health experts should incorporate the proximal and distal factors in the design of injury prevention as well as management strategies.","author":[{"dropping-particle":"","family":"Amissah","given":"John","non-dropping-particle":"","parse-names":false,"suffix":""},{"dropping-particle":"","family":"Badu","given":"Eric","non-dropping-particle":"","parse-names":false,"suffix":""},{"dropping-particle":"","family":"Agyei-Baffour","given":"Peter","non-dropping-particle":"","parse-names":false,"suffix":""},{"dropping-particle":"","family":"Nakua","given":"Emmanuel Kweku","non-dropping-particle":"","parse-names":false,"suffix":""},{"dropping-particle":"","family":"Mensah","given":"Isaac","non-dropping-particle":"","parse-names":false,"suffix":""}],"container-title":"BMC Research Notes","id":"ITEM-1","issue":"1","issued":{"date-parts":[["2019"]]},"page":"8-15","publisher":"BioMed Central","title":"Predisposing factors influencing occupational injury among frontline building construction workers in Ghana","type":"article-journal","volume":"12"}}],"schema":"https://github.com/citation-style-language/schema/raw/master/csl-citation.json"}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6AADFD44"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Clearly, failure to address health threats in the work environment may pose a barrier to retaining and sustaining caregiver ranks, which in turn threaten the delivery of health care. In identifying these gaps, this study seeks to assess the occupational hazards and injuries among health workers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w:t>
      </w:r>
    </w:p>
    <w:p w14:paraId="2FD9FA83" w14:textId="77777777" w:rsidR="002F4F67" w:rsidRPr="00AD6688" w:rsidRDefault="00E15D01" w:rsidP="006635CC">
      <w:pPr>
        <w:pStyle w:val="Heading1"/>
        <w:spacing w:line="240" w:lineRule="auto"/>
        <w:rPr>
          <w:rFonts w:ascii="Times New Roman" w:hAnsi="Times New Roman" w:cs="Times New Roman"/>
          <w:b/>
          <w:color w:val="000000" w:themeColor="text1"/>
          <w:sz w:val="24"/>
          <w:szCs w:val="24"/>
        </w:rPr>
      </w:pPr>
      <w:bookmarkStart w:id="7" w:name="_Toc79350922"/>
      <w:bookmarkStart w:id="8" w:name="_Toc40796294"/>
      <w:r w:rsidRPr="00AD6688">
        <w:rPr>
          <w:rFonts w:ascii="Times New Roman" w:hAnsi="Times New Roman" w:cs="Times New Roman"/>
          <w:b/>
          <w:color w:val="000000" w:themeColor="text1"/>
          <w:sz w:val="24"/>
          <w:szCs w:val="24"/>
        </w:rPr>
        <w:t>1.2 Problem Statement</w:t>
      </w:r>
      <w:bookmarkEnd w:id="7"/>
    </w:p>
    <w:p w14:paraId="586C4124"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Healthcare workers are frequently exposed to occupational hazards and are at risk of injuries, given they are constantly in contact with patients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F6oQhoId","properties":{"formattedCitation":"(9)","plainCitation":"(9)","noteIndex":0},"citationItems":[{"id":"vN2fituk/CHXYrobW","uris":["http://www.mendeley.com/documents/?uuid=29aba74f-edd1-4e18-b12e-729a6888bbbe"],"itemData":{"DOI":"10.1016/j.shaw.2013.04.003","ISSN":"20937911","abstract":"Background In times of continuous change and volatile markets, organizations are increasingly characterized by downsizing, work intensification, and resource rationalization. This has resulted in diversification, and the emergence of new risks within the field of occupational health and safety, with an important impact. This paper focuses on one such type of risk in the modern workplace - psychosocial risks. The current study aimed to explore stakeholder perspectives, regarding the extent to which psychosocial risks are incorporated into strategic risk management practices, at both the business and policy level. Methods Semi-structured interviews were conducted with 14 professionals, representing employer, expert, policy maker, and trade union stakeholder perspectives. Results It was found that the majority of organizations do not sufficiently, if at all, understand and incorporate psychosocial risks into strategic decision making, whereby the key barrier related to practical difficulties of not knowing how to manage psychosocial risks adequately. Conclusion The study found that there is a need to close the gap between policy and practice on a number of levels. Future recommendations comprise a policy framework and infrastructure underpinned by educational initiatives, partnerships, and networks to drive a shift in attitudes toward recognizing the duality of the concept of risk (including both potential negative and positive outcomes) and moving beyond simple regulatory compliance. © 2013, Occupational Safety and Health Research Institute. Published by Elsevier. All rights reserved.","author":[{"dropping-particle":"","family":"Langenhan","given":"Melissa K.","non-dropping-particle":"","parse-names":false,"suffix":""},{"dropping-particle":"","family":"Leka","given":"Stavroula","non-dropping-particle":"","parse-names":false,"suffix":""},{"dropping-particle":"","family":"Jain","given":"Aditya","non-dropping-particle":"","parse-names":false,"suffix":""}],"container-title":"Safety and Health at Work","id":"ITEM-1","issue":"2","issued":{"date-parts":[["2013"]]},"page":"87-94","publisher":"Elsevier Ltd","title":"Psychosocial risks: Is risk management strategic enough in business and policy making?","type":"article-journal","volume":"4"}}],"schema":"https://github.com/citation-style-language/schema/raw/master/csl-citation.json"}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These exposures do not only affect the quality of care delivered by healthcare workers but also their safety and well-being. Unsafe and injurious working environment affect service delivery quality and productivity and retention of health workers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7a2sbez","properties":{"formattedCitation":"(10)","plainCitation":"(10)","noteIndex":0},"citationItems":[{"id":"vN2fituk/1RqWr6s6","uris":["http://www.mendeley.com/documents/?uuid=c367b4f8-67c4-4dff-a5d5-f9ef0c71cc4b"],"itemData":{"ISSN":"09766359","abstract":"Labor health, safety and welfare are the measures of promoting the proficiency of labor. The various welfare measures provided by the employer will have immediate impact on the health, physical and mental efficiency alertness, morale and overall proficiency of the worker and thereby contributing to the higher productivity. Some of the facilities and services which fall within the preview of labor welfare include adequate canteen facilities, accommodation arrangements, and recreational facilities, medical facilities transportation facilities for traveling from &amp; to the place of work. This research highlights the health, safety and welfare measures taken in the manufacturing industry, the employees’ satisfaction level, and to identify the overall quality of work life of the employees. The Data collection was done through questionnaire. To analyze, the collected data the researcher used simple percentage analysis and Chi-Square test. Different charts and graphs were drawn to interpret the collected data.","author":[{"dropping-particle":"","family":"Jaju","given":"Aishwarya","non-dropping-particle":"","parse-names":false,"suffix":""},{"dropping-particle":"","family":"Kurian","given":"Jikku Susan","non-dropping-particle":"","parse-names":false,"suffix":""},{"dropping-particle":"","family":"Ravikanth","given":"P.","non-dropping-particle":"","parse-names":false,"suffix":""}],"container-title":"International Journal of Mechanical Engineering and Technology","id":"ITEM-1","issue":"2","issued":{"date-parts":[["2018"]]},"page":"698-709","title":"Health, safety and welfare measures for employees at hindustan coca-cola pvt. Ltd: An empirical study","type":"article-journal","volume":"9"}}],"schema":"https://github.com/citation-style-language/schema/raw/master/csl-citation.json"}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4C0BDBD8"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Ghastly, stressing the vulnerability of health staff exposure to occupational injuries, 96% of blood borne infections chanced in low- income countries. Skillfully, Healthcare Professionals take care of sick people through diverse curative and preventive services. However, while they engrossed on providing healthcare, they are exposed to hazards that could affect their health and wellbeing. This is the situation in developing countries where health services are implored with the minimum protective precautions against being exposed to various occupational injuries and hazards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L4uBd6Kw","properties":{"formattedCitation":"(11)","plainCitation":"(11)","noteIndex":0},"citationItems":[{"id":"vN2fituk/AkzjP9ne","uris":["http://www.mendeley.com/documents/?uuid=efcb2203-464a-42cf-8e51-861b274727ec"],"itemData":{"DOI":"10.1186/s13104-016-1880-2","ISSN":"1756-0500","PMID":"26852406","abstract":"Background: By profession, healthcare workers (HCWs) attend to clients and patients through a variety of preventive and curative services. However, while their attention is focused on providing care, they are vulnerable to hazards that could be detrimental to their health and well-being. This is especially true in developing countries where health service delivery is fraught with minimal protective precautions against exposures to numerous fomites and infectious agents. This study assessed the workplace hazards and safety practices by selected HCWs in a typical health care facility (HCF) in Nigeria. Methods: The study utilized a descriptive cross-sectional design and stratified sampling technique to identify 290 respondents. The study used mixed methodology and collected data by validated instruments with resulting data analyzed by IBM-SPSS, version 20. Results: The results showed that over half of the respondents were registered nurses, female, married (61.7 %) with 5 years median work experience (70.3 %). Most respondents (89 %) were knowledgeable about hazards in HCFs, identified recapping used needles as a risky practice (70 %) and recognized that effective hand washing prior to, and after every clinical procedure in preventing cross infection (100 %). Also, most respondents (96.2 %) believed they were at risk of occupational hazards while about two-thirds perceived the risk as high. In addition, only 64.2 and 87.2 % had completed Hepatitis B and Tetanus immunizations, respectively. Only 52.1 % \"always\" complied with standard procedures and most (93.8 %) practice safe disposal of sharps (93.8 %) while those that did not (40 %) generally implicated lack of basic safety equipment. In this study, the practice of hand washing by respondents was not influenced by occupation and education. Conclusions: The high level of knowledge demonstrated by respondents was at variance with practice, therefore, measures aimed at promoting safety practices and, minimizing exposure to hazards such as; provision of safety equipment, pre-placement and routine training of staff on safety practices and adequate reinforcement of staff capacity and capability through drills in all HCFs should be institutionalized and made mandatory. The protocol of the safety training and drills should be responsive to evidence-based emerging and sectoral safety challenges.","author":[{"dropping-particle":"","family":"Aluko","given":"Olufemi Oludare","non-dropping-particle":"","parse-names":false,"suffix":""},{"dropping-particle":"","family":"Adebayo","given":"Ayobami Emmanuel","non-dropping-particle":"","parse-names":false,"suffix":""},{"dropping-particle":"","family":"Adebisi","given":"Titilayo Florence","non-dropping-particle":"","parse-names":false,"suffix":""},{"dropping-particle":"","family":"Ewegbemi","given":"Mathew Kolawole","non-dropping-particle":"","parse-names":false,"suffix":""},{"dropping-particle":"","family":"Abidoye","given":"Abiodun Tolani","non-dropping-particle":"","parse-names":false,"suffix":""},{"dropping-particle":"","family":"Popoola","given":"Bukola Faith","non-dropping-particle":"","parse-names":false,"suffix":""}],"container-title":"BMC Research Notes","id":"ITEM-1","issue":"1","issued":{"date-parts":[["2016","12","6"]]},"page":"71","publisher":"BioMed Central","title":"Knowledge, attitudes and perceptions of occupational hazards and safety practices in Nigerian healthcare workers","type":"article-journal","volume":"9"}}],"schema":"https://github.com/citation-style-language/schema/raw/master/csl-citation.json"}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In addition, substandard attitude toward safety of health workers and miniature mastery on occupational injuries and hazards among health workers significantly contribute to their vulnerabilities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yg6tRCtT","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14:paraId="7DFDB82B"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Little is mentioned about occupational health hazards and injuries confronting healthcare practitioners and other health facility workers in Ghana.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health facilities especially Tepa Government Hospital, the busiest health facility in the Municipality, and serving as the main referral health </w:t>
      </w:r>
      <w:proofErr w:type="spellStart"/>
      <w:r w:rsidRPr="00AD6688">
        <w:rPr>
          <w:rFonts w:ascii="Times New Roman" w:hAnsi="Times New Roman" w:cs="Times New Roman"/>
          <w:sz w:val="24"/>
          <w:szCs w:val="24"/>
        </w:rPr>
        <w:t>centre</w:t>
      </w:r>
      <w:proofErr w:type="spellEnd"/>
      <w:r w:rsidRPr="00AD6688">
        <w:rPr>
          <w:rFonts w:ascii="Times New Roman" w:hAnsi="Times New Roman" w:cs="Times New Roman"/>
          <w:sz w:val="24"/>
          <w:szCs w:val="24"/>
        </w:rPr>
        <w:t xml:space="preserve"> do not report any occupational injuries and hazards affecting them in their discharge of duties. This study sought to assess the occupational hazards and injuries among health workers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2020).</w:t>
      </w:r>
    </w:p>
    <w:p w14:paraId="098F4D80"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9" w:name="_Toc79350923"/>
      <w:r w:rsidRPr="00AD6688">
        <w:rPr>
          <w:rFonts w:ascii="Times New Roman" w:hAnsi="Times New Roman" w:cs="Times New Roman"/>
          <w:b/>
          <w:color w:val="auto"/>
          <w:sz w:val="24"/>
          <w:szCs w:val="24"/>
        </w:rPr>
        <w:t>1.3 General Objective</w:t>
      </w:r>
      <w:bookmarkEnd w:id="8"/>
      <w:bookmarkEnd w:id="9"/>
    </w:p>
    <w:p w14:paraId="599CCEFC"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To assess the occupational hazards and injuries among health workers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 xml:space="preserve">. </w:t>
      </w:r>
    </w:p>
    <w:p w14:paraId="6FBD8F2F"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10" w:name="_Toc40796295"/>
      <w:bookmarkStart w:id="11" w:name="_Toc79350924"/>
      <w:r w:rsidRPr="00AD6688">
        <w:rPr>
          <w:rFonts w:ascii="Times New Roman" w:hAnsi="Times New Roman" w:cs="Times New Roman"/>
          <w:b/>
          <w:color w:val="auto"/>
          <w:sz w:val="24"/>
          <w:szCs w:val="24"/>
        </w:rPr>
        <w:t>1.3.1 Specific Objective of the Study</w:t>
      </w:r>
      <w:bookmarkEnd w:id="10"/>
      <w:bookmarkEnd w:id="11"/>
    </w:p>
    <w:p w14:paraId="562ADEA8"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Therefore, the specific objectives of the study were to:</w:t>
      </w:r>
    </w:p>
    <w:p w14:paraId="45ACB21D" w14:textId="77777777" w:rsidR="002F4F67" w:rsidRPr="00AD6688" w:rsidRDefault="00E15D01" w:rsidP="006635CC">
      <w:pPr>
        <w:numPr>
          <w:ilvl w:val="0"/>
          <w:numId w:val="1"/>
        </w:numPr>
        <w:spacing w:after="0" w:line="240" w:lineRule="auto"/>
        <w:ind w:left="567"/>
        <w:contextualSpacing/>
        <w:jc w:val="both"/>
        <w:rPr>
          <w:rFonts w:ascii="Times New Roman" w:hAnsi="Times New Roman" w:cs="Times New Roman"/>
          <w:sz w:val="24"/>
          <w:szCs w:val="24"/>
        </w:rPr>
      </w:pPr>
      <w:r w:rsidRPr="00AD6688">
        <w:rPr>
          <w:rFonts w:ascii="Times New Roman" w:hAnsi="Times New Roman" w:cs="Times New Roman"/>
          <w:sz w:val="24"/>
          <w:szCs w:val="24"/>
        </w:rPr>
        <w:t xml:space="preserve"> Assess the nature of occupational hazards and injuries health care workers suffer during healthcare delivery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w:t>
      </w:r>
    </w:p>
    <w:p w14:paraId="0D39EFA2" w14:textId="77777777" w:rsidR="002F4F67" w:rsidRPr="00AD6688" w:rsidRDefault="00E15D01" w:rsidP="006635CC">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AD6688">
        <w:rPr>
          <w:rFonts w:ascii="Times New Roman" w:hAnsi="Times New Roman" w:cs="Times New Roman"/>
          <w:color w:val="000000"/>
          <w:sz w:val="24"/>
          <w:szCs w:val="24"/>
        </w:rPr>
        <w:t xml:space="preserve">Identify the possible reasons of occupational hazards and injuries among health care workers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 xml:space="preserve">. </w:t>
      </w:r>
    </w:p>
    <w:p w14:paraId="02AADF50" w14:textId="77777777" w:rsidR="002F4F67" w:rsidRPr="00AD6688" w:rsidRDefault="00E15D01" w:rsidP="006635CC">
      <w:pPr>
        <w:pStyle w:val="Default"/>
        <w:numPr>
          <w:ilvl w:val="0"/>
          <w:numId w:val="1"/>
        </w:numPr>
        <w:ind w:left="567"/>
        <w:jc w:val="both"/>
        <w:rPr>
          <w:rFonts w:ascii="Times New Roman" w:hAnsi="Times New Roman" w:cs="Times New Roman"/>
          <w:color w:val="auto"/>
        </w:rPr>
      </w:pPr>
      <w:r w:rsidRPr="00AD6688">
        <w:rPr>
          <w:rFonts w:ascii="Times New Roman" w:hAnsi="Times New Roman" w:cs="Times New Roman"/>
          <w:color w:val="auto"/>
        </w:rPr>
        <w:t xml:space="preserve">Assess whether health workers report occupational hazards and injuries they encounter at the work place in the </w:t>
      </w:r>
      <w:proofErr w:type="spellStart"/>
      <w:r w:rsidRPr="00AD6688">
        <w:rPr>
          <w:rFonts w:ascii="Times New Roman" w:hAnsi="Times New Roman" w:cs="Times New Roman"/>
          <w:color w:val="auto"/>
        </w:rPr>
        <w:t>Ahafo</w:t>
      </w:r>
      <w:proofErr w:type="spellEnd"/>
      <w:r w:rsidRPr="00AD6688">
        <w:rPr>
          <w:rFonts w:ascii="Times New Roman" w:hAnsi="Times New Roman" w:cs="Times New Roman"/>
          <w:color w:val="auto"/>
        </w:rPr>
        <w:t xml:space="preserve"> </w:t>
      </w:r>
      <w:proofErr w:type="spellStart"/>
      <w:r w:rsidRPr="00AD6688">
        <w:rPr>
          <w:rFonts w:ascii="Times New Roman" w:hAnsi="Times New Roman" w:cs="Times New Roman"/>
          <w:color w:val="auto"/>
        </w:rPr>
        <w:t>Ano</w:t>
      </w:r>
      <w:proofErr w:type="spellEnd"/>
      <w:r w:rsidRPr="00AD6688">
        <w:rPr>
          <w:rFonts w:ascii="Times New Roman" w:hAnsi="Times New Roman" w:cs="Times New Roman"/>
          <w:color w:val="auto"/>
        </w:rPr>
        <w:t xml:space="preserve"> North Municipal, </w:t>
      </w:r>
      <w:proofErr w:type="spellStart"/>
      <w:r w:rsidRPr="00AD6688">
        <w:rPr>
          <w:rFonts w:ascii="Times New Roman" w:hAnsi="Times New Roman" w:cs="Times New Roman"/>
          <w:color w:val="auto"/>
        </w:rPr>
        <w:t>Tepa</w:t>
      </w:r>
      <w:proofErr w:type="spellEnd"/>
      <w:r w:rsidRPr="00AD6688">
        <w:rPr>
          <w:rFonts w:ascii="Times New Roman" w:hAnsi="Times New Roman" w:cs="Times New Roman"/>
          <w:color w:val="auto"/>
        </w:rPr>
        <w:t>.</w:t>
      </w:r>
    </w:p>
    <w:p w14:paraId="7045C226"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12" w:name="_Toc40796296"/>
      <w:bookmarkStart w:id="13" w:name="_Toc79350925"/>
      <w:r w:rsidRPr="00AD6688">
        <w:rPr>
          <w:rFonts w:ascii="Times New Roman" w:hAnsi="Times New Roman" w:cs="Times New Roman"/>
          <w:b/>
          <w:color w:val="auto"/>
          <w:sz w:val="24"/>
          <w:szCs w:val="24"/>
        </w:rPr>
        <w:t>1.4 Research Questions</w:t>
      </w:r>
      <w:bookmarkEnd w:id="12"/>
      <w:bookmarkEnd w:id="13"/>
    </w:p>
    <w:p w14:paraId="3F360D97"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The following set of questions directed the researcher in this study:</w:t>
      </w:r>
    </w:p>
    <w:p w14:paraId="17B425E9" w14:textId="77777777" w:rsidR="002F4F67" w:rsidRPr="00AD6688" w:rsidRDefault="00E15D01" w:rsidP="006635CC">
      <w:pPr>
        <w:numPr>
          <w:ilvl w:val="0"/>
          <w:numId w:val="2"/>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AD6688">
        <w:rPr>
          <w:rFonts w:ascii="Times New Roman" w:hAnsi="Times New Roman" w:cs="Times New Roman"/>
          <w:sz w:val="24"/>
          <w:szCs w:val="24"/>
        </w:rPr>
        <w:t xml:space="preserve">What are the nature of occupational hazards and injuries health care workers suffer during healthcare delivery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w:t>
      </w:r>
    </w:p>
    <w:p w14:paraId="751F1D21" w14:textId="77777777" w:rsidR="002F4F67" w:rsidRPr="00AD6688" w:rsidRDefault="00E15D01" w:rsidP="006635CC">
      <w:pPr>
        <w:numPr>
          <w:ilvl w:val="0"/>
          <w:numId w:val="2"/>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AD6688">
        <w:rPr>
          <w:rFonts w:ascii="Times New Roman" w:hAnsi="Times New Roman" w:cs="Times New Roman"/>
          <w:color w:val="000000"/>
          <w:sz w:val="24"/>
          <w:szCs w:val="24"/>
        </w:rPr>
        <w:t xml:space="preserve">What are the possible reasons of occupational hazards and injuries among health care workers in the </w:t>
      </w:r>
      <w:proofErr w:type="spellStart"/>
      <w:r w:rsidRPr="00AD6688">
        <w:rPr>
          <w:rFonts w:ascii="Times New Roman" w:hAnsi="Times New Roman" w:cs="Times New Roman"/>
          <w:color w:val="000000"/>
          <w:sz w:val="24"/>
          <w:szCs w:val="24"/>
        </w:rPr>
        <w:t>Ahafo</w:t>
      </w:r>
      <w:proofErr w:type="spellEnd"/>
      <w:r w:rsidRPr="00AD6688">
        <w:rPr>
          <w:rFonts w:ascii="Times New Roman" w:hAnsi="Times New Roman" w:cs="Times New Roman"/>
          <w:color w:val="000000"/>
          <w:sz w:val="24"/>
          <w:szCs w:val="24"/>
        </w:rPr>
        <w:t xml:space="preserve"> </w:t>
      </w:r>
      <w:proofErr w:type="spellStart"/>
      <w:r w:rsidRPr="00AD6688">
        <w:rPr>
          <w:rFonts w:ascii="Times New Roman" w:hAnsi="Times New Roman" w:cs="Times New Roman"/>
          <w:color w:val="000000"/>
          <w:sz w:val="24"/>
          <w:szCs w:val="24"/>
        </w:rPr>
        <w:t>Ano</w:t>
      </w:r>
      <w:proofErr w:type="spellEnd"/>
      <w:r w:rsidRPr="00AD6688">
        <w:rPr>
          <w:rFonts w:ascii="Times New Roman" w:hAnsi="Times New Roman" w:cs="Times New Roman"/>
          <w:color w:val="000000"/>
          <w:sz w:val="24"/>
          <w:szCs w:val="24"/>
        </w:rPr>
        <w:t xml:space="preserve"> North Municipal, </w:t>
      </w:r>
      <w:proofErr w:type="spellStart"/>
      <w:r w:rsidRPr="00AD6688">
        <w:rPr>
          <w:rFonts w:ascii="Times New Roman" w:hAnsi="Times New Roman" w:cs="Times New Roman"/>
          <w:color w:val="000000"/>
          <w:sz w:val="24"/>
          <w:szCs w:val="24"/>
        </w:rPr>
        <w:t>Tepa</w:t>
      </w:r>
      <w:proofErr w:type="spellEnd"/>
      <w:r w:rsidRPr="00AD6688">
        <w:rPr>
          <w:rFonts w:ascii="Times New Roman" w:hAnsi="Times New Roman" w:cs="Times New Roman"/>
          <w:color w:val="000000"/>
          <w:sz w:val="24"/>
          <w:szCs w:val="24"/>
        </w:rPr>
        <w:t>?</w:t>
      </w:r>
      <w:r w:rsidRPr="00AD6688">
        <w:rPr>
          <w:rFonts w:ascii="Times New Roman" w:hAnsi="Times New Roman" w:cs="Times New Roman"/>
          <w:sz w:val="24"/>
          <w:szCs w:val="24"/>
        </w:rPr>
        <w:t xml:space="preserve"> </w:t>
      </w:r>
    </w:p>
    <w:p w14:paraId="45AD71C0" w14:textId="77777777" w:rsidR="002F4F67" w:rsidRPr="00AD6688" w:rsidRDefault="00E15D01" w:rsidP="006635CC">
      <w:pPr>
        <w:pStyle w:val="Default"/>
        <w:numPr>
          <w:ilvl w:val="0"/>
          <w:numId w:val="2"/>
        </w:numPr>
        <w:jc w:val="both"/>
        <w:rPr>
          <w:rFonts w:ascii="Times New Roman" w:hAnsi="Times New Roman" w:cs="Times New Roman"/>
        </w:rPr>
      </w:pPr>
      <w:r w:rsidRPr="00AD6688">
        <w:rPr>
          <w:rFonts w:ascii="Times New Roman" w:hAnsi="Times New Roman" w:cs="Times New Roman"/>
        </w:rPr>
        <w:t xml:space="preserve">What are the occupational hazards and injuries that healthcare workers report at the work place in the </w:t>
      </w:r>
      <w:proofErr w:type="spellStart"/>
      <w:r w:rsidRPr="00AD6688">
        <w:rPr>
          <w:rFonts w:ascii="Times New Roman" w:hAnsi="Times New Roman" w:cs="Times New Roman"/>
        </w:rPr>
        <w:t>Ahafo</w:t>
      </w:r>
      <w:proofErr w:type="spellEnd"/>
      <w:r w:rsidRPr="00AD6688">
        <w:rPr>
          <w:rFonts w:ascii="Times New Roman" w:hAnsi="Times New Roman" w:cs="Times New Roman"/>
        </w:rPr>
        <w:t xml:space="preserve"> </w:t>
      </w:r>
      <w:proofErr w:type="spellStart"/>
      <w:r w:rsidRPr="00AD6688">
        <w:rPr>
          <w:rFonts w:ascii="Times New Roman" w:hAnsi="Times New Roman" w:cs="Times New Roman"/>
        </w:rPr>
        <w:t>Ano</w:t>
      </w:r>
      <w:proofErr w:type="spellEnd"/>
      <w:r w:rsidRPr="00AD6688">
        <w:rPr>
          <w:rFonts w:ascii="Times New Roman" w:hAnsi="Times New Roman" w:cs="Times New Roman"/>
        </w:rPr>
        <w:t xml:space="preserve"> North Municipal, </w:t>
      </w:r>
      <w:proofErr w:type="spellStart"/>
      <w:r w:rsidRPr="00AD6688">
        <w:rPr>
          <w:rFonts w:ascii="Times New Roman" w:hAnsi="Times New Roman" w:cs="Times New Roman"/>
        </w:rPr>
        <w:t>Tepa</w:t>
      </w:r>
      <w:proofErr w:type="spellEnd"/>
      <w:r w:rsidRPr="00AD6688">
        <w:rPr>
          <w:rFonts w:ascii="Times New Roman" w:hAnsi="Times New Roman" w:cs="Times New Roman"/>
        </w:rPr>
        <w:t>?</w:t>
      </w:r>
    </w:p>
    <w:p w14:paraId="29F1A8D8"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14" w:name="_Toc79350926"/>
      <w:r w:rsidRPr="00AD6688">
        <w:rPr>
          <w:rFonts w:ascii="Times New Roman" w:hAnsi="Times New Roman" w:cs="Times New Roman"/>
          <w:b/>
          <w:color w:val="auto"/>
          <w:sz w:val="24"/>
          <w:szCs w:val="24"/>
        </w:rPr>
        <w:t>1.5. Justification of the study</w:t>
      </w:r>
      <w:bookmarkEnd w:id="14"/>
    </w:p>
    <w:p w14:paraId="36E734FF"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Assessing the occupational hazards and injuries among health workers has the ability to create awareness in occupational health hazards and injuries and superintend and set standards to promote safety and health in the various healthcare settings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{"citationID":"MOO1Hbf3","properties":{"formattedCitation":"(12)","plainCitation":"(12)","noteIndex":0},"citationItems":[{"id":"vN2fituk/fjXs7dmH","uris":["http://www.mendeley.com/documents/?uuid=50a71389-93ce-4e91-a932-d20fabf263c2"],"itemData":{"abstract":"ABSTRACT Introduction: Sawmill workers in Nigeria are exposed to many workplace hazards and avoidable health problems. This study was carried out to determine the perceived hazards and health problems among workers in a sawmill in Uyo, Nigeria. Materials and Methods: This was a cross-sectional descriptive study carried out in February 2018 among workers in a sawmill in Uyo. Information obtained using an interviewer-administered questionnaire included work history, occupational hazards, health problems, and use of personal protective equipment (PPE) among the wood workers. Data were analyzed with IBM SPSS Statistics 20 software. Inferences were made using the chi-square test. Level of significance was set at 0.05. Result: A total of 127 respondents participated in the study. The mean age of respondents was 35.14 ± 11.38 years. A majority of 124 (97.6%) were males and 76 (59.8%) had completed secondary level of education. A majority of 92 (72.4%) worked for 8–10 hours daily and 54 (42.5%) had worked for &gt;10 years. Occupational hazards reported were dust, 94 (74.0%), noise 93 (73.2%), vibration 62(48.8%), and heat 60 (47.2%). Health problems included injuries 54 (42.5%), low back pain 52 (40.9%), cough 45 (35.4%), and eye irritations 34 (26.8%). Cough was significantly associated with the number of work years (p &lt; 0.05). The most commonly used PPEs were face masks 17 (13.4%) and goggles 13 (10.2%). Conclusion: Despite the hazards and health problems reported by the workers, the use of PPE was poor. Legislation such as the Occupational Safety and Health Framework Directive which obliges employers to take appropriate preventive measures to make work safer and healthier should be enforced in all sawmills. Health and safety training and occupational health services should also be provided for sawmill workers to ensure a healthier workforce.","author":[{"dropping-particle":"","family":"Johnson","given":"Ofonime Effiong","non-dropping-particle":"","parse-names":false,"suffix":""},{"dropping-particle":"","family":"Umoren","given":"Queen Malachy","non-dropping-particle":"","parse-names":false,"suffix":""}],"id":"ITEM-1","issue":"2","issued":{"date-parts":[["2018"]]},"page":"17-24","title":"Occupational hazards and health problems reported by workers in a Sawmill in Uyo ,","type":"article-journal","volume":"7"}}],"schema":"https://github.com/citation-style-language/schema/raw/master/csl-citation.json"}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(12)</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5EE8DBE6"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Adequate knowledge on occupational hazards and injuries coupled with approving demeanor and consciousness among healthcare workers is profoundly essential for preventing the hap of various classifications of occupational injuries and diseases. However, data on hazards and injuries faced by healthcare workers during the discharge of duties is scanty especially in less developed countries where the load of occupational injuries and diseases continue to wax (</w:t>
      </w:r>
      <w:proofErr w:type="spellStart"/>
      <w:r w:rsidRPr="00AD6688">
        <w:rPr>
          <w:rFonts w:ascii="Times New Roman" w:hAnsi="Times New Roman" w:cs="Times New Roman"/>
          <w:sz w:val="24"/>
          <w:szCs w:val="24"/>
        </w:rPr>
        <w:t>Agbana</w:t>
      </w:r>
      <w:proofErr w:type="spellEnd"/>
      <w:r w:rsidRPr="00AD6688">
        <w:rPr>
          <w:rFonts w:ascii="Times New Roman" w:hAnsi="Times New Roman" w:cs="Times New Roman"/>
          <w:sz w:val="24"/>
          <w:szCs w:val="24"/>
        </w:rPr>
        <w:t xml:space="preserve"> et al., 2016). </w:t>
      </w:r>
    </w:p>
    <w:p w14:paraId="2648E86A"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This study was expected to help provide data on hazards and injuries syndicated with the healthcare environment and ways to reduce the happenings of these hazards by using equipment to safeguard employees at the health facilities. </w:t>
      </w:r>
    </w:p>
    <w:p w14:paraId="5608E686"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arbitrament of this study may boon policy makers such as the Ministry of Health, Ghana Health Service and other healthcare related organizations to fashion out the must-have policies to help improve the safety and health of healthcare workers in the country. </w:t>
      </w:r>
    </w:p>
    <w:p w14:paraId="2E808F7A"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15" w:name="_Toc79350927"/>
      <w:r w:rsidRPr="00AD6688">
        <w:rPr>
          <w:rFonts w:ascii="Times New Roman" w:hAnsi="Times New Roman" w:cs="Times New Roman"/>
          <w:b/>
          <w:color w:val="auto"/>
          <w:sz w:val="24"/>
          <w:szCs w:val="24"/>
        </w:rPr>
        <w:t>1.6. Conceptual Framework</w:t>
      </w:r>
      <w:bookmarkEnd w:id="15"/>
    </w:p>
    <w:p w14:paraId="150D0B46" w14:textId="77777777" w:rsidR="002F4F67" w:rsidRPr="00AD6688" w:rsidRDefault="00E15D01" w:rsidP="006635CC">
      <w:pPr>
        <w:autoSpaceDE w:val="0"/>
        <w:autoSpaceDN w:val="0"/>
        <w:adjustRightInd w:val="0"/>
        <w:spacing w:after="0" w:line="240" w:lineRule="auto"/>
        <w:contextualSpacing/>
        <w:jc w:val="both"/>
        <w:rPr>
          <w:rFonts w:ascii="Times New Roman" w:hAnsi="Times New Roman" w:cs="Times New Roman"/>
          <w:sz w:val="24"/>
          <w:szCs w:val="24"/>
        </w:rPr>
      </w:pPr>
      <w:r w:rsidRPr="00AD6688">
        <w:rPr>
          <w:rFonts w:ascii="Times New Roman" w:hAnsi="Times New Roman" w:cs="Times New Roman"/>
          <w:sz w:val="24"/>
          <w:szCs w:val="24"/>
        </w:rPr>
        <w:t>Figure 1 illustrates the relationship between the nature of occupational hazards and injuries, causes of occupational health and the types of occupational health hazards that healthcare workers are likely to report at the health care environment. The framework was adapted from (</w:t>
      </w:r>
      <w:proofErr w:type="spellStart"/>
      <w:r w:rsidRPr="00AD6688">
        <w:rPr>
          <w:rFonts w:ascii="Times New Roman" w:hAnsi="Times New Roman" w:cs="Times New Roman"/>
          <w:sz w:val="24"/>
          <w:szCs w:val="24"/>
        </w:rPr>
        <w:t>Adamu</w:t>
      </w:r>
      <w:proofErr w:type="spellEnd"/>
      <w:r w:rsidRPr="00AD6688">
        <w:rPr>
          <w:rFonts w:ascii="Times New Roman" w:hAnsi="Times New Roman" w:cs="Times New Roman"/>
          <w:sz w:val="24"/>
          <w:szCs w:val="24"/>
        </w:rPr>
        <w:t xml:space="preserve"> &amp; </w:t>
      </w:r>
      <w:proofErr w:type="spellStart"/>
      <w:r w:rsidRPr="00AD6688">
        <w:rPr>
          <w:rFonts w:ascii="Times New Roman" w:hAnsi="Times New Roman" w:cs="Times New Roman"/>
          <w:sz w:val="24"/>
          <w:szCs w:val="24"/>
        </w:rPr>
        <w:t>Abdullahi</w:t>
      </w:r>
      <w:proofErr w:type="spellEnd"/>
      <w:r w:rsidRPr="00AD6688">
        <w:rPr>
          <w:rFonts w:ascii="Times New Roman" w:hAnsi="Times New Roman" w:cs="Times New Roman"/>
          <w:sz w:val="24"/>
          <w:szCs w:val="24"/>
        </w:rPr>
        <w:t>, 2017) a study on conventional occupational health hazards associated with healthcare workers in tertiary institutions, revealed healthcare workers encounter with injuries and hazards such as back pain, latex allergy, violence, stress and many others, which inversely affect their work and health. The causes of these hazards and injuries may include non-availability of personal protective equipment/wears, accidental causes, inadequate training on safety measures and ignorance on safety measures of staff. However, there is non-reporting or minimal data on injuries and hazards that occur at the health care environment.</w:t>
      </w:r>
    </w:p>
    <w:p w14:paraId="307628A3"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Health care workers may be extremely careful in their line of duties when they know the health hazards and injuries bonded to whatever procedure they are undertaking. The eventual goal of knowing the causes of occupational health hazards and injuries and reporting is to spawn a healthy working ambient for all categories of workers in the healthcare facility. </w:t>
      </w:r>
    </w:p>
    <w:p w14:paraId="4001D57F" w14:textId="77777777" w:rsidR="002F4F67" w:rsidRPr="00AD6688" w:rsidRDefault="002F4F67" w:rsidP="006635CC">
      <w:pPr>
        <w:spacing w:line="240" w:lineRule="auto"/>
        <w:rPr>
          <w:rFonts w:ascii="Times New Roman" w:hAnsi="Times New Roman" w:cs="Times New Roman"/>
          <w:sz w:val="24"/>
          <w:szCs w:val="24"/>
        </w:rPr>
      </w:pPr>
    </w:p>
    <w:p w14:paraId="216852A3" w14:textId="77777777" w:rsidR="002F4F67" w:rsidRPr="00AD6688" w:rsidRDefault="002F4F67" w:rsidP="006635CC">
      <w:pPr>
        <w:spacing w:line="240" w:lineRule="auto"/>
        <w:rPr>
          <w:rFonts w:ascii="Times New Roman" w:hAnsi="Times New Roman" w:cs="Times New Roman"/>
          <w:sz w:val="24"/>
          <w:szCs w:val="24"/>
        </w:rPr>
      </w:pPr>
    </w:p>
    <w:p w14:paraId="3A370777" w14:textId="77777777" w:rsidR="002F4F67" w:rsidRPr="00AD6688" w:rsidRDefault="002F4F67" w:rsidP="006635CC">
      <w:pPr>
        <w:spacing w:line="240" w:lineRule="auto"/>
        <w:rPr>
          <w:rFonts w:ascii="Times New Roman" w:hAnsi="Times New Roman" w:cs="Times New Roman"/>
          <w:sz w:val="24"/>
          <w:szCs w:val="24"/>
        </w:rPr>
      </w:pPr>
    </w:p>
    <w:p w14:paraId="6C26284F" w14:textId="77777777" w:rsidR="002F4F67" w:rsidRPr="00AD6688" w:rsidRDefault="002F4F67" w:rsidP="006635CC">
      <w:pPr>
        <w:spacing w:line="240" w:lineRule="auto"/>
        <w:rPr>
          <w:rFonts w:ascii="Times New Roman" w:hAnsi="Times New Roman" w:cs="Times New Roman"/>
          <w:sz w:val="24"/>
          <w:szCs w:val="24"/>
        </w:rPr>
      </w:pPr>
    </w:p>
    <w:p w14:paraId="0EE554DD" w14:textId="77777777" w:rsidR="002F4F67" w:rsidRPr="00AD6688" w:rsidRDefault="00E15D01" w:rsidP="006635CC">
      <w:pPr>
        <w:spacing w:line="240" w:lineRule="auto"/>
        <w:rPr>
          <w:rFonts w:ascii="Times New Roman" w:eastAsia="SimSun" w:hAnsi="Times New Roman" w:cs="Times New Roman"/>
          <w:b/>
          <w:bCs/>
          <w:sz w:val="24"/>
          <w:szCs w:val="24"/>
        </w:rPr>
      </w:pPr>
      <w:r w:rsidRPr="00AD6688">
        <w:rPr>
          <w:rFonts w:ascii="Times New Roman" w:hAnsi="Times New Roman" w:cs="Times New Roman"/>
          <w:sz w:val="24"/>
          <w:szCs w:val="24"/>
        </w:rPr>
        <w:br w:type="page"/>
      </w:r>
    </w:p>
    <w:p w14:paraId="0EF566FF" w14:textId="77777777" w:rsidR="002F4F67" w:rsidRPr="00AD6688" w:rsidRDefault="00E15D01"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r w:rsidRPr="00AD6688">
        <w:rPr>
          <w:rFonts w:ascii="Times New Roman" w:hAnsi="Times New Roman" w:cs="Times New Roman"/>
          <w:noProof/>
          <w:sz w:val="24"/>
          <w:szCs w:val="24"/>
        </w:rPr>
        <mc:AlternateContent>
          <mc:Choice Requires="wpg">
            <w:drawing>
              <wp:anchor distT="0" distB="0" distL="0" distR="0" simplePos="0" relativeHeight="251660288" behindDoc="0" locked="0" layoutInCell="1" allowOverlap="1" wp14:anchorId="797E4E1A" wp14:editId="7D872B4F">
                <wp:simplePos x="0" y="0"/>
                <wp:positionH relativeFrom="column">
                  <wp:posOffset>171450</wp:posOffset>
                </wp:positionH>
                <wp:positionV relativeFrom="paragraph">
                  <wp:posOffset>19050</wp:posOffset>
                </wp:positionV>
                <wp:extent cx="5429250" cy="4552950"/>
                <wp:effectExtent l="0" t="0" r="19050" b="19050"/>
                <wp:wrapNone/>
                <wp:docPr id="1029" name="Group 1"/>
                <wp:cNvGraphicFramePr/>
                <a:graphic xmlns:a="http://schemas.openxmlformats.org/drawingml/2006/main">
                  <a:graphicData uri="http://schemas.microsoft.com/office/word/2010/wordprocessingGroup">
                    <wpg:wgp>
                      <wpg:cNvGrpSpPr/>
                      <wpg:grpSpPr>
                        <a:xfrm>
                          <a:off x="0" y="0"/>
                          <a:ext cx="5429250" cy="4552950"/>
                          <a:chOff x="0" y="0"/>
                          <a:chExt cx="5637562" cy="6172264"/>
                        </a:xfrm>
                      </wpg:grpSpPr>
                      <wpg:grpSp>
                        <wpg:cNvPr id="1" name="Group 1"/>
                        <wpg:cNvGrpSpPr/>
                        <wpg:grpSpPr>
                          <a:xfrm>
                            <a:off x="0" y="0"/>
                            <a:ext cx="5637562" cy="6169660"/>
                            <a:chOff x="233415" y="-708117"/>
                            <a:chExt cx="5641459" cy="6376333"/>
                          </a:xfrm>
                        </wpg:grpSpPr>
                        <wps:wsp>
                          <wps:cNvPr id="2" name="Rectangle: Rounded Corners 2"/>
                          <wps:cNvSpPr/>
                          <wps:spPr>
                            <a:xfrm>
                              <a:off x="233415" y="-708117"/>
                              <a:ext cx="1643039" cy="2517128"/>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608F7AF0"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 xml:space="preserve">Hazards Suffered by Health Workers </w:t>
                                </w:r>
                              </w:p>
                              <w:p w14:paraId="7B6C2B1E"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-Biological (eg. Blood transmitted disease)</w:t>
                                </w:r>
                              </w:p>
                              <w:p w14:paraId="7FBF073E"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-Chemical (eg. Formalin)</w:t>
                                </w:r>
                              </w:p>
                              <w:p w14:paraId="5E85E48F"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-Physical (eg. Wet floors, Violence)</w:t>
                                </w:r>
                                <w:r>
                                  <w:rPr>
                                    <w:rFonts w:cs="Times New Roman"/>
                                    <w:szCs w:val="24"/>
                                  </w:rPr>
                                  <w:t xml:space="preserve">  </w:t>
                                </w:r>
                              </w:p>
                              <w:p w14:paraId="519E38B6" w14:textId="77777777" w:rsidR="00DE5B58" w:rsidRDefault="00DE5B58">
                                <w:pPr>
                                  <w:keepNext/>
                                  <w:keepLines/>
                                  <w:widowControl w:val="0"/>
                                  <w:spacing w:after="0" w:line="360" w:lineRule="auto"/>
                                  <w:rPr>
                                    <w:szCs w:val="24"/>
                                  </w:rPr>
                                </w:pPr>
                              </w:p>
                            </w:txbxContent>
                          </wps:txbx>
                          <wps:bodyPr vert="horz" wrap="square" lIns="91440" tIns="45720" rIns="91440" bIns="45720" anchor="t" upright="1">
                            <a:noAutofit/>
                          </wps:bodyPr>
                        </wps:wsp>
                        <wps:wsp>
                          <wps:cNvPr id="3" name="Rectangle: Rounded Corners 3"/>
                          <wps:cNvSpPr/>
                          <wps:spPr>
                            <a:xfrm>
                              <a:off x="277286" y="4004266"/>
                              <a:ext cx="1649336" cy="16639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195E2A46"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Safety Practices</w:t>
                                </w:r>
                              </w:p>
                              <w:p w14:paraId="4C8884D0"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-Uses of PPE</w:t>
                                </w:r>
                              </w:p>
                              <w:p w14:paraId="2C5C010C"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-Training</w:t>
                                </w:r>
                              </w:p>
                              <w:p w14:paraId="60A0E8E6" w14:textId="77777777" w:rsidR="00DE5B58" w:rsidRDefault="00DE5B58">
                                <w:pPr>
                                  <w:rPr>
                                    <w:rFonts w:ascii="Times New Roman" w:hAnsi="Times New Roman" w:cs="Times New Roman"/>
                                    <w:sz w:val="24"/>
                                    <w:szCs w:val="24"/>
                                  </w:rPr>
                                </w:pPr>
                              </w:p>
                              <w:p w14:paraId="18139A98" w14:textId="77777777" w:rsidR="00DE5B58" w:rsidRDefault="00DE5B58">
                                <w:pPr>
                                  <w:keepNext/>
                                  <w:keepLines/>
                                  <w:widowControl w:val="0"/>
                                  <w:rPr>
                                    <w:color w:val="2E74B5"/>
                                    <w:szCs w:val="24"/>
                                  </w:rPr>
                                </w:pPr>
                              </w:p>
                            </w:txbxContent>
                          </wps:txbx>
                          <wps:bodyPr vert="horz" wrap="square" lIns="91440" tIns="45720" rIns="91440" bIns="45720" anchor="t" upright="1">
                            <a:noAutofit/>
                          </wps:bodyPr>
                        </wps:wsp>
                        <wps:wsp>
                          <wps:cNvPr id="4" name="Rectangle 4"/>
                          <wps:cNvSpPr/>
                          <wps:spPr>
                            <a:xfrm>
                              <a:off x="2192840" y="2768564"/>
                              <a:ext cx="1831423" cy="100995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392C6E"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OCCUPATIONAL  HAZARDS AND INJURIES AMONG HEALTH WORKERS</w:t>
                                </w:r>
                              </w:p>
                              <w:p w14:paraId="7D6A25D0" w14:textId="77777777" w:rsidR="00DE5B58" w:rsidRDefault="00DE5B58">
                                <w:pPr>
                                  <w:keepNext/>
                                  <w:keepLines/>
                                  <w:widowControl w:val="0"/>
                                  <w:rPr>
                                    <w:b/>
                                    <w:color w:val="2E74B5"/>
                                    <w:szCs w:val="24"/>
                                  </w:rPr>
                                </w:pPr>
                              </w:p>
                            </w:txbxContent>
                          </wps:txbx>
                          <wps:bodyPr vert="horz" wrap="square" lIns="91440" tIns="45720" rIns="91440" bIns="45720" anchor="t" upright="1">
                            <a:noAutofit/>
                          </wps:bodyPr>
                        </wps:wsp>
                        <wps:wsp>
                          <wps:cNvPr id="5" name="Rectangle: Rounded Corners 5"/>
                          <wps:cNvSpPr/>
                          <wps:spPr>
                            <a:xfrm>
                              <a:off x="4433356" y="-646220"/>
                              <a:ext cx="1441518" cy="2746687"/>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7A315215"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Demographic Characteristics</w:t>
                                </w:r>
                              </w:p>
                              <w:p w14:paraId="5126F586"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-Age</w:t>
                                </w:r>
                              </w:p>
                              <w:p w14:paraId="5EA6064C"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-Sex</w:t>
                                </w:r>
                              </w:p>
                              <w:p w14:paraId="224C6BAD"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-Level of Education</w:t>
                                </w:r>
                              </w:p>
                              <w:p w14:paraId="68CB8C0F"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-Job category</w:t>
                                </w:r>
                              </w:p>
                              <w:p w14:paraId="63C90ED6"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-Marital Status</w:t>
                                </w:r>
                              </w:p>
                              <w:p w14:paraId="334B1D75" w14:textId="77777777" w:rsidR="00DE5B58" w:rsidRDefault="00DE5B58">
                                <w:pPr>
                                  <w:keepNext/>
                                  <w:keepLines/>
                                  <w:widowControl w:val="0"/>
                                  <w:rPr>
                                    <w:rFonts w:ascii="Times New Roman" w:hAnsi="Times New Roman" w:cs="Times New Roman"/>
                                    <w:sz w:val="24"/>
                                    <w:szCs w:val="24"/>
                                  </w:rPr>
                                </w:pPr>
                                <w:r>
                                  <w:rPr>
                                    <w:rFonts w:ascii="Times New Roman" w:hAnsi="Times New Roman" w:cs="Times New Roman"/>
                                    <w:sz w:val="24"/>
                                    <w:szCs w:val="24"/>
                                  </w:rPr>
                                  <w:t>-Religion</w:t>
                                </w:r>
                              </w:p>
                              <w:p w14:paraId="63B5D2B1" w14:textId="77777777" w:rsidR="00DE5B58" w:rsidRDefault="00DE5B58">
                                <w:pPr>
                                  <w:pStyle w:val="Heading1"/>
                                </w:pPr>
                              </w:p>
                            </w:txbxContent>
                          </wps:txbx>
                          <wps:bodyPr vert="horz" wrap="square" lIns="91440" tIns="45720" rIns="91440" bIns="45720" anchor="t" upright="1">
                            <a:noAutofit/>
                          </wps:bodyPr>
                        </wps:wsp>
                        <wps:wsp>
                          <wps:cNvPr id="6" name="Rectangle: Rounded Corners 6"/>
                          <wps:cNvSpPr/>
                          <wps:spPr>
                            <a:xfrm>
                              <a:off x="2346779" y="-646311"/>
                              <a:ext cx="1547829" cy="261428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049436F1"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Possible reasons of Occupational Health Hazards</w:t>
                                </w:r>
                              </w:p>
                              <w:p w14:paraId="450C819C"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-Non-availability of personal protective wears</w:t>
                                </w:r>
                              </w:p>
                              <w:p w14:paraId="0BD51125"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-Inadequate training on safety measures</w:t>
                                </w:r>
                              </w:p>
                              <w:p w14:paraId="07FF7942" w14:textId="77777777" w:rsidR="00DE5B58" w:rsidRDefault="00DE5B58">
                                <w:pPr>
                                  <w:pStyle w:val="ListParagraph"/>
                                  <w:rPr>
                                    <w:rFonts w:cs="Times New Roman"/>
                                    <w:szCs w:val="24"/>
                                  </w:rPr>
                                </w:pPr>
                              </w:p>
                              <w:p w14:paraId="6EDB9105" w14:textId="77777777" w:rsidR="00DE5B58" w:rsidRDefault="00DE5B58">
                                <w:pPr>
                                  <w:keepNext/>
                                  <w:keepLines/>
                                  <w:widowControl w:val="0"/>
                                  <w:rPr>
                                    <w:b/>
                                    <w:szCs w:val="24"/>
                                  </w:rPr>
                                </w:pPr>
                              </w:p>
                            </w:txbxContent>
                          </wps:txbx>
                          <wps:bodyPr vert="horz" wrap="square" lIns="91440" tIns="45720" rIns="91440" bIns="45720" anchor="t" upright="1">
                            <a:noAutofit/>
                          </wps:bodyPr>
                        </wps:wsp>
                      </wpg:grpSp>
                      <wps:wsp>
                        <wps:cNvPr id="7" name="Rectangle: Rounded Corners 7"/>
                        <wps:cNvSpPr/>
                        <wps:spPr>
                          <a:xfrm>
                            <a:off x="3907857" y="4562375"/>
                            <a:ext cx="1674975" cy="160988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14:paraId="4C3AB35B" w14:textId="77777777" w:rsidR="00DE5B58" w:rsidRDefault="00DE5B58">
                              <w:pPr>
                                <w:rPr>
                                  <w:rFonts w:ascii="Times New Roman" w:hAnsi="Times New Roman" w:cs="Times New Roman"/>
                                  <w:b/>
                                  <w:sz w:val="24"/>
                                  <w:szCs w:val="24"/>
                                </w:rPr>
                              </w:pPr>
                              <w:r>
                                <w:rPr>
                                  <w:rFonts w:ascii="Times New Roman" w:hAnsi="Times New Roman" w:cs="Times New Roman"/>
                                  <w:b/>
                                  <w:sz w:val="24"/>
                                  <w:szCs w:val="24"/>
                                </w:rPr>
                                <w:t>Reporting of Occupational Health Hazard</w:t>
                              </w:r>
                            </w:p>
                            <w:p w14:paraId="02FF962F" w14:textId="77777777" w:rsidR="00DE5B58" w:rsidRDefault="00DE5B58">
                              <w:pPr>
                                <w:rPr>
                                  <w:rFonts w:ascii="Times New Roman" w:hAnsi="Times New Roman" w:cs="Times New Roman"/>
                                  <w:sz w:val="24"/>
                                  <w:szCs w:val="24"/>
                                </w:rPr>
                              </w:pPr>
                              <w:r>
                                <w:rPr>
                                  <w:rFonts w:ascii="Times New Roman" w:hAnsi="Times New Roman" w:cs="Times New Roman"/>
                                  <w:sz w:val="24"/>
                                  <w:szCs w:val="24"/>
                                </w:rPr>
                                <w:t>-Channels of reporting (</w:t>
                              </w:r>
                              <w:r>
                                <w:rPr>
                                  <w:rFonts w:ascii="Times New Roman" w:hAnsi="Times New Roman" w:cs="Times New Roman"/>
                                  <w:sz w:val="24"/>
                                  <w:szCs w:val="24"/>
                                </w:rPr>
                                <w:t>eg. OHSU, OPD, etc)</w:t>
                              </w:r>
                            </w:p>
                            <w:p w14:paraId="223140AC" w14:textId="77777777" w:rsidR="00DE5B58" w:rsidRDefault="00DE5B58">
                              <w:pPr>
                                <w:pStyle w:val="Heading1"/>
                              </w:pPr>
                            </w:p>
                            <w:p w14:paraId="568AD7C8" w14:textId="77777777" w:rsidR="00DE5B58" w:rsidRDefault="00DE5B58">
                              <w:pPr>
                                <w:rPr>
                                  <w:rFonts w:cs="Times New Roman"/>
                                  <w:szCs w:val="24"/>
                                </w:rPr>
                              </w:pPr>
                            </w:p>
                            <w:p w14:paraId="27850792" w14:textId="77777777" w:rsidR="00DE5B58" w:rsidRDefault="00DE5B58">
                              <w:pPr>
                                <w:pStyle w:val="ListParagraph"/>
                                <w:rPr>
                                  <w:rFonts w:cs="Times New Roman"/>
                                  <w:szCs w:val="24"/>
                                </w:rPr>
                              </w:pPr>
                            </w:p>
                            <w:p w14:paraId="358045CE" w14:textId="77777777" w:rsidR="00DE5B58" w:rsidRDefault="00DE5B58">
                              <w:pPr>
                                <w:keepNext/>
                                <w:keepLines/>
                                <w:widowControl w:val="0"/>
                                <w:rPr>
                                  <w:b/>
                                  <w:szCs w:val="24"/>
                                </w:rPr>
                              </w:pPr>
                            </w:p>
                          </w:txbxContent>
                        </wps:txbx>
                        <wps:bodyPr vert="horz" wrap="square" lIns="91440" tIns="45720" rIns="91440" bIns="45720" anchor="t" upright="1">
                          <a:noAutofit/>
                        </wps:bodyPr>
                      </wps:wsp>
                      <wps:wsp>
                        <wps:cNvPr id="8" name="Arrow: Down 8"/>
                        <wps:cNvSpPr/>
                        <wps:spPr>
                          <a:xfrm rot="19088566" flipH="1">
                            <a:off x="1520791" y="2271562"/>
                            <a:ext cx="45719" cy="1231163"/>
                          </a:xfrm>
                          <a:prstGeom prst="downArrow">
                            <a:avLst/>
                          </a:prstGeom>
                          <a:solidFill>
                            <a:srgbClr val="5B9BD5"/>
                          </a:solidFill>
                          <a:ln w="12700" cap="flat" cmpd="sng">
                            <a:solidFill>
                              <a:srgbClr val="42719B"/>
                            </a:solidFill>
                            <a:prstDash val="solid"/>
                            <a:miter/>
                          </a:ln>
                        </wps:spPr>
                        <wps:bodyPr/>
                      </wps:wsp>
                      <wps:wsp>
                        <wps:cNvPr id="9" name="Arrow: Down 9"/>
                        <wps:cNvSpPr/>
                        <wps:spPr>
                          <a:xfrm>
                            <a:off x="2791326" y="2589196"/>
                            <a:ext cx="59820" cy="774065"/>
                          </a:xfrm>
                          <a:prstGeom prst="downArrow">
                            <a:avLst/>
                          </a:prstGeom>
                          <a:solidFill>
                            <a:srgbClr val="5B9BD5"/>
                          </a:solidFill>
                          <a:ln w="12700" cap="flat" cmpd="sng">
                            <a:solidFill>
                              <a:srgbClr val="42719B"/>
                            </a:solidFill>
                            <a:prstDash val="solid"/>
                            <a:miter/>
                          </a:ln>
                        </wps:spPr>
                        <wps:bodyPr/>
                      </wps:wsp>
                      <wps:wsp>
                        <wps:cNvPr id="10" name="Arrow: Down 10"/>
                        <wps:cNvSpPr/>
                        <wps:spPr>
                          <a:xfrm rot="2725249">
                            <a:off x="3965609" y="2569945"/>
                            <a:ext cx="45719" cy="950548"/>
                          </a:xfrm>
                          <a:prstGeom prst="downArrow">
                            <a:avLst/>
                          </a:prstGeom>
                          <a:solidFill>
                            <a:srgbClr val="5B9BD5"/>
                          </a:solidFill>
                          <a:ln w="12700" cap="flat" cmpd="sng">
                            <a:solidFill>
                              <a:srgbClr val="42719B"/>
                            </a:solidFill>
                            <a:prstDash val="solid"/>
                            <a:miter/>
                          </a:ln>
                        </wps:spPr>
                        <wps:bodyPr/>
                      </wps:wsp>
                      <wps:wsp>
                        <wps:cNvPr id="11" name="Arrow: Up 11"/>
                        <wps:cNvSpPr/>
                        <wps:spPr>
                          <a:xfrm rot="2544626" flipH="1">
                            <a:off x="1751798" y="4177364"/>
                            <a:ext cx="45719" cy="503123"/>
                          </a:xfrm>
                          <a:prstGeom prst="upArrow">
                            <a:avLst/>
                          </a:prstGeom>
                          <a:solidFill>
                            <a:srgbClr val="5B9BD5"/>
                          </a:solidFill>
                          <a:ln w="12700" cap="flat" cmpd="sng">
                            <a:solidFill>
                              <a:srgbClr val="42719B"/>
                            </a:solidFill>
                            <a:prstDash val="solid"/>
                            <a:miter/>
                          </a:ln>
                        </wps:spPr>
                        <wps:bodyPr/>
                      </wps:wsp>
                      <wps:wsp>
                        <wps:cNvPr id="12" name="Arrow: Up 12"/>
                        <wps:cNvSpPr/>
                        <wps:spPr>
                          <a:xfrm rot="19106192">
                            <a:off x="3792353" y="4292868"/>
                            <a:ext cx="45719" cy="463509"/>
                          </a:xfrm>
                          <a:prstGeom prst="upArrow">
                            <a:avLst/>
                          </a:prstGeom>
                          <a:solidFill>
                            <a:srgbClr val="5B9BD5"/>
                          </a:solidFill>
                          <a:ln w="12700" cap="flat" cmpd="sng">
                            <a:solidFill>
                              <a:srgbClr val="42719B"/>
                            </a:solidFill>
                            <a:prstDash val="solid"/>
                            <a:miter/>
                          </a:ln>
                        </wps:spPr>
                        <wps:bodyPr/>
                      </wps:wsp>
                    </wpg:wgp>
                  </a:graphicData>
                </a:graphic>
                <wp14:sizeRelH relativeFrom="margin">
                  <wp14:pctWidth>0</wp14:pctWidth>
                </wp14:sizeRelH>
                <wp14:sizeRelV relativeFrom="margin">
                  <wp14:pctHeight>0</wp14:pctHeight>
                </wp14:sizeRelV>
              </wp:anchor>
            </w:drawing>
          </mc:Choice>
          <mc:Fallback>
            <w:pict>
              <v:group w14:anchorId="2F06EE04" id="Group 1" o:spid="_x0000_s1026" style="position:absolute;left:0;text-align:left;margin-left:13.5pt;margin-top:1.5pt;width:427.5pt;height:358.5pt;z-index:251660288;mso-wrap-distance-left:0;mso-wrap-distance-right:0;mso-width-relative:margin;mso-height-relative:margin" coordsize="5637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">
                <v:group id="_x0000_s1027" style="position:absolute;width:56375;height:61696" coordorigin="2334,-7081" coordsize="56414,63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oundrect id="Rectangle: Rounded Corners 2" o:spid="_x0000_s1028" style="position:absolute;left:2334;top:-7081;width:16430;height:25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 xml:space="preserve">Hazards Suffered by Health Workers </w:t>
                          </w:r>
                        </w:p>
                        <w:p w:rsidR="00DE5B58" w:rsidRDefault="00DE5B58">
                          <w:pPr>
                            <w:rPr>
                              <w:rFonts w:ascii="Times New Roman" w:hAnsi="Times New Roman" w:cs="Times New Roman"/>
                              <w:sz w:val="24"/>
                              <w:szCs w:val="24"/>
                            </w:rPr>
                          </w:pPr>
                          <w:r>
                            <w:rPr>
                              <w:rFonts w:ascii="Times New Roman" w:hAnsi="Times New Roman" w:cs="Times New Roman"/>
                              <w:sz w:val="24"/>
                              <w:szCs w:val="24"/>
                            </w:rPr>
                            <w:t>-Biological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Blood transmitted disease)</w:t>
                          </w:r>
                        </w:p>
                        <w:p w:rsidR="00DE5B58" w:rsidRDefault="00DE5B58">
                          <w:pPr>
                            <w:rPr>
                              <w:rFonts w:ascii="Times New Roman" w:hAnsi="Times New Roman" w:cs="Times New Roman"/>
                              <w:sz w:val="24"/>
                              <w:szCs w:val="24"/>
                            </w:rPr>
                          </w:pPr>
                          <w:r>
                            <w:rPr>
                              <w:rFonts w:ascii="Times New Roman" w:hAnsi="Times New Roman" w:cs="Times New Roman"/>
                              <w:sz w:val="24"/>
                              <w:szCs w:val="24"/>
                            </w:rPr>
                            <w:t>-Chemical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Formalin)</w:t>
                          </w:r>
                        </w:p>
                        <w:p w:rsidR="00DE5B58" w:rsidRDefault="00DE5B58">
                          <w:pPr>
                            <w:rPr>
                              <w:rFonts w:ascii="Times New Roman" w:hAnsi="Times New Roman" w:cs="Times New Roman"/>
                              <w:sz w:val="24"/>
                              <w:szCs w:val="24"/>
                            </w:rPr>
                          </w:pPr>
                          <w:r>
                            <w:rPr>
                              <w:rFonts w:ascii="Times New Roman" w:hAnsi="Times New Roman" w:cs="Times New Roman"/>
                              <w:sz w:val="24"/>
                              <w:szCs w:val="24"/>
                            </w:rPr>
                            <w:t>-Physical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Wet floors, Violence)</w:t>
                          </w:r>
                          <w:r>
                            <w:rPr>
                              <w:rFonts w:cs="Times New Roman"/>
                              <w:szCs w:val="24"/>
                            </w:rPr>
                            <w:t xml:space="preserve">  </w:t>
                          </w:r>
                        </w:p>
                        <w:p w:rsidR="00DE5B58" w:rsidRDefault="00DE5B58">
                          <w:pPr>
                            <w:keepNext/>
                            <w:keepLines/>
                            <w:widowControl w:val="0"/>
                            <w:spacing w:after="0" w:line="360" w:lineRule="auto"/>
                            <w:rPr>
                              <w:szCs w:val="24"/>
                            </w:rPr>
                          </w:pPr>
                        </w:p>
                      </w:txbxContent>
                    </v:textbox>
                  </v:roundrect>
                  <v:roundrect id="Rectangle: Rounded Corners 3" o:spid="_x0000_s1029" style="position:absolute;left:2772;top:40042;width:16494;height:16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Safety Practices</w:t>
                          </w:r>
                        </w:p>
                        <w:p w:rsidR="00DE5B58" w:rsidRDefault="00DE5B58">
                          <w:pPr>
                            <w:rPr>
                              <w:rFonts w:ascii="Times New Roman" w:hAnsi="Times New Roman" w:cs="Times New Roman"/>
                              <w:sz w:val="24"/>
                              <w:szCs w:val="24"/>
                            </w:rPr>
                          </w:pPr>
                          <w:r>
                            <w:rPr>
                              <w:rFonts w:ascii="Times New Roman" w:hAnsi="Times New Roman" w:cs="Times New Roman"/>
                              <w:sz w:val="24"/>
                              <w:szCs w:val="24"/>
                            </w:rPr>
                            <w:t>-Uses of PPE</w:t>
                          </w:r>
                        </w:p>
                        <w:p w:rsidR="00DE5B58" w:rsidRDefault="00DE5B58">
                          <w:pPr>
                            <w:rPr>
                              <w:rFonts w:ascii="Times New Roman" w:hAnsi="Times New Roman" w:cs="Times New Roman"/>
                              <w:sz w:val="24"/>
                              <w:szCs w:val="24"/>
                            </w:rPr>
                          </w:pPr>
                          <w:r>
                            <w:rPr>
                              <w:rFonts w:ascii="Times New Roman" w:hAnsi="Times New Roman" w:cs="Times New Roman"/>
                              <w:sz w:val="24"/>
                              <w:szCs w:val="24"/>
                            </w:rPr>
                            <w:t>-Training</w:t>
                          </w:r>
                        </w:p>
                        <w:p w:rsidR="00DE5B58" w:rsidRDefault="00DE5B58">
                          <w:pPr>
                            <w:rPr>
                              <w:rFonts w:ascii="Times New Roman" w:hAnsi="Times New Roman" w:cs="Times New Roman"/>
                              <w:sz w:val="24"/>
                              <w:szCs w:val="24"/>
                            </w:rPr>
                          </w:pPr>
                        </w:p>
                        <w:p w:rsidR="00DE5B58" w:rsidRDefault="00DE5B58">
                          <w:pPr>
                            <w:keepNext/>
                            <w:keepLines/>
                            <w:widowControl w:val="0"/>
                            <w:rPr>
                              <w:color w:val="2E74B5"/>
                              <w:szCs w:val="24"/>
                            </w:rPr>
                          </w:pPr>
                        </w:p>
                      </w:txbxContent>
                    </v:textbox>
                  </v:roundrect>
                  <v:rect id="Rectangle 4" o:spid="_x0000_s1030" style="position:absolute;left:21928;top:27685;width:18314;height:10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E5B58" w:rsidRDefault="00DE5B58">
                          <w:pPr>
                            <w:rPr>
                              <w:rFonts w:ascii="Times New Roman" w:hAnsi="Times New Roman" w:cs="Times New Roman"/>
                              <w:b/>
                              <w:sz w:val="24"/>
                              <w:szCs w:val="24"/>
                            </w:rPr>
                          </w:pPr>
                          <w:proofErr w:type="gramStart"/>
                          <w:r>
                            <w:rPr>
                              <w:rFonts w:ascii="Times New Roman" w:hAnsi="Times New Roman" w:cs="Times New Roman"/>
                              <w:b/>
                              <w:sz w:val="24"/>
                              <w:szCs w:val="24"/>
                            </w:rPr>
                            <w:t>OCCUPATIONAL  HAZARDS</w:t>
                          </w:r>
                          <w:proofErr w:type="gramEnd"/>
                          <w:r>
                            <w:rPr>
                              <w:rFonts w:ascii="Times New Roman" w:hAnsi="Times New Roman" w:cs="Times New Roman"/>
                              <w:b/>
                              <w:sz w:val="24"/>
                              <w:szCs w:val="24"/>
                            </w:rPr>
                            <w:t xml:space="preserve"> AND INJURIES AMONG HEALTH WORKERS</w:t>
                          </w:r>
                        </w:p>
                        <w:p w:rsidR="00DE5B58" w:rsidRDefault="00DE5B58">
                          <w:pPr>
                            <w:keepNext/>
                            <w:keepLines/>
                            <w:widowControl w:val="0"/>
                            <w:rPr>
                              <w:b/>
                              <w:color w:val="2E74B5"/>
                              <w:szCs w:val="24"/>
                            </w:rPr>
                          </w:pPr>
                        </w:p>
                      </w:txbxContent>
                    </v:textbox>
                  </v:rect>
                  <v:roundrect id="Rectangle: Rounded Corners 5" o:spid="_x0000_s1031" style="position:absolute;left:44333;top:-6462;width:14415;height:274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Demographic Characteristics</w:t>
                          </w:r>
                        </w:p>
                        <w:p w:rsidR="00DE5B58" w:rsidRDefault="00DE5B58">
                          <w:pPr>
                            <w:rPr>
                              <w:rFonts w:ascii="Times New Roman" w:hAnsi="Times New Roman" w:cs="Times New Roman"/>
                              <w:sz w:val="24"/>
                              <w:szCs w:val="24"/>
                            </w:rPr>
                          </w:pPr>
                          <w:r>
                            <w:rPr>
                              <w:rFonts w:ascii="Times New Roman" w:hAnsi="Times New Roman" w:cs="Times New Roman"/>
                              <w:sz w:val="24"/>
                              <w:szCs w:val="24"/>
                            </w:rPr>
                            <w:t>-Age</w:t>
                          </w:r>
                        </w:p>
                        <w:p w:rsidR="00DE5B58" w:rsidRDefault="00DE5B58">
                          <w:pPr>
                            <w:rPr>
                              <w:rFonts w:ascii="Times New Roman" w:hAnsi="Times New Roman" w:cs="Times New Roman"/>
                              <w:sz w:val="24"/>
                              <w:szCs w:val="24"/>
                            </w:rPr>
                          </w:pPr>
                          <w:r>
                            <w:rPr>
                              <w:rFonts w:ascii="Times New Roman" w:hAnsi="Times New Roman" w:cs="Times New Roman"/>
                              <w:sz w:val="24"/>
                              <w:szCs w:val="24"/>
                            </w:rPr>
                            <w:t>-Sex</w:t>
                          </w:r>
                        </w:p>
                        <w:p w:rsidR="00DE5B58" w:rsidRDefault="00DE5B58">
                          <w:pPr>
                            <w:rPr>
                              <w:rFonts w:ascii="Times New Roman" w:hAnsi="Times New Roman" w:cs="Times New Roman"/>
                              <w:sz w:val="24"/>
                              <w:szCs w:val="24"/>
                            </w:rPr>
                          </w:pPr>
                          <w:r>
                            <w:rPr>
                              <w:rFonts w:ascii="Times New Roman" w:hAnsi="Times New Roman" w:cs="Times New Roman"/>
                              <w:sz w:val="24"/>
                              <w:szCs w:val="24"/>
                            </w:rPr>
                            <w:t>-Level of Education</w:t>
                          </w:r>
                        </w:p>
                        <w:p w:rsidR="00DE5B58" w:rsidRDefault="00DE5B58">
                          <w:pPr>
                            <w:rPr>
                              <w:rFonts w:ascii="Times New Roman" w:hAnsi="Times New Roman" w:cs="Times New Roman"/>
                              <w:sz w:val="24"/>
                              <w:szCs w:val="24"/>
                            </w:rPr>
                          </w:pPr>
                          <w:r>
                            <w:rPr>
                              <w:rFonts w:ascii="Times New Roman" w:hAnsi="Times New Roman" w:cs="Times New Roman"/>
                              <w:sz w:val="24"/>
                              <w:szCs w:val="24"/>
                            </w:rPr>
                            <w:t>-Job category</w:t>
                          </w:r>
                        </w:p>
                        <w:p w:rsidR="00DE5B58" w:rsidRDefault="00DE5B58">
                          <w:pPr>
                            <w:rPr>
                              <w:rFonts w:ascii="Times New Roman" w:hAnsi="Times New Roman" w:cs="Times New Roman"/>
                              <w:sz w:val="24"/>
                              <w:szCs w:val="24"/>
                            </w:rPr>
                          </w:pPr>
                          <w:r>
                            <w:rPr>
                              <w:rFonts w:ascii="Times New Roman" w:hAnsi="Times New Roman" w:cs="Times New Roman"/>
                              <w:sz w:val="24"/>
                              <w:szCs w:val="24"/>
                            </w:rPr>
                            <w:t>-Marital Status</w:t>
                          </w:r>
                        </w:p>
                        <w:p w:rsidR="00DE5B58" w:rsidRDefault="00DE5B58">
                          <w:pPr>
                            <w:keepNext/>
                            <w:keepLines/>
                            <w:widowControl w:val="0"/>
                            <w:rPr>
                              <w:rFonts w:ascii="Times New Roman" w:hAnsi="Times New Roman" w:cs="Times New Roman"/>
                              <w:sz w:val="24"/>
                              <w:szCs w:val="24"/>
                            </w:rPr>
                          </w:pPr>
                          <w:r>
                            <w:rPr>
                              <w:rFonts w:ascii="Times New Roman" w:hAnsi="Times New Roman" w:cs="Times New Roman"/>
                              <w:sz w:val="24"/>
                              <w:szCs w:val="24"/>
                            </w:rPr>
                            <w:t>-Religion</w:t>
                          </w:r>
                        </w:p>
                        <w:p w:rsidR="00DE5B58" w:rsidRDefault="00DE5B58">
                          <w:pPr>
                            <w:pStyle w:val="Heading1"/>
                          </w:pPr>
                        </w:p>
                      </w:txbxContent>
                    </v:textbox>
                  </v:roundrect>
                  <v:roundrect id="Rectangle: Rounded Corners 6" o:spid="_x0000_s1032" style="position:absolute;left:23467;top:-6463;width:15479;height:261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Possible reasons of Occupational Health Hazards</w:t>
                          </w:r>
                        </w:p>
                        <w:p w:rsidR="00DE5B58" w:rsidRDefault="00DE5B58">
                          <w:pPr>
                            <w:rPr>
                              <w:rFonts w:ascii="Times New Roman" w:hAnsi="Times New Roman" w:cs="Times New Roman"/>
                              <w:sz w:val="24"/>
                              <w:szCs w:val="24"/>
                            </w:rPr>
                          </w:pPr>
                          <w:r>
                            <w:rPr>
                              <w:rFonts w:ascii="Times New Roman" w:hAnsi="Times New Roman" w:cs="Times New Roman"/>
                              <w:sz w:val="24"/>
                              <w:szCs w:val="24"/>
                            </w:rPr>
                            <w:t>-Non-availability of personal protective wears</w:t>
                          </w:r>
                        </w:p>
                        <w:p w:rsidR="00DE5B58" w:rsidRDefault="00DE5B58">
                          <w:pPr>
                            <w:rPr>
                              <w:rFonts w:ascii="Times New Roman" w:hAnsi="Times New Roman" w:cs="Times New Roman"/>
                              <w:sz w:val="24"/>
                              <w:szCs w:val="24"/>
                            </w:rPr>
                          </w:pPr>
                          <w:r>
                            <w:rPr>
                              <w:rFonts w:ascii="Times New Roman" w:hAnsi="Times New Roman" w:cs="Times New Roman"/>
                              <w:sz w:val="24"/>
                              <w:szCs w:val="24"/>
                            </w:rPr>
                            <w:t>-Inadequate training on safety measures</w:t>
                          </w:r>
                        </w:p>
                        <w:p w:rsidR="00DE5B58" w:rsidRDefault="00DE5B58">
                          <w:pPr>
                            <w:pStyle w:val="ListParagraph"/>
                            <w:rPr>
                              <w:rFonts w:cs="Times New Roman"/>
                              <w:szCs w:val="24"/>
                            </w:rPr>
                          </w:pPr>
                        </w:p>
                        <w:p w:rsidR="00DE5B58" w:rsidRDefault="00DE5B58">
                          <w:pPr>
                            <w:keepNext/>
                            <w:keepLines/>
                            <w:widowControl w:val="0"/>
                            <w:rPr>
                              <w:b/>
                              <w:szCs w:val="24"/>
                            </w:rPr>
                          </w:pPr>
                        </w:p>
                      </w:txbxContent>
                    </v:textbox>
                  </v:roundrect>
                </v:group>
                <v:roundrect id="Rectangle: Rounded Corners 7" o:spid="_x0000_s1033" style="position:absolute;left:39078;top:45623;width:16750;height:160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Reporting of Occupational Health Hazard</w:t>
                        </w:r>
                      </w:p>
                      <w:p w:rsidR="00DE5B58" w:rsidRDefault="00DE5B58">
                        <w:pPr>
                          <w:rPr>
                            <w:rFonts w:ascii="Times New Roman" w:hAnsi="Times New Roman" w:cs="Times New Roman"/>
                            <w:sz w:val="24"/>
                            <w:szCs w:val="24"/>
                          </w:rPr>
                        </w:pPr>
                        <w:r>
                          <w:rPr>
                            <w:rFonts w:ascii="Times New Roman" w:hAnsi="Times New Roman" w:cs="Times New Roman"/>
                            <w:sz w:val="24"/>
                            <w:szCs w:val="24"/>
                          </w:rPr>
                          <w:t>-Channels of reporting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OHSU, OPD,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DE5B58" w:rsidRDefault="00DE5B58">
                        <w:pPr>
                          <w:pStyle w:val="Heading1"/>
                        </w:pPr>
                      </w:p>
                      <w:p w:rsidR="00DE5B58" w:rsidRDefault="00DE5B58">
                        <w:pPr>
                          <w:rPr>
                            <w:rFonts w:cs="Times New Roman"/>
                            <w:szCs w:val="24"/>
                          </w:rPr>
                        </w:pPr>
                      </w:p>
                      <w:p w:rsidR="00DE5B58" w:rsidRDefault="00DE5B58">
                        <w:pPr>
                          <w:pStyle w:val="ListParagraph"/>
                          <w:rPr>
                            <w:rFonts w:cs="Times New Roman"/>
                            <w:szCs w:val="24"/>
                          </w:rPr>
                        </w:pPr>
                      </w:p>
                      <w:p w:rsidR="00DE5B58" w:rsidRDefault="00DE5B58">
                        <w:pPr>
                          <w:keepNext/>
                          <w:keepLines/>
                          <w:widowControl w:val="0"/>
                          <w:rPr>
                            <w:b/>
                            <w:szCs w:val="24"/>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34" type="#_x0000_t67" style="position:absolute;left:15207;top:22715;width:458;height:12312;rotation:274315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UErsA&#10;AADaAAAADwAAAGRycy9kb3ducmV2LnhtbERPSwrCMBDdC94hjOBOU0VEqlFUFHXpF5dDM7bFZlKa&#10;aOvtzUJw+Xj/2aIxhXhT5XLLCgb9CARxYnXOqYLLedubgHAeWWNhmRR8yMFi3m7NMNa25iO9Tz4V&#10;IYRdjAoy78tYSpdkZND1bUkcuIetDPoAq1TqCusQbgo5jKKxNJhzaMiwpHVGyfP0MgrsYbN56XUx&#10;umnfXFe7e1Sf64tS3U6znILw1Pi/+OfeawVha7gSboC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UzlBK7AAAA2gAAAA8AAAAAAAAAAAAAAAAAmAIAAGRycy9kb3ducmV2Lnht&#10;bFBLBQYAAAAABAAEAPUAAACAAwAAAAA=&#10;" adj="21199" fillcolor="#5b9bd5" strokecolor="#42719b" strokeweight="1pt"/>
                <v:shape id="Arrow: Down 9" o:spid="_x0000_s1035" type="#_x0000_t67" style="position:absolute;left:27913;top:25891;width:598;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d7sQA&#10;AADaAAAADwAAAGRycy9kb3ducmV2LnhtbESPQWvCQBSE70L/w/IKvelGoaWJrlIUqR48JK2Ct9fs&#10;M0mbfRt2t5r++64geBxm5htmtuhNK87kfGNZwXiUgCAurW64UvD5sR6+gvABWWNrmRT8kYfF/GEw&#10;w0zbC+d0LkIlIoR9hgrqELpMSl/WZNCPbEccvZN1BkOUrpLa4SXCTSsnSfIiDTYcF2rsaFlT+VP8&#10;GgXP+4McH1s67dJ8Jav+vcu/v7ZKPT32b1MQgfpwD9/aG60gheuVe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He7EAAAA2gAAAA8AAAAAAAAAAAAAAAAAmAIAAGRycy9k&#10;b3ducmV2LnhtbFBLBQYAAAAABAAEAPUAAACJAwAAAAA=&#10;" adj="20765" fillcolor="#5b9bd5" strokecolor="#42719b" strokeweight="1pt"/>
                <v:shape id="Arrow: Down 10" o:spid="_x0000_s1036" type="#_x0000_t67" style="position:absolute;left:39655;top:25699;width:457;height:9506;rotation:29766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kcMIA&#10;AADbAAAADwAAAGRycy9kb3ducmV2LnhtbESPQWsCMRCF74L/IYzQm2b10MrW7CKiUEoprfYHDJtx&#10;s7qZLEmq23/fORR6e8O8efO9TT36Xt0opi6wgeWiAEXcBNtxa+DrdJivQaWMbLEPTAZ+KEFdTScb&#10;LG248yfdjrlVEsKpRAMu56HUOjWOPKZFGIhldw7RY5YxttpGvEu47/WqKB61x47lg8OBdo6a6/Hb&#10;G1jv3z2n8y5F93TRb9eeXz8EzzzMxu0zqExj/jf/Xb9YwRd66SICd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KRwwgAAANsAAAAPAAAAAAAAAAAAAAAAAJgCAABkcnMvZG93&#10;bnJldi54bWxQSwUGAAAAAAQABAD1AAAAhwMAAAAA&#10;" adj="21081" fillcolor="#5b9bd5" strokecolor="#42719b"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1" o:spid="_x0000_s1037" type="#_x0000_t68" style="position:absolute;left:17517;top:41773;width:458;height:5031;rotation:-2779410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L8AA&#10;AADbAAAADwAAAGRycy9kb3ducmV2LnhtbERPzYrCMBC+C/sOYRa82VRBXbpGkUXRk2D1AcZm2hSb&#10;SWmytb69ERb2Nh/f76w2g21ET52vHSuYJikI4sLpmisF18t+8gXCB2SNjWNS8CQPm/XHaIWZdg8+&#10;U5+HSsQQ9hkqMCG0mZS+MGTRJ64ljlzpOoshwq6SusNHDLeNnKXpQlqsOTYYbOnHUHHPf62CWbnQ&#10;7fx5W+bmWh5OQ73rm9tOqfHnsP0GEWgI/+I/91HH+VN4/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MrL8AAAADbAAAADwAAAAAAAAAAAAAAAACYAgAAZHJzL2Rvd25y&#10;ZXYueG1sUEsFBgAAAAAEAAQA9QAAAIUDAAAAAA==&#10;" adj="981" fillcolor="#5b9bd5" strokecolor="#42719b" strokeweight="1pt"/>
                <v:shape id="Arrow: Up 12" o:spid="_x0000_s1038" type="#_x0000_t68" style="position:absolute;left:37923;top:42928;width:457;height:4635;rotation:-272390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sgr8A&#10;AADbAAAADwAAAGRycy9kb3ducmV2LnhtbERPS2rDMBDdF3oHMYXsarkJGNe1EkohpbvWTg4wWOMP&#10;tUZGUmzn9lUg0N083nfKw2pGMZPzg2UFL0kKgrixeuBOwfl0fM5B+ICscbRMCq7k4bB/fCix0Hbh&#10;iuY6dCKGsC9QQR/CVEjpm54M+sROxJFrrTMYInSd1A6XGG5GuU3TTBocODb0ONFHT81vfTEKPjPM&#10;X69LO/tK/+S7Nfs2jmalNk/r+xuIQGv4F9/dXzrO38Ltl3i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vGyCvwAAANsAAAAPAAAAAAAAAAAAAAAAAJgCAABkcnMvZG93bnJl&#10;di54bWxQSwUGAAAAAAQABAD1AAAAhAMAAAAA&#10;" adj="1065" fillcolor="#5b9bd5" strokecolor="#42719b" strokeweight="1pt"/>
              </v:group>
            </w:pict>
          </mc:Fallback>
        </mc:AlternateContent>
      </w:r>
    </w:p>
    <w:p w14:paraId="777D0DC4"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1385FCD6"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16414F1F"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628526A3"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292814E8"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01B6CC05"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5CBD9715" w14:textId="77777777" w:rsidR="002F4F67" w:rsidRPr="00AD6688" w:rsidRDefault="00E15D01" w:rsidP="006635CC">
      <w:pPr>
        <w:widowControl w:val="0"/>
        <w:tabs>
          <w:tab w:val="left" w:pos="7725"/>
        </w:tabs>
        <w:autoSpaceDE w:val="0"/>
        <w:autoSpaceDN w:val="0"/>
        <w:adjustRightInd w:val="0"/>
        <w:spacing w:after="0" w:line="240" w:lineRule="auto"/>
        <w:ind w:left="480" w:hanging="480"/>
        <w:rPr>
          <w:rFonts w:ascii="Times New Roman" w:hAnsi="Times New Roman" w:cs="Times New Roman"/>
          <w:b/>
          <w:sz w:val="24"/>
          <w:szCs w:val="24"/>
        </w:rPr>
      </w:pPr>
      <w:r w:rsidRPr="00AD6688">
        <w:rPr>
          <w:rFonts w:ascii="Times New Roman" w:hAnsi="Times New Roman" w:cs="Times New Roman"/>
          <w:b/>
          <w:sz w:val="24"/>
          <w:szCs w:val="24"/>
        </w:rPr>
        <w:tab/>
      </w:r>
      <w:r w:rsidRPr="00AD6688">
        <w:rPr>
          <w:rFonts w:ascii="Times New Roman" w:hAnsi="Times New Roman" w:cs="Times New Roman"/>
          <w:b/>
          <w:sz w:val="24"/>
          <w:szCs w:val="24"/>
        </w:rPr>
        <w:tab/>
      </w:r>
    </w:p>
    <w:p w14:paraId="7059F478"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46048964"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3717AD73"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2265F2BD"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3C1E0DF5"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680A4CEA"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6E358FD6"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17DBF4FD"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6C524521"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2B32FE2C" w14:textId="77777777"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14:paraId="5E4DA923" w14:textId="77777777" w:rsidR="002F4F67" w:rsidRPr="00AD6688" w:rsidRDefault="002F4F67" w:rsidP="006635CC">
      <w:pPr>
        <w:pStyle w:val="Caption"/>
        <w:spacing w:after="0"/>
        <w:rPr>
          <w:lang w:val="en-GB"/>
        </w:rPr>
      </w:pPr>
    </w:p>
    <w:p w14:paraId="645E84AC" w14:textId="77777777" w:rsidR="002F4F67" w:rsidRPr="00AD6688" w:rsidRDefault="002F4F67" w:rsidP="006635CC">
      <w:pPr>
        <w:spacing w:line="240" w:lineRule="auto"/>
        <w:rPr>
          <w:rFonts w:ascii="Times New Roman" w:hAnsi="Times New Roman" w:cs="Times New Roman"/>
          <w:b/>
          <w:sz w:val="24"/>
          <w:szCs w:val="24"/>
          <w:lang w:val="en-GB"/>
        </w:rPr>
      </w:pPr>
    </w:p>
    <w:p w14:paraId="191495F9" w14:textId="77777777" w:rsidR="002F4F67" w:rsidRPr="00AD6688" w:rsidRDefault="002F4F67" w:rsidP="006635CC">
      <w:pPr>
        <w:spacing w:line="240" w:lineRule="auto"/>
        <w:rPr>
          <w:rFonts w:ascii="Times New Roman" w:hAnsi="Times New Roman" w:cs="Times New Roman"/>
          <w:b/>
          <w:sz w:val="24"/>
          <w:szCs w:val="24"/>
          <w:lang w:val="en-GB"/>
        </w:rPr>
      </w:pPr>
    </w:p>
    <w:p w14:paraId="45CA42FB" w14:textId="77777777" w:rsidR="002F4F67" w:rsidRPr="00AD6688" w:rsidRDefault="002F4F67" w:rsidP="006635CC">
      <w:pPr>
        <w:spacing w:line="240" w:lineRule="auto"/>
        <w:rPr>
          <w:rFonts w:ascii="Times New Roman" w:hAnsi="Times New Roman" w:cs="Times New Roman"/>
          <w:b/>
          <w:sz w:val="24"/>
          <w:szCs w:val="24"/>
          <w:lang w:val="en-GB"/>
        </w:rPr>
      </w:pPr>
    </w:p>
    <w:p w14:paraId="7B7862A2" w14:textId="77777777" w:rsidR="002F4F67" w:rsidRPr="00AD6688" w:rsidRDefault="002F4F67" w:rsidP="006635CC">
      <w:pPr>
        <w:spacing w:line="240" w:lineRule="auto"/>
        <w:rPr>
          <w:rFonts w:ascii="Times New Roman" w:hAnsi="Times New Roman" w:cs="Times New Roman"/>
          <w:b/>
          <w:sz w:val="24"/>
          <w:szCs w:val="24"/>
          <w:lang w:val="en-GB"/>
        </w:rPr>
      </w:pPr>
    </w:p>
    <w:p w14:paraId="546CDDAE" w14:textId="77777777" w:rsidR="00A44115" w:rsidRPr="00AD6688" w:rsidRDefault="00A44115" w:rsidP="006635CC">
      <w:pPr>
        <w:pStyle w:val="Heading1"/>
        <w:spacing w:line="240" w:lineRule="auto"/>
        <w:rPr>
          <w:lang w:val="en-GB"/>
        </w:rPr>
      </w:pPr>
    </w:p>
    <w:p w14:paraId="6F814D93" w14:textId="77777777" w:rsidR="00A44115" w:rsidRPr="00AD6688" w:rsidRDefault="00A44115" w:rsidP="006635CC">
      <w:pPr>
        <w:spacing w:line="240" w:lineRule="auto"/>
        <w:rPr>
          <w:lang w:val="en-GB"/>
        </w:rPr>
      </w:pPr>
    </w:p>
    <w:p w14:paraId="4E89F9C9" w14:textId="77777777" w:rsidR="002F4F67" w:rsidRPr="00AD6688" w:rsidRDefault="00E15D01" w:rsidP="006635CC">
      <w:pPr>
        <w:spacing w:line="240" w:lineRule="auto"/>
        <w:rPr>
          <w:rFonts w:ascii="Times New Roman" w:hAnsi="Times New Roman" w:cs="Times New Roman"/>
          <w:b/>
          <w:sz w:val="24"/>
          <w:szCs w:val="24"/>
        </w:rPr>
      </w:pPr>
      <w:bookmarkStart w:id="16" w:name="_Toc77009328"/>
      <w:r w:rsidRPr="00AD6688">
        <w:rPr>
          <w:rFonts w:ascii="Times New Roman" w:hAnsi="Times New Roman" w:cs="Times New Roman"/>
          <w:b/>
          <w:sz w:val="24"/>
          <w:szCs w:val="24"/>
          <w:lang w:val="en-GB"/>
        </w:rPr>
        <w:t xml:space="preserve">Figure </w:t>
      </w:r>
      <w:r w:rsidRPr="00AD6688">
        <w:rPr>
          <w:rFonts w:ascii="Times New Roman" w:hAnsi="Times New Roman" w:cs="Times New Roman"/>
          <w:b/>
          <w:sz w:val="24"/>
          <w:szCs w:val="24"/>
          <w:lang w:val="en-GB"/>
        </w:rPr>
        <w:fldChar w:fldCharType="begin"/>
      </w:r>
      <w:r w:rsidRPr="00AD6688">
        <w:rPr>
          <w:rFonts w:ascii="Times New Roman" w:hAnsi="Times New Roman" w:cs="Times New Roman"/>
          <w:b/>
          <w:sz w:val="24"/>
          <w:szCs w:val="24"/>
          <w:lang w:val="en-GB"/>
        </w:rPr>
        <w:instrText xml:space="preserve"> SEQ Figure \* ARABIC </w:instrText>
      </w:r>
      <w:r w:rsidRPr="00AD6688">
        <w:rPr>
          <w:rFonts w:ascii="Times New Roman" w:hAnsi="Times New Roman" w:cs="Times New Roman"/>
          <w:b/>
          <w:sz w:val="24"/>
          <w:szCs w:val="24"/>
          <w:lang w:val="en-GB"/>
        </w:rPr>
        <w:fldChar w:fldCharType="separate"/>
      </w:r>
      <w:r w:rsidRPr="00AD6688">
        <w:rPr>
          <w:rFonts w:ascii="Times New Roman" w:hAnsi="Times New Roman" w:cs="Times New Roman"/>
          <w:b/>
          <w:sz w:val="24"/>
          <w:szCs w:val="24"/>
          <w:lang w:val="en-GB"/>
        </w:rPr>
        <w:t>1</w:t>
      </w:r>
      <w:r w:rsidRPr="00AD6688">
        <w:rPr>
          <w:rFonts w:ascii="Times New Roman" w:hAnsi="Times New Roman" w:cs="Times New Roman"/>
          <w:b/>
          <w:sz w:val="24"/>
          <w:szCs w:val="24"/>
          <w:lang w:val="en-GB"/>
        </w:rPr>
        <w:fldChar w:fldCharType="end"/>
      </w:r>
      <w:r w:rsidRPr="00AD6688">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45957D3F" wp14:editId="12F2A3FE">
                <wp:simplePos x="0" y="0"/>
                <wp:positionH relativeFrom="column">
                  <wp:posOffset>1673225</wp:posOffset>
                </wp:positionH>
                <wp:positionV relativeFrom="paragraph">
                  <wp:posOffset>88265</wp:posOffset>
                </wp:positionV>
                <wp:extent cx="0" cy="0"/>
                <wp:effectExtent l="0" t="0" r="0" b="0"/>
                <wp:wrapNone/>
                <wp:docPr id="1042" name="Straight Arrow Connector 49"/>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a:tailEnd type="triangle" w="med" len="med"/>
                        </a:ln>
                      </wps:spPr>
                      <wps:bodyPr/>
                    </wps:wsp>
                  </a:graphicData>
                </a:graphic>
              </wp:anchor>
            </w:drawing>
          </mc:Choice>
          <mc:Fallback xmlns:wpsCustomData="http://www.wps.cn/officeDocument/2013/wpsCustomData">
            <w:pict>
              <v:shape id="Straight Arrow Connector 49" o:spid="_x0000_s1026" o:spt="32" type="#_x0000_t32" style="position:absolute;left:0pt;margin-left:131.75pt;margin-top:6.95pt;height:0pt;width:0pt;z-index:251659264;mso-width-relative:page;mso-height-relative:page;" filled="f" stroked="t" coordsize="21600,21600" o:gfxdata="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1cCMfVAAAACQEA&#10;AA8AAAAAAAAAAQAgAAAAIgAAAGRycy9kb3ducmV2LnhtbFBLAQIUABQAAAAIAIdO4kAkIzhb5AEA&#10;ANEDAAAOAAAAAAAAAAEAIAAAACQBAABkcnMvZTJvRG9jLnhtbFBLBQYAAAAABgAGAFkBAAB6BQAA&#10;AAA=&#10;">
                <v:fill on="f" focussize="0,0"/>
                <v:stroke weight="0.5pt" color="#5B9BD5" joinstyle="miter" endarrow="block"/>
                <v:imagedata o:title=""/>
                <o:lock v:ext="edit" aspectratio="f"/>
              </v:shape>
            </w:pict>
          </mc:Fallback>
        </mc:AlternateContent>
      </w:r>
      <w:r w:rsidRPr="00AD6688">
        <w:rPr>
          <w:rFonts w:ascii="Times New Roman" w:hAnsi="Times New Roman" w:cs="Times New Roman"/>
          <w:b/>
          <w:sz w:val="24"/>
          <w:szCs w:val="24"/>
          <w:lang w:val="en-GB"/>
        </w:rPr>
        <w:t xml:space="preserve">: </w:t>
      </w:r>
      <w:r w:rsidRPr="00AD6688">
        <w:rPr>
          <w:rFonts w:ascii="Times New Roman" w:hAnsi="Times New Roman" w:cs="Times New Roman"/>
          <w:b/>
          <w:sz w:val="24"/>
          <w:szCs w:val="24"/>
        </w:rPr>
        <w:t>Occupational hazards and injuries among Health Workers</w:t>
      </w:r>
      <w:r w:rsidRPr="00AD6688">
        <w:rPr>
          <w:rFonts w:ascii="Times New Roman" w:hAnsi="Times New Roman" w:cs="Times New Roman"/>
          <w:sz w:val="24"/>
          <w:szCs w:val="24"/>
          <w:lang w:val="en-GB"/>
        </w:rPr>
        <w:t xml:space="preserve"> </w:t>
      </w:r>
      <w:r w:rsidRPr="00AD6688">
        <w:rPr>
          <w:rFonts w:ascii="Times New Roman" w:hAnsi="Times New Roman" w:cs="Times New Roman"/>
          <w:b/>
          <w:sz w:val="24"/>
          <w:szCs w:val="24"/>
          <w:lang w:val="en-GB"/>
        </w:rPr>
        <w:t>Framework</w:t>
      </w:r>
      <w:bookmarkEnd w:id="16"/>
    </w:p>
    <w:p w14:paraId="1E4077C0"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Source: </w:t>
      </w:r>
      <w:r w:rsidRPr="00AD6688">
        <w:rPr>
          <w:rFonts w:ascii="Times New Roman" w:hAnsi="Times New Roman" w:cs="Times New Roman"/>
          <w:color w:val="000000"/>
          <w:sz w:val="24"/>
          <w:szCs w:val="24"/>
          <w:lang w:val="en-GB"/>
        </w:rPr>
        <w:t>Nsiah</w:t>
      </w:r>
      <w:r w:rsidRPr="00AD6688">
        <w:rPr>
          <w:rFonts w:ascii="Times New Roman" w:hAnsi="Times New Roman" w:cs="Times New Roman"/>
          <w:sz w:val="24"/>
          <w:szCs w:val="24"/>
          <w:lang w:val="en-GB"/>
        </w:rPr>
        <w:t>, 2021.</w:t>
      </w:r>
    </w:p>
    <w:p w14:paraId="2A3ED186" w14:textId="77777777" w:rsidR="00977FB9" w:rsidRPr="00AD6688" w:rsidRDefault="00977FB9" w:rsidP="00977FB9">
      <w:pPr>
        <w:rPr>
          <w:lang w:val="en-GB"/>
        </w:rPr>
      </w:pPr>
    </w:p>
    <w:p w14:paraId="46F8D42D" w14:textId="77777777" w:rsidR="002F4F67" w:rsidRPr="00AD6688" w:rsidRDefault="006635CC" w:rsidP="006635CC">
      <w:pPr>
        <w:pStyle w:val="Heading1"/>
        <w:spacing w:before="0" w:line="240" w:lineRule="auto"/>
        <w:rPr>
          <w:rFonts w:ascii="Times New Roman" w:hAnsi="Times New Roman" w:cs="Times New Roman"/>
          <w:b/>
          <w:color w:val="auto"/>
          <w:sz w:val="24"/>
          <w:szCs w:val="24"/>
          <w:lang w:val="en-GB"/>
        </w:rPr>
      </w:pPr>
      <w:bookmarkStart w:id="17" w:name="_Toc79350937"/>
      <w:r w:rsidRPr="00AD6688">
        <w:rPr>
          <w:rFonts w:ascii="Times New Roman" w:hAnsi="Times New Roman" w:cs="Times New Roman"/>
          <w:b/>
          <w:color w:val="auto"/>
          <w:sz w:val="24"/>
          <w:szCs w:val="24"/>
          <w:lang w:val="en-GB"/>
        </w:rPr>
        <w:t>2</w:t>
      </w:r>
      <w:r w:rsidR="007A41A9" w:rsidRPr="00AD6688">
        <w:rPr>
          <w:rFonts w:ascii="Times New Roman" w:hAnsi="Times New Roman" w:cs="Times New Roman"/>
          <w:b/>
          <w:color w:val="auto"/>
          <w:sz w:val="24"/>
          <w:szCs w:val="24"/>
          <w:lang w:val="en-GB"/>
        </w:rPr>
        <w:t xml:space="preserve">.0 </w:t>
      </w:r>
      <w:r w:rsidR="00E15D01" w:rsidRPr="00AD6688">
        <w:rPr>
          <w:rFonts w:ascii="Times New Roman" w:hAnsi="Times New Roman" w:cs="Times New Roman"/>
          <w:b/>
          <w:color w:val="auto"/>
          <w:sz w:val="24"/>
          <w:szCs w:val="24"/>
          <w:lang w:val="en-GB"/>
        </w:rPr>
        <w:t>METHODOLOGY</w:t>
      </w:r>
      <w:bookmarkEnd w:id="17"/>
    </w:p>
    <w:p w14:paraId="52F09BA9" w14:textId="77777777" w:rsidR="002F4F67" w:rsidRPr="00AD6688" w:rsidRDefault="006635CC" w:rsidP="006635CC">
      <w:pPr>
        <w:pStyle w:val="Heading1"/>
        <w:spacing w:before="0" w:line="240" w:lineRule="auto"/>
        <w:rPr>
          <w:rFonts w:ascii="Times New Roman" w:hAnsi="Times New Roman" w:cs="Times New Roman"/>
          <w:b/>
          <w:sz w:val="24"/>
          <w:szCs w:val="24"/>
          <w:lang w:val="en-GB"/>
        </w:rPr>
      </w:pPr>
      <w:bookmarkStart w:id="18" w:name="_Toc79350938"/>
      <w:r w:rsidRPr="00AD6688">
        <w:rPr>
          <w:rFonts w:ascii="Times New Roman" w:hAnsi="Times New Roman" w:cs="Times New Roman"/>
          <w:b/>
          <w:color w:val="auto"/>
          <w:sz w:val="24"/>
          <w:szCs w:val="24"/>
          <w:lang w:val="en-GB"/>
        </w:rPr>
        <w:t>2</w:t>
      </w:r>
      <w:r w:rsidR="00E15D01" w:rsidRPr="00AD6688">
        <w:rPr>
          <w:rFonts w:ascii="Times New Roman" w:hAnsi="Times New Roman" w:cs="Times New Roman"/>
          <w:b/>
          <w:color w:val="auto"/>
          <w:sz w:val="24"/>
          <w:szCs w:val="24"/>
          <w:lang w:val="en-GB"/>
        </w:rPr>
        <w:t>.1 Introduction</w:t>
      </w:r>
      <w:bookmarkEnd w:id="18"/>
    </w:p>
    <w:p w14:paraId="73909003" w14:textId="77777777" w:rsidR="006635CC"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purpose of this study was to assess the occupational hazards and injuries among health workers in the </w:t>
      </w:r>
      <w:proofErr w:type="spellStart"/>
      <w:r w:rsidRPr="00AD6688">
        <w:rPr>
          <w:rFonts w:ascii="Times New Roman" w:hAnsi="Times New Roman" w:cs="Times New Roman"/>
          <w:sz w:val="24"/>
          <w:szCs w:val="24"/>
          <w:lang w:val="en-GB"/>
        </w:rPr>
        <w:t>Ahafo</w:t>
      </w:r>
      <w:proofErr w:type="spellEnd"/>
      <w:r w:rsidRPr="00AD6688">
        <w:rPr>
          <w:rFonts w:ascii="Times New Roman" w:hAnsi="Times New Roman" w:cs="Times New Roman"/>
          <w:sz w:val="24"/>
          <w:szCs w:val="24"/>
          <w:lang w:val="en-GB"/>
        </w:rPr>
        <w:t xml:space="preserve">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Municipality, </w:t>
      </w:r>
      <w:proofErr w:type="spellStart"/>
      <w:r w:rsidRPr="00AD6688">
        <w:rPr>
          <w:rFonts w:ascii="Times New Roman" w:hAnsi="Times New Roman" w:cs="Times New Roman"/>
          <w:sz w:val="24"/>
          <w:szCs w:val="24"/>
          <w:lang w:val="en-GB"/>
        </w:rPr>
        <w:t>Tepa</w:t>
      </w:r>
      <w:proofErr w:type="spellEnd"/>
      <w:r w:rsidRPr="00AD6688">
        <w:rPr>
          <w:rFonts w:ascii="Times New Roman" w:hAnsi="Times New Roman" w:cs="Times New Roman"/>
          <w:sz w:val="24"/>
          <w:szCs w:val="24"/>
          <w:lang w:val="en-GB"/>
        </w:rPr>
        <w:t xml:space="preserve">. This chapter focused on the study area, study design and type, study populations, sampling technique and sample size, data collection tool, data collection technique, data analysis, pre testing, limitation of the study, pre-test and ethical consideration. </w:t>
      </w:r>
    </w:p>
    <w:p w14:paraId="0BF1B955" w14:textId="77777777" w:rsidR="002F4F67" w:rsidRPr="00AD6688" w:rsidRDefault="00E15D01" w:rsidP="006635CC">
      <w:pPr>
        <w:pStyle w:val="Heading1"/>
        <w:numPr>
          <w:ilvl w:val="1"/>
          <w:numId w:val="6"/>
        </w:numPr>
        <w:spacing w:line="240" w:lineRule="auto"/>
        <w:rPr>
          <w:rFonts w:ascii="Times New Roman" w:hAnsi="Times New Roman" w:cs="Times New Roman"/>
          <w:b/>
          <w:color w:val="auto"/>
          <w:sz w:val="24"/>
          <w:szCs w:val="24"/>
          <w:lang w:val="en-GB"/>
        </w:rPr>
      </w:pPr>
      <w:r w:rsidRPr="00AD6688">
        <w:rPr>
          <w:rFonts w:ascii="Times New Roman" w:hAnsi="Times New Roman" w:cs="Times New Roman"/>
          <w:b/>
          <w:color w:val="auto"/>
          <w:sz w:val="24"/>
          <w:szCs w:val="24"/>
          <w:lang w:val="en-GB"/>
        </w:rPr>
        <w:t>Background of the Study Area</w:t>
      </w:r>
    </w:p>
    <w:p w14:paraId="535F971E" w14:textId="77777777" w:rsidR="002F4F67" w:rsidRPr="00AD6688" w:rsidRDefault="00E15D01" w:rsidP="006635CC">
      <w:pPr>
        <w:tabs>
          <w:tab w:val="left" w:pos="6300"/>
        </w:tabs>
        <w:spacing w:after="0" w:line="240" w:lineRule="auto"/>
        <w:jc w:val="both"/>
        <w:rPr>
          <w:rFonts w:ascii="Times New Roman" w:eastAsia="Times New Roman" w:hAnsi="Times New Roman" w:cs="Times New Roman"/>
          <w:sz w:val="24"/>
          <w:szCs w:val="24"/>
          <w:lang w:val="en-GB"/>
        </w:rPr>
      </w:pPr>
      <w:r w:rsidRPr="00AD6688">
        <w:rPr>
          <w:rFonts w:ascii="Times New Roman" w:eastAsia="Times New Roman" w:hAnsi="Times New Roman" w:cs="Times New Roman"/>
          <w:sz w:val="24"/>
          <w:szCs w:val="24"/>
          <w:lang w:val="en-GB"/>
        </w:rPr>
        <w:t xml:space="preserve">The study was conducted in the </w:t>
      </w:r>
      <w:proofErr w:type="spellStart"/>
      <w:r w:rsidRPr="00AD6688">
        <w:rPr>
          <w:rFonts w:ascii="Times New Roman" w:eastAsia="Times New Roman" w:hAnsi="Times New Roman" w:cs="Times New Roman"/>
          <w:sz w:val="24"/>
          <w:szCs w:val="24"/>
          <w:lang w:val="en-GB"/>
        </w:rPr>
        <w:t>Ahafo</w:t>
      </w:r>
      <w:proofErr w:type="spellEnd"/>
      <w:r w:rsidRPr="00AD6688">
        <w:rPr>
          <w:rFonts w:ascii="Times New Roman" w:eastAsia="Times New Roman" w:hAnsi="Times New Roman" w:cs="Times New Roman"/>
          <w:sz w:val="24"/>
          <w:szCs w:val="24"/>
          <w:lang w:val="en-GB"/>
        </w:rPr>
        <w:t xml:space="preserve"> </w:t>
      </w:r>
      <w:proofErr w:type="spellStart"/>
      <w:r w:rsidRPr="00AD6688">
        <w:rPr>
          <w:rFonts w:ascii="Times New Roman" w:eastAsia="Times New Roman" w:hAnsi="Times New Roman" w:cs="Times New Roman"/>
          <w:sz w:val="24"/>
          <w:szCs w:val="24"/>
          <w:lang w:val="en-GB"/>
        </w:rPr>
        <w:t>Ano</w:t>
      </w:r>
      <w:proofErr w:type="spellEnd"/>
      <w:r w:rsidRPr="00AD6688">
        <w:rPr>
          <w:rFonts w:ascii="Times New Roman" w:eastAsia="Times New Roman" w:hAnsi="Times New Roman" w:cs="Times New Roman"/>
          <w:sz w:val="24"/>
          <w:szCs w:val="24"/>
          <w:lang w:val="en-GB"/>
        </w:rPr>
        <w:t xml:space="preserve"> North Municipality, </w:t>
      </w:r>
      <w:proofErr w:type="spellStart"/>
      <w:r w:rsidRPr="00AD6688">
        <w:rPr>
          <w:rFonts w:ascii="Times New Roman" w:eastAsia="Times New Roman" w:hAnsi="Times New Roman" w:cs="Times New Roman"/>
          <w:sz w:val="24"/>
          <w:szCs w:val="24"/>
          <w:lang w:val="en-GB"/>
        </w:rPr>
        <w:t>Tepa</w:t>
      </w:r>
      <w:proofErr w:type="spellEnd"/>
      <w:r w:rsidRPr="00AD6688">
        <w:rPr>
          <w:rFonts w:ascii="Times New Roman" w:eastAsia="Times New Roman" w:hAnsi="Times New Roman" w:cs="Times New Roman"/>
          <w:sz w:val="24"/>
          <w:szCs w:val="24"/>
          <w:lang w:val="en-GB"/>
        </w:rPr>
        <w:t xml:space="preserve"> which is one of the forty-two (42) administrative municipal/districts in Ashanti Region, Ghana. It is located in the northern part of Ashanti Region and shares common boundaries with </w:t>
      </w:r>
      <w:proofErr w:type="spellStart"/>
      <w:r w:rsidRPr="00AD6688">
        <w:rPr>
          <w:rFonts w:ascii="Times New Roman" w:eastAsia="Times New Roman" w:hAnsi="Times New Roman" w:cs="Times New Roman"/>
          <w:sz w:val="24"/>
          <w:szCs w:val="24"/>
          <w:lang w:val="en-GB"/>
        </w:rPr>
        <w:t>Ahafo</w:t>
      </w:r>
      <w:proofErr w:type="spellEnd"/>
      <w:r w:rsidRPr="00AD6688">
        <w:rPr>
          <w:rFonts w:ascii="Times New Roman" w:eastAsia="Times New Roman" w:hAnsi="Times New Roman" w:cs="Times New Roman"/>
          <w:sz w:val="24"/>
          <w:szCs w:val="24"/>
          <w:lang w:val="en-GB"/>
        </w:rPr>
        <w:t xml:space="preserve"> </w:t>
      </w:r>
      <w:proofErr w:type="spellStart"/>
      <w:r w:rsidRPr="00AD6688">
        <w:rPr>
          <w:rFonts w:ascii="Times New Roman" w:eastAsia="Times New Roman" w:hAnsi="Times New Roman" w:cs="Times New Roman"/>
          <w:sz w:val="24"/>
          <w:szCs w:val="24"/>
          <w:lang w:val="en-GB"/>
        </w:rPr>
        <w:t>Ano</w:t>
      </w:r>
      <w:proofErr w:type="spellEnd"/>
      <w:r w:rsidRPr="00AD6688">
        <w:rPr>
          <w:rFonts w:ascii="Times New Roman" w:eastAsia="Times New Roman" w:hAnsi="Times New Roman" w:cs="Times New Roman"/>
          <w:sz w:val="24"/>
          <w:szCs w:val="24"/>
          <w:lang w:val="en-GB"/>
        </w:rPr>
        <w:t xml:space="preserve"> South </w:t>
      </w:r>
      <w:proofErr w:type="spellStart"/>
      <w:r w:rsidRPr="00AD6688">
        <w:rPr>
          <w:rFonts w:ascii="Times New Roman" w:eastAsia="Times New Roman" w:hAnsi="Times New Roman" w:cs="Times New Roman"/>
          <w:sz w:val="24"/>
          <w:szCs w:val="24"/>
          <w:lang w:val="en-GB"/>
        </w:rPr>
        <w:t>distict</w:t>
      </w:r>
      <w:proofErr w:type="spellEnd"/>
      <w:r w:rsidRPr="00AD6688">
        <w:rPr>
          <w:rFonts w:ascii="Times New Roman" w:eastAsia="Times New Roman" w:hAnsi="Times New Roman" w:cs="Times New Roman"/>
          <w:sz w:val="24"/>
          <w:szCs w:val="24"/>
          <w:lang w:val="en-GB"/>
        </w:rPr>
        <w:t xml:space="preserve">, </w:t>
      </w:r>
      <w:proofErr w:type="spellStart"/>
      <w:r w:rsidRPr="00AD6688">
        <w:rPr>
          <w:rFonts w:ascii="Times New Roman" w:eastAsia="Times New Roman" w:hAnsi="Times New Roman" w:cs="Times New Roman"/>
          <w:sz w:val="24"/>
          <w:szCs w:val="24"/>
          <w:lang w:val="en-GB"/>
        </w:rPr>
        <w:t>Tano</w:t>
      </w:r>
      <w:proofErr w:type="spellEnd"/>
      <w:r w:rsidRPr="00AD6688">
        <w:rPr>
          <w:rFonts w:ascii="Times New Roman" w:eastAsia="Times New Roman" w:hAnsi="Times New Roman" w:cs="Times New Roman"/>
          <w:sz w:val="24"/>
          <w:szCs w:val="24"/>
          <w:lang w:val="en-GB"/>
        </w:rPr>
        <w:t xml:space="preserve"> North, </w:t>
      </w:r>
      <w:proofErr w:type="spellStart"/>
      <w:r w:rsidRPr="00AD6688">
        <w:rPr>
          <w:rFonts w:ascii="Times New Roman" w:eastAsia="Times New Roman" w:hAnsi="Times New Roman" w:cs="Times New Roman"/>
          <w:sz w:val="24"/>
          <w:szCs w:val="24"/>
          <w:lang w:val="en-GB"/>
        </w:rPr>
        <w:t>Tano</w:t>
      </w:r>
      <w:proofErr w:type="spellEnd"/>
      <w:r w:rsidRPr="00AD6688">
        <w:rPr>
          <w:rFonts w:ascii="Times New Roman" w:eastAsia="Times New Roman" w:hAnsi="Times New Roman" w:cs="Times New Roman"/>
          <w:sz w:val="24"/>
          <w:szCs w:val="24"/>
          <w:lang w:val="en-GB"/>
        </w:rPr>
        <w:t xml:space="preserve"> South and </w:t>
      </w:r>
      <w:proofErr w:type="spellStart"/>
      <w:r w:rsidRPr="00AD6688">
        <w:rPr>
          <w:rFonts w:ascii="Times New Roman" w:eastAsia="Times New Roman" w:hAnsi="Times New Roman" w:cs="Times New Roman"/>
          <w:sz w:val="24"/>
          <w:szCs w:val="24"/>
          <w:lang w:val="en-GB"/>
        </w:rPr>
        <w:t>Asutifi</w:t>
      </w:r>
      <w:proofErr w:type="spellEnd"/>
      <w:r w:rsidRPr="00AD6688">
        <w:rPr>
          <w:rFonts w:ascii="Times New Roman" w:eastAsia="Times New Roman" w:hAnsi="Times New Roman" w:cs="Times New Roman"/>
          <w:sz w:val="24"/>
          <w:szCs w:val="24"/>
          <w:lang w:val="en-GB"/>
        </w:rPr>
        <w:t xml:space="preserve"> district. It has a total population of 119,024 according to 2010 population census with a growth rate of 2.7%, containing 4,761 children under one, 19,639 children under five years and 31,422 WIFA respectively calculated. Administratively, the Municipality is divided into five (5) Sub-municipalities, namely </w:t>
      </w:r>
      <w:proofErr w:type="spellStart"/>
      <w:r w:rsidRPr="00AD6688">
        <w:rPr>
          <w:rFonts w:ascii="Times New Roman" w:eastAsia="Times New Roman" w:hAnsi="Times New Roman" w:cs="Times New Roman"/>
          <w:sz w:val="24"/>
          <w:szCs w:val="24"/>
          <w:lang w:val="en-GB"/>
        </w:rPr>
        <w:t>Tepa</w:t>
      </w:r>
      <w:proofErr w:type="spellEnd"/>
      <w:r w:rsidRPr="00AD6688">
        <w:rPr>
          <w:rFonts w:ascii="Times New Roman" w:eastAsia="Times New Roman" w:hAnsi="Times New Roman" w:cs="Times New Roman"/>
          <w:sz w:val="24"/>
          <w:szCs w:val="24"/>
          <w:lang w:val="en-GB"/>
        </w:rPr>
        <w:t xml:space="preserve">, </w:t>
      </w:r>
      <w:proofErr w:type="spellStart"/>
      <w:r w:rsidRPr="00AD6688">
        <w:rPr>
          <w:rFonts w:ascii="Times New Roman" w:eastAsia="Times New Roman" w:hAnsi="Times New Roman" w:cs="Times New Roman"/>
          <w:sz w:val="24"/>
          <w:szCs w:val="24"/>
          <w:lang w:val="en-GB"/>
        </w:rPr>
        <w:t>Manfo</w:t>
      </w:r>
      <w:proofErr w:type="spellEnd"/>
      <w:r w:rsidRPr="00AD6688">
        <w:rPr>
          <w:rFonts w:ascii="Times New Roman" w:eastAsia="Times New Roman" w:hAnsi="Times New Roman" w:cs="Times New Roman"/>
          <w:sz w:val="24"/>
          <w:szCs w:val="24"/>
          <w:lang w:val="en-GB"/>
        </w:rPr>
        <w:t xml:space="preserve">, </w:t>
      </w:r>
      <w:proofErr w:type="spellStart"/>
      <w:r w:rsidRPr="00AD6688">
        <w:rPr>
          <w:rFonts w:ascii="Times New Roman" w:eastAsia="Times New Roman" w:hAnsi="Times New Roman" w:cs="Times New Roman"/>
          <w:sz w:val="24"/>
          <w:szCs w:val="24"/>
          <w:lang w:val="en-GB"/>
        </w:rPr>
        <w:t>Anyinasuso</w:t>
      </w:r>
      <w:proofErr w:type="spellEnd"/>
      <w:r w:rsidRPr="00AD6688">
        <w:rPr>
          <w:rFonts w:ascii="Times New Roman" w:eastAsia="Times New Roman" w:hAnsi="Times New Roman" w:cs="Times New Roman"/>
          <w:sz w:val="24"/>
          <w:szCs w:val="24"/>
          <w:lang w:val="en-GB"/>
        </w:rPr>
        <w:t xml:space="preserve">, </w:t>
      </w:r>
      <w:proofErr w:type="spellStart"/>
      <w:r w:rsidRPr="00AD6688">
        <w:rPr>
          <w:rFonts w:ascii="Times New Roman" w:eastAsia="Times New Roman" w:hAnsi="Times New Roman" w:cs="Times New Roman"/>
          <w:sz w:val="24"/>
          <w:szCs w:val="24"/>
          <w:lang w:val="en-GB"/>
        </w:rPr>
        <w:t>Betiako</w:t>
      </w:r>
      <w:proofErr w:type="spellEnd"/>
      <w:r w:rsidRPr="00AD6688">
        <w:rPr>
          <w:rFonts w:ascii="Times New Roman" w:eastAsia="Times New Roman" w:hAnsi="Times New Roman" w:cs="Times New Roman"/>
          <w:sz w:val="24"/>
          <w:szCs w:val="24"/>
          <w:lang w:val="en-GB"/>
        </w:rPr>
        <w:t xml:space="preserve"> and </w:t>
      </w:r>
      <w:proofErr w:type="spellStart"/>
      <w:r w:rsidRPr="00AD6688">
        <w:rPr>
          <w:rFonts w:ascii="Times New Roman" w:eastAsia="Times New Roman" w:hAnsi="Times New Roman" w:cs="Times New Roman"/>
          <w:sz w:val="24"/>
          <w:szCs w:val="24"/>
          <w:lang w:val="en-GB"/>
        </w:rPr>
        <w:t>Subriso</w:t>
      </w:r>
      <w:proofErr w:type="spellEnd"/>
      <w:r w:rsidRPr="00AD6688">
        <w:rPr>
          <w:rFonts w:ascii="Times New Roman" w:eastAsia="Times New Roman" w:hAnsi="Times New Roman" w:cs="Times New Roman"/>
          <w:sz w:val="24"/>
          <w:szCs w:val="24"/>
          <w:lang w:val="en-GB"/>
        </w:rPr>
        <w:t xml:space="preserve">. </w:t>
      </w:r>
    </w:p>
    <w:p w14:paraId="15353E4E" w14:textId="77777777" w:rsidR="002F4F67" w:rsidRPr="00AD6688" w:rsidRDefault="00115AC0" w:rsidP="006635CC">
      <w:pPr>
        <w:pStyle w:val="Heading1"/>
        <w:spacing w:line="240" w:lineRule="auto"/>
        <w:rPr>
          <w:rFonts w:ascii="Times New Roman" w:hAnsi="Times New Roman" w:cs="Times New Roman"/>
          <w:b/>
          <w:color w:val="auto"/>
          <w:sz w:val="24"/>
          <w:szCs w:val="24"/>
          <w:lang w:val="en-GB"/>
        </w:rPr>
      </w:pPr>
      <w:bookmarkStart w:id="19" w:name="_Toc79350942"/>
      <w:bookmarkStart w:id="20" w:name="_Toc40793084"/>
      <w:r w:rsidRPr="00AD6688">
        <w:rPr>
          <w:rFonts w:ascii="Times New Roman" w:hAnsi="Times New Roman" w:cs="Times New Roman"/>
          <w:b/>
          <w:color w:val="auto"/>
          <w:sz w:val="24"/>
          <w:szCs w:val="24"/>
          <w:lang w:val="en-GB"/>
        </w:rPr>
        <w:t>2</w:t>
      </w:r>
      <w:r w:rsidR="00E15D01" w:rsidRPr="00AD6688">
        <w:rPr>
          <w:rFonts w:ascii="Times New Roman" w:hAnsi="Times New Roman" w:cs="Times New Roman"/>
          <w:b/>
          <w:color w:val="auto"/>
          <w:sz w:val="24"/>
          <w:szCs w:val="24"/>
          <w:lang w:val="en-GB"/>
        </w:rPr>
        <w:t>.3 Study Design and Type</w:t>
      </w:r>
      <w:bookmarkEnd w:id="19"/>
      <w:bookmarkEnd w:id="20"/>
      <w:r w:rsidR="00E15D01" w:rsidRPr="00AD6688">
        <w:rPr>
          <w:rFonts w:ascii="Times New Roman" w:hAnsi="Times New Roman" w:cs="Times New Roman"/>
          <w:b/>
          <w:color w:val="auto"/>
          <w:sz w:val="24"/>
          <w:szCs w:val="24"/>
          <w:lang w:val="en-GB"/>
        </w:rPr>
        <w:t xml:space="preserve"> </w:t>
      </w:r>
    </w:p>
    <w:p w14:paraId="36A3F919"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018A1368" wp14:editId="29171EE0">
                <wp:simplePos x="0" y="0"/>
                <wp:positionH relativeFrom="margin">
                  <wp:align>center</wp:align>
                </wp:positionH>
                <wp:positionV relativeFrom="paragraph">
                  <wp:posOffset>2239010</wp:posOffset>
                </wp:positionV>
                <wp:extent cx="182245" cy="123190"/>
                <wp:effectExtent l="0" t="0" r="0" b="0"/>
                <wp:wrapNone/>
                <wp:docPr id="1044" name="Text Box 38"/>
                <wp:cNvGraphicFramePr/>
                <a:graphic xmlns:a="http://schemas.openxmlformats.org/drawingml/2006/main">
                  <a:graphicData uri="http://schemas.microsoft.com/office/word/2010/wordprocessingShape">
                    <wps:wsp>
                      <wps:cNvSpPr/>
                      <wps:spPr>
                        <a:xfrm>
                          <a:off x="0" y="0"/>
                          <a:ext cx="182245" cy="123190"/>
                        </a:xfrm>
                        <a:prstGeom prst="rect">
                          <a:avLst/>
                        </a:prstGeom>
                        <a:solidFill>
                          <a:srgbClr val="FFFFFF"/>
                        </a:solidFill>
                        <a:ln>
                          <a:noFill/>
                        </a:ln>
                      </wps:spPr>
                      <wps:txbx>
                        <w:txbxContent>
                          <w:p w14:paraId="24BB1DA5" w14:textId="77777777" w:rsidR="00DE5B58" w:rsidRDefault="00DE5B58">
                            <w:r>
                              <w:t>17</w:t>
                            </w:r>
                          </w:p>
                        </w:txbxContent>
                      </wps:txbx>
                      <wps:bodyPr vert="horz" wrap="square" lIns="91440" tIns="45720" rIns="91440" bIns="45720" anchor="t">
                        <a:noAutofit/>
                      </wps:bodyPr>
                    </wps:wsp>
                  </a:graphicData>
                </a:graphic>
              </wp:anchor>
            </w:drawing>
          </mc:Choice>
          <mc:Fallback>
            <w:pict>
              <v:rect w14:anchorId="661ADB8A" id="Text Box 38" o:spid="_x0000_s1039" style="position:absolute;left:0;text-align:left;margin-left:0;margin-top:176.3pt;width:14.35pt;height:9.7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" stroked="f">
                <v:textbox>
                  <w:txbxContent>
                    <w:p w:rsidR="00DE5B58" w:rsidRDefault="00DE5B58">
                      <w:r>
                        <w:t>17</w:t>
                      </w:r>
                    </w:p>
                  </w:txbxContent>
                </v:textbox>
                <w10:wrap anchorx="margin"/>
              </v:rect>
            </w:pict>
          </mc:Fallback>
        </mc:AlternateContent>
      </w:r>
      <w:r w:rsidRPr="00AD6688">
        <w:rPr>
          <w:rFonts w:ascii="Times New Roman" w:hAnsi="Times New Roman" w:cs="Times New Roman"/>
          <w:sz w:val="24"/>
          <w:szCs w:val="24"/>
          <w:lang w:val="en-GB"/>
        </w:rPr>
        <w:t xml:space="preserve">A descriptive cross-sectional study design was used to assess the occupational hazards and injuries among health workers in the </w:t>
      </w:r>
      <w:proofErr w:type="spellStart"/>
      <w:r w:rsidRPr="00AD6688">
        <w:rPr>
          <w:rFonts w:ascii="Times New Roman" w:hAnsi="Times New Roman" w:cs="Times New Roman"/>
          <w:sz w:val="24"/>
          <w:szCs w:val="24"/>
          <w:lang w:val="en-GB"/>
        </w:rPr>
        <w:t>Ahafo</w:t>
      </w:r>
      <w:proofErr w:type="spellEnd"/>
      <w:r w:rsidRPr="00AD6688">
        <w:rPr>
          <w:rFonts w:ascii="Times New Roman" w:hAnsi="Times New Roman" w:cs="Times New Roman"/>
          <w:sz w:val="24"/>
          <w:szCs w:val="24"/>
          <w:lang w:val="en-GB"/>
        </w:rPr>
        <w:t xml:space="preserve">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w:t>
      </w:r>
      <w:proofErr w:type="spellStart"/>
      <w:r w:rsidRPr="00AD6688">
        <w:rPr>
          <w:rFonts w:ascii="Times New Roman" w:hAnsi="Times New Roman" w:cs="Times New Roman"/>
          <w:sz w:val="24"/>
          <w:szCs w:val="24"/>
          <w:lang w:val="en-GB"/>
        </w:rPr>
        <w:t>Tepa</w:t>
      </w:r>
      <w:proofErr w:type="spellEnd"/>
      <w:r w:rsidRPr="00AD6688">
        <w:rPr>
          <w:rFonts w:ascii="Times New Roman" w:hAnsi="Times New Roman" w:cs="Times New Roman"/>
          <w:sz w:val="24"/>
          <w:szCs w:val="24"/>
          <w:lang w:val="en-GB"/>
        </w:rPr>
        <w:t>.  Descriptive study design is a scientific method that involves observing and describing the behaviour of a subject without influencing it in any way, (</w:t>
      </w:r>
      <w:proofErr w:type="spellStart"/>
      <w:r w:rsidRPr="00AD6688">
        <w:rPr>
          <w:rFonts w:ascii="Times New Roman" w:hAnsi="Times New Roman" w:cs="Times New Roman"/>
          <w:sz w:val="24"/>
          <w:szCs w:val="24"/>
          <w:lang w:val="en-GB"/>
        </w:rPr>
        <w:t>Shuttlewortg</w:t>
      </w:r>
      <w:proofErr w:type="spellEnd"/>
      <w:r w:rsidRPr="00AD6688">
        <w:rPr>
          <w:rFonts w:ascii="Times New Roman" w:hAnsi="Times New Roman" w:cs="Times New Roman"/>
          <w:sz w:val="24"/>
          <w:szCs w:val="24"/>
          <w:lang w:val="en-GB"/>
        </w:rPr>
        <w:t xml:space="preserve">, 2008). Descriptive designs results in collection and description of data, whether in words, pictures, charts or tables (Gay,1992). The study was designed to assess the occupational hazards and injuries among health workers in the </w:t>
      </w:r>
      <w:proofErr w:type="spellStart"/>
      <w:r w:rsidRPr="00AD6688">
        <w:rPr>
          <w:rFonts w:ascii="Times New Roman" w:hAnsi="Times New Roman" w:cs="Times New Roman"/>
          <w:sz w:val="24"/>
          <w:szCs w:val="24"/>
          <w:lang w:val="en-GB"/>
        </w:rPr>
        <w:t>Ahafo</w:t>
      </w:r>
      <w:proofErr w:type="spellEnd"/>
      <w:r w:rsidRPr="00AD6688">
        <w:rPr>
          <w:rFonts w:ascii="Times New Roman" w:hAnsi="Times New Roman" w:cs="Times New Roman"/>
          <w:sz w:val="24"/>
          <w:szCs w:val="24"/>
          <w:lang w:val="en-GB"/>
        </w:rPr>
        <w:t xml:space="preserve">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w:t>
      </w:r>
      <w:proofErr w:type="spellStart"/>
      <w:r w:rsidRPr="00AD6688">
        <w:rPr>
          <w:rFonts w:ascii="Times New Roman" w:hAnsi="Times New Roman" w:cs="Times New Roman"/>
          <w:sz w:val="24"/>
          <w:szCs w:val="24"/>
          <w:lang w:val="en-GB"/>
        </w:rPr>
        <w:t>Tepa</w:t>
      </w:r>
      <w:proofErr w:type="spellEnd"/>
      <w:r w:rsidRPr="00AD6688">
        <w:rPr>
          <w:rFonts w:ascii="Times New Roman" w:hAnsi="Times New Roman" w:cs="Times New Roman"/>
          <w:sz w:val="24"/>
          <w:szCs w:val="24"/>
          <w:lang w:val="en-GB"/>
        </w:rPr>
        <w:t>. The advantage of this study is that the subjects are observed in a complete natural and unchanged environment. Descriptive research is mostly used as the precursor to more quantitative research design and are the general overview giving some valuable indicators as what variables are worth testing quantitatively.  In, addition, the use of descriptive design allows variables and procedures to be described as accurately and completely as possible so that other researchers can replicate the study.</w:t>
      </w:r>
    </w:p>
    <w:p w14:paraId="4B9807DA" w14:textId="77777777" w:rsidR="002F4F67" w:rsidRPr="00AD6688" w:rsidRDefault="00E15D01" w:rsidP="006635CC">
      <w:pPr>
        <w:autoSpaceDE w:val="0"/>
        <w:autoSpaceDN w:val="0"/>
        <w:adjustRightInd w:val="0"/>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Cross sectional design as a research design was used and carried out at one time point or over a short period. It is conducted to estimate the prevalence of the outcome of interest in a given population, commonly for the purposes of public health planning. In this study, cross sectional design was used to assess the occupational hazards and injuries among health workers. Cross sectional design provided a ‘snapshot’ of the occupational hazards and injuries affecting health workers in the </w:t>
      </w:r>
      <w:proofErr w:type="spellStart"/>
      <w:r w:rsidRPr="00AD6688">
        <w:rPr>
          <w:rFonts w:ascii="Times New Roman" w:hAnsi="Times New Roman" w:cs="Times New Roman"/>
          <w:sz w:val="24"/>
          <w:szCs w:val="24"/>
          <w:lang w:val="en-GB"/>
        </w:rPr>
        <w:t>Ahafo</w:t>
      </w:r>
      <w:proofErr w:type="spellEnd"/>
      <w:r w:rsidRPr="00AD6688">
        <w:rPr>
          <w:rFonts w:ascii="Times New Roman" w:hAnsi="Times New Roman" w:cs="Times New Roman"/>
          <w:sz w:val="24"/>
          <w:szCs w:val="24"/>
          <w:lang w:val="en-GB"/>
        </w:rPr>
        <w:t xml:space="preserve">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Municipality, </w:t>
      </w:r>
      <w:proofErr w:type="spellStart"/>
      <w:r w:rsidRPr="00AD6688">
        <w:rPr>
          <w:rFonts w:ascii="Times New Roman" w:hAnsi="Times New Roman" w:cs="Times New Roman"/>
          <w:sz w:val="24"/>
          <w:szCs w:val="24"/>
          <w:lang w:val="en-GB"/>
        </w:rPr>
        <w:t>Tepa</w:t>
      </w:r>
      <w:proofErr w:type="spellEnd"/>
      <w:r w:rsidRPr="00AD6688">
        <w:rPr>
          <w:rFonts w:ascii="Times New Roman" w:hAnsi="Times New Roman" w:cs="Times New Roman"/>
          <w:sz w:val="24"/>
          <w:szCs w:val="24"/>
          <w:lang w:val="en-GB"/>
        </w:rPr>
        <w:t xml:space="preserve"> between June, 2020 to December, 2020. A cross sectional study is used when the purpose of the study is descriptive, often in the form of a survey. Inability to follow-up is a common concern in cross sectional design studies and one of the strategies used to overcome this is to increase sample size to have a better description of the population within the time frame.</w:t>
      </w:r>
    </w:p>
    <w:p w14:paraId="227212E2" w14:textId="77777777" w:rsidR="002F4F67" w:rsidRPr="00AD6688" w:rsidRDefault="002F4F67" w:rsidP="006635CC">
      <w:pPr>
        <w:autoSpaceDE w:val="0"/>
        <w:autoSpaceDN w:val="0"/>
        <w:adjustRightInd w:val="0"/>
        <w:spacing w:after="0" w:line="240" w:lineRule="auto"/>
        <w:jc w:val="both"/>
        <w:rPr>
          <w:rFonts w:ascii="Times New Roman" w:hAnsi="Times New Roman" w:cs="Times New Roman"/>
          <w:b/>
          <w:sz w:val="24"/>
          <w:szCs w:val="24"/>
        </w:rPr>
      </w:pPr>
    </w:p>
    <w:p w14:paraId="0D4B3608" w14:textId="77777777" w:rsidR="002F4F67" w:rsidRPr="00AD6688" w:rsidRDefault="00977FB9" w:rsidP="006635CC">
      <w:pPr>
        <w:autoSpaceDE w:val="0"/>
        <w:autoSpaceDN w:val="0"/>
        <w:adjustRightInd w:val="0"/>
        <w:spacing w:after="0" w:line="240" w:lineRule="auto"/>
        <w:jc w:val="both"/>
        <w:rPr>
          <w:rFonts w:ascii="Times New Roman" w:hAnsi="Times New Roman" w:cs="Times New Roman"/>
          <w:b/>
          <w:sz w:val="24"/>
          <w:szCs w:val="24"/>
          <w:lang w:val="en-GB"/>
        </w:rPr>
      </w:pPr>
      <w:r w:rsidRPr="00AD6688">
        <w:rPr>
          <w:rFonts w:ascii="Times New Roman" w:hAnsi="Times New Roman" w:cs="Times New Roman"/>
          <w:b/>
          <w:sz w:val="24"/>
          <w:szCs w:val="24"/>
        </w:rPr>
        <w:t xml:space="preserve">2.4 </w:t>
      </w:r>
      <w:r w:rsidR="00E15D01" w:rsidRPr="00AD6688">
        <w:rPr>
          <w:rFonts w:ascii="Times New Roman" w:hAnsi="Times New Roman" w:cs="Times New Roman"/>
          <w:b/>
          <w:sz w:val="24"/>
          <w:szCs w:val="24"/>
        </w:rPr>
        <w:t>Study Population</w:t>
      </w:r>
    </w:p>
    <w:p w14:paraId="196480CA"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lang w:val="en-GB"/>
        </w:rPr>
        <w:t>Polit and Hungler (1999:37) define study population as a totality of all the subjects, objects or members that conform to a set of specifications for a specific study. The study population</w:t>
      </w:r>
      <w:r w:rsidRPr="00AD6688">
        <w:rPr>
          <w:rFonts w:ascii="Times New Roman" w:hAnsi="Times New Roman" w:cs="Times New Roman"/>
          <w:sz w:val="24"/>
          <w:szCs w:val="24"/>
        </w:rPr>
        <w:t xml:space="preserve"> included health workers of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health facilities who were present at the time of the study. Health workers here consisted of nurses (Nurses, Midwives and Healthcare assistants), Doctors (Doctors and Physician assistants), Laboratory staff (Biomedical scientists and laboratory technicians), Pharmacists (Pharmacists, pharmacy technicians and dispensary technicians), Radiologists, Physiotherapists, Orderlies, Mortuary staff, </w:t>
      </w:r>
      <w:proofErr w:type="spellStart"/>
      <w:r w:rsidRPr="00AD6688">
        <w:rPr>
          <w:rFonts w:ascii="Times New Roman" w:hAnsi="Times New Roman" w:cs="Times New Roman"/>
          <w:sz w:val="24"/>
          <w:szCs w:val="24"/>
        </w:rPr>
        <w:t>Labourers</w:t>
      </w:r>
      <w:proofErr w:type="spellEnd"/>
      <w:r w:rsidRPr="00AD6688">
        <w:rPr>
          <w:rFonts w:ascii="Times New Roman" w:hAnsi="Times New Roman" w:cs="Times New Roman"/>
          <w:sz w:val="24"/>
          <w:szCs w:val="24"/>
        </w:rPr>
        <w:t xml:space="preserve"> and Security Officers. These categories of health workers were relevant to this study since they directly are exposed to hazards and injuries in their routine activities. The study assumed that these health workers would provide information on occupational hazards and injuries among health workers in the municipality, Tepa. Therefore, the number of health workers required to represent each cadre of health workers were calculated in table </w:t>
      </w:r>
      <w:r w:rsidR="00AD6688" w:rsidRPr="00AD6688">
        <w:rPr>
          <w:rFonts w:ascii="Times New Roman" w:hAnsi="Times New Roman" w:cs="Times New Roman"/>
          <w:sz w:val="24"/>
          <w:szCs w:val="24"/>
        </w:rPr>
        <w:t>1</w:t>
      </w:r>
      <w:r w:rsidRPr="00AD6688">
        <w:rPr>
          <w:rFonts w:ascii="Times New Roman" w:hAnsi="Times New Roman" w:cs="Times New Roman"/>
          <w:sz w:val="24"/>
          <w:szCs w:val="24"/>
        </w:rPr>
        <w:t xml:space="preserve"> below</w:t>
      </w:r>
    </w:p>
    <w:p w14:paraId="3FAD7B7B" w14:textId="77777777" w:rsidR="002F4F67" w:rsidRPr="00AD6688" w:rsidRDefault="002F4F67" w:rsidP="006635CC">
      <w:pPr>
        <w:pStyle w:val="Caption"/>
      </w:pPr>
      <w:bookmarkStart w:id="21" w:name="_Toc69793132"/>
      <w:bookmarkStart w:id="22" w:name="_Toc77008842"/>
    </w:p>
    <w:p w14:paraId="7D66FD10" w14:textId="77777777" w:rsidR="002F4F67" w:rsidRPr="00AD6688" w:rsidRDefault="00E15D01" w:rsidP="006635CC">
      <w:pPr>
        <w:pStyle w:val="Caption"/>
      </w:pPr>
      <w:r w:rsidRPr="00AD6688">
        <w:t xml:space="preserve">Table </w:t>
      </w:r>
      <w:r w:rsidR="00AD6688" w:rsidRPr="00AD6688">
        <w:t>1</w:t>
      </w:r>
      <w:r w:rsidRPr="00AD6688">
        <w:t xml:space="preserve">: Proportionate Representation of Cadre of Health Workers in the Study Population </w:t>
      </w:r>
      <w:bookmarkEnd w:id="21"/>
      <w:bookmarkEnd w:id="22"/>
    </w:p>
    <w:tbl>
      <w:tblPr>
        <w:tblW w:w="8184" w:type="dxa"/>
        <w:tblLook w:val="04A0" w:firstRow="1" w:lastRow="0" w:firstColumn="1" w:lastColumn="0" w:noHBand="0" w:noVBand="1"/>
      </w:tblPr>
      <w:tblGrid>
        <w:gridCol w:w="2472"/>
        <w:gridCol w:w="1977"/>
        <w:gridCol w:w="2142"/>
        <w:gridCol w:w="1593"/>
      </w:tblGrid>
      <w:tr w:rsidR="002F4F67" w:rsidRPr="00AD6688" w14:paraId="326224F9" w14:textId="77777777">
        <w:trPr>
          <w:trHeight w:val="1167"/>
        </w:trPr>
        <w:tc>
          <w:tcPr>
            <w:tcW w:w="2472" w:type="dxa"/>
            <w:tcBorders>
              <w:top w:val="single" w:sz="4" w:space="0" w:color="auto"/>
              <w:left w:val="nil"/>
              <w:bottom w:val="nil"/>
              <w:right w:val="nil"/>
            </w:tcBorders>
            <w:shd w:val="clear" w:color="auto" w:fill="auto"/>
            <w:noWrap/>
            <w:vAlign w:val="bottom"/>
          </w:tcPr>
          <w:p w14:paraId="730757C7" w14:textId="77777777"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Health Workers</w:t>
            </w:r>
          </w:p>
        </w:tc>
        <w:tc>
          <w:tcPr>
            <w:tcW w:w="1977" w:type="dxa"/>
            <w:tcBorders>
              <w:top w:val="single" w:sz="4" w:space="0" w:color="auto"/>
              <w:left w:val="nil"/>
              <w:bottom w:val="nil"/>
              <w:right w:val="nil"/>
            </w:tcBorders>
            <w:shd w:val="clear" w:color="auto" w:fill="auto"/>
            <w:vAlign w:val="bottom"/>
          </w:tcPr>
          <w:p w14:paraId="7BBF6EFE" w14:textId="77777777"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Health workers population</w:t>
            </w:r>
          </w:p>
        </w:tc>
        <w:tc>
          <w:tcPr>
            <w:tcW w:w="2142" w:type="dxa"/>
            <w:tcBorders>
              <w:top w:val="single" w:sz="4" w:space="0" w:color="auto"/>
              <w:left w:val="nil"/>
              <w:bottom w:val="nil"/>
              <w:right w:val="nil"/>
            </w:tcBorders>
            <w:shd w:val="clear" w:color="auto" w:fill="auto"/>
            <w:vAlign w:val="bottom"/>
          </w:tcPr>
          <w:p w14:paraId="7A11F04B" w14:textId="77777777"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Proportion per population</w:t>
            </w:r>
          </w:p>
        </w:tc>
        <w:tc>
          <w:tcPr>
            <w:tcW w:w="1593" w:type="dxa"/>
            <w:tcBorders>
              <w:top w:val="single" w:sz="4" w:space="0" w:color="auto"/>
              <w:left w:val="nil"/>
              <w:bottom w:val="nil"/>
              <w:right w:val="nil"/>
            </w:tcBorders>
            <w:shd w:val="clear" w:color="auto" w:fill="auto"/>
            <w:vAlign w:val="bottom"/>
          </w:tcPr>
          <w:p w14:paraId="1D3C6E5A" w14:textId="77777777"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Required no. of Health workers</w:t>
            </w:r>
          </w:p>
        </w:tc>
      </w:tr>
      <w:tr w:rsidR="002F4F67" w:rsidRPr="00AD6688" w14:paraId="1C0BD721" w14:textId="77777777">
        <w:trPr>
          <w:trHeight w:val="389"/>
        </w:trPr>
        <w:tc>
          <w:tcPr>
            <w:tcW w:w="2472" w:type="dxa"/>
            <w:tcBorders>
              <w:top w:val="nil"/>
              <w:left w:val="nil"/>
              <w:bottom w:val="nil"/>
              <w:right w:val="nil"/>
            </w:tcBorders>
            <w:shd w:val="clear" w:color="auto" w:fill="auto"/>
            <w:noWrap/>
            <w:vAlign w:val="bottom"/>
          </w:tcPr>
          <w:p w14:paraId="7A3139B9"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Nurse</w:t>
            </w:r>
          </w:p>
        </w:tc>
        <w:tc>
          <w:tcPr>
            <w:tcW w:w="1977" w:type="dxa"/>
            <w:tcBorders>
              <w:top w:val="nil"/>
              <w:left w:val="nil"/>
              <w:bottom w:val="nil"/>
              <w:right w:val="nil"/>
            </w:tcBorders>
            <w:shd w:val="clear" w:color="auto" w:fill="auto"/>
            <w:noWrap/>
            <w:vAlign w:val="bottom"/>
          </w:tcPr>
          <w:p w14:paraId="4D80632B"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143</w:t>
            </w:r>
          </w:p>
        </w:tc>
        <w:tc>
          <w:tcPr>
            <w:tcW w:w="2142" w:type="dxa"/>
            <w:tcBorders>
              <w:top w:val="nil"/>
              <w:left w:val="nil"/>
              <w:bottom w:val="nil"/>
              <w:right w:val="nil"/>
            </w:tcBorders>
            <w:shd w:val="clear" w:color="auto" w:fill="auto"/>
            <w:noWrap/>
            <w:vAlign w:val="bottom"/>
          </w:tcPr>
          <w:p w14:paraId="5169574A"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143/270*259</w:t>
            </w:r>
          </w:p>
        </w:tc>
        <w:tc>
          <w:tcPr>
            <w:tcW w:w="1593" w:type="dxa"/>
            <w:tcBorders>
              <w:top w:val="nil"/>
              <w:left w:val="nil"/>
              <w:bottom w:val="nil"/>
              <w:right w:val="nil"/>
            </w:tcBorders>
            <w:shd w:val="clear" w:color="auto" w:fill="auto"/>
            <w:noWrap/>
            <w:vAlign w:val="bottom"/>
          </w:tcPr>
          <w:p w14:paraId="51469696"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137</w:t>
            </w:r>
          </w:p>
        </w:tc>
      </w:tr>
      <w:tr w:rsidR="002F4F67" w:rsidRPr="00AD6688" w14:paraId="271AD3B6" w14:textId="77777777">
        <w:trPr>
          <w:trHeight w:val="389"/>
        </w:trPr>
        <w:tc>
          <w:tcPr>
            <w:tcW w:w="2472" w:type="dxa"/>
            <w:tcBorders>
              <w:top w:val="nil"/>
              <w:left w:val="nil"/>
              <w:bottom w:val="nil"/>
              <w:right w:val="nil"/>
            </w:tcBorders>
            <w:shd w:val="clear" w:color="auto" w:fill="auto"/>
            <w:noWrap/>
            <w:vAlign w:val="bottom"/>
          </w:tcPr>
          <w:p w14:paraId="0D48D047"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Doctors/PAs</w:t>
            </w:r>
          </w:p>
        </w:tc>
        <w:tc>
          <w:tcPr>
            <w:tcW w:w="1977" w:type="dxa"/>
            <w:tcBorders>
              <w:top w:val="nil"/>
              <w:left w:val="nil"/>
              <w:bottom w:val="nil"/>
              <w:right w:val="nil"/>
            </w:tcBorders>
            <w:shd w:val="clear" w:color="auto" w:fill="auto"/>
            <w:noWrap/>
            <w:vAlign w:val="bottom"/>
          </w:tcPr>
          <w:p w14:paraId="3D6AEB9D"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13</w:t>
            </w:r>
          </w:p>
        </w:tc>
        <w:tc>
          <w:tcPr>
            <w:tcW w:w="2142" w:type="dxa"/>
            <w:tcBorders>
              <w:top w:val="nil"/>
              <w:left w:val="nil"/>
              <w:bottom w:val="nil"/>
              <w:right w:val="nil"/>
            </w:tcBorders>
            <w:shd w:val="clear" w:color="auto" w:fill="auto"/>
            <w:noWrap/>
            <w:vAlign w:val="bottom"/>
          </w:tcPr>
          <w:p w14:paraId="49DDCC3D"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13/270*259</w:t>
            </w:r>
          </w:p>
        </w:tc>
        <w:tc>
          <w:tcPr>
            <w:tcW w:w="1593" w:type="dxa"/>
            <w:tcBorders>
              <w:top w:val="nil"/>
              <w:left w:val="nil"/>
              <w:bottom w:val="nil"/>
              <w:right w:val="nil"/>
            </w:tcBorders>
            <w:shd w:val="clear" w:color="auto" w:fill="auto"/>
            <w:noWrap/>
            <w:vAlign w:val="bottom"/>
          </w:tcPr>
          <w:p w14:paraId="5CF110B5"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12</w:t>
            </w:r>
          </w:p>
        </w:tc>
      </w:tr>
      <w:tr w:rsidR="002F4F67" w:rsidRPr="00AD6688" w14:paraId="08717F19" w14:textId="77777777">
        <w:trPr>
          <w:trHeight w:val="389"/>
        </w:trPr>
        <w:tc>
          <w:tcPr>
            <w:tcW w:w="2472" w:type="dxa"/>
            <w:tcBorders>
              <w:top w:val="nil"/>
              <w:left w:val="nil"/>
              <w:bottom w:val="nil"/>
              <w:right w:val="nil"/>
            </w:tcBorders>
            <w:shd w:val="clear" w:color="auto" w:fill="auto"/>
            <w:noWrap/>
            <w:vAlign w:val="bottom"/>
          </w:tcPr>
          <w:p w14:paraId="4B38AC6E"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Laboratory Staff</w:t>
            </w:r>
          </w:p>
        </w:tc>
        <w:tc>
          <w:tcPr>
            <w:tcW w:w="1977" w:type="dxa"/>
            <w:tcBorders>
              <w:top w:val="nil"/>
              <w:left w:val="nil"/>
              <w:bottom w:val="nil"/>
              <w:right w:val="nil"/>
            </w:tcBorders>
            <w:shd w:val="clear" w:color="auto" w:fill="auto"/>
            <w:noWrap/>
            <w:vAlign w:val="bottom"/>
          </w:tcPr>
          <w:p w14:paraId="583BE475"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c>
          <w:tcPr>
            <w:tcW w:w="2142" w:type="dxa"/>
            <w:tcBorders>
              <w:top w:val="nil"/>
              <w:left w:val="nil"/>
              <w:bottom w:val="nil"/>
              <w:right w:val="nil"/>
            </w:tcBorders>
            <w:shd w:val="clear" w:color="auto" w:fill="auto"/>
            <w:noWrap/>
            <w:vAlign w:val="bottom"/>
          </w:tcPr>
          <w:p w14:paraId="0CB836F2"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9/270*259</w:t>
            </w:r>
          </w:p>
        </w:tc>
        <w:tc>
          <w:tcPr>
            <w:tcW w:w="1593" w:type="dxa"/>
            <w:tcBorders>
              <w:top w:val="nil"/>
              <w:left w:val="nil"/>
              <w:bottom w:val="nil"/>
              <w:right w:val="nil"/>
            </w:tcBorders>
            <w:shd w:val="clear" w:color="auto" w:fill="auto"/>
            <w:noWrap/>
            <w:vAlign w:val="bottom"/>
          </w:tcPr>
          <w:p w14:paraId="12209E9C"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r>
      <w:tr w:rsidR="002F4F67" w:rsidRPr="00AD6688" w14:paraId="5A4F3215" w14:textId="77777777">
        <w:trPr>
          <w:trHeight w:val="389"/>
        </w:trPr>
        <w:tc>
          <w:tcPr>
            <w:tcW w:w="2472" w:type="dxa"/>
            <w:tcBorders>
              <w:top w:val="nil"/>
              <w:left w:val="nil"/>
              <w:bottom w:val="nil"/>
              <w:right w:val="nil"/>
            </w:tcBorders>
            <w:shd w:val="clear" w:color="auto" w:fill="auto"/>
            <w:noWrap/>
            <w:vAlign w:val="bottom"/>
          </w:tcPr>
          <w:p w14:paraId="05258CF2"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Pharmacy Staff</w:t>
            </w:r>
          </w:p>
        </w:tc>
        <w:tc>
          <w:tcPr>
            <w:tcW w:w="1977" w:type="dxa"/>
            <w:tcBorders>
              <w:top w:val="nil"/>
              <w:left w:val="nil"/>
              <w:bottom w:val="nil"/>
              <w:right w:val="nil"/>
            </w:tcBorders>
            <w:shd w:val="clear" w:color="auto" w:fill="auto"/>
            <w:noWrap/>
            <w:vAlign w:val="bottom"/>
          </w:tcPr>
          <w:p w14:paraId="0C9CCF7F"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17</w:t>
            </w:r>
          </w:p>
        </w:tc>
        <w:tc>
          <w:tcPr>
            <w:tcW w:w="2142" w:type="dxa"/>
            <w:tcBorders>
              <w:top w:val="nil"/>
              <w:left w:val="nil"/>
              <w:bottom w:val="nil"/>
              <w:right w:val="nil"/>
            </w:tcBorders>
            <w:shd w:val="clear" w:color="auto" w:fill="auto"/>
            <w:noWrap/>
            <w:vAlign w:val="bottom"/>
          </w:tcPr>
          <w:p w14:paraId="76D0FBB9"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17/270*259</w:t>
            </w:r>
          </w:p>
        </w:tc>
        <w:tc>
          <w:tcPr>
            <w:tcW w:w="1593" w:type="dxa"/>
            <w:tcBorders>
              <w:top w:val="nil"/>
              <w:left w:val="nil"/>
              <w:bottom w:val="nil"/>
              <w:right w:val="nil"/>
            </w:tcBorders>
            <w:shd w:val="clear" w:color="auto" w:fill="auto"/>
            <w:noWrap/>
            <w:vAlign w:val="bottom"/>
          </w:tcPr>
          <w:p w14:paraId="4A55D813"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16</w:t>
            </w:r>
          </w:p>
        </w:tc>
      </w:tr>
      <w:tr w:rsidR="002F4F67" w:rsidRPr="00AD6688" w14:paraId="1E53B733" w14:textId="77777777">
        <w:trPr>
          <w:trHeight w:val="389"/>
        </w:trPr>
        <w:tc>
          <w:tcPr>
            <w:tcW w:w="2472" w:type="dxa"/>
            <w:tcBorders>
              <w:top w:val="nil"/>
              <w:left w:val="nil"/>
              <w:bottom w:val="nil"/>
              <w:right w:val="nil"/>
            </w:tcBorders>
            <w:shd w:val="clear" w:color="auto" w:fill="auto"/>
            <w:noWrap/>
            <w:vAlign w:val="bottom"/>
          </w:tcPr>
          <w:p w14:paraId="2B414006"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Physiotherapy staff</w:t>
            </w:r>
          </w:p>
        </w:tc>
        <w:tc>
          <w:tcPr>
            <w:tcW w:w="1977" w:type="dxa"/>
            <w:tcBorders>
              <w:top w:val="nil"/>
              <w:left w:val="nil"/>
              <w:bottom w:val="nil"/>
              <w:right w:val="nil"/>
            </w:tcBorders>
            <w:shd w:val="clear" w:color="auto" w:fill="auto"/>
            <w:noWrap/>
            <w:vAlign w:val="bottom"/>
          </w:tcPr>
          <w:p w14:paraId="0141EB58"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w:t>
            </w:r>
          </w:p>
        </w:tc>
        <w:tc>
          <w:tcPr>
            <w:tcW w:w="2142" w:type="dxa"/>
            <w:tcBorders>
              <w:top w:val="nil"/>
              <w:left w:val="nil"/>
              <w:bottom w:val="nil"/>
              <w:right w:val="nil"/>
            </w:tcBorders>
            <w:shd w:val="clear" w:color="auto" w:fill="auto"/>
            <w:noWrap/>
            <w:vAlign w:val="bottom"/>
          </w:tcPr>
          <w:p w14:paraId="58EE352E"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3/270*259</w:t>
            </w:r>
          </w:p>
        </w:tc>
        <w:tc>
          <w:tcPr>
            <w:tcW w:w="1593" w:type="dxa"/>
            <w:tcBorders>
              <w:top w:val="nil"/>
              <w:left w:val="nil"/>
              <w:bottom w:val="nil"/>
              <w:right w:val="nil"/>
            </w:tcBorders>
            <w:shd w:val="clear" w:color="auto" w:fill="auto"/>
            <w:noWrap/>
            <w:vAlign w:val="bottom"/>
          </w:tcPr>
          <w:p w14:paraId="457B17FA"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w:t>
            </w:r>
          </w:p>
        </w:tc>
      </w:tr>
      <w:tr w:rsidR="002F4F67" w:rsidRPr="00AD6688" w14:paraId="06443C0F" w14:textId="77777777">
        <w:trPr>
          <w:trHeight w:val="389"/>
        </w:trPr>
        <w:tc>
          <w:tcPr>
            <w:tcW w:w="2472" w:type="dxa"/>
            <w:tcBorders>
              <w:top w:val="nil"/>
              <w:left w:val="nil"/>
              <w:bottom w:val="nil"/>
              <w:right w:val="nil"/>
            </w:tcBorders>
            <w:shd w:val="clear" w:color="auto" w:fill="auto"/>
            <w:noWrap/>
            <w:vAlign w:val="bottom"/>
          </w:tcPr>
          <w:p w14:paraId="0CA7F027"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Orderlies</w:t>
            </w:r>
          </w:p>
        </w:tc>
        <w:tc>
          <w:tcPr>
            <w:tcW w:w="1977" w:type="dxa"/>
            <w:tcBorders>
              <w:top w:val="nil"/>
              <w:left w:val="nil"/>
              <w:bottom w:val="nil"/>
              <w:right w:val="nil"/>
            </w:tcBorders>
            <w:shd w:val="clear" w:color="auto" w:fill="auto"/>
            <w:noWrap/>
            <w:vAlign w:val="bottom"/>
          </w:tcPr>
          <w:p w14:paraId="21B4CCBB"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26</w:t>
            </w:r>
          </w:p>
        </w:tc>
        <w:tc>
          <w:tcPr>
            <w:tcW w:w="2142" w:type="dxa"/>
            <w:tcBorders>
              <w:top w:val="nil"/>
              <w:left w:val="nil"/>
              <w:bottom w:val="nil"/>
              <w:right w:val="nil"/>
            </w:tcBorders>
            <w:shd w:val="clear" w:color="auto" w:fill="auto"/>
            <w:noWrap/>
            <w:vAlign w:val="bottom"/>
          </w:tcPr>
          <w:p w14:paraId="301EDD21"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26/270*259</w:t>
            </w:r>
          </w:p>
        </w:tc>
        <w:tc>
          <w:tcPr>
            <w:tcW w:w="1593" w:type="dxa"/>
            <w:tcBorders>
              <w:top w:val="nil"/>
              <w:left w:val="nil"/>
              <w:bottom w:val="nil"/>
              <w:right w:val="nil"/>
            </w:tcBorders>
            <w:shd w:val="clear" w:color="auto" w:fill="auto"/>
            <w:noWrap/>
            <w:vAlign w:val="bottom"/>
          </w:tcPr>
          <w:p w14:paraId="2B16017F"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25</w:t>
            </w:r>
          </w:p>
        </w:tc>
      </w:tr>
      <w:tr w:rsidR="002F4F67" w:rsidRPr="00AD6688" w14:paraId="0C942166" w14:textId="77777777">
        <w:trPr>
          <w:trHeight w:val="389"/>
        </w:trPr>
        <w:tc>
          <w:tcPr>
            <w:tcW w:w="2472" w:type="dxa"/>
            <w:tcBorders>
              <w:top w:val="nil"/>
              <w:left w:val="nil"/>
              <w:bottom w:val="nil"/>
              <w:right w:val="nil"/>
            </w:tcBorders>
            <w:shd w:val="clear" w:color="auto" w:fill="auto"/>
            <w:noWrap/>
            <w:vAlign w:val="bottom"/>
          </w:tcPr>
          <w:p w14:paraId="02C0B38A"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Mortuary workers</w:t>
            </w:r>
          </w:p>
        </w:tc>
        <w:tc>
          <w:tcPr>
            <w:tcW w:w="1977" w:type="dxa"/>
            <w:tcBorders>
              <w:top w:val="nil"/>
              <w:left w:val="nil"/>
              <w:bottom w:val="nil"/>
              <w:right w:val="nil"/>
            </w:tcBorders>
            <w:shd w:val="clear" w:color="auto" w:fill="auto"/>
            <w:noWrap/>
            <w:vAlign w:val="bottom"/>
          </w:tcPr>
          <w:p w14:paraId="35B46F6E"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c>
          <w:tcPr>
            <w:tcW w:w="2142" w:type="dxa"/>
            <w:tcBorders>
              <w:top w:val="nil"/>
              <w:left w:val="nil"/>
              <w:bottom w:val="nil"/>
              <w:right w:val="nil"/>
            </w:tcBorders>
            <w:shd w:val="clear" w:color="auto" w:fill="auto"/>
            <w:noWrap/>
            <w:vAlign w:val="bottom"/>
          </w:tcPr>
          <w:p w14:paraId="66238E93"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9/270*260</w:t>
            </w:r>
          </w:p>
        </w:tc>
        <w:tc>
          <w:tcPr>
            <w:tcW w:w="1593" w:type="dxa"/>
            <w:tcBorders>
              <w:top w:val="nil"/>
              <w:left w:val="nil"/>
              <w:bottom w:val="nil"/>
              <w:right w:val="nil"/>
            </w:tcBorders>
            <w:shd w:val="clear" w:color="auto" w:fill="auto"/>
            <w:noWrap/>
            <w:vAlign w:val="bottom"/>
          </w:tcPr>
          <w:p w14:paraId="7D219668"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r>
      <w:tr w:rsidR="002F4F67" w:rsidRPr="00AD6688" w14:paraId="71EB2D6C" w14:textId="77777777">
        <w:trPr>
          <w:trHeight w:val="389"/>
        </w:trPr>
        <w:tc>
          <w:tcPr>
            <w:tcW w:w="2472" w:type="dxa"/>
            <w:tcBorders>
              <w:top w:val="nil"/>
              <w:left w:val="nil"/>
              <w:bottom w:val="nil"/>
              <w:right w:val="nil"/>
            </w:tcBorders>
            <w:shd w:val="clear" w:color="auto" w:fill="auto"/>
            <w:noWrap/>
            <w:vAlign w:val="bottom"/>
          </w:tcPr>
          <w:p w14:paraId="29D20512"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proofErr w:type="spellStart"/>
            <w:r w:rsidRPr="00AD6688">
              <w:rPr>
                <w:rFonts w:ascii="Times New Roman" w:eastAsia="Times New Roman" w:hAnsi="Times New Roman" w:cs="Times New Roman"/>
                <w:color w:val="000000"/>
                <w:sz w:val="24"/>
                <w:szCs w:val="24"/>
              </w:rPr>
              <w:t>Labourers</w:t>
            </w:r>
            <w:proofErr w:type="spellEnd"/>
          </w:p>
        </w:tc>
        <w:tc>
          <w:tcPr>
            <w:tcW w:w="1977" w:type="dxa"/>
            <w:tcBorders>
              <w:top w:val="nil"/>
              <w:left w:val="nil"/>
              <w:bottom w:val="nil"/>
              <w:right w:val="nil"/>
            </w:tcBorders>
            <w:shd w:val="clear" w:color="auto" w:fill="auto"/>
            <w:noWrap/>
            <w:vAlign w:val="bottom"/>
          </w:tcPr>
          <w:p w14:paraId="79195429"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33</w:t>
            </w:r>
          </w:p>
        </w:tc>
        <w:tc>
          <w:tcPr>
            <w:tcW w:w="2142" w:type="dxa"/>
            <w:tcBorders>
              <w:top w:val="nil"/>
              <w:left w:val="nil"/>
              <w:bottom w:val="nil"/>
              <w:right w:val="nil"/>
            </w:tcBorders>
            <w:shd w:val="clear" w:color="auto" w:fill="auto"/>
            <w:noWrap/>
            <w:vAlign w:val="bottom"/>
          </w:tcPr>
          <w:p w14:paraId="5BBE93D1"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33/270*261</w:t>
            </w:r>
          </w:p>
        </w:tc>
        <w:tc>
          <w:tcPr>
            <w:tcW w:w="1593" w:type="dxa"/>
            <w:tcBorders>
              <w:top w:val="nil"/>
              <w:left w:val="nil"/>
              <w:bottom w:val="nil"/>
              <w:right w:val="nil"/>
            </w:tcBorders>
            <w:shd w:val="clear" w:color="auto" w:fill="auto"/>
            <w:noWrap/>
            <w:vAlign w:val="bottom"/>
          </w:tcPr>
          <w:p w14:paraId="39399A8F"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32</w:t>
            </w:r>
          </w:p>
        </w:tc>
      </w:tr>
      <w:tr w:rsidR="002F4F67" w:rsidRPr="00AD6688" w14:paraId="7D3FFDA6" w14:textId="77777777">
        <w:trPr>
          <w:trHeight w:val="389"/>
        </w:trPr>
        <w:tc>
          <w:tcPr>
            <w:tcW w:w="2472" w:type="dxa"/>
            <w:tcBorders>
              <w:top w:val="nil"/>
              <w:left w:val="nil"/>
              <w:bottom w:val="nil"/>
              <w:right w:val="nil"/>
            </w:tcBorders>
            <w:shd w:val="clear" w:color="auto" w:fill="auto"/>
            <w:noWrap/>
            <w:vAlign w:val="bottom"/>
          </w:tcPr>
          <w:p w14:paraId="663A8164"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Security Officers</w:t>
            </w:r>
          </w:p>
        </w:tc>
        <w:tc>
          <w:tcPr>
            <w:tcW w:w="1977" w:type="dxa"/>
            <w:tcBorders>
              <w:top w:val="nil"/>
              <w:left w:val="nil"/>
              <w:bottom w:val="nil"/>
              <w:right w:val="nil"/>
            </w:tcBorders>
            <w:shd w:val="clear" w:color="auto" w:fill="auto"/>
            <w:noWrap/>
            <w:vAlign w:val="bottom"/>
          </w:tcPr>
          <w:p w14:paraId="6D82CE97"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17</w:t>
            </w:r>
          </w:p>
        </w:tc>
        <w:tc>
          <w:tcPr>
            <w:tcW w:w="2142" w:type="dxa"/>
            <w:tcBorders>
              <w:top w:val="nil"/>
              <w:left w:val="nil"/>
              <w:bottom w:val="nil"/>
              <w:right w:val="nil"/>
            </w:tcBorders>
            <w:shd w:val="clear" w:color="auto" w:fill="auto"/>
            <w:noWrap/>
            <w:vAlign w:val="bottom"/>
          </w:tcPr>
          <w:p w14:paraId="4E3C5AF6"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217/270*262</w:t>
            </w:r>
          </w:p>
        </w:tc>
        <w:tc>
          <w:tcPr>
            <w:tcW w:w="1593" w:type="dxa"/>
            <w:tcBorders>
              <w:top w:val="nil"/>
              <w:left w:val="nil"/>
              <w:bottom w:val="nil"/>
              <w:right w:val="nil"/>
            </w:tcBorders>
            <w:shd w:val="clear" w:color="auto" w:fill="auto"/>
            <w:noWrap/>
            <w:vAlign w:val="bottom"/>
          </w:tcPr>
          <w:p w14:paraId="7C7A5C9D"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16</w:t>
            </w:r>
          </w:p>
        </w:tc>
      </w:tr>
      <w:tr w:rsidR="002F4F67" w:rsidRPr="00AD6688" w14:paraId="6B7994AC" w14:textId="77777777">
        <w:trPr>
          <w:trHeight w:val="389"/>
        </w:trPr>
        <w:tc>
          <w:tcPr>
            <w:tcW w:w="2472" w:type="dxa"/>
            <w:tcBorders>
              <w:top w:val="nil"/>
              <w:left w:val="nil"/>
              <w:bottom w:val="single" w:sz="4" w:space="0" w:color="auto"/>
              <w:right w:val="nil"/>
            </w:tcBorders>
            <w:shd w:val="clear" w:color="auto" w:fill="auto"/>
            <w:noWrap/>
            <w:vAlign w:val="bottom"/>
          </w:tcPr>
          <w:p w14:paraId="1AF2CADC" w14:textId="77777777"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Total</w:t>
            </w:r>
          </w:p>
        </w:tc>
        <w:tc>
          <w:tcPr>
            <w:tcW w:w="1977" w:type="dxa"/>
            <w:tcBorders>
              <w:top w:val="nil"/>
              <w:left w:val="nil"/>
              <w:bottom w:val="single" w:sz="4" w:space="0" w:color="auto"/>
              <w:right w:val="nil"/>
            </w:tcBorders>
            <w:shd w:val="clear" w:color="auto" w:fill="auto"/>
            <w:noWrap/>
            <w:vAlign w:val="bottom"/>
          </w:tcPr>
          <w:p w14:paraId="6F5D0FA5"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270</w:t>
            </w:r>
          </w:p>
        </w:tc>
        <w:tc>
          <w:tcPr>
            <w:tcW w:w="2142" w:type="dxa"/>
            <w:tcBorders>
              <w:top w:val="nil"/>
              <w:left w:val="nil"/>
              <w:bottom w:val="single" w:sz="4" w:space="0" w:color="auto"/>
              <w:right w:val="nil"/>
            </w:tcBorders>
            <w:shd w:val="clear" w:color="auto" w:fill="auto"/>
            <w:noWrap/>
            <w:vAlign w:val="bottom"/>
          </w:tcPr>
          <w:p w14:paraId="602E0FD8" w14:textId="77777777" w:rsidR="002F4F67" w:rsidRPr="00AD6688" w:rsidRDefault="002F4F67" w:rsidP="006635CC">
            <w:pPr>
              <w:spacing w:after="0" w:line="240" w:lineRule="auto"/>
              <w:rPr>
                <w:rFonts w:ascii="Times New Roman" w:eastAsia="Times New Roman" w:hAnsi="Times New Roman" w:cs="Times New Roman"/>
                <w:color w:val="000000"/>
                <w:sz w:val="24"/>
                <w:szCs w:val="24"/>
              </w:rPr>
            </w:pPr>
          </w:p>
        </w:tc>
        <w:tc>
          <w:tcPr>
            <w:tcW w:w="1593" w:type="dxa"/>
            <w:tcBorders>
              <w:top w:val="nil"/>
              <w:left w:val="nil"/>
              <w:bottom w:val="single" w:sz="4" w:space="0" w:color="auto"/>
              <w:right w:val="nil"/>
            </w:tcBorders>
            <w:shd w:val="clear" w:color="auto" w:fill="auto"/>
            <w:noWrap/>
            <w:vAlign w:val="bottom"/>
          </w:tcPr>
          <w:p w14:paraId="6222C8AE" w14:textId="77777777"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259</w:t>
            </w:r>
          </w:p>
        </w:tc>
      </w:tr>
    </w:tbl>
    <w:p w14:paraId="3249860B" w14:textId="77777777" w:rsidR="002F4F67" w:rsidRPr="00AD6688" w:rsidRDefault="00E15D01" w:rsidP="006635CC">
      <w:pPr>
        <w:spacing w:line="240" w:lineRule="auto"/>
        <w:jc w:val="both"/>
        <w:rPr>
          <w:rFonts w:ascii="Times New Roman" w:hAnsi="Times New Roman" w:cs="Times New Roman"/>
          <w:b/>
          <w:sz w:val="24"/>
          <w:szCs w:val="24"/>
        </w:rPr>
      </w:pPr>
      <w:r w:rsidRPr="00AD6688">
        <w:rPr>
          <w:rFonts w:ascii="Times New Roman" w:hAnsi="Times New Roman" w:cs="Times New Roman"/>
          <w:b/>
          <w:sz w:val="24"/>
          <w:szCs w:val="24"/>
        </w:rPr>
        <w:t>Source: Field Data, 2020</w:t>
      </w:r>
    </w:p>
    <w:p w14:paraId="49A81BB4"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u w:val="single"/>
          <w:lang w:val="en-GB"/>
        </w:rPr>
        <w:t>Keys</w:t>
      </w:r>
      <w:r w:rsidRPr="00AD6688">
        <w:rPr>
          <w:rFonts w:ascii="Times New Roman" w:hAnsi="Times New Roman" w:cs="Times New Roman"/>
          <w:sz w:val="24"/>
          <w:szCs w:val="24"/>
          <w:lang w:val="en-GB"/>
        </w:rPr>
        <w:t>: Numerator – number of health workers per cadre, Denominator – total health workers, and multiplier – calculated sample size for the study</w:t>
      </w:r>
    </w:p>
    <w:p w14:paraId="513B9BB6" w14:textId="77777777"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23" w:name="_Toc40793086"/>
      <w:bookmarkStart w:id="24" w:name="_Toc79350943"/>
      <w:r w:rsidRPr="00AD6688">
        <w:rPr>
          <w:rFonts w:ascii="Times New Roman" w:hAnsi="Times New Roman" w:cs="Times New Roman"/>
          <w:b/>
          <w:color w:val="auto"/>
          <w:sz w:val="24"/>
          <w:szCs w:val="24"/>
          <w:lang w:val="en-GB"/>
        </w:rPr>
        <w:t>2</w:t>
      </w:r>
      <w:r w:rsidR="00E15D01" w:rsidRPr="00AD6688">
        <w:rPr>
          <w:rFonts w:ascii="Times New Roman" w:hAnsi="Times New Roman" w:cs="Times New Roman"/>
          <w:b/>
          <w:color w:val="auto"/>
          <w:sz w:val="24"/>
          <w:szCs w:val="24"/>
          <w:lang w:val="en-GB"/>
        </w:rPr>
        <w:t>.5</w:t>
      </w:r>
      <w:bookmarkEnd w:id="23"/>
      <w:r w:rsidR="00E15D01" w:rsidRPr="00AD6688">
        <w:rPr>
          <w:rFonts w:ascii="Times New Roman" w:hAnsi="Times New Roman" w:cs="Times New Roman"/>
          <w:b/>
          <w:color w:val="auto"/>
          <w:sz w:val="24"/>
          <w:szCs w:val="24"/>
          <w:lang w:val="en-GB"/>
        </w:rPr>
        <w:t xml:space="preserve"> Sampling Technique and Sample Size</w:t>
      </w:r>
      <w:bookmarkEnd w:id="24"/>
    </w:p>
    <w:p w14:paraId="76D16E5B" w14:textId="77777777"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Two sampling techniques were employed in the study namely; proportionate sampling and convenient sampling technique.  Proportionate sampling is a sampling strategy (a technique for turnout participant for a study) is used when the population is made up of several subgroups that are substantially different in number. The number respective to the entire population decides the number of participants from each subgroup </w:t>
      </w:r>
      <w:r w:rsidRPr="00AD6688">
        <w:rPr>
          <w:rFonts w:ascii="Times New Roman" w:hAnsi="Times New Roman" w:cs="Times New Roman"/>
          <w:sz w:val="24"/>
          <w:szCs w:val="24"/>
          <w:lang w:val="en-GB"/>
        </w:rPr>
        <w:fldChar w:fldCharType="begin"/>
      </w:r>
      <w:r w:rsidRPr="00AD6688">
        <w:rPr>
          <w:rFonts w:ascii="Times New Roman" w:hAnsi="Times New Roman" w:cs="Times New Roman"/>
          <w:sz w:val="24"/>
          <w:szCs w:val="24"/>
          <w:lang w:val="en-GB"/>
        </w:rPr>
        <w:instrText xml:space="preserve"> ADDIN ZOTERO_ITEM CSL_CITATION {"citationID":"b7IaAYnY","properties":{"formattedCitation":"(13)","plainCitation":"(13)","noteIndex":0},"citationItems":[{"id":"vN2fituk/MJpVsGIq","uris":["http://www.mendeley.com/documents/?uuid=8956c43a-6b47-4485-9a05-097b7a90034c"],"itemData":{"DOI":"10.2139/ssrn.3205035","ISSN":"1556-5068","abstract":"In order to answer the research questions, it is doubtful that researcher should be able to collect data from all cases. Thus, there is a need to select a sample. This paper presents the steps to go through to conduct sampling. Furthermore, as there are different types of sampling techniques/methods, researcher needs to understand the differences to select the proper sampling method for the research. In the regards, this paper also presents the different types of sampling techniques and methods.","author":[{"dropping-particle":"","family":"Taherdoost","given":"Hamed","non-dropping-particle":"","parse-names":false,"suffix":""}],"container-title":"SSRN Electronic Journal","id":"ITEM-1","issue":"9","issued":{"date-parts":[["2016"]]},"page":"27-78","title":"Sampling Methods in Research Methodology; How to Choose a Sampling Technique for Research","type":"article-journal","volume":"8"}}],"schema":"https://github.com/citation-style-language/schema/raw/master/csl-citation.json"} </w:instrText>
      </w:r>
      <w:r w:rsidRPr="00AD6688">
        <w:rPr>
          <w:rFonts w:ascii="Times New Roman" w:hAnsi="Times New Roman" w:cs="Times New Roman"/>
          <w:sz w:val="24"/>
          <w:szCs w:val="24"/>
          <w:lang w:val="en-GB"/>
        </w:rPr>
        <w:fldChar w:fldCharType="separate"/>
      </w:r>
      <w:r w:rsidRPr="00AD6688">
        <w:rPr>
          <w:rFonts w:ascii="Times New Roman" w:hAnsi="Times New Roman" w:cs="Times New Roman"/>
          <w:sz w:val="24"/>
          <w:szCs w:val="24"/>
        </w:rPr>
        <w:t>(13)</w:t>
      </w:r>
      <w:r w:rsidRPr="00AD6688">
        <w:rPr>
          <w:rFonts w:ascii="Times New Roman" w:hAnsi="Times New Roman" w:cs="Times New Roman"/>
          <w:sz w:val="24"/>
          <w:szCs w:val="24"/>
          <w:lang w:val="en-GB"/>
        </w:rPr>
        <w:fldChar w:fldCharType="end"/>
      </w:r>
      <w:r w:rsidRPr="00AD6688">
        <w:rPr>
          <w:rFonts w:ascii="Times New Roman" w:hAnsi="Times New Roman" w:cs="Times New Roman"/>
          <w:sz w:val="24"/>
          <w:szCs w:val="24"/>
          <w:lang w:val="en-GB"/>
        </w:rPr>
        <w:t>. In this study, the number of facilities for the study are ten (10). Each facility has different staff strength and therefore to achieve equal representation of all health workers in the study, the number of health workers to represent each facility were proportionately derived from the total staff strength of the facility.</w:t>
      </w:r>
    </w:p>
    <w:p w14:paraId="5B837FB6" w14:textId="77777777" w:rsidR="002F4F67" w:rsidRPr="00AD6688" w:rsidRDefault="00E15D01" w:rsidP="006635CC">
      <w:pPr>
        <w:spacing w:after="0" w:line="240" w:lineRule="auto"/>
        <w:jc w:val="both"/>
        <w:rPr>
          <w:rFonts w:ascii="Times New Roman" w:hAnsi="Times New Roman" w:cs="Times New Roman"/>
          <w:sz w:val="24"/>
          <w:szCs w:val="24"/>
          <w:lang w:val="en-GB"/>
        </w:rPr>
      </w:pPr>
      <w:bookmarkStart w:id="25" w:name="_Toc40793087"/>
      <w:r w:rsidRPr="00AD6688">
        <w:rPr>
          <w:rFonts w:ascii="Times New Roman" w:hAnsi="Times New Roman" w:cs="Times New Roman"/>
          <w:sz w:val="24"/>
          <w:szCs w:val="24"/>
          <w:lang w:val="en-GB"/>
        </w:rPr>
        <w:t xml:space="preserve">Again, convenient sampling technique was used to select participants from the health workers for the study. Convenient sampling technique is a non-probability sampling technique where subjects are drawn from part of a population (health workers) because of their convenient accessibility and proximity to the researcher. Convenient sampling technique was used because the health workers were readily available in the facility. In this regard, the researcher upon reaching each facility, gave the questionnaire to any health worker within the facility who was willing and ready to participate in the study. </w:t>
      </w:r>
    </w:p>
    <w:p w14:paraId="5EC73D1C" w14:textId="77777777"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This process continued until the required number of study participants needed for the study from each category of health workers in that facility was achieved.</w:t>
      </w:r>
    </w:p>
    <w:p w14:paraId="1C804CC4" w14:textId="77777777" w:rsidR="002F4F67" w:rsidRPr="00AD6688" w:rsidRDefault="00E15D01" w:rsidP="006635CC">
      <w:pPr>
        <w:pStyle w:val="Heading1"/>
        <w:spacing w:line="240" w:lineRule="auto"/>
        <w:rPr>
          <w:rFonts w:ascii="Times New Roman" w:hAnsi="Times New Roman" w:cs="Times New Roman"/>
          <w:b/>
          <w:color w:val="auto"/>
          <w:sz w:val="24"/>
          <w:szCs w:val="24"/>
          <w:lang w:val="en-GB"/>
        </w:rPr>
      </w:pPr>
      <w:r w:rsidRPr="00AD6688">
        <w:rPr>
          <w:rFonts w:ascii="Times New Roman" w:hAnsi="Times New Roman" w:cs="Times New Roman"/>
          <w:b/>
          <w:color w:val="auto"/>
          <w:sz w:val="24"/>
          <w:szCs w:val="24"/>
          <w:lang w:val="en-GB"/>
        </w:rPr>
        <w:t xml:space="preserve"> </w:t>
      </w:r>
      <w:bookmarkStart w:id="26" w:name="_Toc79350944"/>
      <w:bookmarkEnd w:id="25"/>
      <w:r w:rsidR="00977FB9" w:rsidRPr="00AD6688">
        <w:rPr>
          <w:rFonts w:ascii="Times New Roman" w:hAnsi="Times New Roman" w:cs="Times New Roman"/>
          <w:b/>
          <w:color w:val="auto"/>
          <w:sz w:val="24"/>
          <w:szCs w:val="24"/>
          <w:lang w:val="en-GB"/>
        </w:rPr>
        <w:t>2</w:t>
      </w:r>
      <w:r w:rsidRPr="00AD6688">
        <w:rPr>
          <w:rFonts w:ascii="Times New Roman" w:hAnsi="Times New Roman" w:cs="Times New Roman"/>
          <w:b/>
          <w:color w:val="auto"/>
          <w:sz w:val="24"/>
          <w:szCs w:val="24"/>
          <w:lang w:val="en-GB"/>
        </w:rPr>
        <w:t>.5.1 Sample Size Estimation</w:t>
      </w:r>
      <w:bookmarkEnd w:id="26"/>
    </w:p>
    <w:p w14:paraId="010DBCC5" w14:textId="77777777" w:rsidR="002F4F67" w:rsidRPr="00AD6688" w:rsidRDefault="00E15D01" w:rsidP="006635CC">
      <w:pPr>
        <w:spacing w:after="0" w:line="240" w:lineRule="auto"/>
        <w:jc w:val="both"/>
        <w:rPr>
          <w:rFonts w:ascii="Times New Roman" w:eastAsia="SimSun" w:hAnsi="Times New Roman" w:cs="Times New Roman"/>
          <w:sz w:val="24"/>
          <w:szCs w:val="24"/>
          <w:lang w:val="en-GB"/>
        </w:rPr>
      </w:pPr>
      <w:r w:rsidRPr="00AD6688">
        <w:rPr>
          <w:rFonts w:ascii="Times New Roman" w:hAnsi="Times New Roman" w:cs="Times New Roman"/>
          <w:sz w:val="24"/>
          <w:szCs w:val="24"/>
          <w:lang w:val="en-GB"/>
        </w:rPr>
        <w:t xml:space="preserve">The minimum sample size that was required for this study was determined using the Cochran formula as cited </w:t>
      </w:r>
      <w:r w:rsidRPr="00AD6688">
        <w:rPr>
          <w:rFonts w:ascii="Times New Roman" w:eastAsia="SimSun" w:hAnsi="Times New Roman" w:cs="Times New Roman"/>
          <w:sz w:val="24"/>
          <w:szCs w:val="24"/>
          <w:lang w:val="en-GB"/>
        </w:rPr>
        <w:t xml:space="preserve">Cochran (1963:75). </w:t>
      </w:r>
      <w:r w:rsidRPr="00AD6688">
        <w:rPr>
          <w:rFonts w:ascii="Times New Roman" w:hAnsi="Times New Roman" w:cs="Times New Roman"/>
          <w:sz w:val="24"/>
          <w:szCs w:val="24"/>
          <w:lang w:val="en-GB"/>
        </w:rPr>
        <w:t>The Cochran formula was used because it aides in calculating an ideal sample size, a desired level of precision, desired confidence level and the estimated proportion of the attribute present in the population.</w:t>
      </w:r>
      <w:r w:rsidRPr="00AD6688">
        <w:rPr>
          <w:rFonts w:ascii="Times New Roman" w:hAnsi="Times New Roman" w:cs="Times New Roman"/>
          <w:color w:val="333333"/>
          <w:sz w:val="24"/>
          <w:szCs w:val="24"/>
          <w:lang w:val="en-GB"/>
        </w:rPr>
        <w:t> </w:t>
      </w:r>
      <w:r w:rsidRPr="00AD6688">
        <w:rPr>
          <w:rFonts w:ascii="Times New Roman" w:hAnsi="Times New Roman" w:cs="Times New Roman"/>
          <w:sz w:val="24"/>
          <w:szCs w:val="24"/>
          <w:lang w:val="en-GB"/>
        </w:rPr>
        <w:t>It is considered appropriate in situations with large populations</w:t>
      </w:r>
      <w:r w:rsidRPr="00AD6688">
        <w:rPr>
          <w:rFonts w:ascii="Times New Roman" w:hAnsi="Times New Roman" w:cs="Times New Roman"/>
          <w:color w:val="333333"/>
          <w:sz w:val="24"/>
          <w:szCs w:val="24"/>
          <w:lang w:val="en-GB"/>
        </w:rPr>
        <w:t xml:space="preserve">. </w:t>
      </w:r>
      <w:r w:rsidRPr="00AD6688">
        <w:rPr>
          <w:rFonts w:ascii="Times New Roman" w:hAnsi="Times New Roman" w:cs="Times New Roman"/>
          <w:sz w:val="24"/>
          <w:szCs w:val="24"/>
          <w:lang w:val="en-GB"/>
        </w:rPr>
        <w:t>The study area has an estimated population of 119,024 and therefore using Cochran’s formula was the ideal</w:t>
      </w:r>
      <w:r w:rsidRPr="00AD6688">
        <w:rPr>
          <w:rFonts w:ascii="Times New Roman" w:hAnsi="Times New Roman" w:cs="Times New Roman"/>
          <w:color w:val="333333"/>
          <w:sz w:val="24"/>
          <w:szCs w:val="24"/>
          <w:lang w:val="en-GB"/>
        </w:rPr>
        <w:t xml:space="preserve">.  </w:t>
      </w:r>
      <w:r w:rsidRPr="00AD6688">
        <w:rPr>
          <w:rFonts w:ascii="Times New Roman" w:eastAsia="SimSun" w:hAnsi="Times New Roman" w:cs="Times New Roman"/>
          <w:sz w:val="24"/>
          <w:szCs w:val="24"/>
          <w:lang w:val="en-GB"/>
        </w:rPr>
        <w:t xml:space="preserve">An estimated 20% health staff population from the 2010 population census </w:t>
      </w:r>
      <w:r w:rsidRPr="00AD6688">
        <w:rPr>
          <w:rFonts w:ascii="Times New Roman" w:hAnsi="Times New Roman" w:cs="Times New Roman"/>
          <w:sz w:val="24"/>
          <w:szCs w:val="24"/>
          <w:lang w:val="en-GB"/>
        </w:rPr>
        <w:t>was used and substituted in the formula and the sample size was calculated as follows;</w:t>
      </w:r>
    </w:p>
    <w:p w14:paraId="070F8293" w14:textId="77777777" w:rsidR="002F4F67" w:rsidRPr="00AD6688" w:rsidRDefault="00E15D01" w:rsidP="006635CC">
      <w:pPr>
        <w:spacing w:after="0" w:line="240" w:lineRule="auto"/>
        <w:rPr>
          <w:rFonts w:ascii="Times New Roman" w:eastAsia="SimSun" w:hAnsi="Times New Roman" w:cs="Times New Roman"/>
          <w:sz w:val="24"/>
          <w:szCs w:val="24"/>
          <w:lang w:val="en-GB"/>
        </w:rPr>
      </w:pPr>
      <w:r w:rsidRPr="00AD6688">
        <w:rPr>
          <w:rFonts w:ascii="Times New Roman" w:hAnsi="Times New Roman" w:cs="Times New Roman"/>
          <w:sz w:val="24"/>
          <w:szCs w:val="24"/>
          <w:lang w:val="en-GB"/>
        </w:rPr>
        <w:tab/>
      </w:r>
      <m:oMath>
        <m:r>
          <w:rPr>
            <w:rFonts w:ascii="Cambria Math" w:hAnsi="Cambria Math" w:cs="Times New Roman"/>
            <w:sz w:val="24"/>
            <w:szCs w:val="24"/>
            <w:lang w:val="en-GB"/>
          </w:rPr>
          <m:t>N=</m:t>
        </m:r>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Z</m:t>
                </m:r>
              </m:e>
              <m:sup>
                <m:r>
                  <w:rPr>
                    <w:rFonts w:ascii="Cambria Math" w:hAnsi="Cambria Math" w:cs="Times New Roman"/>
                    <w:sz w:val="24"/>
                    <w:szCs w:val="24"/>
                    <w:lang w:val="en-GB"/>
                  </w:rPr>
                  <m:t>2</m:t>
                </m:r>
              </m:sup>
            </m:sSup>
            <m:r>
              <w:rPr>
                <w:rFonts w:ascii="Cambria Math" w:hAnsi="Cambria Math" w:cs="Times New Roman"/>
                <w:sz w:val="24"/>
                <w:szCs w:val="24"/>
                <w:lang w:val="en-GB"/>
              </w:rPr>
              <m:t>pq</m:t>
            </m:r>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e</m:t>
                </m:r>
              </m:e>
              <m:sup>
                <m:r>
                  <w:rPr>
                    <w:rFonts w:ascii="Cambria Math" w:hAnsi="Cambria Math" w:cs="Times New Roman"/>
                    <w:sz w:val="24"/>
                    <w:szCs w:val="24"/>
                    <w:lang w:val="en-GB"/>
                  </w:rPr>
                  <m:t>2</m:t>
                </m:r>
              </m:sup>
            </m:sSup>
          </m:den>
        </m:f>
      </m:oMath>
    </w:p>
    <w:p w14:paraId="7910ECEF"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Where:    </w:t>
      </w:r>
    </w:p>
    <w:p w14:paraId="195E869F" w14:textId="77777777" w:rsidR="002F4F67" w:rsidRPr="00AD6688" w:rsidRDefault="00E15D01" w:rsidP="006635CC">
      <w:pPr>
        <w:tabs>
          <w:tab w:val="left" w:pos="3030"/>
        </w:tabs>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N-sample size </w:t>
      </w:r>
      <w:r w:rsidRPr="00AD6688">
        <w:rPr>
          <w:rFonts w:ascii="Times New Roman" w:hAnsi="Times New Roman" w:cs="Times New Roman"/>
          <w:sz w:val="24"/>
          <w:szCs w:val="24"/>
          <w:lang w:val="en-GB"/>
        </w:rPr>
        <w:tab/>
      </w:r>
    </w:p>
    <w:p w14:paraId="5A5F524F"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P-The proportion of the targeted population that has the characteristics of focus in the study. In the study, the particular characteristics were all health workers, which was 20% of municipal population.</w:t>
      </w:r>
    </w:p>
    <w:p w14:paraId="15E584A8"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p = expected proportion of health workers experiencing occupational hazards and injuries = 20% =0.2 (</w:t>
      </w:r>
      <w:proofErr w:type="spellStart"/>
      <w:r w:rsidRPr="00AD6688">
        <w:rPr>
          <w:rFonts w:ascii="Times New Roman" w:hAnsi="Times New Roman" w:cs="Times New Roman"/>
          <w:sz w:val="24"/>
          <w:szCs w:val="24"/>
          <w:lang w:val="en-GB"/>
        </w:rPr>
        <w:t>Ahafo</w:t>
      </w:r>
      <w:proofErr w:type="spellEnd"/>
      <w:r w:rsidRPr="00AD6688">
        <w:rPr>
          <w:rFonts w:ascii="Times New Roman" w:hAnsi="Times New Roman" w:cs="Times New Roman"/>
          <w:sz w:val="24"/>
          <w:szCs w:val="24"/>
          <w:lang w:val="en-GB"/>
        </w:rPr>
        <w:t xml:space="preserve">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2020).</w:t>
      </w:r>
    </w:p>
    <w:p w14:paraId="211EE059"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Z   = Z value corresponding to a 95% level of significance = 1.96 </w:t>
      </w:r>
    </w:p>
    <w:p w14:paraId="38917C77"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q- 1-p = 1-0.234 = 0.766</w:t>
      </w:r>
    </w:p>
    <w:p w14:paraId="4060BBAB"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e- = Level of precision. This study adopted 5% level of precision (0.05)</w:t>
      </w:r>
    </w:p>
    <w:p w14:paraId="5A0C722D" w14:textId="77777777"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sz w:val="24"/>
          <w:szCs w:val="24"/>
          <w:lang w:val="en-GB"/>
        </w:rPr>
        <w:t>Therefore, from the above the sample size will be calculated as N=</w:t>
      </w:r>
      <m:oMath>
        <m:r>
          <w:rPr>
            <w:rFonts w:ascii="Cambria Math" w:hAnsi="Cambria Math" w:cs="Times New Roman"/>
            <w:sz w:val="24"/>
            <w:szCs w:val="24"/>
            <w:lang w:val="en-GB"/>
          </w:rPr>
          <m:t xml:space="preserve"> </m:t>
        </m:r>
        <m:f>
          <m:fPr>
            <m:ctrlPr>
              <w:rPr>
                <w:rFonts w:ascii="Cambria Math" w:hAnsi="Cambria Math" w:cs="Times New Roman"/>
                <w:i/>
                <w:sz w:val="24"/>
                <w:szCs w:val="24"/>
                <w:lang w:val="en-GB"/>
              </w:rPr>
            </m:ctrlPr>
          </m:fPr>
          <m:num>
            <m:d>
              <m:dPr>
                <m:ctrlPr>
                  <w:rPr>
                    <w:rFonts w:ascii="Cambria Math" w:hAnsi="Cambria Math" w:cs="Times New Roman"/>
                    <w:i/>
                    <w:sz w:val="24"/>
                    <w:szCs w:val="24"/>
                    <w:lang w:val="en-GB"/>
                  </w:rPr>
                </m:ctrlPr>
              </m:dPr>
              <m:e>
                <m:sSup>
                  <m:sSupPr>
                    <m:ctrlPr>
                      <w:rPr>
                        <w:rFonts w:ascii="Cambria Math" w:hAnsi="Cambria Math" w:cs="Times New Roman"/>
                        <w:i/>
                        <w:sz w:val="24"/>
                        <w:szCs w:val="24"/>
                        <w:lang w:val="en-GB"/>
                      </w:rPr>
                    </m:ctrlPr>
                  </m:sSupPr>
                  <m:e>
                    <m:r>
                      <w:rPr>
                        <w:rFonts w:ascii="Cambria Math" w:hAnsi="Cambria Math" w:cs="Times New Roman"/>
                        <w:sz w:val="24"/>
                        <w:szCs w:val="24"/>
                        <w:lang w:val="en-GB"/>
                      </w:rPr>
                      <m:t>1.96</m:t>
                    </m:r>
                  </m:e>
                  <m:sup>
                    <m:r>
                      <w:rPr>
                        <w:rFonts w:ascii="Cambria Math" w:hAnsi="Cambria Math" w:cs="Times New Roman"/>
                        <w:sz w:val="24"/>
                        <w:szCs w:val="24"/>
                        <w:lang w:val="en-GB"/>
                      </w:rPr>
                      <m:t>2</m:t>
                    </m:r>
                  </m:sup>
                </m:sSup>
              </m:e>
            </m:d>
            <m:d>
              <m:dPr>
                <m:ctrlPr>
                  <w:rPr>
                    <w:rFonts w:ascii="Cambria Math" w:hAnsi="Cambria Math" w:cs="Times New Roman"/>
                    <w:i/>
                    <w:sz w:val="24"/>
                    <w:szCs w:val="24"/>
                    <w:lang w:val="en-GB"/>
                  </w:rPr>
                </m:ctrlPr>
              </m:dPr>
              <m:e>
                <m:r>
                  <w:rPr>
                    <w:rFonts w:ascii="Cambria Math" w:hAnsi="Cambria Math" w:cs="Times New Roman"/>
                    <w:sz w:val="24"/>
                    <w:szCs w:val="24"/>
                    <w:lang w:val="en-GB"/>
                  </w:rPr>
                  <m:t>0.2</m:t>
                </m:r>
              </m:e>
            </m:d>
            <m:r>
              <w:rPr>
                <w:rFonts w:ascii="Cambria Math" w:hAnsi="Cambria Math" w:cs="Times New Roman"/>
                <w:sz w:val="24"/>
                <w:szCs w:val="24"/>
                <w:lang w:val="en-GB"/>
              </w:rPr>
              <m:t>(0.766)</m:t>
            </m:r>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0.05</m:t>
                </m:r>
              </m:e>
              <m:sup>
                <m:r>
                  <w:rPr>
                    <w:rFonts w:ascii="Cambria Math" w:hAnsi="Cambria Math" w:cs="Times New Roman"/>
                    <w:sz w:val="24"/>
                    <w:szCs w:val="24"/>
                    <w:lang w:val="en-GB"/>
                  </w:rPr>
                  <m:t>2</m:t>
                </m:r>
              </m:sup>
            </m:sSup>
          </m:den>
        </m:f>
      </m:oMath>
    </w:p>
    <w:p w14:paraId="2A850722" w14:textId="77777777" w:rsidR="002F4F67" w:rsidRPr="00AD6688" w:rsidRDefault="00E15D01" w:rsidP="006635CC">
      <w:pPr>
        <w:spacing w:after="0" w:line="240" w:lineRule="auto"/>
        <w:ind w:leftChars="567" w:left="1247"/>
        <w:jc w:val="both"/>
        <w:rPr>
          <w:rFonts w:ascii="Times New Roman" w:hAnsi="Times New Roman" w:cs="Times New Roman"/>
          <w:b/>
          <w:sz w:val="24"/>
          <w:szCs w:val="24"/>
          <w:lang w:val="en-GB"/>
        </w:rPr>
      </w:pPr>
      <w:r w:rsidRPr="00AD6688">
        <w:rPr>
          <w:rFonts w:ascii="Times New Roman" w:eastAsia="SimSun" w:hAnsi="Times New Roman" w:cs="Times New Roman"/>
          <w:b/>
          <w:sz w:val="24"/>
          <w:szCs w:val="24"/>
          <w:lang w:val="en-GB"/>
        </w:rPr>
        <w:t>n= 235</w:t>
      </w:r>
    </w:p>
    <w:p w14:paraId="4C6F7493"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In order to take care of non-response in recording of information of participants, the study added 10% of the total sample size to arrive at the required sample size of </w:t>
      </w:r>
      <w:r w:rsidRPr="00AD6688">
        <w:rPr>
          <w:rFonts w:ascii="Times New Roman" w:hAnsi="Times New Roman" w:cs="Times New Roman"/>
          <w:b/>
          <w:sz w:val="24"/>
          <w:szCs w:val="24"/>
          <w:lang w:val="en-GB"/>
        </w:rPr>
        <w:t>259</w:t>
      </w:r>
      <w:r w:rsidRPr="00AD6688">
        <w:rPr>
          <w:rFonts w:ascii="Times New Roman" w:hAnsi="Times New Roman" w:cs="Times New Roman"/>
          <w:sz w:val="24"/>
          <w:szCs w:val="24"/>
          <w:lang w:val="en-GB"/>
        </w:rPr>
        <w:t>. Therefore, the proportionate representation of health workers in facilities was calculated as follows;</w:t>
      </w:r>
    </w:p>
    <w:p w14:paraId="6AD80158" w14:textId="77777777" w:rsidR="002F4F67" w:rsidRPr="00AD6688" w:rsidRDefault="002F4F67" w:rsidP="006635CC">
      <w:pPr>
        <w:spacing w:line="240" w:lineRule="auto"/>
        <w:rPr>
          <w:rFonts w:ascii="Times New Roman" w:hAnsi="Times New Roman" w:cs="Times New Roman"/>
          <w:sz w:val="24"/>
          <w:szCs w:val="24"/>
          <w:lang w:val="en-GB"/>
        </w:rPr>
      </w:pPr>
    </w:p>
    <w:p w14:paraId="7BB873EB" w14:textId="77777777" w:rsidR="00977FB9" w:rsidRPr="00AD6688" w:rsidRDefault="00977FB9" w:rsidP="00977FB9">
      <w:pPr>
        <w:pStyle w:val="Heading1"/>
        <w:rPr>
          <w:lang w:val="en-GB"/>
        </w:rPr>
      </w:pPr>
    </w:p>
    <w:p w14:paraId="6E43EE3D" w14:textId="77777777" w:rsidR="00977FB9" w:rsidRPr="00AD6688" w:rsidRDefault="00977FB9" w:rsidP="00977FB9">
      <w:pPr>
        <w:rPr>
          <w:lang w:val="en-GB"/>
        </w:rPr>
      </w:pPr>
    </w:p>
    <w:p w14:paraId="3F177B58" w14:textId="77777777" w:rsidR="00977FB9" w:rsidRPr="00AD6688" w:rsidRDefault="00977FB9" w:rsidP="00977FB9">
      <w:pPr>
        <w:pStyle w:val="Heading1"/>
        <w:rPr>
          <w:lang w:val="en-GB"/>
        </w:rPr>
      </w:pPr>
    </w:p>
    <w:p w14:paraId="02E3A914" w14:textId="77777777" w:rsidR="00977FB9" w:rsidRPr="00AD6688" w:rsidRDefault="00977FB9" w:rsidP="00977FB9">
      <w:pPr>
        <w:rPr>
          <w:lang w:val="en-GB"/>
        </w:rPr>
      </w:pPr>
    </w:p>
    <w:p w14:paraId="72DA0A07" w14:textId="77777777" w:rsidR="00977FB9" w:rsidRPr="00AD6688" w:rsidRDefault="00977FB9" w:rsidP="00977FB9">
      <w:pPr>
        <w:pStyle w:val="Heading1"/>
        <w:rPr>
          <w:lang w:val="en-GB"/>
        </w:rPr>
      </w:pPr>
    </w:p>
    <w:p w14:paraId="31BF9D5E" w14:textId="77777777" w:rsidR="00977FB9" w:rsidRPr="00AD6688" w:rsidRDefault="00977FB9" w:rsidP="00977FB9">
      <w:pPr>
        <w:rPr>
          <w:lang w:val="en-GB"/>
        </w:rPr>
      </w:pPr>
    </w:p>
    <w:p w14:paraId="1F04DC11" w14:textId="77777777" w:rsidR="002F4F67" w:rsidRPr="00AD6688" w:rsidRDefault="00E15D01" w:rsidP="006635CC">
      <w:pPr>
        <w:pStyle w:val="Caption"/>
        <w:rPr>
          <w:lang w:val="en-GB"/>
        </w:rPr>
      </w:pPr>
      <w:bookmarkStart w:id="27" w:name="_Toc77008843"/>
      <w:r w:rsidRPr="00AD6688">
        <w:t xml:space="preserve">Table </w:t>
      </w:r>
      <w:r w:rsidR="00AD6688" w:rsidRPr="00AD6688">
        <w:t>2</w:t>
      </w:r>
      <w:r w:rsidRPr="00AD6688">
        <w:rPr>
          <w:lang w:val="en-GB"/>
        </w:rPr>
        <w:t>: Proportionate Representation of Health Workers in Facilities</w:t>
      </w:r>
      <w:bookmarkEnd w:id="27"/>
      <w:r w:rsidRPr="00AD6688">
        <w:rPr>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4102"/>
        <w:gridCol w:w="3534"/>
      </w:tblGrid>
      <w:tr w:rsidR="002F4F67" w:rsidRPr="00AD6688" w14:paraId="4B2CA3D1" w14:textId="77777777">
        <w:trPr>
          <w:trHeight w:val="360"/>
        </w:trPr>
        <w:tc>
          <w:tcPr>
            <w:tcW w:w="1465" w:type="pct"/>
            <w:tcBorders>
              <w:top w:val="single" w:sz="4" w:space="0" w:color="auto"/>
              <w:left w:val="nil"/>
              <w:bottom w:val="single" w:sz="4" w:space="0" w:color="auto"/>
              <w:right w:val="nil"/>
            </w:tcBorders>
          </w:tcPr>
          <w:p w14:paraId="187B4581" w14:textId="77777777" w:rsidR="002F4F67" w:rsidRPr="00AD6688" w:rsidRDefault="00E15D01" w:rsidP="006635CC">
            <w:pPr>
              <w:spacing w:after="0" w:line="240" w:lineRule="auto"/>
              <w:ind w:leftChars="34" w:left="75"/>
              <w:jc w:val="both"/>
              <w:rPr>
                <w:rFonts w:ascii="Times New Roman" w:hAnsi="Times New Roman" w:cs="Times New Roman"/>
                <w:b/>
                <w:sz w:val="24"/>
                <w:szCs w:val="24"/>
                <w:lang w:val="en-GB"/>
              </w:rPr>
            </w:pPr>
            <w:r w:rsidRPr="00AD6688">
              <w:rPr>
                <w:rFonts w:ascii="Times New Roman" w:hAnsi="Times New Roman" w:cs="Times New Roman"/>
                <w:b/>
                <w:sz w:val="24"/>
                <w:szCs w:val="24"/>
                <w:lang w:val="en-GB"/>
              </w:rPr>
              <w:t>Health facility</w:t>
            </w:r>
          </w:p>
        </w:tc>
        <w:tc>
          <w:tcPr>
            <w:tcW w:w="1899" w:type="pct"/>
            <w:tcBorders>
              <w:top w:val="single" w:sz="4" w:space="0" w:color="auto"/>
              <w:left w:val="nil"/>
              <w:bottom w:val="single" w:sz="4" w:space="0" w:color="auto"/>
              <w:right w:val="nil"/>
            </w:tcBorders>
          </w:tcPr>
          <w:p w14:paraId="4C262AB9" w14:textId="77777777" w:rsidR="002F4F67" w:rsidRPr="00AD6688" w:rsidRDefault="00E15D01" w:rsidP="006635CC">
            <w:pPr>
              <w:spacing w:after="0" w:line="240" w:lineRule="auto"/>
              <w:ind w:leftChars="238" w:left="524"/>
              <w:rPr>
                <w:rFonts w:ascii="Times New Roman" w:hAnsi="Times New Roman" w:cs="Times New Roman"/>
                <w:b/>
                <w:sz w:val="24"/>
                <w:szCs w:val="24"/>
                <w:lang w:val="en-GB"/>
              </w:rPr>
            </w:pPr>
            <w:r w:rsidRPr="00AD6688">
              <w:rPr>
                <w:rFonts w:ascii="Times New Roman" w:hAnsi="Times New Roman" w:cs="Times New Roman"/>
                <w:b/>
                <w:sz w:val="24"/>
                <w:szCs w:val="24"/>
                <w:lang w:val="en-GB"/>
              </w:rPr>
              <w:t>Number of staff</w:t>
            </w:r>
          </w:p>
        </w:tc>
        <w:tc>
          <w:tcPr>
            <w:tcW w:w="1637" w:type="pct"/>
            <w:tcBorders>
              <w:top w:val="single" w:sz="4" w:space="0" w:color="auto"/>
              <w:left w:val="nil"/>
              <w:bottom w:val="single" w:sz="4" w:space="0" w:color="auto"/>
              <w:right w:val="nil"/>
            </w:tcBorders>
          </w:tcPr>
          <w:p w14:paraId="6F41D245" w14:textId="77777777" w:rsidR="002F4F67" w:rsidRPr="00AD6688" w:rsidRDefault="00E15D01" w:rsidP="006635CC">
            <w:pPr>
              <w:spacing w:after="0" w:line="240" w:lineRule="auto"/>
              <w:ind w:leftChars="34" w:left="75"/>
              <w:jc w:val="center"/>
              <w:rPr>
                <w:rFonts w:ascii="Times New Roman" w:hAnsi="Times New Roman" w:cs="Times New Roman"/>
                <w:b/>
                <w:sz w:val="24"/>
                <w:szCs w:val="24"/>
                <w:lang w:val="en-GB"/>
              </w:rPr>
            </w:pPr>
            <w:r w:rsidRPr="00AD6688">
              <w:rPr>
                <w:rFonts w:ascii="Times New Roman" w:hAnsi="Times New Roman" w:cs="Times New Roman"/>
                <w:b/>
                <w:sz w:val="24"/>
                <w:szCs w:val="24"/>
                <w:lang w:val="en-GB"/>
              </w:rPr>
              <w:t>Required Sample</w:t>
            </w:r>
          </w:p>
        </w:tc>
      </w:tr>
      <w:tr w:rsidR="002F4F67" w:rsidRPr="00AD6688" w14:paraId="1C6FA5C8" w14:textId="77777777">
        <w:trPr>
          <w:trHeight w:val="360"/>
        </w:trPr>
        <w:tc>
          <w:tcPr>
            <w:tcW w:w="1465" w:type="pct"/>
            <w:tcBorders>
              <w:top w:val="single" w:sz="4" w:space="0" w:color="auto"/>
              <w:left w:val="nil"/>
              <w:bottom w:val="nil"/>
              <w:right w:val="nil"/>
            </w:tcBorders>
          </w:tcPr>
          <w:p w14:paraId="0A95616B"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Tepa Hospital</w:t>
            </w:r>
          </w:p>
        </w:tc>
        <w:tc>
          <w:tcPr>
            <w:tcW w:w="1899" w:type="pct"/>
            <w:tcBorders>
              <w:top w:val="single" w:sz="4" w:space="0" w:color="auto"/>
              <w:left w:val="nil"/>
              <w:bottom w:val="nil"/>
              <w:right w:val="nil"/>
            </w:tcBorders>
          </w:tcPr>
          <w:p w14:paraId="1FC70D35" w14:textId="77777777"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170/270*259</w:t>
            </w:r>
          </w:p>
        </w:tc>
        <w:tc>
          <w:tcPr>
            <w:tcW w:w="1637" w:type="pct"/>
            <w:tcBorders>
              <w:top w:val="single" w:sz="4" w:space="0" w:color="auto"/>
              <w:left w:val="nil"/>
              <w:bottom w:val="nil"/>
              <w:right w:val="nil"/>
            </w:tcBorders>
          </w:tcPr>
          <w:p w14:paraId="32525ABC"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163</w:t>
            </w:r>
          </w:p>
        </w:tc>
      </w:tr>
      <w:tr w:rsidR="002F4F67" w:rsidRPr="00AD6688" w14:paraId="5091B1DF" w14:textId="77777777">
        <w:trPr>
          <w:trHeight w:val="360"/>
        </w:trPr>
        <w:tc>
          <w:tcPr>
            <w:tcW w:w="1465" w:type="pct"/>
          </w:tcPr>
          <w:p w14:paraId="0237A813"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Manfo</w:t>
            </w:r>
            <w:proofErr w:type="spellEnd"/>
            <w:r w:rsidRPr="00AD6688">
              <w:rPr>
                <w:rFonts w:ascii="Times New Roman" w:hAnsi="Times New Roman" w:cs="Times New Roman"/>
                <w:sz w:val="24"/>
                <w:szCs w:val="24"/>
                <w:lang w:val="en-GB"/>
              </w:rPr>
              <w:t xml:space="preserve"> HC</w:t>
            </w:r>
          </w:p>
        </w:tc>
        <w:tc>
          <w:tcPr>
            <w:tcW w:w="1899" w:type="pct"/>
          </w:tcPr>
          <w:p w14:paraId="2C37A025"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21/270*259</w:t>
            </w:r>
          </w:p>
        </w:tc>
        <w:tc>
          <w:tcPr>
            <w:tcW w:w="1637" w:type="pct"/>
          </w:tcPr>
          <w:p w14:paraId="6D076A9B"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20</w:t>
            </w:r>
          </w:p>
        </w:tc>
      </w:tr>
      <w:tr w:rsidR="002F4F67" w:rsidRPr="00AD6688" w14:paraId="7A1CD2D6" w14:textId="77777777">
        <w:trPr>
          <w:trHeight w:val="360"/>
        </w:trPr>
        <w:tc>
          <w:tcPr>
            <w:tcW w:w="1465" w:type="pct"/>
          </w:tcPr>
          <w:p w14:paraId="006191B5"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Anyinasuso</w:t>
            </w:r>
            <w:proofErr w:type="spellEnd"/>
            <w:r w:rsidRPr="00AD6688">
              <w:rPr>
                <w:rFonts w:ascii="Times New Roman" w:hAnsi="Times New Roman" w:cs="Times New Roman"/>
                <w:sz w:val="24"/>
                <w:szCs w:val="24"/>
                <w:lang w:val="en-GB"/>
              </w:rPr>
              <w:t xml:space="preserve"> HC</w:t>
            </w:r>
          </w:p>
        </w:tc>
        <w:tc>
          <w:tcPr>
            <w:tcW w:w="1899" w:type="pct"/>
          </w:tcPr>
          <w:p w14:paraId="3A1F6A20"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18/27*259</w:t>
            </w:r>
          </w:p>
        </w:tc>
        <w:tc>
          <w:tcPr>
            <w:tcW w:w="1637" w:type="pct"/>
          </w:tcPr>
          <w:p w14:paraId="62372F42"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17</w:t>
            </w:r>
          </w:p>
        </w:tc>
      </w:tr>
      <w:tr w:rsidR="002F4F67" w:rsidRPr="00AD6688" w14:paraId="25BC012F" w14:textId="77777777">
        <w:trPr>
          <w:trHeight w:val="360"/>
        </w:trPr>
        <w:tc>
          <w:tcPr>
            <w:tcW w:w="1465" w:type="pct"/>
          </w:tcPr>
          <w:p w14:paraId="3ED1501B"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Betiako</w:t>
            </w:r>
            <w:proofErr w:type="spellEnd"/>
            <w:r w:rsidRPr="00AD6688">
              <w:rPr>
                <w:rFonts w:ascii="Times New Roman" w:hAnsi="Times New Roman" w:cs="Times New Roman"/>
                <w:sz w:val="24"/>
                <w:szCs w:val="24"/>
                <w:lang w:val="en-GB"/>
              </w:rPr>
              <w:t xml:space="preserve"> HC</w:t>
            </w:r>
          </w:p>
        </w:tc>
        <w:tc>
          <w:tcPr>
            <w:tcW w:w="1899" w:type="pct"/>
          </w:tcPr>
          <w:p w14:paraId="7EFAF917" w14:textId="77777777" w:rsidR="002F4F67" w:rsidRPr="00AD6688" w:rsidRDefault="00E15D01" w:rsidP="006635CC">
            <w:pPr>
              <w:spacing w:after="0" w:line="240" w:lineRule="auto"/>
              <w:jc w:val="center"/>
              <w:rPr>
                <w:rFonts w:ascii="Times New Roman" w:hAnsi="Times New Roman" w:cs="Times New Roman"/>
                <w:sz w:val="24"/>
                <w:szCs w:val="24"/>
              </w:rPr>
            </w:pPr>
            <w:r w:rsidRPr="00AD6688">
              <w:rPr>
                <w:rFonts w:ascii="Times New Roman" w:hAnsi="Times New Roman" w:cs="Times New Roman"/>
                <w:sz w:val="24"/>
                <w:szCs w:val="24"/>
                <w:lang w:val="en-GB"/>
              </w:rPr>
              <w:t>13/270*259</w:t>
            </w:r>
          </w:p>
        </w:tc>
        <w:tc>
          <w:tcPr>
            <w:tcW w:w="1637" w:type="pct"/>
          </w:tcPr>
          <w:p w14:paraId="7D32ED06"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12</w:t>
            </w:r>
          </w:p>
        </w:tc>
      </w:tr>
      <w:tr w:rsidR="002F4F67" w:rsidRPr="00AD6688" w14:paraId="0230BCC5" w14:textId="77777777">
        <w:trPr>
          <w:trHeight w:val="360"/>
        </w:trPr>
        <w:tc>
          <w:tcPr>
            <w:tcW w:w="1465" w:type="pct"/>
          </w:tcPr>
          <w:p w14:paraId="3886213F"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Twabidi</w:t>
            </w:r>
            <w:proofErr w:type="spellEnd"/>
            <w:r w:rsidRPr="00AD6688">
              <w:rPr>
                <w:rFonts w:ascii="Times New Roman" w:hAnsi="Times New Roman" w:cs="Times New Roman"/>
                <w:sz w:val="24"/>
                <w:szCs w:val="24"/>
                <w:lang w:val="en-GB"/>
              </w:rPr>
              <w:t xml:space="preserve"> HC</w:t>
            </w:r>
          </w:p>
        </w:tc>
        <w:tc>
          <w:tcPr>
            <w:tcW w:w="1899" w:type="pct"/>
          </w:tcPr>
          <w:p w14:paraId="0CB63812"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12/270*259</w:t>
            </w:r>
          </w:p>
        </w:tc>
        <w:tc>
          <w:tcPr>
            <w:tcW w:w="1637" w:type="pct"/>
          </w:tcPr>
          <w:p w14:paraId="4591B745"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11</w:t>
            </w:r>
          </w:p>
        </w:tc>
      </w:tr>
      <w:tr w:rsidR="002F4F67" w:rsidRPr="00AD6688" w14:paraId="070AC16E" w14:textId="77777777">
        <w:trPr>
          <w:trHeight w:val="360"/>
        </w:trPr>
        <w:tc>
          <w:tcPr>
            <w:tcW w:w="1465" w:type="pct"/>
            <w:tcBorders>
              <w:top w:val="nil"/>
              <w:left w:val="nil"/>
              <w:bottom w:val="nil"/>
              <w:right w:val="nil"/>
            </w:tcBorders>
          </w:tcPr>
          <w:p w14:paraId="22C677DB"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Subriso</w:t>
            </w:r>
            <w:proofErr w:type="spellEnd"/>
            <w:r w:rsidRPr="00AD6688">
              <w:rPr>
                <w:rFonts w:ascii="Times New Roman" w:hAnsi="Times New Roman" w:cs="Times New Roman"/>
                <w:sz w:val="24"/>
                <w:szCs w:val="24"/>
                <w:lang w:val="en-GB"/>
              </w:rPr>
              <w:t xml:space="preserve"> HC</w:t>
            </w:r>
          </w:p>
        </w:tc>
        <w:tc>
          <w:tcPr>
            <w:tcW w:w="1899" w:type="pct"/>
            <w:tcBorders>
              <w:top w:val="nil"/>
              <w:left w:val="nil"/>
              <w:bottom w:val="nil"/>
              <w:right w:val="nil"/>
            </w:tcBorders>
          </w:tcPr>
          <w:p w14:paraId="32F0DF6F"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14/270*259</w:t>
            </w:r>
          </w:p>
        </w:tc>
        <w:tc>
          <w:tcPr>
            <w:tcW w:w="1637" w:type="pct"/>
            <w:tcBorders>
              <w:top w:val="nil"/>
              <w:left w:val="nil"/>
              <w:bottom w:val="nil"/>
              <w:right w:val="nil"/>
            </w:tcBorders>
          </w:tcPr>
          <w:p w14:paraId="5DB86BC1"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13</w:t>
            </w:r>
          </w:p>
        </w:tc>
      </w:tr>
      <w:tr w:rsidR="002F4F67" w:rsidRPr="00AD6688" w14:paraId="77A2D61E" w14:textId="77777777">
        <w:trPr>
          <w:trHeight w:val="360"/>
        </w:trPr>
        <w:tc>
          <w:tcPr>
            <w:tcW w:w="1465" w:type="pct"/>
            <w:tcBorders>
              <w:top w:val="nil"/>
              <w:left w:val="nil"/>
              <w:bottom w:val="nil"/>
              <w:right w:val="nil"/>
            </w:tcBorders>
          </w:tcPr>
          <w:p w14:paraId="42AB452B"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Asuhyiae</w:t>
            </w:r>
            <w:proofErr w:type="spellEnd"/>
            <w:r w:rsidRPr="00AD6688">
              <w:rPr>
                <w:rFonts w:ascii="Times New Roman" w:hAnsi="Times New Roman" w:cs="Times New Roman"/>
                <w:sz w:val="24"/>
                <w:szCs w:val="24"/>
                <w:lang w:val="en-GB"/>
              </w:rPr>
              <w:t xml:space="preserve"> CHPS</w:t>
            </w:r>
          </w:p>
        </w:tc>
        <w:tc>
          <w:tcPr>
            <w:tcW w:w="1899" w:type="pct"/>
            <w:tcBorders>
              <w:top w:val="nil"/>
              <w:left w:val="nil"/>
              <w:bottom w:val="nil"/>
              <w:right w:val="nil"/>
            </w:tcBorders>
          </w:tcPr>
          <w:p w14:paraId="3F8962E8"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7/270*259</w:t>
            </w:r>
          </w:p>
        </w:tc>
        <w:tc>
          <w:tcPr>
            <w:tcW w:w="1637" w:type="pct"/>
            <w:tcBorders>
              <w:top w:val="nil"/>
              <w:left w:val="nil"/>
              <w:bottom w:val="nil"/>
              <w:right w:val="nil"/>
            </w:tcBorders>
          </w:tcPr>
          <w:p w14:paraId="14A4216C"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6</w:t>
            </w:r>
          </w:p>
        </w:tc>
      </w:tr>
      <w:tr w:rsidR="002F4F67" w:rsidRPr="00AD6688" w14:paraId="65A37D0D" w14:textId="77777777">
        <w:trPr>
          <w:trHeight w:val="360"/>
        </w:trPr>
        <w:tc>
          <w:tcPr>
            <w:tcW w:w="1465" w:type="pct"/>
            <w:tcBorders>
              <w:top w:val="nil"/>
              <w:left w:val="nil"/>
              <w:bottom w:val="nil"/>
              <w:right w:val="nil"/>
            </w:tcBorders>
          </w:tcPr>
          <w:p w14:paraId="3CFD2B58" w14:textId="77777777" w:rsidR="002F4F67" w:rsidRPr="00AD6688" w:rsidRDefault="00E15D01" w:rsidP="006635CC">
            <w:pPr>
              <w:spacing w:after="0" w:line="240" w:lineRule="auto"/>
              <w:ind w:leftChars="34" w:left="75"/>
              <w:jc w:val="both"/>
              <w:rPr>
                <w:rFonts w:ascii="Times New Roman" w:hAnsi="Times New Roman" w:cs="Times New Roman"/>
                <w:b/>
                <w:sz w:val="24"/>
                <w:szCs w:val="24"/>
                <w:lang w:val="en-GB"/>
              </w:rPr>
            </w:pPr>
            <w:proofErr w:type="spellStart"/>
            <w:r w:rsidRPr="00AD6688">
              <w:rPr>
                <w:rFonts w:ascii="Times New Roman" w:hAnsi="Times New Roman" w:cs="Times New Roman"/>
                <w:sz w:val="24"/>
                <w:szCs w:val="24"/>
                <w:lang w:val="en-GB"/>
              </w:rPr>
              <w:t>Akwasiase</w:t>
            </w:r>
            <w:proofErr w:type="spellEnd"/>
            <w:r w:rsidRPr="00AD6688">
              <w:rPr>
                <w:rFonts w:ascii="Times New Roman" w:hAnsi="Times New Roman" w:cs="Times New Roman"/>
                <w:sz w:val="24"/>
                <w:szCs w:val="24"/>
                <w:lang w:val="en-GB"/>
              </w:rPr>
              <w:t xml:space="preserve"> CHPS</w:t>
            </w:r>
          </w:p>
        </w:tc>
        <w:tc>
          <w:tcPr>
            <w:tcW w:w="1899" w:type="pct"/>
            <w:tcBorders>
              <w:top w:val="nil"/>
              <w:left w:val="nil"/>
              <w:bottom w:val="nil"/>
              <w:right w:val="nil"/>
            </w:tcBorders>
          </w:tcPr>
          <w:p w14:paraId="57749EC4"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6/270*259</w:t>
            </w:r>
          </w:p>
        </w:tc>
        <w:tc>
          <w:tcPr>
            <w:tcW w:w="1637" w:type="pct"/>
            <w:tcBorders>
              <w:top w:val="nil"/>
              <w:left w:val="nil"/>
              <w:bottom w:val="nil"/>
              <w:right w:val="nil"/>
            </w:tcBorders>
          </w:tcPr>
          <w:p w14:paraId="2FFBB034"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5</w:t>
            </w:r>
          </w:p>
        </w:tc>
      </w:tr>
      <w:tr w:rsidR="002F4F67" w:rsidRPr="00AD6688" w14:paraId="3A0E1FC4" w14:textId="77777777">
        <w:trPr>
          <w:trHeight w:val="360"/>
        </w:trPr>
        <w:tc>
          <w:tcPr>
            <w:tcW w:w="1465" w:type="pct"/>
            <w:tcBorders>
              <w:top w:val="nil"/>
              <w:left w:val="nil"/>
              <w:bottom w:val="nil"/>
              <w:right w:val="nil"/>
            </w:tcBorders>
          </w:tcPr>
          <w:p w14:paraId="4C014479"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Tettehkrom</w:t>
            </w:r>
            <w:proofErr w:type="spellEnd"/>
            <w:r w:rsidRPr="00AD6688">
              <w:rPr>
                <w:rFonts w:ascii="Times New Roman" w:hAnsi="Times New Roman" w:cs="Times New Roman"/>
                <w:sz w:val="24"/>
                <w:szCs w:val="24"/>
                <w:lang w:val="en-GB"/>
              </w:rPr>
              <w:t xml:space="preserve"> CHPS</w:t>
            </w:r>
          </w:p>
        </w:tc>
        <w:tc>
          <w:tcPr>
            <w:tcW w:w="1899" w:type="pct"/>
            <w:tcBorders>
              <w:top w:val="nil"/>
              <w:left w:val="nil"/>
              <w:bottom w:val="nil"/>
              <w:right w:val="nil"/>
            </w:tcBorders>
          </w:tcPr>
          <w:p w14:paraId="67ACAD3F"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5/270*259</w:t>
            </w:r>
          </w:p>
        </w:tc>
        <w:tc>
          <w:tcPr>
            <w:tcW w:w="1637" w:type="pct"/>
            <w:tcBorders>
              <w:top w:val="nil"/>
              <w:left w:val="nil"/>
              <w:bottom w:val="nil"/>
              <w:right w:val="nil"/>
            </w:tcBorders>
          </w:tcPr>
          <w:p w14:paraId="667F3B2D"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4</w:t>
            </w:r>
          </w:p>
        </w:tc>
      </w:tr>
      <w:tr w:rsidR="002F4F67" w:rsidRPr="00AD6688" w14:paraId="26C06DEB" w14:textId="77777777">
        <w:trPr>
          <w:trHeight w:val="360"/>
        </w:trPr>
        <w:tc>
          <w:tcPr>
            <w:tcW w:w="1465" w:type="pct"/>
            <w:tcBorders>
              <w:top w:val="nil"/>
              <w:left w:val="nil"/>
              <w:bottom w:val="single" w:sz="4" w:space="0" w:color="auto"/>
              <w:right w:val="nil"/>
            </w:tcBorders>
          </w:tcPr>
          <w:p w14:paraId="4AE563B1"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Numesua</w:t>
            </w:r>
            <w:proofErr w:type="spellEnd"/>
            <w:r w:rsidRPr="00AD6688">
              <w:rPr>
                <w:rFonts w:ascii="Times New Roman" w:hAnsi="Times New Roman" w:cs="Times New Roman"/>
                <w:sz w:val="24"/>
                <w:szCs w:val="24"/>
                <w:lang w:val="en-GB"/>
              </w:rPr>
              <w:t xml:space="preserve"> CHPS</w:t>
            </w:r>
          </w:p>
        </w:tc>
        <w:tc>
          <w:tcPr>
            <w:tcW w:w="1899" w:type="pct"/>
            <w:tcBorders>
              <w:top w:val="nil"/>
              <w:left w:val="nil"/>
              <w:bottom w:val="single" w:sz="4" w:space="0" w:color="auto"/>
              <w:right w:val="nil"/>
            </w:tcBorders>
          </w:tcPr>
          <w:p w14:paraId="5D2E4DB3" w14:textId="77777777"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9/270*259</w:t>
            </w:r>
          </w:p>
        </w:tc>
        <w:tc>
          <w:tcPr>
            <w:tcW w:w="1637" w:type="pct"/>
            <w:tcBorders>
              <w:top w:val="nil"/>
              <w:left w:val="nil"/>
              <w:bottom w:val="single" w:sz="4" w:space="0" w:color="auto"/>
              <w:right w:val="nil"/>
            </w:tcBorders>
          </w:tcPr>
          <w:p w14:paraId="5467A20B" w14:textId="77777777"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8</w:t>
            </w:r>
          </w:p>
        </w:tc>
      </w:tr>
    </w:tbl>
    <w:p w14:paraId="3F4595C1"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Source: Field Data, 2020</w:t>
      </w:r>
    </w:p>
    <w:p w14:paraId="6B8EEE98"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u w:val="single"/>
          <w:lang w:val="en-GB"/>
        </w:rPr>
        <w:t>Keys</w:t>
      </w:r>
      <w:r w:rsidRPr="00AD6688">
        <w:rPr>
          <w:rFonts w:ascii="Times New Roman" w:hAnsi="Times New Roman" w:cs="Times New Roman"/>
          <w:sz w:val="24"/>
          <w:szCs w:val="24"/>
          <w:lang w:val="en-GB"/>
        </w:rPr>
        <w:t>: Numerator – number of health workers per category, Denominator- total health workers, and multiplier – calculated sample size for the study</w:t>
      </w:r>
    </w:p>
    <w:p w14:paraId="6564231F" w14:textId="77777777" w:rsidR="002F4F67" w:rsidRPr="00AD6688" w:rsidRDefault="002F4F67" w:rsidP="006635CC">
      <w:pPr>
        <w:spacing w:after="0" w:line="240" w:lineRule="auto"/>
        <w:jc w:val="both"/>
        <w:rPr>
          <w:rFonts w:ascii="Times New Roman" w:hAnsi="Times New Roman" w:cs="Times New Roman"/>
          <w:b/>
          <w:sz w:val="24"/>
          <w:szCs w:val="24"/>
        </w:rPr>
      </w:pPr>
    </w:p>
    <w:p w14:paraId="4DA4374D" w14:textId="77777777" w:rsidR="002F4F67" w:rsidRPr="00AD6688" w:rsidRDefault="00977FB9" w:rsidP="006635CC">
      <w:pPr>
        <w:spacing w:after="0" w:line="240" w:lineRule="auto"/>
        <w:jc w:val="both"/>
        <w:rPr>
          <w:rFonts w:ascii="Times New Roman" w:hAnsi="Times New Roman" w:cs="Times New Roman"/>
          <w:b/>
          <w:sz w:val="24"/>
          <w:szCs w:val="24"/>
        </w:rPr>
      </w:pPr>
      <w:r w:rsidRPr="00AD6688">
        <w:rPr>
          <w:rFonts w:ascii="Times New Roman" w:hAnsi="Times New Roman" w:cs="Times New Roman"/>
          <w:b/>
          <w:sz w:val="24"/>
          <w:szCs w:val="24"/>
        </w:rPr>
        <w:t>2</w:t>
      </w:r>
      <w:r w:rsidR="00E15D01" w:rsidRPr="00AD6688">
        <w:rPr>
          <w:rFonts w:ascii="Times New Roman" w:hAnsi="Times New Roman" w:cs="Times New Roman"/>
          <w:b/>
          <w:sz w:val="24"/>
          <w:szCs w:val="24"/>
        </w:rPr>
        <w:t xml:space="preserve">.6 Data Collection Tools and Technique </w:t>
      </w:r>
    </w:p>
    <w:p w14:paraId="2FEA530D" w14:textId="77777777" w:rsidR="002F4F67" w:rsidRPr="00AD6688" w:rsidRDefault="00E15D01" w:rsidP="006635CC">
      <w:pPr>
        <w:spacing w:after="0" w:line="240" w:lineRule="auto"/>
        <w:jc w:val="both"/>
        <w:rPr>
          <w:rFonts w:ascii="Times New Roman" w:hAnsi="Times New Roman" w:cs="Times New Roman"/>
          <w:sz w:val="24"/>
          <w:szCs w:val="24"/>
          <w:lang w:val="en-GB"/>
        </w:rPr>
      </w:pPr>
      <w:bookmarkStart w:id="28" w:name="_Toc40793090"/>
      <w:r w:rsidRPr="00AD6688">
        <w:rPr>
          <w:rFonts w:ascii="Times New Roman" w:hAnsi="Times New Roman" w:cs="Times New Roman"/>
          <w:sz w:val="24"/>
          <w:szCs w:val="24"/>
          <w:lang w:val="en-GB"/>
        </w:rPr>
        <w:t>Structured questionnaire was designed and distributed to health workers to collect the data for the study. Upon reaching each facility, permission was sought from facility in charges and unit heads and health staff for this study and my interest was made known to them before data collection commenced. All COVID-19 protocols were duly observed.</w:t>
      </w:r>
    </w:p>
    <w:p w14:paraId="4B80D78A"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questionnaire was self-administered. The principal investigator distributed the questionnaire to all eligible health workers in the municipality who consented to and was ready to participate in the study. Health workers who needed further assistance in responding to the questionnaire were aided by the principal investigator</w:t>
      </w:r>
    </w:p>
    <w:p w14:paraId="28D99D5B"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health workers were given a time of 30mins within which they were required to respond to and submit the questionnaire. The principal investigator upon completion collected the questionnaire and ensured high completion rate and return of the questionnaire.</w:t>
      </w:r>
    </w:p>
    <w:p w14:paraId="3F7665D4" w14:textId="77777777" w:rsidR="002F4F67" w:rsidRPr="00AD6688" w:rsidRDefault="00E15D01" w:rsidP="006635CC">
      <w:pPr>
        <w:pStyle w:val="Heading1"/>
        <w:spacing w:line="240" w:lineRule="auto"/>
        <w:rPr>
          <w:rFonts w:ascii="Times New Roman" w:hAnsi="Times New Roman" w:cs="Times New Roman"/>
          <w:b/>
          <w:color w:val="auto"/>
          <w:sz w:val="24"/>
          <w:szCs w:val="24"/>
          <w:lang w:val="en-GB"/>
        </w:rPr>
      </w:pPr>
      <w:r w:rsidRPr="00AD6688">
        <w:rPr>
          <w:rFonts w:ascii="Times New Roman" w:hAnsi="Times New Roman" w:cs="Times New Roman"/>
          <w:b/>
          <w:color w:val="auto"/>
          <w:sz w:val="24"/>
          <w:szCs w:val="24"/>
          <w:lang w:val="en-GB"/>
        </w:rPr>
        <w:t xml:space="preserve"> </w:t>
      </w:r>
      <w:bookmarkStart w:id="29" w:name="_Toc79350945"/>
      <w:bookmarkEnd w:id="28"/>
      <w:r w:rsidR="00977FB9" w:rsidRPr="00AD6688">
        <w:rPr>
          <w:rFonts w:ascii="Times New Roman" w:hAnsi="Times New Roman" w:cs="Times New Roman"/>
          <w:b/>
          <w:color w:val="auto"/>
          <w:sz w:val="24"/>
          <w:szCs w:val="24"/>
          <w:lang w:val="en-GB"/>
        </w:rPr>
        <w:t>2</w:t>
      </w:r>
      <w:r w:rsidRPr="00AD6688">
        <w:rPr>
          <w:rFonts w:ascii="Times New Roman" w:hAnsi="Times New Roman" w:cs="Times New Roman"/>
          <w:b/>
          <w:color w:val="auto"/>
          <w:sz w:val="24"/>
          <w:szCs w:val="24"/>
          <w:lang w:val="en-GB"/>
        </w:rPr>
        <w:t>.7 Data Analysis</w:t>
      </w:r>
      <w:bookmarkEnd w:id="29"/>
      <w:r w:rsidRPr="00AD6688">
        <w:rPr>
          <w:rFonts w:ascii="Times New Roman" w:hAnsi="Times New Roman" w:cs="Times New Roman"/>
          <w:b/>
          <w:color w:val="auto"/>
          <w:sz w:val="24"/>
          <w:szCs w:val="24"/>
          <w:lang w:val="en-GB"/>
        </w:rPr>
        <w:t xml:space="preserve"> </w:t>
      </w:r>
    </w:p>
    <w:p w14:paraId="3C2D5194"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The data collected was analysed using quantitative data analysis method. It involved a descriptive analysis where data was presented in a form of charts, tables and percentages. The completely filled questionnaires was serially numbered and crosschecked by the principal investigator for easy identification. To ensure that data entry into the computer is accurate, the principal investigator independently crosschecked each entry. Data was coded and entered into SPSS version 21.0 for analysis.</w:t>
      </w:r>
    </w:p>
    <w:p w14:paraId="319F7342"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data was presented in charts and tables for interpretation and analysis based on descriptive analysis of the variables under study. To analyse the demographic characteristics of respondents, frequencies and percentages was used. Pie and bar chart, were used to analyse </w:t>
      </w:r>
      <w:r w:rsidRPr="00AD6688">
        <w:rPr>
          <w:rFonts w:ascii="Times New Roman" w:hAnsi="Times New Roman" w:cs="Times New Roman"/>
          <w:sz w:val="24"/>
          <w:szCs w:val="24"/>
        </w:rPr>
        <w:t>the nature of occupational hazards and injuries health care workers suffer during healthcare delivery</w:t>
      </w:r>
      <w:r w:rsidRPr="00AD6688">
        <w:rPr>
          <w:rFonts w:ascii="Times New Roman" w:hAnsi="Times New Roman" w:cs="Times New Roman"/>
          <w:sz w:val="24"/>
          <w:szCs w:val="24"/>
          <w:lang w:val="en-GB"/>
        </w:rPr>
        <w:t>. Frequencies and percentages was used to analyse both possible reasons</w:t>
      </w:r>
      <w:r w:rsidRPr="00AD6688">
        <w:rPr>
          <w:rFonts w:ascii="Times New Roman" w:hAnsi="Times New Roman" w:cs="Times New Roman"/>
          <w:color w:val="000000"/>
          <w:sz w:val="24"/>
          <w:szCs w:val="24"/>
        </w:rPr>
        <w:t xml:space="preserve"> of occupational hazards among health care workers</w:t>
      </w:r>
      <w:r w:rsidRPr="00AD6688">
        <w:rPr>
          <w:rFonts w:ascii="Times New Roman" w:hAnsi="Times New Roman" w:cs="Times New Roman"/>
          <w:sz w:val="24"/>
          <w:szCs w:val="24"/>
          <w:lang w:val="en-GB"/>
        </w:rPr>
        <w:t xml:space="preserve"> and </w:t>
      </w:r>
      <w:r w:rsidRPr="00AD6688">
        <w:rPr>
          <w:rFonts w:ascii="Times New Roman" w:hAnsi="Times New Roman" w:cs="Times New Roman"/>
          <w:sz w:val="24"/>
          <w:szCs w:val="24"/>
        </w:rPr>
        <w:t>whether health workers report occupational hazards and injuries they encounter at the work place</w:t>
      </w:r>
      <w:r w:rsidRPr="00AD6688">
        <w:rPr>
          <w:rFonts w:ascii="Times New Roman" w:hAnsi="Times New Roman" w:cs="Times New Roman"/>
          <w:sz w:val="24"/>
          <w:szCs w:val="24"/>
          <w:lang w:val="en-GB"/>
        </w:rPr>
        <w:t xml:space="preserve">. </w:t>
      </w:r>
    </w:p>
    <w:p w14:paraId="4D15724F" w14:textId="77777777" w:rsidR="002F4F67" w:rsidRPr="00AD6688" w:rsidRDefault="00977FB9" w:rsidP="006635CC">
      <w:pPr>
        <w:pStyle w:val="Heading1"/>
        <w:spacing w:line="240" w:lineRule="auto"/>
        <w:rPr>
          <w:rFonts w:ascii="Times New Roman" w:hAnsi="Times New Roman" w:cs="Times New Roman"/>
          <w:b/>
          <w:sz w:val="24"/>
          <w:szCs w:val="24"/>
          <w:lang w:val="en-GB"/>
        </w:rPr>
      </w:pPr>
      <w:bookmarkStart w:id="30" w:name="_Toc79350946"/>
      <w:bookmarkStart w:id="31" w:name="_Toc40793091"/>
      <w:r w:rsidRPr="00AD6688">
        <w:rPr>
          <w:rFonts w:ascii="Times New Roman" w:hAnsi="Times New Roman" w:cs="Times New Roman"/>
          <w:b/>
          <w:color w:val="auto"/>
          <w:sz w:val="24"/>
          <w:szCs w:val="24"/>
          <w:lang w:val="en-GB"/>
        </w:rPr>
        <w:t>2</w:t>
      </w:r>
      <w:r w:rsidR="00E15D01" w:rsidRPr="00AD6688">
        <w:rPr>
          <w:rFonts w:ascii="Times New Roman" w:hAnsi="Times New Roman" w:cs="Times New Roman"/>
          <w:b/>
          <w:color w:val="auto"/>
          <w:sz w:val="24"/>
          <w:szCs w:val="24"/>
          <w:lang w:val="en-GB"/>
        </w:rPr>
        <w:t>.8 Limitation of the Study</w:t>
      </w:r>
      <w:bookmarkEnd w:id="30"/>
      <w:r w:rsidR="00E15D01" w:rsidRPr="00AD6688">
        <w:rPr>
          <w:rFonts w:ascii="Times New Roman" w:hAnsi="Times New Roman" w:cs="Times New Roman"/>
          <w:b/>
          <w:color w:val="auto"/>
          <w:sz w:val="24"/>
          <w:szCs w:val="24"/>
          <w:lang w:val="en-GB"/>
        </w:rPr>
        <w:t xml:space="preserve"> </w:t>
      </w:r>
      <w:bookmarkEnd w:id="31"/>
      <w:r w:rsidR="00E15D01" w:rsidRPr="00AD6688">
        <w:rPr>
          <w:rFonts w:ascii="Times New Roman" w:eastAsia="Times New Roman" w:hAnsi="Times New Roman" w:cs="Times New Roman"/>
          <w:b/>
          <w:sz w:val="24"/>
          <w:szCs w:val="24"/>
          <w:lang w:val="en-GB"/>
        </w:rPr>
        <w:tab/>
      </w:r>
    </w:p>
    <w:p w14:paraId="4ACF178A" w14:textId="77777777"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The study limitations that affect this study included; measure used in data collection and the sampling procedure.</w:t>
      </w:r>
    </w:p>
    <w:p w14:paraId="05C6F6FB" w14:textId="77777777" w:rsidR="002F4F67" w:rsidRPr="00AD6688" w:rsidRDefault="00E15D01" w:rsidP="006635CC">
      <w:pPr>
        <w:pStyle w:val="ListParagraph"/>
        <w:numPr>
          <w:ilvl w:val="0"/>
          <w:numId w:val="3"/>
        </w:num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Measure used in data collection</w:t>
      </w:r>
      <w:r w:rsidRPr="00AD6688">
        <w:rPr>
          <w:rFonts w:ascii="Times New Roman" w:hAnsi="Times New Roman" w:cs="Times New Roman"/>
          <w:sz w:val="24"/>
          <w:szCs w:val="24"/>
          <w:lang w:val="en-GB"/>
        </w:rPr>
        <w:t xml:space="preserve">: </w:t>
      </w:r>
      <w:r w:rsidRPr="00AD6688">
        <w:rPr>
          <w:rFonts w:ascii="Times New Roman" w:eastAsia="SimSun" w:hAnsi="Times New Roman" w:cs="Times New Roman"/>
          <w:bCs/>
          <w:sz w:val="24"/>
          <w:szCs w:val="24"/>
          <w:lang w:val="en-GB"/>
        </w:rPr>
        <w:t xml:space="preserve">Unwillingness by some participants to return the questionnaire and other participants not ready to fully participate in the study as expected. Some of the participants had less time to spend with the researcher during the data collection and affected the study. </w:t>
      </w:r>
    </w:p>
    <w:p w14:paraId="3CFDB999" w14:textId="77777777" w:rsidR="002F4F67" w:rsidRPr="00AD6688" w:rsidRDefault="00E15D01" w:rsidP="006635CC">
      <w:pPr>
        <w:pStyle w:val="ListParagraph"/>
        <w:numPr>
          <w:ilvl w:val="0"/>
          <w:numId w:val="3"/>
        </w:num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Sampling procedure: The participants were selected conveniently. This sampling technique did not constitute the true representation of the study participants and therefore affected generalization of the results.</w:t>
      </w:r>
    </w:p>
    <w:p w14:paraId="6CC6082F" w14:textId="77777777" w:rsidR="002F4F67" w:rsidRPr="00AD6688" w:rsidRDefault="00977FB9" w:rsidP="006635CC">
      <w:pPr>
        <w:pStyle w:val="Heading1"/>
        <w:spacing w:line="240" w:lineRule="auto"/>
        <w:rPr>
          <w:rFonts w:ascii="Times New Roman" w:eastAsia="Times New Roman" w:hAnsi="Times New Roman" w:cs="Times New Roman"/>
          <w:b/>
          <w:color w:val="auto"/>
          <w:sz w:val="24"/>
          <w:szCs w:val="24"/>
          <w:lang w:val="en-GB"/>
        </w:rPr>
      </w:pPr>
      <w:bookmarkStart w:id="32" w:name="_Toc79350947"/>
      <w:bookmarkStart w:id="33" w:name="_Toc159983"/>
      <w:bookmarkStart w:id="34" w:name="_Toc40793092"/>
      <w:r w:rsidRPr="00AD6688">
        <w:rPr>
          <w:rFonts w:ascii="Times New Roman" w:eastAsia="Times New Roman" w:hAnsi="Times New Roman" w:cs="Times New Roman"/>
          <w:b/>
          <w:color w:val="auto"/>
          <w:sz w:val="24"/>
          <w:szCs w:val="24"/>
          <w:lang w:val="en-GB"/>
        </w:rPr>
        <w:t>2</w:t>
      </w:r>
      <w:r w:rsidR="00E15D01" w:rsidRPr="00AD6688">
        <w:rPr>
          <w:rFonts w:ascii="Times New Roman" w:eastAsia="Times New Roman" w:hAnsi="Times New Roman" w:cs="Times New Roman"/>
          <w:b/>
          <w:color w:val="auto"/>
          <w:sz w:val="24"/>
          <w:szCs w:val="24"/>
          <w:lang w:val="en-GB"/>
        </w:rPr>
        <w:t>.9 Ethical Consideration</w:t>
      </w:r>
      <w:bookmarkEnd w:id="32"/>
      <w:r w:rsidR="00E15D01" w:rsidRPr="00AD6688">
        <w:rPr>
          <w:rFonts w:ascii="Times New Roman" w:eastAsia="Times New Roman" w:hAnsi="Times New Roman" w:cs="Times New Roman"/>
          <w:b/>
          <w:color w:val="auto"/>
          <w:sz w:val="24"/>
          <w:szCs w:val="24"/>
          <w:lang w:val="en-GB"/>
        </w:rPr>
        <w:t xml:space="preserve"> </w:t>
      </w:r>
      <w:bookmarkEnd w:id="33"/>
      <w:bookmarkEnd w:id="34"/>
    </w:p>
    <w:p w14:paraId="0434D89B" w14:textId="77777777"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 xml:space="preserve">The Ethics Review Committee of the Ghana Health Service (GHS) approved the protocol of this study.  Permission was sought from the </w:t>
      </w:r>
      <w:proofErr w:type="spellStart"/>
      <w:r w:rsidRPr="00AD6688">
        <w:rPr>
          <w:rFonts w:ascii="Times New Roman" w:eastAsia="SimSun" w:hAnsi="Times New Roman" w:cs="Times New Roman"/>
          <w:bCs/>
          <w:sz w:val="24"/>
          <w:szCs w:val="24"/>
          <w:lang w:val="en-GB"/>
        </w:rPr>
        <w:t>Ahafo</w:t>
      </w:r>
      <w:proofErr w:type="spellEnd"/>
      <w:r w:rsidRPr="00AD6688">
        <w:rPr>
          <w:rFonts w:ascii="Times New Roman" w:eastAsia="SimSun" w:hAnsi="Times New Roman" w:cs="Times New Roman"/>
          <w:bCs/>
          <w:sz w:val="24"/>
          <w:szCs w:val="24"/>
          <w:lang w:val="en-GB"/>
        </w:rPr>
        <w:t xml:space="preserve"> </w:t>
      </w:r>
      <w:proofErr w:type="spellStart"/>
      <w:r w:rsidRPr="00AD6688">
        <w:rPr>
          <w:rFonts w:ascii="Times New Roman" w:eastAsia="SimSun" w:hAnsi="Times New Roman" w:cs="Times New Roman"/>
          <w:bCs/>
          <w:sz w:val="24"/>
          <w:szCs w:val="24"/>
          <w:lang w:val="en-GB"/>
        </w:rPr>
        <w:t>Ano</w:t>
      </w:r>
      <w:proofErr w:type="spellEnd"/>
      <w:r w:rsidRPr="00AD6688">
        <w:rPr>
          <w:rFonts w:ascii="Times New Roman" w:eastAsia="SimSun" w:hAnsi="Times New Roman" w:cs="Times New Roman"/>
          <w:bCs/>
          <w:sz w:val="24"/>
          <w:szCs w:val="24"/>
          <w:lang w:val="en-GB"/>
        </w:rPr>
        <w:t xml:space="preserve"> North Municipal Health Directorate with an introductory letter from the School of Health and Allied Sciences, Catholic University College of Ghana, </w:t>
      </w:r>
      <w:proofErr w:type="spellStart"/>
      <w:r w:rsidRPr="00AD6688">
        <w:rPr>
          <w:rFonts w:ascii="Times New Roman" w:eastAsia="SimSun" w:hAnsi="Times New Roman" w:cs="Times New Roman"/>
          <w:bCs/>
          <w:sz w:val="24"/>
          <w:szCs w:val="24"/>
          <w:lang w:val="en-GB"/>
        </w:rPr>
        <w:t>Fiapre-Suyani</w:t>
      </w:r>
      <w:proofErr w:type="spellEnd"/>
      <w:r w:rsidRPr="00AD6688">
        <w:rPr>
          <w:rFonts w:ascii="Times New Roman" w:eastAsia="SimSun" w:hAnsi="Times New Roman" w:cs="Times New Roman"/>
          <w:bCs/>
          <w:sz w:val="24"/>
          <w:szCs w:val="24"/>
          <w:lang w:val="en-GB"/>
        </w:rPr>
        <w:t>, before data collection commenced. Approval was also obtained from all facility In-charges and unit heads in all the 10 facilities after proposal presentation was made at the Municipal Health Directorate. The study was done at the facilities under no risk.</w:t>
      </w:r>
    </w:p>
    <w:p w14:paraId="7A666A94" w14:textId="77777777"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 xml:space="preserve">Data collected was known to only the researcher and was used for academic purposes. Consent was sought before the start of the study. </w:t>
      </w:r>
    </w:p>
    <w:p w14:paraId="4613996A" w14:textId="77777777"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Data collected was stored for five (5) under lock and key, and if it had to be used for another study, approval would be sought from the Ghana Health Service Ethics Review Committee (GHS-ERC) approval before doing so.</w:t>
      </w:r>
    </w:p>
    <w:p w14:paraId="78F155B1" w14:textId="77777777" w:rsidR="002F4F67" w:rsidRPr="00AD6688" w:rsidRDefault="002F4F67" w:rsidP="006635CC">
      <w:pPr>
        <w:spacing w:after="0" w:line="240" w:lineRule="auto"/>
        <w:jc w:val="both"/>
        <w:rPr>
          <w:rFonts w:ascii="Times New Roman" w:eastAsia="SimSun" w:hAnsi="Times New Roman" w:cs="Times New Roman"/>
          <w:bCs/>
          <w:sz w:val="24"/>
          <w:szCs w:val="24"/>
          <w:lang w:val="en-GB"/>
        </w:rPr>
      </w:pPr>
    </w:p>
    <w:p w14:paraId="5D714D80" w14:textId="77777777" w:rsidR="002F4F67" w:rsidRPr="00AD6688" w:rsidRDefault="002F4F67" w:rsidP="006635CC">
      <w:pPr>
        <w:pStyle w:val="Heading1"/>
        <w:spacing w:line="240" w:lineRule="auto"/>
        <w:rPr>
          <w:lang w:val="en-GB"/>
        </w:rPr>
      </w:pPr>
    </w:p>
    <w:p w14:paraId="5EB71E69" w14:textId="77777777" w:rsidR="002F4F67" w:rsidRPr="00AD6688" w:rsidRDefault="002F4F67" w:rsidP="006635CC">
      <w:pPr>
        <w:spacing w:line="240" w:lineRule="auto"/>
        <w:rPr>
          <w:lang w:val="en-GB"/>
        </w:rPr>
      </w:pPr>
    </w:p>
    <w:p w14:paraId="3216861A" w14:textId="77777777" w:rsidR="002F4F67" w:rsidRPr="00AD6688" w:rsidRDefault="002F4F67" w:rsidP="006635CC">
      <w:pPr>
        <w:pStyle w:val="Heading1"/>
        <w:spacing w:line="240" w:lineRule="auto"/>
        <w:rPr>
          <w:lang w:val="en-GB"/>
        </w:rPr>
      </w:pPr>
    </w:p>
    <w:p w14:paraId="252352C3" w14:textId="77777777" w:rsidR="002F4F67" w:rsidRPr="00AD6688" w:rsidRDefault="002F4F67" w:rsidP="006635CC">
      <w:pPr>
        <w:spacing w:line="240" w:lineRule="auto"/>
        <w:rPr>
          <w:lang w:val="en-GB"/>
        </w:rPr>
      </w:pPr>
    </w:p>
    <w:p w14:paraId="572AC8F9" w14:textId="77777777" w:rsidR="002F4F67" w:rsidRPr="00AD6688" w:rsidRDefault="002F4F67" w:rsidP="006635CC">
      <w:pPr>
        <w:pStyle w:val="Heading1"/>
        <w:spacing w:line="240" w:lineRule="auto"/>
        <w:rPr>
          <w:lang w:val="en-GB"/>
        </w:rPr>
      </w:pPr>
    </w:p>
    <w:p w14:paraId="1F6CD2E6" w14:textId="77777777" w:rsidR="002F4F67" w:rsidRPr="00AD6688" w:rsidRDefault="002F4F67" w:rsidP="006635CC">
      <w:pPr>
        <w:spacing w:line="240" w:lineRule="auto"/>
        <w:rPr>
          <w:lang w:val="en-GB"/>
        </w:rPr>
      </w:pPr>
    </w:p>
    <w:p w14:paraId="2CE37E40" w14:textId="77777777" w:rsidR="002F4F67" w:rsidRPr="00AD6688" w:rsidRDefault="002F4F67" w:rsidP="006635CC">
      <w:pPr>
        <w:pStyle w:val="Heading1"/>
        <w:spacing w:line="240" w:lineRule="auto"/>
        <w:rPr>
          <w:lang w:val="en-GB"/>
        </w:rPr>
      </w:pPr>
    </w:p>
    <w:p w14:paraId="2E6F15AC" w14:textId="77777777" w:rsidR="002F4F67" w:rsidRPr="00AD6688" w:rsidRDefault="002F4F67" w:rsidP="006635CC">
      <w:pPr>
        <w:spacing w:line="240" w:lineRule="auto"/>
        <w:rPr>
          <w:lang w:val="en-GB"/>
        </w:rPr>
      </w:pPr>
    </w:p>
    <w:p w14:paraId="769F38B4" w14:textId="77777777" w:rsidR="002F4F67" w:rsidRPr="00AD6688" w:rsidRDefault="002F4F67" w:rsidP="006635CC">
      <w:pPr>
        <w:pStyle w:val="Heading1"/>
        <w:spacing w:line="240" w:lineRule="auto"/>
        <w:rPr>
          <w:lang w:val="en-GB"/>
        </w:rPr>
      </w:pPr>
    </w:p>
    <w:p w14:paraId="554F4DB2" w14:textId="77777777" w:rsidR="002F4F67" w:rsidRPr="00AD6688" w:rsidRDefault="002F4F67" w:rsidP="006635CC">
      <w:pPr>
        <w:spacing w:line="240" w:lineRule="auto"/>
        <w:rPr>
          <w:lang w:val="en-GB"/>
        </w:rPr>
      </w:pPr>
    </w:p>
    <w:p w14:paraId="5E648CB0" w14:textId="77777777" w:rsidR="002F4F67" w:rsidRPr="00AD6688" w:rsidRDefault="00977FB9" w:rsidP="006635CC">
      <w:pPr>
        <w:pStyle w:val="Heading1"/>
        <w:spacing w:line="240" w:lineRule="auto"/>
        <w:rPr>
          <w:rFonts w:ascii="Times New Roman" w:hAnsi="Times New Roman" w:cs="Times New Roman"/>
          <w:b/>
          <w:color w:val="auto"/>
          <w:sz w:val="24"/>
          <w:szCs w:val="24"/>
        </w:rPr>
      </w:pPr>
      <w:bookmarkStart w:id="35" w:name="_Toc79350949"/>
      <w:r w:rsidRPr="00AD6688">
        <w:rPr>
          <w:rFonts w:ascii="Times New Roman" w:hAnsi="Times New Roman" w:cs="Times New Roman"/>
          <w:b/>
          <w:color w:val="auto"/>
          <w:sz w:val="24"/>
          <w:szCs w:val="24"/>
          <w:lang w:val="en-GB"/>
        </w:rPr>
        <w:t>3.0</w:t>
      </w:r>
      <w:r w:rsidRPr="00AD6688">
        <w:rPr>
          <w:rFonts w:ascii="Times New Roman" w:hAnsi="Times New Roman" w:cs="Times New Roman"/>
          <w:sz w:val="24"/>
          <w:szCs w:val="24"/>
          <w:lang w:val="en-GB"/>
        </w:rPr>
        <w:t xml:space="preserve">. </w:t>
      </w:r>
      <w:r w:rsidR="007F5632" w:rsidRPr="00AD6688">
        <w:rPr>
          <w:rFonts w:ascii="Times New Roman" w:hAnsi="Times New Roman" w:cs="Times New Roman"/>
          <w:b/>
          <w:color w:val="auto"/>
          <w:sz w:val="24"/>
          <w:szCs w:val="24"/>
        </w:rPr>
        <w:t>RESULTS</w:t>
      </w:r>
      <w:bookmarkEnd w:id="35"/>
      <w:r w:rsidR="007F5632" w:rsidRPr="00AD6688">
        <w:rPr>
          <w:rFonts w:ascii="Times New Roman" w:hAnsi="Times New Roman" w:cs="Times New Roman"/>
          <w:b/>
          <w:color w:val="auto"/>
          <w:sz w:val="24"/>
          <w:szCs w:val="24"/>
        </w:rPr>
        <w:t xml:space="preserve"> AND FINDINGS</w:t>
      </w:r>
    </w:p>
    <w:p w14:paraId="527632C6" w14:textId="77777777" w:rsidR="007F5632" w:rsidRPr="00AD6688" w:rsidRDefault="00E15D01" w:rsidP="006635CC">
      <w:pPr>
        <w:spacing w:after="0" w:line="240" w:lineRule="auto"/>
        <w:contextualSpacing/>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The purpose of the study was to assess occupational hazards and injuries among health workers in the </w:t>
      </w:r>
      <w:proofErr w:type="spellStart"/>
      <w:r w:rsidRPr="00AD6688">
        <w:rPr>
          <w:rFonts w:ascii="Times New Roman" w:hAnsi="Times New Roman" w:cs="Times New Roman"/>
          <w:sz w:val="24"/>
          <w:szCs w:val="24"/>
          <w:lang w:val="en-GB"/>
        </w:rPr>
        <w:t>Ahafo</w:t>
      </w:r>
      <w:proofErr w:type="spellEnd"/>
      <w:r w:rsidRPr="00AD6688">
        <w:rPr>
          <w:rFonts w:ascii="Times New Roman" w:hAnsi="Times New Roman" w:cs="Times New Roman"/>
          <w:sz w:val="24"/>
          <w:szCs w:val="24"/>
          <w:lang w:val="en-GB"/>
        </w:rPr>
        <w:t xml:space="preserve">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w:t>
      </w:r>
      <w:proofErr w:type="spellStart"/>
      <w:r w:rsidRPr="00AD6688">
        <w:rPr>
          <w:rFonts w:ascii="Times New Roman" w:hAnsi="Times New Roman" w:cs="Times New Roman"/>
          <w:sz w:val="24"/>
          <w:szCs w:val="24"/>
          <w:lang w:val="en-GB"/>
        </w:rPr>
        <w:t>Tepa</w:t>
      </w:r>
      <w:proofErr w:type="spellEnd"/>
      <w:r w:rsidRPr="00AD6688">
        <w:rPr>
          <w:rFonts w:ascii="Times New Roman" w:hAnsi="Times New Roman" w:cs="Times New Roman"/>
          <w:sz w:val="24"/>
          <w:szCs w:val="24"/>
          <w:lang w:val="en-GB"/>
        </w:rPr>
        <w:t xml:space="preserve">.  This chapter presents the results of the study based on the research objectives. They were; demographic characteristic of respondents, the nature of occupational hazards and injuries </w:t>
      </w:r>
      <w:r w:rsidRPr="00AD6688">
        <w:rPr>
          <w:rFonts w:ascii="Times New Roman" w:hAnsi="Times New Roman" w:cs="Times New Roman"/>
          <w:sz w:val="24"/>
          <w:szCs w:val="24"/>
        </w:rPr>
        <w:t xml:space="preserve">health care workers suffer during healthcare delivery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 i</w:t>
      </w:r>
      <w:r w:rsidRPr="00AD6688">
        <w:rPr>
          <w:rFonts w:ascii="Times New Roman" w:hAnsi="Times New Roman" w:cs="Times New Roman"/>
          <w:color w:val="000000"/>
          <w:sz w:val="24"/>
          <w:szCs w:val="24"/>
        </w:rPr>
        <w:t xml:space="preserve">dentify the possible reasons of occupational hazards and injuries among health care workers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 xml:space="preserve">, and assess whether health workers report occupational hazards and injuries they encounter at the work place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w:t>
      </w:r>
    </w:p>
    <w:p w14:paraId="1B86B2EB" w14:textId="77777777" w:rsidR="007F5632" w:rsidRPr="00AD6688" w:rsidRDefault="007F5632" w:rsidP="006635CC">
      <w:pPr>
        <w:pStyle w:val="Heading1"/>
        <w:spacing w:line="240" w:lineRule="auto"/>
      </w:pPr>
    </w:p>
    <w:p w14:paraId="198AA4CF" w14:textId="77777777" w:rsidR="002F4F67" w:rsidRPr="00AD6688" w:rsidRDefault="00977FB9" w:rsidP="006635CC">
      <w:pPr>
        <w:pStyle w:val="Heading2"/>
        <w:spacing w:line="240" w:lineRule="auto"/>
        <w:rPr>
          <w:rFonts w:ascii="Times New Roman" w:hAnsi="Times New Roman" w:cs="Times New Roman"/>
          <w:b/>
          <w:color w:val="auto"/>
          <w:sz w:val="24"/>
          <w:szCs w:val="24"/>
          <w:lang w:val="en-GB"/>
        </w:rPr>
      </w:pPr>
      <w:bookmarkStart w:id="36" w:name="_Toc79350950"/>
      <w:bookmarkStart w:id="37" w:name="_Toc40793094"/>
      <w:r w:rsidRPr="00AD6688">
        <w:rPr>
          <w:rFonts w:ascii="Times New Roman" w:hAnsi="Times New Roman" w:cs="Times New Roman"/>
          <w:b/>
          <w:color w:val="auto"/>
          <w:sz w:val="24"/>
          <w:szCs w:val="24"/>
          <w:lang w:val="en-GB"/>
        </w:rPr>
        <w:t>3</w:t>
      </w:r>
      <w:r w:rsidR="00E15D01" w:rsidRPr="00AD6688">
        <w:rPr>
          <w:rFonts w:ascii="Times New Roman" w:hAnsi="Times New Roman" w:cs="Times New Roman"/>
          <w:b/>
          <w:color w:val="auto"/>
          <w:sz w:val="24"/>
          <w:szCs w:val="24"/>
          <w:lang w:val="en-GB"/>
        </w:rPr>
        <w:t>.1 Demographic Characteristics of Respondents</w:t>
      </w:r>
      <w:bookmarkEnd w:id="36"/>
      <w:bookmarkEnd w:id="37"/>
    </w:p>
    <w:p w14:paraId="76E15EF4" w14:textId="77777777"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 xml:space="preserve">The study gathered data about the demographic characteristic of the respondents and it is presented in Table </w:t>
      </w:r>
      <w:r w:rsidR="00AD6688" w:rsidRPr="00AD6688">
        <w:rPr>
          <w:rFonts w:ascii="Times New Roman" w:hAnsi="Times New Roman" w:cs="Times New Roman"/>
          <w:sz w:val="24"/>
          <w:szCs w:val="24"/>
        </w:rPr>
        <w:t>3</w:t>
      </w:r>
      <w:r w:rsidRPr="00AD6688">
        <w:rPr>
          <w:rFonts w:ascii="Times New Roman" w:hAnsi="Times New Roman" w:cs="Times New Roman"/>
          <w:sz w:val="24"/>
          <w:szCs w:val="24"/>
        </w:rPr>
        <w:t xml:space="preserve">. The sex distribution of the health workers indicated that (50.2%) males and (49.8) females. The age of the respondents showed </w:t>
      </w:r>
      <w:r w:rsidRPr="00AD6688">
        <w:rPr>
          <w:rFonts w:ascii="Times New Roman" w:hAnsi="Times New Roman" w:cs="Times New Roman"/>
          <w:sz w:val="24"/>
          <w:szCs w:val="24"/>
          <w:lang w:val="en-GB"/>
        </w:rPr>
        <w:t xml:space="preserve">(34.4%) were 20-29 years, (50.6%) were 30-39 years, (2.7%) were 40-49 years and (12.4%) were 50-59 years. E </w:t>
      </w:r>
      <w:proofErr w:type="spellStart"/>
      <w:r w:rsidRPr="00AD6688">
        <w:rPr>
          <w:rFonts w:ascii="Times New Roman" w:hAnsi="Times New Roman" w:cs="Times New Roman"/>
          <w:sz w:val="24"/>
          <w:szCs w:val="24"/>
          <w:lang w:val="en-GB"/>
        </w:rPr>
        <w:t>ducational</w:t>
      </w:r>
      <w:proofErr w:type="spellEnd"/>
      <w:r w:rsidRPr="00AD6688">
        <w:rPr>
          <w:rFonts w:ascii="Times New Roman" w:hAnsi="Times New Roman" w:cs="Times New Roman"/>
          <w:sz w:val="24"/>
          <w:szCs w:val="24"/>
          <w:lang w:val="en-GB"/>
        </w:rPr>
        <w:t xml:space="preserve"> level of health workers revealed that, (81.9%) tertiary education, (12.7%) secondary education, and (5.4%) completed JHS. On religious denomination of health workers, there were (91.1%) Christians and (8.9%) Muslims. Most health workers (54.1%) (3.1%) clinicians, (3.9%) midwives, (3.1%) laboratory technicians, (8.1%) record officers, (2.7%) physiotherapist and (25.1%) other health staffs such as labourers, security and mortuary attendants. Finally, (14.7%) were working at OPD, (10.4%) at laboratory, (6.9%) at paediatric ward, (42.1%) at medical ward, (4.6%) at surgical ward, 5(1.9%) at maternity, (3.5%) at records and (15.8%) at other departments such as mortuary, stores, security and reproductive and child health unit. On number of years health workers have worked in their department, (10.8%) had worked for 1-4years, (52.1%) had worked for 5-9 years, (23.6%) had worked for 10-14 years, (12.7%) had worked for 15-19 years and (8%) had worked for more than 20 years.</w:t>
      </w:r>
    </w:p>
    <w:p w14:paraId="3F04BAF7" w14:textId="77777777" w:rsidR="002F4F67" w:rsidRPr="00AD6688" w:rsidRDefault="002F4F67" w:rsidP="006635CC">
      <w:pPr>
        <w:pStyle w:val="Caption"/>
      </w:pPr>
      <w:bookmarkStart w:id="38" w:name="_Toc77008844"/>
    </w:p>
    <w:p w14:paraId="33856707" w14:textId="77777777" w:rsidR="00C86D91" w:rsidRPr="00AD6688" w:rsidRDefault="00C86D91" w:rsidP="006635CC">
      <w:pPr>
        <w:spacing w:line="240" w:lineRule="auto"/>
      </w:pPr>
    </w:p>
    <w:p w14:paraId="1FCE5475" w14:textId="77777777" w:rsidR="002F4F67" w:rsidRPr="00AD6688" w:rsidRDefault="00E15D01" w:rsidP="006635CC">
      <w:pPr>
        <w:pStyle w:val="Caption"/>
        <w:rPr>
          <w:lang w:val="en-GB"/>
        </w:rPr>
      </w:pPr>
      <w:r w:rsidRPr="00AD6688">
        <w:t xml:space="preserve">Table </w:t>
      </w:r>
      <w:r w:rsidR="00AD6688" w:rsidRPr="00AD6688">
        <w:t>3</w:t>
      </w:r>
      <w:r w:rsidRPr="00AD6688">
        <w:rPr>
          <w:lang w:val="en-GB"/>
        </w:rPr>
        <w:t xml:space="preserve">: </w:t>
      </w:r>
      <w:bookmarkEnd w:id="38"/>
      <w:r w:rsidRPr="00AD6688">
        <w:rPr>
          <w:lang w:val="en-GB"/>
        </w:rPr>
        <w:t>Demographic Characteristics of Respondents</w:t>
      </w:r>
    </w:p>
    <w:tbl>
      <w:tblPr>
        <w:tblStyle w:val="TableGrid"/>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419"/>
        <w:gridCol w:w="3726"/>
      </w:tblGrid>
      <w:tr w:rsidR="002F4F67" w:rsidRPr="00AD6688" w14:paraId="3785ABE9" w14:textId="77777777">
        <w:trPr>
          <w:trHeight w:val="348"/>
        </w:trPr>
        <w:tc>
          <w:tcPr>
            <w:tcW w:w="1740" w:type="pct"/>
            <w:tcBorders>
              <w:top w:val="single" w:sz="4" w:space="0" w:color="auto"/>
              <w:left w:val="nil"/>
              <w:bottom w:val="single" w:sz="4" w:space="0" w:color="auto"/>
              <w:right w:val="nil"/>
            </w:tcBorders>
          </w:tcPr>
          <w:p w14:paraId="498AC8F9"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Variable</w:t>
            </w:r>
          </w:p>
        </w:tc>
        <w:tc>
          <w:tcPr>
            <w:tcW w:w="1560" w:type="pct"/>
            <w:tcBorders>
              <w:top w:val="single" w:sz="4" w:space="0" w:color="auto"/>
              <w:left w:val="nil"/>
              <w:bottom w:val="single" w:sz="4" w:space="0" w:color="auto"/>
              <w:right w:val="nil"/>
            </w:tcBorders>
          </w:tcPr>
          <w:p w14:paraId="6C4CC255" w14:textId="77777777" w:rsidR="002F4F67" w:rsidRPr="00AD6688" w:rsidRDefault="00E15D01" w:rsidP="006635CC">
            <w:pPr>
              <w:spacing w:after="0" w:line="240" w:lineRule="auto"/>
              <w:ind w:leftChars="54" w:left="119"/>
              <w:rPr>
                <w:rFonts w:ascii="Times New Roman" w:hAnsi="Times New Roman" w:cs="Times New Roman"/>
                <w:b/>
                <w:sz w:val="24"/>
                <w:szCs w:val="24"/>
                <w:lang w:val="en-GB"/>
              </w:rPr>
            </w:pPr>
            <w:r w:rsidRPr="00AD6688">
              <w:rPr>
                <w:rFonts w:ascii="Times New Roman" w:hAnsi="Times New Roman" w:cs="Times New Roman"/>
                <w:b/>
                <w:sz w:val="24"/>
                <w:szCs w:val="24"/>
                <w:lang w:val="en-GB"/>
              </w:rPr>
              <w:t>Frequencies</w:t>
            </w:r>
          </w:p>
        </w:tc>
        <w:tc>
          <w:tcPr>
            <w:tcW w:w="1700" w:type="pct"/>
            <w:tcBorders>
              <w:top w:val="single" w:sz="4" w:space="0" w:color="auto"/>
              <w:left w:val="nil"/>
              <w:bottom w:val="single" w:sz="4" w:space="0" w:color="auto"/>
              <w:right w:val="nil"/>
            </w:tcBorders>
          </w:tcPr>
          <w:p w14:paraId="57C83AD4"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Percentage (%)</w:t>
            </w:r>
          </w:p>
        </w:tc>
      </w:tr>
      <w:tr w:rsidR="002F4F67" w:rsidRPr="00AD6688" w14:paraId="1A0A4824" w14:textId="77777777">
        <w:trPr>
          <w:trHeight w:val="263"/>
        </w:trPr>
        <w:tc>
          <w:tcPr>
            <w:tcW w:w="1740" w:type="pct"/>
            <w:tcBorders>
              <w:top w:val="single" w:sz="4" w:space="0" w:color="auto"/>
              <w:left w:val="nil"/>
              <w:bottom w:val="nil"/>
              <w:right w:val="nil"/>
            </w:tcBorders>
          </w:tcPr>
          <w:p w14:paraId="1E20DBC5"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Gender</w:t>
            </w:r>
          </w:p>
        </w:tc>
        <w:tc>
          <w:tcPr>
            <w:tcW w:w="1560" w:type="pct"/>
            <w:tcBorders>
              <w:top w:val="single" w:sz="4" w:space="0" w:color="auto"/>
              <w:left w:val="nil"/>
              <w:bottom w:val="nil"/>
              <w:right w:val="nil"/>
            </w:tcBorders>
          </w:tcPr>
          <w:p w14:paraId="6D9BCB09" w14:textId="77777777" w:rsidR="002F4F67" w:rsidRPr="00AD6688" w:rsidRDefault="002F4F67" w:rsidP="006635CC">
            <w:pPr>
              <w:spacing w:after="0" w:line="240" w:lineRule="auto"/>
              <w:ind w:leftChars="567" w:left="1247"/>
              <w:jc w:val="right"/>
              <w:rPr>
                <w:rFonts w:ascii="Times New Roman" w:hAnsi="Times New Roman" w:cs="Times New Roman"/>
                <w:sz w:val="24"/>
                <w:szCs w:val="24"/>
                <w:lang w:val="en-GB"/>
              </w:rPr>
            </w:pPr>
          </w:p>
        </w:tc>
        <w:tc>
          <w:tcPr>
            <w:tcW w:w="1700" w:type="pct"/>
            <w:tcBorders>
              <w:top w:val="single" w:sz="4" w:space="0" w:color="auto"/>
              <w:left w:val="nil"/>
              <w:bottom w:val="nil"/>
              <w:right w:val="nil"/>
            </w:tcBorders>
          </w:tcPr>
          <w:p w14:paraId="0CC91A80" w14:textId="77777777" w:rsidR="002F4F67" w:rsidRPr="00AD6688" w:rsidRDefault="002F4F67" w:rsidP="006635CC">
            <w:pPr>
              <w:spacing w:after="0" w:line="240" w:lineRule="auto"/>
              <w:ind w:leftChars="34" w:left="75"/>
              <w:rPr>
                <w:rFonts w:ascii="Times New Roman" w:hAnsi="Times New Roman" w:cs="Times New Roman"/>
                <w:sz w:val="24"/>
                <w:szCs w:val="24"/>
                <w:lang w:val="en-GB"/>
              </w:rPr>
            </w:pPr>
          </w:p>
        </w:tc>
      </w:tr>
      <w:tr w:rsidR="002F4F67" w:rsidRPr="00AD6688" w14:paraId="5F87877F" w14:textId="77777777">
        <w:trPr>
          <w:trHeight w:val="194"/>
        </w:trPr>
        <w:tc>
          <w:tcPr>
            <w:tcW w:w="1740" w:type="pct"/>
          </w:tcPr>
          <w:p w14:paraId="177E43EE"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Males</w:t>
            </w:r>
          </w:p>
        </w:tc>
        <w:tc>
          <w:tcPr>
            <w:tcW w:w="1560" w:type="pct"/>
            <w:vAlign w:val="center"/>
          </w:tcPr>
          <w:p w14:paraId="6200B370"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130</w:t>
            </w:r>
          </w:p>
        </w:tc>
        <w:tc>
          <w:tcPr>
            <w:tcW w:w="1700" w:type="pct"/>
            <w:vAlign w:val="center"/>
          </w:tcPr>
          <w:p w14:paraId="4FF0AF72"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50.2</w:t>
            </w:r>
          </w:p>
        </w:tc>
      </w:tr>
      <w:tr w:rsidR="002F4F67" w:rsidRPr="00AD6688" w14:paraId="73FB9089" w14:textId="77777777">
        <w:trPr>
          <w:trHeight w:val="345"/>
        </w:trPr>
        <w:tc>
          <w:tcPr>
            <w:tcW w:w="1740" w:type="pct"/>
          </w:tcPr>
          <w:p w14:paraId="6D66003B"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Females</w:t>
            </w:r>
          </w:p>
        </w:tc>
        <w:tc>
          <w:tcPr>
            <w:tcW w:w="1560" w:type="pct"/>
            <w:vAlign w:val="center"/>
          </w:tcPr>
          <w:p w14:paraId="7D23C341"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129</w:t>
            </w:r>
          </w:p>
        </w:tc>
        <w:tc>
          <w:tcPr>
            <w:tcW w:w="1700" w:type="pct"/>
            <w:vAlign w:val="center"/>
          </w:tcPr>
          <w:p w14:paraId="60067D23"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48.9</w:t>
            </w:r>
          </w:p>
        </w:tc>
      </w:tr>
      <w:tr w:rsidR="002F4F67" w:rsidRPr="00AD6688" w14:paraId="7831776C" w14:textId="77777777">
        <w:trPr>
          <w:trHeight w:val="194"/>
        </w:trPr>
        <w:tc>
          <w:tcPr>
            <w:tcW w:w="1740" w:type="pct"/>
          </w:tcPr>
          <w:p w14:paraId="14E4DC65"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Age</w:t>
            </w:r>
          </w:p>
        </w:tc>
        <w:tc>
          <w:tcPr>
            <w:tcW w:w="1560" w:type="pct"/>
            <w:vAlign w:val="center"/>
          </w:tcPr>
          <w:p w14:paraId="2AE7D580" w14:textId="77777777" w:rsidR="002F4F67" w:rsidRPr="00AD6688" w:rsidRDefault="002F4F67"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p>
        </w:tc>
        <w:tc>
          <w:tcPr>
            <w:tcW w:w="1700" w:type="pct"/>
            <w:vAlign w:val="center"/>
          </w:tcPr>
          <w:p w14:paraId="1AF65BEE" w14:textId="77777777" w:rsidR="002F4F67" w:rsidRPr="00AD6688" w:rsidRDefault="002F4F67"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p>
        </w:tc>
      </w:tr>
      <w:tr w:rsidR="002F4F67" w:rsidRPr="00AD6688" w14:paraId="5978964B" w14:textId="77777777">
        <w:trPr>
          <w:trHeight w:val="194"/>
        </w:trPr>
        <w:tc>
          <w:tcPr>
            <w:tcW w:w="1740" w:type="pct"/>
          </w:tcPr>
          <w:p w14:paraId="1CBF72C2"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20-29 years</w:t>
            </w:r>
          </w:p>
        </w:tc>
        <w:tc>
          <w:tcPr>
            <w:tcW w:w="1560" w:type="pct"/>
            <w:vAlign w:val="center"/>
          </w:tcPr>
          <w:p w14:paraId="77A22E00"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89</w:t>
            </w:r>
          </w:p>
        </w:tc>
        <w:tc>
          <w:tcPr>
            <w:tcW w:w="1700" w:type="pct"/>
            <w:vAlign w:val="center"/>
          </w:tcPr>
          <w:p w14:paraId="23CBB8AD"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34.4</w:t>
            </w:r>
          </w:p>
        </w:tc>
      </w:tr>
      <w:tr w:rsidR="002F4F67" w:rsidRPr="00AD6688" w14:paraId="7B488A0F" w14:textId="77777777">
        <w:trPr>
          <w:trHeight w:val="310"/>
        </w:trPr>
        <w:tc>
          <w:tcPr>
            <w:tcW w:w="1740" w:type="pct"/>
          </w:tcPr>
          <w:p w14:paraId="022AA619"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30-39 years</w:t>
            </w:r>
          </w:p>
        </w:tc>
        <w:tc>
          <w:tcPr>
            <w:tcW w:w="1560" w:type="pct"/>
            <w:vAlign w:val="center"/>
          </w:tcPr>
          <w:p w14:paraId="3932C14F"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139</w:t>
            </w:r>
          </w:p>
        </w:tc>
        <w:tc>
          <w:tcPr>
            <w:tcW w:w="1700" w:type="pct"/>
            <w:vAlign w:val="center"/>
          </w:tcPr>
          <w:p w14:paraId="6B2EBE5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50.6</w:t>
            </w:r>
          </w:p>
        </w:tc>
      </w:tr>
      <w:tr w:rsidR="002F4F67" w:rsidRPr="00AD6688" w14:paraId="2C7F37EE" w14:textId="77777777">
        <w:trPr>
          <w:trHeight w:val="262"/>
        </w:trPr>
        <w:tc>
          <w:tcPr>
            <w:tcW w:w="1740" w:type="pct"/>
          </w:tcPr>
          <w:p w14:paraId="28E550B8"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40-49 years</w:t>
            </w:r>
          </w:p>
        </w:tc>
        <w:tc>
          <w:tcPr>
            <w:tcW w:w="1560" w:type="pct"/>
            <w:vAlign w:val="center"/>
          </w:tcPr>
          <w:p w14:paraId="005672A6"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w:t>
            </w:r>
          </w:p>
        </w:tc>
        <w:tc>
          <w:tcPr>
            <w:tcW w:w="1700" w:type="pct"/>
            <w:vAlign w:val="center"/>
          </w:tcPr>
          <w:p w14:paraId="0F78E89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r>
      <w:tr w:rsidR="002F4F67" w:rsidRPr="00AD6688" w14:paraId="3B9C7DFE" w14:textId="77777777">
        <w:trPr>
          <w:trHeight w:val="374"/>
        </w:trPr>
        <w:tc>
          <w:tcPr>
            <w:tcW w:w="1740" w:type="pct"/>
          </w:tcPr>
          <w:p w14:paraId="27917637"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50-59 years</w:t>
            </w:r>
          </w:p>
        </w:tc>
        <w:tc>
          <w:tcPr>
            <w:tcW w:w="1560" w:type="pct"/>
            <w:vAlign w:val="center"/>
          </w:tcPr>
          <w:p w14:paraId="1270F659"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32</w:t>
            </w:r>
          </w:p>
        </w:tc>
        <w:tc>
          <w:tcPr>
            <w:tcW w:w="1700" w:type="pct"/>
            <w:vAlign w:val="center"/>
          </w:tcPr>
          <w:p w14:paraId="12A76A0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12.4</w:t>
            </w:r>
          </w:p>
        </w:tc>
      </w:tr>
      <w:tr w:rsidR="002F4F67" w:rsidRPr="00AD6688" w14:paraId="2C40EAD6" w14:textId="77777777">
        <w:trPr>
          <w:trHeight w:val="360"/>
        </w:trPr>
        <w:tc>
          <w:tcPr>
            <w:tcW w:w="1740" w:type="pct"/>
            <w:tcBorders>
              <w:top w:val="nil"/>
              <w:left w:val="nil"/>
              <w:bottom w:val="nil"/>
              <w:right w:val="nil"/>
            </w:tcBorders>
          </w:tcPr>
          <w:p w14:paraId="7D9A4A1E"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Educational Level</w:t>
            </w:r>
          </w:p>
        </w:tc>
        <w:tc>
          <w:tcPr>
            <w:tcW w:w="1560" w:type="pct"/>
            <w:tcBorders>
              <w:top w:val="nil"/>
              <w:left w:val="nil"/>
              <w:bottom w:val="nil"/>
              <w:right w:val="nil"/>
            </w:tcBorders>
          </w:tcPr>
          <w:p w14:paraId="231A60BA" w14:textId="77777777" w:rsidR="002F4F67" w:rsidRPr="00AD6688" w:rsidRDefault="002F4F67" w:rsidP="006635CC">
            <w:pPr>
              <w:spacing w:after="0" w:line="240" w:lineRule="auto"/>
              <w:ind w:leftChars="156" w:left="343"/>
              <w:rPr>
                <w:rFonts w:ascii="Times New Roman" w:hAnsi="Times New Roman" w:cs="Times New Roman"/>
                <w:sz w:val="24"/>
                <w:szCs w:val="24"/>
                <w:lang w:val="en-GB"/>
              </w:rPr>
            </w:pPr>
          </w:p>
        </w:tc>
        <w:tc>
          <w:tcPr>
            <w:tcW w:w="1700" w:type="pct"/>
            <w:tcBorders>
              <w:top w:val="nil"/>
              <w:left w:val="nil"/>
              <w:bottom w:val="nil"/>
              <w:right w:val="nil"/>
            </w:tcBorders>
          </w:tcPr>
          <w:p w14:paraId="45FD94C4" w14:textId="77777777" w:rsidR="002F4F67" w:rsidRPr="00AD6688" w:rsidRDefault="002F4F67" w:rsidP="006635CC">
            <w:pPr>
              <w:spacing w:after="0" w:line="240" w:lineRule="auto"/>
              <w:ind w:leftChars="34" w:left="75"/>
              <w:rPr>
                <w:rFonts w:ascii="Times New Roman" w:hAnsi="Times New Roman" w:cs="Times New Roman"/>
                <w:sz w:val="24"/>
                <w:szCs w:val="24"/>
                <w:lang w:val="en-GB"/>
              </w:rPr>
            </w:pPr>
          </w:p>
        </w:tc>
      </w:tr>
      <w:tr w:rsidR="002F4F67" w:rsidRPr="00AD6688" w14:paraId="4B65E303" w14:textId="77777777">
        <w:trPr>
          <w:trHeight w:val="186"/>
        </w:trPr>
        <w:tc>
          <w:tcPr>
            <w:tcW w:w="1740" w:type="pct"/>
            <w:tcBorders>
              <w:top w:val="nil"/>
              <w:left w:val="nil"/>
              <w:bottom w:val="nil"/>
              <w:right w:val="nil"/>
            </w:tcBorders>
          </w:tcPr>
          <w:p w14:paraId="517DE018"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Tertiary</w:t>
            </w:r>
          </w:p>
        </w:tc>
        <w:tc>
          <w:tcPr>
            <w:tcW w:w="1560" w:type="pct"/>
            <w:tcBorders>
              <w:top w:val="nil"/>
              <w:left w:val="nil"/>
              <w:bottom w:val="nil"/>
              <w:right w:val="nil"/>
            </w:tcBorders>
            <w:vAlign w:val="center"/>
          </w:tcPr>
          <w:p w14:paraId="650AD614"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212</w:t>
            </w:r>
          </w:p>
        </w:tc>
        <w:tc>
          <w:tcPr>
            <w:tcW w:w="1700" w:type="pct"/>
            <w:tcBorders>
              <w:top w:val="nil"/>
              <w:left w:val="nil"/>
              <w:bottom w:val="nil"/>
              <w:right w:val="nil"/>
            </w:tcBorders>
            <w:vAlign w:val="center"/>
          </w:tcPr>
          <w:p w14:paraId="6BC3A38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81.9</w:t>
            </w:r>
          </w:p>
        </w:tc>
      </w:tr>
      <w:tr w:rsidR="002F4F67" w:rsidRPr="00AD6688" w14:paraId="46100F78" w14:textId="77777777">
        <w:trPr>
          <w:trHeight w:val="242"/>
        </w:trPr>
        <w:tc>
          <w:tcPr>
            <w:tcW w:w="1740" w:type="pct"/>
            <w:tcBorders>
              <w:top w:val="nil"/>
              <w:left w:val="nil"/>
              <w:bottom w:val="nil"/>
              <w:right w:val="nil"/>
            </w:tcBorders>
          </w:tcPr>
          <w:p w14:paraId="1EC2C9ED"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Secondary</w:t>
            </w:r>
          </w:p>
        </w:tc>
        <w:tc>
          <w:tcPr>
            <w:tcW w:w="1560" w:type="pct"/>
            <w:tcBorders>
              <w:top w:val="nil"/>
              <w:left w:val="nil"/>
              <w:bottom w:val="nil"/>
              <w:right w:val="nil"/>
            </w:tcBorders>
            <w:vAlign w:val="center"/>
          </w:tcPr>
          <w:p w14:paraId="31C948C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33</w:t>
            </w:r>
          </w:p>
        </w:tc>
        <w:tc>
          <w:tcPr>
            <w:tcW w:w="1700" w:type="pct"/>
            <w:tcBorders>
              <w:top w:val="nil"/>
              <w:left w:val="nil"/>
              <w:bottom w:val="nil"/>
              <w:right w:val="nil"/>
            </w:tcBorders>
            <w:vAlign w:val="center"/>
          </w:tcPr>
          <w:p w14:paraId="11FA2FF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12.7</w:t>
            </w:r>
          </w:p>
        </w:tc>
      </w:tr>
      <w:tr w:rsidR="002F4F67" w:rsidRPr="00AD6688" w14:paraId="0446BBC8" w14:textId="77777777">
        <w:trPr>
          <w:trHeight w:val="403"/>
        </w:trPr>
        <w:tc>
          <w:tcPr>
            <w:tcW w:w="1740" w:type="pct"/>
            <w:tcBorders>
              <w:top w:val="nil"/>
              <w:left w:val="nil"/>
              <w:bottom w:val="nil"/>
              <w:right w:val="nil"/>
            </w:tcBorders>
          </w:tcPr>
          <w:p w14:paraId="712E5385"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JHS/MSLC</w:t>
            </w:r>
          </w:p>
        </w:tc>
        <w:tc>
          <w:tcPr>
            <w:tcW w:w="1560" w:type="pct"/>
            <w:tcBorders>
              <w:top w:val="nil"/>
              <w:left w:val="nil"/>
              <w:bottom w:val="nil"/>
              <w:right w:val="nil"/>
            </w:tcBorders>
            <w:vAlign w:val="center"/>
          </w:tcPr>
          <w:p w14:paraId="194708DC"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w:t>
            </w:r>
          </w:p>
        </w:tc>
        <w:tc>
          <w:tcPr>
            <w:tcW w:w="1700" w:type="pct"/>
            <w:tcBorders>
              <w:top w:val="nil"/>
              <w:left w:val="nil"/>
              <w:bottom w:val="nil"/>
              <w:right w:val="nil"/>
            </w:tcBorders>
            <w:vAlign w:val="center"/>
          </w:tcPr>
          <w:p w14:paraId="552B96D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5.5</w:t>
            </w:r>
          </w:p>
        </w:tc>
      </w:tr>
      <w:tr w:rsidR="002F4F67" w:rsidRPr="00AD6688" w14:paraId="67F735EB" w14:textId="77777777">
        <w:trPr>
          <w:trHeight w:val="264"/>
        </w:trPr>
        <w:tc>
          <w:tcPr>
            <w:tcW w:w="5000" w:type="pct"/>
            <w:gridSpan w:val="3"/>
            <w:tcBorders>
              <w:top w:val="nil"/>
              <w:left w:val="nil"/>
              <w:bottom w:val="nil"/>
              <w:right w:val="nil"/>
            </w:tcBorders>
          </w:tcPr>
          <w:p w14:paraId="289E9CEF"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 xml:space="preserve">       Religious Denomination</w:t>
            </w:r>
          </w:p>
        </w:tc>
      </w:tr>
      <w:tr w:rsidR="002F4F67" w:rsidRPr="00AD6688" w14:paraId="4ED0D13C" w14:textId="77777777">
        <w:trPr>
          <w:trHeight w:val="135"/>
        </w:trPr>
        <w:tc>
          <w:tcPr>
            <w:tcW w:w="1740" w:type="pct"/>
            <w:tcBorders>
              <w:top w:val="nil"/>
              <w:left w:val="nil"/>
              <w:bottom w:val="nil"/>
              <w:right w:val="nil"/>
            </w:tcBorders>
          </w:tcPr>
          <w:p w14:paraId="11DC61F3"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Christian</w:t>
            </w:r>
          </w:p>
        </w:tc>
        <w:tc>
          <w:tcPr>
            <w:tcW w:w="1560" w:type="pct"/>
            <w:tcBorders>
              <w:top w:val="nil"/>
              <w:left w:val="nil"/>
              <w:bottom w:val="nil"/>
              <w:right w:val="nil"/>
            </w:tcBorders>
            <w:vAlign w:val="center"/>
          </w:tcPr>
          <w:p w14:paraId="4EA65821"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236</w:t>
            </w:r>
          </w:p>
        </w:tc>
        <w:tc>
          <w:tcPr>
            <w:tcW w:w="1700" w:type="pct"/>
            <w:tcBorders>
              <w:top w:val="nil"/>
              <w:left w:val="nil"/>
              <w:bottom w:val="nil"/>
              <w:right w:val="nil"/>
            </w:tcBorders>
            <w:vAlign w:val="center"/>
          </w:tcPr>
          <w:p w14:paraId="5E8FD44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91.1</w:t>
            </w:r>
          </w:p>
        </w:tc>
      </w:tr>
      <w:tr w:rsidR="002F4F67" w:rsidRPr="00AD6688" w14:paraId="223D6FB0" w14:textId="77777777">
        <w:trPr>
          <w:trHeight w:val="364"/>
        </w:trPr>
        <w:tc>
          <w:tcPr>
            <w:tcW w:w="1740" w:type="pct"/>
            <w:tcBorders>
              <w:top w:val="nil"/>
              <w:left w:val="nil"/>
              <w:bottom w:val="nil"/>
              <w:right w:val="nil"/>
            </w:tcBorders>
          </w:tcPr>
          <w:p w14:paraId="3BF7D246"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Muslim</w:t>
            </w:r>
          </w:p>
        </w:tc>
        <w:tc>
          <w:tcPr>
            <w:tcW w:w="1560" w:type="pct"/>
            <w:tcBorders>
              <w:top w:val="nil"/>
              <w:left w:val="nil"/>
              <w:bottom w:val="nil"/>
              <w:right w:val="nil"/>
            </w:tcBorders>
            <w:vAlign w:val="center"/>
          </w:tcPr>
          <w:p w14:paraId="2D4A9B5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w:t>
            </w:r>
          </w:p>
        </w:tc>
        <w:tc>
          <w:tcPr>
            <w:tcW w:w="1700" w:type="pct"/>
            <w:tcBorders>
              <w:top w:val="nil"/>
              <w:left w:val="nil"/>
              <w:bottom w:val="nil"/>
              <w:right w:val="nil"/>
            </w:tcBorders>
            <w:vAlign w:val="center"/>
          </w:tcPr>
          <w:p w14:paraId="22368FF5"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8.9</w:t>
            </w:r>
          </w:p>
        </w:tc>
      </w:tr>
      <w:tr w:rsidR="002F4F67" w:rsidRPr="00AD6688" w14:paraId="04968BC9" w14:textId="77777777">
        <w:trPr>
          <w:trHeight w:val="201"/>
        </w:trPr>
        <w:tc>
          <w:tcPr>
            <w:tcW w:w="1740" w:type="pct"/>
            <w:tcBorders>
              <w:top w:val="nil"/>
              <w:left w:val="nil"/>
              <w:bottom w:val="nil"/>
              <w:right w:val="nil"/>
            </w:tcBorders>
          </w:tcPr>
          <w:p w14:paraId="29F289EE"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Profession</w:t>
            </w:r>
          </w:p>
        </w:tc>
        <w:tc>
          <w:tcPr>
            <w:tcW w:w="1560" w:type="pct"/>
            <w:tcBorders>
              <w:top w:val="nil"/>
              <w:left w:val="nil"/>
              <w:bottom w:val="nil"/>
              <w:right w:val="nil"/>
            </w:tcBorders>
          </w:tcPr>
          <w:p w14:paraId="58A244E1" w14:textId="77777777" w:rsidR="002F4F67" w:rsidRPr="00AD6688" w:rsidRDefault="002F4F67" w:rsidP="006635CC">
            <w:pPr>
              <w:spacing w:after="0" w:line="240" w:lineRule="auto"/>
              <w:ind w:leftChars="156" w:left="343"/>
              <w:rPr>
                <w:rFonts w:ascii="Times New Roman" w:hAnsi="Times New Roman" w:cs="Times New Roman"/>
                <w:b/>
                <w:sz w:val="24"/>
                <w:szCs w:val="24"/>
                <w:lang w:val="en-GB"/>
              </w:rPr>
            </w:pPr>
          </w:p>
        </w:tc>
        <w:tc>
          <w:tcPr>
            <w:tcW w:w="1700" w:type="pct"/>
            <w:tcBorders>
              <w:top w:val="nil"/>
              <w:left w:val="nil"/>
              <w:bottom w:val="nil"/>
              <w:right w:val="nil"/>
            </w:tcBorders>
          </w:tcPr>
          <w:p w14:paraId="64394846" w14:textId="77777777" w:rsidR="002F4F67" w:rsidRPr="00AD6688" w:rsidRDefault="002F4F67" w:rsidP="006635CC">
            <w:pPr>
              <w:spacing w:after="0" w:line="240" w:lineRule="auto"/>
              <w:ind w:leftChars="34" w:left="75"/>
              <w:rPr>
                <w:rFonts w:ascii="Times New Roman" w:hAnsi="Times New Roman" w:cs="Times New Roman"/>
                <w:b/>
                <w:sz w:val="24"/>
                <w:szCs w:val="24"/>
                <w:lang w:val="en-GB"/>
              </w:rPr>
            </w:pPr>
          </w:p>
        </w:tc>
      </w:tr>
      <w:tr w:rsidR="002F4F67" w:rsidRPr="00AD6688" w14:paraId="427377A7" w14:textId="77777777">
        <w:trPr>
          <w:trHeight w:val="327"/>
        </w:trPr>
        <w:tc>
          <w:tcPr>
            <w:tcW w:w="1740" w:type="pct"/>
            <w:tcBorders>
              <w:top w:val="nil"/>
              <w:left w:val="nil"/>
              <w:bottom w:val="nil"/>
              <w:right w:val="nil"/>
            </w:tcBorders>
          </w:tcPr>
          <w:p w14:paraId="1E7D5625"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Nurse</w:t>
            </w:r>
          </w:p>
        </w:tc>
        <w:tc>
          <w:tcPr>
            <w:tcW w:w="1560" w:type="pct"/>
            <w:tcBorders>
              <w:top w:val="nil"/>
              <w:left w:val="nil"/>
              <w:bottom w:val="nil"/>
              <w:right w:val="nil"/>
            </w:tcBorders>
            <w:vAlign w:val="center"/>
          </w:tcPr>
          <w:p w14:paraId="495E7EC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140</w:t>
            </w:r>
          </w:p>
        </w:tc>
        <w:tc>
          <w:tcPr>
            <w:tcW w:w="1700" w:type="pct"/>
            <w:tcBorders>
              <w:top w:val="nil"/>
              <w:left w:val="nil"/>
              <w:bottom w:val="nil"/>
              <w:right w:val="nil"/>
            </w:tcBorders>
            <w:vAlign w:val="center"/>
          </w:tcPr>
          <w:p w14:paraId="4932F1C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54.1</w:t>
            </w:r>
          </w:p>
        </w:tc>
      </w:tr>
      <w:tr w:rsidR="002F4F67" w:rsidRPr="00AD6688" w14:paraId="4AA9EF0E" w14:textId="77777777">
        <w:trPr>
          <w:trHeight w:val="143"/>
        </w:trPr>
        <w:tc>
          <w:tcPr>
            <w:tcW w:w="1740" w:type="pct"/>
            <w:tcBorders>
              <w:top w:val="nil"/>
              <w:left w:val="nil"/>
              <w:bottom w:val="nil"/>
              <w:right w:val="nil"/>
            </w:tcBorders>
          </w:tcPr>
          <w:p w14:paraId="62C21942"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Clinician</w:t>
            </w:r>
          </w:p>
        </w:tc>
        <w:tc>
          <w:tcPr>
            <w:tcW w:w="1560" w:type="pct"/>
            <w:tcBorders>
              <w:top w:val="nil"/>
              <w:left w:val="nil"/>
              <w:bottom w:val="nil"/>
              <w:right w:val="nil"/>
            </w:tcBorders>
            <w:vAlign w:val="center"/>
          </w:tcPr>
          <w:p w14:paraId="4B4FDFC7"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w:t>
            </w:r>
          </w:p>
        </w:tc>
        <w:tc>
          <w:tcPr>
            <w:tcW w:w="1700" w:type="pct"/>
            <w:tcBorders>
              <w:top w:val="nil"/>
              <w:left w:val="nil"/>
              <w:bottom w:val="nil"/>
              <w:right w:val="nil"/>
            </w:tcBorders>
            <w:vAlign w:val="center"/>
          </w:tcPr>
          <w:p w14:paraId="5248B739"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3.1</w:t>
            </w:r>
          </w:p>
        </w:tc>
      </w:tr>
      <w:tr w:rsidR="002F4F67" w:rsidRPr="00AD6688" w14:paraId="21834961" w14:textId="77777777">
        <w:trPr>
          <w:trHeight w:val="143"/>
        </w:trPr>
        <w:tc>
          <w:tcPr>
            <w:tcW w:w="1740" w:type="pct"/>
            <w:tcBorders>
              <w:top w:val="nil"/>
              <w:left w:val="nil"/>
              <w:bottom w:val="nil"/>
              <w:right w:val="nil"/>
            </w:tcBorders>
          </w:tcPr>
          <w:p w14:paraId="7444D4C2"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Midwife</w:t>
            </w:r>
          </w:p>
        </w:tc>
        <w:tc>
          <w:tcPr>
            <w:tcW w:w="1560" w:type="pct"/>
            <w:tcBorders>
              <w:top w:val="nil"/>
              <w:left w:val="nil"/>
              <w:bottom w:val="nil"/>
              <w:right w:val="nil"/>
            </w:tcBorders>
            <w:vAlign w:val="center"/>
          </w:tcPr>
          <w:p w14:paraId="0FA30D2B"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w:t>
            </w:r>
          </w:p>
        </w:tc>
        <w:tc>
          <w:tcPr>
            <w:tcW w:w="1700" w:type="pct"/>
            <w:tcBorders>
              <w:top w:val="nil"/>
              <w:left w:val="nil"/>
              <w:bottom w:val="nil"/>
              <w:right w:val="nil"/>
            </w:tcBorders>
            <w:vAlign w:val="center"/>
          </w:tcPr>
          <w:p w14:paraId="7D3CD34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3.9</w:t>
            </w:r>
          </w:p>
        </w:tc>
      </w:tr>
      <w:tr w:rsidR="002F4F67" w:rsidRPr="00AD6688" w14:paraId="16484BA0" w14:textId="77777777">
        <w:trPr>
          <w:trHeight w:val="143"/>
        </w:trPr>
        <w:tc>
          <w:tcPr>
            <w:tcW w:w="1740" w:type="pct"/>
            <w:tcBorders>
              <w:top w:val="nil"/>
              <w:left w:val="nil"/>
              <w:bottom w:val="nil"/>
              <w:right w:val="nil"/>
            </w:tcBorders>
          </w:tcPr>
          <w:p w14:paraId="44A2D33F"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Lab Tech</w:t>
            </w:r>
          </w:p>
        </w:tc>
        <w:tc>
          <w:tcPr>
            <w:tcW w:w="1560" w:type="pct"/>
            <w:tcBorders>
              <w:top w:val="nil"/>
              <w:left w:val="nil"/>
              <w:bottom w:val="nil"/>
              <w:right w:val="nil"/>
            </w:tcBorders>
            <w:vAlign w:val="center"/>
          </w:tcPr>
          <w:p w14:paraId="358EFCE4"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w:t>
            </w:r>
          </w:p>
        </w:tc>
        <w:tc>
          <w:tcPr>
            <w:tcW w:w="1700" w:type="pct"/>
            <w:tcBorders>
              <w:top w:val="nil"/>
              <w:left w:val="nil"/>
              <w:bottom w:val="nil"/>
              <w:right w:val="nil"/>
            </w:tcBorders>
            <w:vAlign w:val="center"/>
          </w:tcPr>
          <w:p w14:paraId="49888AF9"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3.1</w:t>
            </w:r>
          </w:p>
        </w:tc>
      </w:tr>
      <w:tr w:rsidR="002F4F67" w:rsidRPr="00AD6688" w14:paraId="7BE59A6C" w14:textId="77777777">
        <w:trPr>
          <w:trHeight w:val="143"/>
        </w:trPr>
        <w:tc>
          <w:tcPr>
            <w:tcW w:w="1740" w:type="pct"/>
            <w:tcBorders>
              <w:top w:val="nil"/>
              <w:left w:val="nil"/>
              <w:bottom w:val="nil"/>
              <w:right w:val="nil"/>
            </w:tcBorders>
          </w:tcPr>
          <w:p w14:paraId="6E89F271"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Records</w:t>
            </w:r>
          </w:p>
        </w:tc>
        <w:tc>
          <w:tcPr>
            <w:tcW w:w="1560" w:type="pct"/>
            <w:tcBorders>
              <w:top w:val="nil"/>
              <w:left w:val="nil"/>
              <w:bottom w:val="nil"/>
              <w:right w:val="nil"/>
            </w:tcBorders>
            <w:vAlign w:val="center"/>
          </w:tcPr>
          <w:p w14:paraId="3D26D78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21</w:t>
            </w:r>
          </w:p>
        </w:tc>
        <w:tc>
          <w:tcPr>
            <w:tcW w:w="1700" w:type="pct"/>
            <w:tcBorders>
              <w:top w:val="nil"/>
              <w:left w:val="nil"/>
              <w:bottom w:val="nil"/>
              <w:right w:val="nil"/>
            </w:tcBorders>
            <w:vAlign w:val="center"/>
          </w:tcPr>
          <w:p w14:paraId="16274743"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8.1</w:t>
            </w:r>
          </w:p>
        </w:tc>
      </w:tr>
      <w:tr w:rsidR="002F4F67" w:rsidRPr="00AD6688" w14:paraId="3F5135EF" w14:textId="77777777">
        <w:trPr>
          <w:trHeight w:val="143"/>
        </w:trPr>
        <w:tc>
          <w:tcPr>
            <w:tcW w:w="1740" w:type="pct"/>
            <w:tcBorders>
              <w:top w:val="nil"/>
              <w:left w:val="nil"/>
              <w:bottom w:val="nil"/>
              <w:right w:val="nil"/>
            </w:tcBorders>
          </w:tcPr>
          <w:p w14:paraId="32620D35"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Physiotherapy</w:t>
            </w:r>
          </w:p>
        </w:tc>
        <w:tc>
          <w:tcPr>
            <w:tcW w:w="1560" w:type="pct"/>
            <w:tcBorders>
              <w:top w:val="nil"/>
              <w:left w:val="nil"/>
              <w:bottom w:val="nil"/>
              <w:right w:val="nil"/>
            </w:tcBorders>
            <w:vAlign w:val="center"/>
          </w:tcPr>
          <w:p w14:paraId="76A17A59"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w:t>
            </w:r>
          </w:p>
        </w:tc>
        <w:tc>
          <w:tcPr>
            <w:tcW w:w="1700" w:type="pct"/>
            <w:tcBorders>
              <w:top w:val="nil"/>
              <w:left w:val="nil"/>
              <w:bottom w:val="nil"/>
              <w:right w:val="nil"/>
            </w:tcBorders>
            <w:vAlign w:val="center"/>
          </w:tcPr>
          <w:p w14:paraId="2BDFAF3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r>
      <w:tr w:rsidR="002F4F67" w:rsidRPr="00AD6688" w14:paraId="3CDADA83" w14:textId="77777777">
        <w:trPr>
          <w:trHeight w:val="143"/>
        </w:trPr>
        <w:tc>
          <w:tcPr>
            <w:tcW w:w="1740" w:type="pct"/>
            <w:tcBorders>
              <w:top w:val="nil"/>
              <w:left w:val="nil"/>
              <w:bottom w:val="nil"/>
              <w:right w:val="nil"/>
            </w:tcBorders>
          </w:tcPr>
          <w:p w14:paraId="298ED5B6"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Others</w:t>
            </w:r>
          </w:p>
        </w:tc>
        <w:tc>
          <w:tcPr>
            <w:tcW w:w="1560" w:type="pct"/>
            <w:tcBorders>
              <w:top w:val="nil"/>
              <w:left w:val="nil"/>
              <w:bottom w:val="nil"/>
              <w:right w:val="nil"/>
            </w:tcBorders>
            <w:vAlign w:val="center"/>
          </w:tcPr>
          <w:p w14:paraId="67A9705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65</w:t>
            </w:r>
          </w:p>
        </w:tc>
        <w:tc>
          <w:tcPr>
            <w:tcW w:w="1700" w:type="pct"/>
            <w:tcBorders>
              <w:top w:val="nil"/>
              <w:left w:val="nil"/>
              <w:bottom w:val="nil"/>
              <w:right w:val="nil"/>
            </w:tcBorders>
            <w:vAlign w:val="center"/>
          </w:tcPr>
          <w:p w14:paraId="6A46E562"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25.1</w:t>
            </w:r>
          </w:p>
        </w:tc>
      </w:tr>
      <w:tr w:rsidR="002F4F67" w:rsidRPr="00AD6688" w14:paraId="03720DE3" w14:textId="77777777">
        <w:trPr>
          <w:trHeight w:val="143"/>
        </w:trPr>
        <w:tc>
          <w:tcPr>
            <w:tcW w:w="1740" w:type="pct"/>
            <w:tcBorders>
              <w:top w:val="nil"/>
              <w:left w:val="nil"/>
              <w:bottom w:val="nil"/>
              <w:right w:val="nil"/>
            </w:tcBorders>
          </w:tcPr>
          <w:p w14:paraId="32FD9B5F" w14:textId="77777777" w:rsidR="002F4F67" w:rsidRPr="00AD6688" w:rsidRDefault="002F4F67" w:rsidP="006635CC">
            <w:pPr>
              <w:spacing w:after="0" w:line="240" w:lineRule="auto"/>
              <w:ind w:leftChars="197" w:left="433" w:right="366"/>
              <w:rPr>
                <w:rFonts w:ascii="Times New Roman" w:hAnsi="Times New Roman" w:cs="Times New Roman"/>
                <w:b/>
                <w:sz w:val="24"/>
                <w:szCs w:val="24"/>
                <w:lang w:val="en-GB"/>
              </w:rPr>
            </w:pPr>
          </w:p>
        </w:tc>
        <w:tc>
          <w:tcPr>
            <w:tcW w:w="1560" w:type="pct"/>
            <w:tcBorders>
              <w:top w:val="nil"/>
              <w:left w:val="nil"/>
              <w:bottom w:val="nil"/>
              <w:right w:val="nil"/>
            </w:tcBorders>
          </w:tcPr>
          <w:p w14:paraId="463E65CD" w14:textId="77777777" w:rsidR="002F4F67" w:rsidRPr="00AD6688" w:rsidRDefault="002F4F67" w:rsidP="006635CC">
            <w:pPr>
              <w:spacing w:after="0" w:line="240" w:lineRule="auto"/>
              <w:ind w:leftChars="156" w:left="343"/>
              <w:rPr>
                <w:rFonts w:ascii="Times New Roman" w:hAnsi="Times New Roman" w:cs="Times New Roman"/>
                <w:b/>
                <w:sz w:val="24"/>
                <w:szCs w:val="24"/>
                <w:lang w:val="en-GB"/>
              </w:rPr>
            </w:pPr>
          </w:p>
        </w:tc>
        <w:tc>
          <w:tcPr>
            <w:tcW w:w="1700" w:type="pct"/>
            <w:tcBorders>
              <w:top w:val="nil"/>
              <w:left w:val="nil"/>
              <w:bottom w:val="nil"/>
              <w:right w:val="nil"/>
            </w:tcBorders>
          </w:tcPr>
          <w:p w14:paraId="62D43E97" w14:textId="77777777" w:rsidR="002F4F67" w:rsidRPr="00AD6688" w:rsidRDefault="002F4F67" w:rsidP="006635CC">
            <w:pPr>
              <w:spacing w:after="0" w:line="240" w:lineRule="auto"/>
              <w:ind w:leftChars="34" w:left="75"/>
              <w:rPr>
                <w:rFonts w:ascii="Times New Roman" w:hAnsi="Times New Roman" w:cs="Times New Roman"/>
                <w:b/>
                <w:sz w:val="24"/>
                <w:szCs w:val="24"/>
                <w:lang w:val="en-GB"/>
              </w:rPr>
            </w:pPr>
          </w:p>
        </w:tc>
      </w:tr>
      <w:tr w:rsidR="002F4F67" w:rsidRPr="00AD6688" w14:paraId="7C828EF5" w14:textId="77777777">
        <w:trPr>
          <w:trHeight w:val="281"/>
        </w:trPr>
        <w:tc>
          <w:tcPr>
            <w:tcW w:w="1740" w:type="pct"/>
            <w:tcBorders>
              <w:top w:val="nil"/>
              <w:left w:val="nil"/>
              <w:bottom w:val="nil"/>
              <w:right w:val="nil"/>
            </w:tcBorders>
          </w:tcPr>
          <w:p w14:paraId="498B6793"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Department</w:t>
            </w:r>
          </w:p>
        </w:tc>
        <w:tc>
          <w:tcPr>
            <w:tcW w:w="1560" w:type="pct"/>
            <w:tcBorders>
              <w:top w:val="nil"/>
              <w:left w:val="nil"/>
              <w:bottom w:val="nil"/>
              <w:right w:val="nil"/>
            </w:tcBorders>
          </w:tcPr>
          <w:p w14:paraId="04114F64" w14:textId="77777777" w:rsidR="002F4F67" w:rsidRPr="00AD6688" w:rsidRDefault="002F4F67" w:rsidP="006635CC">
            <w:pPr>
              <w:spacing w:after="0" w:line="240" w:lineRule="auto"/>
              <w:ind w:leftChars="156" w:left="343"/>
              <w:rPr>
                <w:rFonts w:ascii="Times New Roman" w:hAnsi="Times New Roman" w:cs="Times New Roman"/>
                <w:b/>
                <w:sz w:val="24"/>
                <w:szCs w:val="24"/>
                <w:lang w:val="en-GB"/>
              </w:rPr>
            </w:pPr>
          </w:p>
        </w:tc>
        <w:tc>
          <w:tcPr>
            <w:tcW w:w="1700" w:type="pct"/>
            <w:tcBorders>
              <w:top w:val="nil"/>
              <w:left w:val="nil"/>
              <w:bottom w:val="nil"/>
              <w:right w:val="nil"/>
            </w:tcBorders>
          </w:tcPr>
          <w:p w14:paraId="271F72C4" w14:textId="77777777" w:rsidR="002F4F67" w:rsidRPr="00AD6688" w:rsidRDefault="002F4F67" w:rsidP="006635CC">
            <w:pPr>
              <w:spacing w:after="0" w:line="240" w:lineRule="auto"/>
              <w:ind w:leftChars="34" w:left="75"/>
              <w:rPr>
                <w:rFonts w:ascii="Times New Roman" w:hAnsi="Times New Roman" w:cs="Times New Roman"/>
                <w:b/>
                <w:sz w:val="24"/>
                <w:szCs w:val="24"/>
                <w:lang w:val="en-GB"/>
              </w:rPr>
            </w:pPr>
          </w:p>
        </w:tc>
      </w:tr>
      <w:tr w:rsidR="002F4F67" w:rsidRPr="00AD6688" w14:paraId="551360C9" w14:textId="77777777">
        <w:trPr>
          <w:trHeight w:val="234"/>
        </w:trPr>
        <w:tc>
          <w:tcPr>
            <w:tcW w:w="1740" w:type="pct"/>
            <w:tcBorders>
              <w:top w:val="nil"/>
              <w:left w:val="nil"/>
              <w:bottom w:val="nil"/>
              <w:right w:val="nil"/>
            </w:tcBorders>
          </w:tcPr>
          <w:p w14:paraId="37B35154"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OPD</w:t>
            </w:r>
          </w:p>
        </w:tc>
        <w:tc>
          <w:tcPr>
            <w:tcW w:w="1560" w:type="pct"/>
            <w:tcBorders>
              <w:top w:val="nil"/>
              <w:left w:val="nil"/>
              <w:bottom w:val="nil"/>
              <w:right w:val="nil"/>
            </w:tcBorders>
            <w:vAlign w:val="center"/>
          </w:tcPr>
          <w:p w14:paraId="7543D4CF"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38</w:t>
            </w:r>
          </w:p>
        </w:tc>
        <w:tc>
          <w:tcPr>
            <w:tcW w:w="1700" w:type="pct"/>
            <w:tcBorders>
              <w:top w:val="nil"/>
              <w:left w:val="nil"/>
              <w:bottom w:val="nil"/>
              <w:right w:val="nil"/>
            </w:tcBorders>
            <w:vAlign w:val="center"/>
          </w:tcPr>
          <w:p w14:paraId="46480C79"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14.7</w:t>
            </w:r>
          </w:p>
        </w:tc>
      </w:tr>
      <w:tr w:rsidR="002F4F67" w:rsidRPr="00AD6688" w14:paraId="78570485" w14:textId="77777777">
        <w:trPr>
          <w:trHeight w:val="234"/>
        </w:trPr>
        <w:tc>
          <w:tcPr>
            <w:tcW w:w="1740" w:type="pct"/>
            <w:tcBorders>
              <w:top w:val="nil"/>
              <w:left w:val="nil"/>
              <w:bottom w:val="nil"/>
              <w:right w:val="nil"/>
            </w:tcBorders>
          </w:tcPr>
          <w:p w14:paraId="6374EF43"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Laboratory</w:t>
            </w:r>
          </w:p>
        </w:tc>
        <w:tc>
          <w:tcPr>
            <w:tcW w:w="1560" w:type="pct"/>
            <w:tcBorders>
              <w:top w:val="nil"/>
              <w:left w:val="nil"/>
              <w:bottom w:val="nil"/>
              <w:right w:val="nil"/>
            </w:tcBorders>
            <w:vAlign w:val="center"/>
          </w:tcPr>
          <w:p w14:paraId="180BBAE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c>
          <w:tcPr>
            <w:tcW w:w="1700" w:type="pct"/>
            <w:tcBorders>
              <w:top w:val="nil"/>
              <w:left w:val="nil"/>
              <w:bottom w:val="nil"/>
              <w:right w:val="nil"/>
            </w:tcBorders>
            <w:vAlign w:val="center"/>
          </w:tcPr>
          <w:p w14:paraId="150EEAEB"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10.4</w:t>
            </w:r>
          </w:p>
        </w:tc>
      </w:tr>
      <w:tr w:rsidR="002F4F67" w:rsidRPr="00AD6688" w14:paraId="66C0D375" w14:textId="77777777">
        <w:trPr>
          <w:trHeight w:val="143"/>
        </w:trPr>
        <w:tc>
          <w:tcPr>
            <w:tcW w:w="1740" w:type="pct"/>
            <w:tcBorders>
              <w:top w:val="nil"/>
              <w:left w:val="nil"/>
              <w:bottom w:val="nil"/>
              <w:right w:val="nil"/>
            </w:tcBorders>
          </w:tcPr>
          <w:p w14:paraId="3D5569A3"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Paediatric</w:t>
            </w:r>
          </w:p>
        </w:tc>
        <w:tc>
          <w:tcPr>
            <w:tcW w:w="1560" w:type="pct"/>
            <w:tcBorders>
              <w:top w:val="nil"/>
              <w:left w:val="nil"/>
              <w:bottom w:val="nil"/>
              <w:right w:val="nil"/>
            </w:tcBorders>
            <w:vAlign w:val="center"/>
          </w:tcPr>
          <w:p w14:paraId="10C26DB5"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18</w:t>
            </w:r>
          </w:p>
        </w:tc>
        <w:tc>
          <w:tcPr>
            <w:tcW w:w="1700" w:type="pct"/>
            <w:tcBorders>
              <w:top w:val="nil"/>
              <w:left w:val="nil"/>
              <w:bottom w:val="nil"/>
              <w:right w:val="nil"/>
            </w:tcBorders>
            <w:vAlign w:val="center"/>
          </w:tcPr>
          <w:p w14:paraId="0DF763E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6.9</w:t>
            </w:r>
          </w:p>
        </w:tc>
      </w:tr>
      <w:tr w:rsidR="002F4F67" w:rsidRPr="00AD6688" w14:paraId="25A97903" w14:textId="77777777">
        <w:trPr>
          <w:trHeight w:val="143"/>
        </w:trPr>
        <w:tc>
          <w:tcPr>
            <w:tcW w:w="1740" w:type="pct"/>
            <w:tcBorders>
              <w:top w:val="nil"/>
              <w:left w:val="nil"/>
              <w:bottom w:val="nil"/>
              <w:right w:val="nil"/>
            </w:tcBorders>
          </w:tcPr>
          <w:p w14:paraId="0E7D2C56"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Medical</w:t>
            </w:r>
          </w:p>
        </w:tc>
        <w:tc>
          <w:tcPr>
            <w:tcW w:w="1560" w:type="pct"/>
            <w:tcBorders>
              <w:top w:val="nil"/>
              <w:left w:val="nil"/>
              <w:bottom w:val="nil"/>
              <w:right w:val="nil"/>
            </w:tcBorders>
            <w:vAlign w:val="center"/>
          </w:tcPr>
          <w:p w14:paraId="731AAA3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109</w:t>
            </w:r>
          </w:p>
        </w:tc>
        <w:tc>
          <w:tcPr>
            <w:tcW w:w="1700" w:type="pct"/>
            <w:tcBorders>
              <w:top w:val="nil"/>
              <w:left w:val="nil"/>
              <w:bottom w:val="nil"/>
              <w:right w:val="nil"/>
            </w:tcBorders>
            <w:vAlign w:val="center"/>
          </w:tcPr>
          <w:p w14:paraId="610205E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42.1</w:t>
            </w:r>
          </w:p>
        </w:tc>
      </w:tr>
      <w:tr w:rsidR="002F4F67" w:rsidRPr="00AD6688" w14:paraId="51AF6C95" w14:textId="77777777">
        <w:trPr>
          <w:trHeight w:val="143"/>
        </w:trPr>
        <w:tc>
          <w:tcPr>
            <w:tcW w:w="1740" w:type="pct"/>
            <w:tcBorders>
              <w:top w:val="nil"/>
              <w:left w:val="nil"/>
              <w:bottom w:val="nil"/>
              <w:right w:val="nil"/>
            </w:tcBorders>
          </w:tcPr>
          <w:p w14:paraId="719438DC"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Surgical</w:t>
            </w:r>
          </w:p>
        </w:tc>
        <w:tc>
          <w:tcPr>
            <w:tcW w:w="1560" w:type="pct"/>
            <w:tcBorders>
              <w:top w:val="nil"/>
              <w:left w:val="nil"/>
              <w:bottom w:val="nil"/>
              <w:right w:val="nil"/>
            </w:tcBorders>
            <w:vAlign w:val="center"/>
          </w:tcPr>
          <w:p w14:paraId="5E5648C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c>
          <w:tcPr>
            <w:tcW w:w="1700" w:type="pct"/>
            <w:tcBorders>
              <w:top w:val="nil"/>
              <w:left w:val="nil"/>
              <w:bottom w:val="nil"/>
              <w:right w:val="nil"/>
            </w:tcBorders>
            <w:vAlign w:val="center"/>
          </w:tcPr>
          <w:p w14:paraId="2F32FA0C"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4.6</w:t>
            </w:r>
          </w:p>
        </w:tc>
      </w:tr>
      <w:tr w:rsidR="002F4F67" w:rsidRPr="00AD6688" w14:paraId="4E6F8F37" w14:textId="77777777">
        <w:trPr>
          <w:trHeight w:val="143"/>
        </w:trPr>
        <w:tc>
          <w:tcPr>
            <w:tcW w:w="1740" w:type="pct"/>
            <w:tcBorders>
              <w:top w:val="nil"/>
              <w:left w:val="nil"/>
              <w:bottom w:val="nil"/>
              <w:right w:val="nil"/>
            </w:tcBorders>
          </w:tcPr>
          <w:p w14:paraId="51E5823E"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Maternity</w:t>
            </w:r>
          </w:p>
        </w:tc>
        <w:tc>
          <w:tcPr>
            <w:tcW w:w="1560" w:type="pct"/>
            <w:tcBorders>
              <w:top w:val="nil"/>
              <w:left w:val="nil"/>
              <w:bottom w:val="nil"/>
              <w:right w:val="nil"/>
            </w:tcBorders>
            <w:vAlign w:val="center"/>
          </w:tcPr>
          <w:p w14:paraId="6CC276DD"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w:t>
            </w:r>
          </w:p>
        </w:tc>
        <w:tc>
          <w:tcPr>
            <w:tcW w:w="1700" w:type="pct"/>
            <w:tcBorders>
              <w:top w:val="nil"/>
              <w:left w:val="nil"/>
              <w:bottom w:val="nil"/>
              <w:right w:val="nil"/>
            </w:tcBorders>
            <w:vAlign w:val="center"/>
          </w:tcPr>
          <w:p w14:paraId="7B56DD2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1.9</w:t>
            </w:r>
          </w:p>
        </w:tc>
      </w:tr>
      <w:tr w:rsidR="002F4F67" w:rsidRPr="00AD6688" w14:paraId="1B396969" w14:textId="77777777">
        <w:trPr>
          <w:trHeight w:val="143"/>
        </w:trPr>
        <w:tc>
          <w:tcPr>
            <w:tcW w:w="1740" w:type="pct"/>
            <w:tcBorders>
              <w:top w:val="nil"/>
              <w:left w:val="nil"/>
              <w:bottom w:val="nil"/>
              <w:right w:val="nil"/>
            </w:tcBorders>
          </w:tcPr>
          <w:p w14:paraId="28D60DAB"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Records</w:t>
            </w:r>
          </w:p>
        </w:tc>
        <w:tc>
          <w:tcPr>
            <w:tcW w:w="1560" w:type="pct"/>
            <w:tcBorders>
              <w:top w:val="nil"/>
              <w:left w:val="nil"/>
              <w:bottom w:val="nil"/>
              <w:right w:val="nil"/>
            </w:tcBorders>
            <w:vAlign w:val="center"/>
          </w:tcPr>
          <w:p w14:paraId="36D7270C"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w:t>
            </w:r>
          </w:p>
        </w:tc>
        <w:tc>
          <w:tcPr>
            <w:tcW w:w="1700" w:type="pct"/>
            <w:tcBorders>
              <w:top w:val="nil"/>
              <w:left w:val="nil"/>
              <w:bottom w:val="nil"/>
              <w:right w:val="nil"/>
            </w:tcBorders>
            <w:vAlign w:val="center"/>
          </w:tcPr>
          <w:p w14:paraId="7701CD99"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3.5</w:t>
            </w:r>
          </w:p>
        </w:tc>
      </w:tr>
      <w:tr w:rsidR="002F4F67" w:rsidRPr="00AD6688" w14:paraId="702989B5" w14:textId="77777777">
        <w:trPr>
          <w:trHeight w:val="143"/>
        </w:trPr>
        <w:tc>
          <w:tcPr>
            <w:tcW w:w="1740" w:type="pct"/>
            <w:tcBorders>
              <w:top w:val="nil"/>
              <w:left w:val="nil"/>
              <w:bottom w:val="nil"/>
              <w:right w:val="nil"/>
            </w:tcBorders>
          </w:tcPr>
          <w:p w14:paraId="048D9A2B"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Others</w:t>
            </w:r>
          </w:p>
        </w:tc>
        <w:tc>
          <w:tcPr>
            <w:tcW w:w="1560" w:type="pct"/>
            <w:tcBorders>
              <w:top w:val="nil"/>
              <w:left w:val="nil"/>
              <w:bottom w:val="nil"/>
              <w:right w:val="nil"/>
            </w:tcBorders>
            <w:vAlign w:val="center"/>
          </w:tcPr>
          <w:p w14:paraId="47601FDD"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41</w:t>
            </w:r>
          </w:p>
        </w:tc>
        <w:tc>
          <w:tcPr>
            <w:tcW w:w="1700" w:type="pct"/>
            <w:tcBorders>
              <w:top w:val="nil"/>
              <w:left w:val="nil"/>
              <w:bottom w:val="nil"/>
              <w:right w:val="nil"/>
            </w:tcBorders>
            <w:vAlign w:val="center"/>
          </w:tcPr>
          <w:p w14:paraId="4DB33C9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15.8</w:t>
            </w:r>
          </w:p>
        </w:tc>
      </w:tr>
      <w:tr w:rsidR="002F4F67" w:rsidRPr="00AD6688" w14:paraId="5E34A75B" w14:textId="77777777">
        <w:trPr>
          <w:trHeight w:val="143"/>
        </w:trPr>
        <w:tc>
          <w:tcPr>
            <w:tcW w:w="5000" w:type="pct"/>
            <w:gridSpan w:val="3"/>
            <w:tcBorders>
              <w:top w:val="nil"/>
              <w:left w:val="nil"/>
              <w:bottom w:val="nil"/>
              <w:right w:val="nil"/>
            </w:tcBorders>
          </w:tcPr>
          <w:p w14:paraId="0494DED1" w14:textId="77777777" w:rsidR="002F4F67" w:rsidRPr="00AD6688" w:rsidRDefault="002F4F67" w:rsidP="006635CC">
            <w:pPr>
              <w:tabs>
                <w:tab w:val="left" w:pos="2988"/>
                <w:tab w:val="left" w:pos="5154"/>
              </w:tabs>
              <w:autoSpaceDE w:val="0"/>
              <w:autoSpaceDN w:val="0"/>
              <w:adjustRightInd w:val="0"/>
              <w:spacing w:after="0" w:line="240" w:lineRule="auto"/>
              <w:ind w:leftChars="34" w:left="75"/>
              <w:rPr>
                <w:rFonts w:ascii="Times New Roman" w:hAnsi="Times New Roman" w:cs="Times New Roman"/>
                <w:b/>
                <w:sz w:val="24"/>
                <w:szCs w:val="24"/>
                <w:lang w:val="en-GB"/>
              </w:rPr>
            </w:pPr>
          </w:p>
        </w:tc>
      </w:tr>
      <w:tr w:rsidR="002F4F67" w:rsidRPr="00AD6688" w14:paraId="51B8D5A6" w14:textId="77777777">
        <w:trPr>
          <w:trHeight w:val="143"/>
        </w:trPr>
        <w:tc>
          <w:tcPr>
            <w:tcW w:w="5000" w:type="pct"/>
            <w:gridSpan w:val="3"/>
            <w:tcBorders>
              <w:top w:val="nil"/>
              <w:left w:val="nil"/>
              <w:bottom w:val="nil"/>
              <w:right w:val="nil"/>
            </w:tcBorders>
          </w:tcPr>
          <w:p w14:paraId="25052713"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b/>
                <w:color w:val="000000"/>
                <w:sz w:val="24"/>
                <w:szCs w:val="24"/>
                <w:lang w:val="en-GB"/>
              </w:rPr>
            </w:pPr>
            <w:r w:rsidRPr="00AD6688">
              <w:rPr>
                <w:rFonts w:ascii="Times New Roman" w:hAnsi="Times New Roman" w:cs="Times New Roman"/>
                <w:sz w:val="24"/>
                <w:szCs w:val="24"/>
                <w:lang w:val="en-GB"/>
              </w:rPr>
              <w:t xml:space="preserve">       </w:t>
            </w:r>
            <w:r w:rsidRPr="00AD6688">
              <w:rPr>
                <w:rFonts w:ascii="Times New Roman" w:hAnsi="Times New Roman" w:cs="Times New Roman"/>
                <w:b/>
                <w:sz w:val="24"/>
                <w:szCs w:val="24"/>
                <w:lang w:val="en-GB"/>
              </w:rPr>
              <w:t>No. of years worked in the facility</w:t>
            </w:r>
          </w:p>
        </w:tc>
      </w:tr>
      <w:tr w:rsidR="002F4F67" w:rsidRPr="00AD6688" w14:paraId="545DECF6" w14:textId="77777777">
        <w:trPr>
          <w:trHeight w:val="143"/>
        </w:trPr>
        <w:tc>
          <w:tcPr>
            <w:tcW w:w="1740" w:type="pct"/>
            <w:tcBorders>
              <w:top w:val="nil"/>
              <w:left w:val="nil"/>
              <w:bottom w:val="nil"/>
              <w:right w:val="nil"/>
            </w:tcBorders>
          </w:tcPr>
          <w:p w14:paraId="3AE921AA"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1-5years</w:t>
            </w:r>
          </w:p>
        </w:tc>
        <w:tc>
          <w:tcPr>
            <w:tcW w:w="1560" w:type="pct"/>
            <w:tcBorders>
              <w:top w:val="nil"/>
              <w:left w:val="nil"/>
              <w:bottom w:val="nil"/>
              <w:right w:val="nil"/>
            </w:tcBorders>
            <w:vAlign w:val="center"/>
          </w:tcPr>
          <w:p w14:paraId="1CBD40DD"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28</w:t>
            </w:r>
          </w:p>
        </w:tc>
        <w:tc>
          <w:tcPr>
            <w:tcW w:w="1700" w:type="pct"/>
            <w:tcBorders>
              <w:top w:val="nil"/>
              <w:left w:val="nil"/>
              <w:bottom w:val="nil"/>
              <w:right w:val="nil"/>
            </w:tcBorders>
            <w:vAlign w:val="center"/>
          </w:tcPr>
          <w:p w14:paraId="236E2A6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10.9</w:t>
            </w:r>
          </w:p>
        </w:tc>
      </w:tr>
      <w:tr w:rsidR="002F4F67" w:rsidRPr="00AD6688" w14:paraId="204396C1" w14:textId="77777777">
        <w:trPr>
          <w:trHeight w:val="143"/>
        </w:trPr>
        <w:tc>
          <w:tcPr>
            <w:tcW w:w="1740" w:type="pct"/>
            <w:tcBorders>
              <w:top w:val="nil"/>
              <w:left w:val="nil"/>
              <w:bottom w:val="nil"/>
              <w:right w:val="nil"/>
            </w:tcBorders>
          </w:tcPr>
          <w:p w14:paraId="32588C02"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5-10years</w:t>
            </w:r>
          </w:p>
        </w:tc>
        <w:tc>
          <w:tcPr>
            <w:tcW w:w="1560" w:type="pct"/>
            <w:tcBorders>
              <w:top w:val="nil"/>
              <w:left w:val="nil"/>
              <w:bottom w:val="nil"/>
              <w:right w:val="nil"/>
            </w:tcBorders>
            <w:vAlign w:val="center"/>
          </w:tcPr>
          <w:p w14:paraId="09FFFF1F"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135</w:t>
            </w:r>
          </w:p>
        </w:tc>
        <w:tc>
          <w:tcPr>
            <w:tcW w:w="1700" w:type="pct"/>
            <w:tcBorders>
              <w:top w:val="nil"/>
              <w:left w:val="nil"/>
              <w:bottom w:val="nil"/>
              <w:right w:val="nil"/>
            </w:tcBorders>
            <w:vAlign w:val="center"/>
          </w:tcPr>
          <w:p w14:paraId="3CEB0C4C"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52.1</w:t>
            </w:r>
          </w:p>
        </w:tc>
      </w:tr>
      <w:tr w:rsidR="002F4F67" w:rsidRPr="00AD6688" w14:paraId="6B83914C" w14:textId="77777777">
        <w:trPr>
          <w:trHeight w:val="143"/>
        </w:trPr>
        <w:tc>
          <w:tcPr>
            <w:tcW w:w="1740" w:type="pct"/>
            <w:tcBorders>
              <w:top w:val="nil"/>
              <w:left w:val="nil"/>
              <w:bottom w:val="nil"/>
              <w:right w:val="nil"/>
            </w:tcBorders>
          </w:tcPr>
          <w:p w14:paraId="5BFB271B"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10-15years</w:t>
            </w:r>
          </w:p>
        </w:tc>
        <w:tc>
          <w:tcPr>
            <w:tcW w:w="1560" w:type="pct"/>
            <w:tcBorders>
              <w:top w:val="nil"/>
              <w:left w:val="nil"/>
              <w:bottom w:val="nil"/>
              <w:right w:val="nil"/>
            </w:tcBorders>
            <w:vAlign w:val="center"/>
          </w:tcPr>
          <w:p w14:paraId="4D180B1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61</w:t>
            </w:r>
          </w:p>
        </w:tc>
        <w:tc>
          <w:tcPr>
            <w:tcW w:w="1700" w:type="pct"/>
            <w:tcBorders>
              <w:top w:val="nil"/>
              <w:left w:val="nil"/>
              <w:bottom w:val="nil"/>
              <w:right w:val="nil"/>
            </w:tcBorders>
            <w:vAlign w:val="center"/>
          </w:tcPr>
          <w:p w14:paraId="2E6ECB8C"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23.5</w:t>
            </w:r>
          </w:p>
        </w:tc>
      </w:tr>
      <w:tr w:rsidR="002F4F67" w:rsidRPr="00AD6688" w14:paraId="1AF1FD07" w14:textId="77777777">
        <w:trPr>
          <w:trHeight w:val="143"/>
        </w:trPr>
        <w:tc>
          <w:tcPr>
            <w:tcW w:w="1740" w:type="pct"/>
            <w:tcBorders>
              <w:top w:val="nil"/>
              <w:left w:val="nil"/>
              <w:bottom w:val="nil"/>
              <w:right w:val="nil"/>
            </w:tcBorders>
          </w:tcPr>
          <w:p w14:paraId="316A0FD7"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15-20years</w:t>
            </w:r>
          </w:p>
        </w:tc>
        <w:tc>
          <w:tcPr>
            <w:tcW w:w="1560" w:type="pct"/>
            <w:tcBorders>
              <w:top w:val="nil"/>
              <w:left w:val="nil"/>
              <w:bottom w:val="nil"/>
              <w:right w:val="nil"/>
            </w:tcBorders>
            <w:vAlign w:val="center"/>
          </w:tcPr>
          <w:p w14:paraId="4CEE6EE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33</w:t>
            </w:r>
          </w:p>
        </w:tc>
        <w:tc>
          <w:tcPr>
            <w:tcW w:w="1700" w:type="pct"/>
            <w:tcBorders>
              <w:top w:val="nil"/>
              <w:left w:val="nil"/>
              <w:bottom w:val="nil"/>
              <w:right w:val="nil"/>
            </w:tcBorders>
            <w:vAlign w:val="center"/>
          </w:tcPr>
          <w:p w14:paraId="7221EF9B"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12.7</w:t>
            </w:r>
          </w:p>
        </w:tc>
      </w:tr>
      <w:tr w:rsidR="002F4F67" w:rsidRPr="00AD6688" w14:paraId="0E5446AD" w14:textId="77777777">
        <w:trPr>
          <w:trHeight w:val="143"/>
        </w:trPr>
        <w:tc>
          <w:tcPr>
            <w:tcW w:w="1740" w:type="pct"/>
            <w:tcBorders>
              <w:top w:val="nil"/>
              <w:left w:val="nil"/>
              <w:bottom w:val="nil"/>
              <w:right w:val="nil"/>
            </w:tcBorders>
          </w:tcPr>
          <w:p w14:paraId="5084C8CA" w14:textId="77777777"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More than 20 years</w:t>
            </w:r>
          </w:p>
        </w:tc>
        <w:tc>
          <w:tcPr>
            <w:tcW w:w="1560" w:type="pct"/>
            <w:tcBorders>
              <w:top w:val="nil"/>
              <w:left w:val="nil"/>
              <w:bottom w:val="nil"/>
              <w:right w:val="nil"/>
            </w:tcBorders>
            <w:vAlign w:val="center"/>
          </w:tcPr>
          <w:p w14:paraId="1117BFA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w:t>
            </w:r>
          </w:p>
        </w:tc>
        <w:tc>
          <w:tcPr>
            <w:tcW w:w="1700" w:type="pct"/>
            <w:tcBorders>
              <w:top w:val="nil"/>
              <w:left w:val="nil"/>
              <w:bottom w:val="nil"/>
              <w:right w:val="nil"/>
            </w:tcBorders>
            <w:vAlign w:val="center"/>
          </w:tcPr>
          <w:p w14:paraId="57205471"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0.8</w:t>
            </w:r>
          </w:p>
        </w:tc>
      </w:tr>
      <w:tr w:rsidR="002F4F67" w:rsidRPr="00AD6688" w14:paraId="0670FD37" w14:textId="77777777">
        <w:trPr>
          <w:trHeight w:val="143"/>
        </w:trPr>
        <w:tc>
          <w:tcPr>
            <w:tcW w:w="1740" w:type="pct"/>
            <w:tcBorders>
              <w:top w:val="nil"/>
              <w:left w:val="nil"/>
              <w:bottom w:val="single" w:sz="4" w:space="0" w:color="auto"/>
              <w:right w:val="nil"/>
            </w:tcBorders>
          </w:tcPr>
          <w:p w14:paraId="5228033C" w14:textId="77777777" w:rsidR="002F4F67" w:rsidRPr="00AD6688" w:rsidRDefault="00E15D01" w:rsidP="006635CC">
            <w:pPr>
              <w:spacing w:after="0" w:line="240" w:lineRule="auto"/>
              <w:ind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 xml:space="preserve">         Total</w:t>
            </w:r>
          </w:p>
        </w:tc>
        <w:tc>
          <w:tcPr>
            <w:tcW w:w="1560" w:type="pct"/>
            <w:tcBorders>
              <w:top w:val="nil"/>
              <w:left w:val="nil"/>
              <w:bottom w:val="single" w:sz="4" w:space="0" w:color="auto"/>
              <w:right w:val="nil"/>
            </w:tcBorders>
          </w:tcPr>
          <w:p w14:paraId="6410EAF6" w14:textId="77777777" w:rsidR="002F4F67" w:rsidRPr="00AD6688" w:rsidRDefault="00E15D01" w:rsidP="006635CC">
            <w:pPr>
              <w:spacing w:after="0" w:line="240" w:lineRule="auto"/>
              <w:ind w:leftChars="156" w:left="343"/>
              <w:rPr>
                <w:rFonts w:ascii="Times New Roman" w:hAnsi="Times New Roman" w:cs="Times New Roman"/>
                <w:b/>
                <w:sz w:val="24"/>
                <w:szCs w:val="24"/>
                <w:lang w:val="en-GB"/>
              </w:rPr>
            </w:pPr>
            <w:r w:rsidRPr="00AD6688">
              <w:rPr>
                <w:rFonts w:ascii="Times New Roman" w:hAnsi="Times New Roman" w:cs="Times New Roman"/>
                <w:b/>
                <w:sz w:val="24"/>
                <w:szCs w:val="24"/>
                <w:lang w:val="en-GB"/>
              </w:rPr>
              <w:t>259</w:t>
            </w:r>
          </w:p>
        </w:tc>
        <w:tc>
          <w:tcPr>
            <w:tcW w:w="1700" w:type="pct"/>
            <w:tcBorders>
              <w:top w:val="nil"/>
              <w:left w:val="nil"/>
              <w:bottom w:val="single" w:sz="4" w:space="0" w:color="auto"/>
              <w:right w:val="nil"/>
            </w:tcBorders>
          </w:tcPr>
          <w:p w14:paraId="7812DB38"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100.0%</w:t>
            </w:r>
          </w:p>
        </w:tc>
      </w:tr>
    </w:tbl>
    <w:p w14:paraId="37AEE2D9" w14:textId="77777777" w:rsidR="002F4F67" w:rsidRPr="00AD6688" w:rsidRDefault="002F4F67" w:rsidP="006635CC">
      <w:pPr>
        <w:spacing w:line="240" w:lineRule="auto"/>
        <w:rPr>
          <w:rFonts w:ascii="Times New Roman" w:hAnsi="Times New Roman" w:cs="Times New Roman"/>
          <w:sz w:val="24"/>
          <w:szCs w:val="24"/>
          <w:lang w:val="en-GB"/>
        </w:rPr>
      </w:pPr>
    </w:p>
    <w:p w14:paraId="4B417DB1"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Source: Field data, 2021 </w:t>
      </w:r>
    </w:p>
    <w:p w14:paraId="2A7FC77E" w14:textId="77777777" w:rsidR="002F4F67" w:rsidRPr="00AD6688" w:rsidRDefault="00E15D01" w:rsidP="006635CC">
      <w:pPr>
        <w:pStyle w:val="Heading2"/>
        <w:spacing w:line="240" w:lineRule="auto"/>
        <w:rPr>
          <w:rFonts w:ascii="Times New Roman" w:hAnsi="Times New Roman" w:cs="Times New Roman"/>
          <w:color w:val="auto"/>
          <w:sz w:val="24"/>
          <w:szCs w:val="24"/>
        </w:rPr>
      </w:pPr>
      <w:bookmarkStart w:id="39" w:name="_Toc79350951"/>
      <w:r w:rsidRPr="00AD6688">
        <w:rPr>
          <w:rFonts w:ascii="Times New Roman" w:hAnsi="Times New Roman" w:cs="Times New Roman"/>
          <w:color w:val="auto"/>
          <w:sz w:val="24"/>
          <w:szCs w:val="24"/>
        </w:rPr>
        <w:t>4.2 Nature of Occupational hazards and injuries health care workers suffer during healthcare delivery</w:t>
      </w:r>
      <w:bookmarkEnd w:id="39"/>
    </w:p>
    <w:p w14:paraId="0314FE99"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The purpose of this analysis was to assess the nature of occupational hazards and injuries health care workers suffer during healthcare delivery using pie charts, frequencies and percentages. Hazards such biological, chemical and physical were assessed and the results were presented as follows.</w:t>
      </w:r>
    </w:p>
    <w:p w14:paraId="5777F48B" w14:textId="77777777" w:rsidR="002F4F67" w:rsidRPr="00AD6688" w:rsidRDefault="002F4F67" w:rsidP="006635CC">
      <w:pPr>
        <w:spacing w:line="240" w:lineRule="auto"/>
        <w:rPr>
          <w:rFonts w:ascii="Times New Roman" w:hAnsi="Times New Roman" w:cs="Times New Roman"/>
          <w:sz w:val="24"/>
          <w:szCs w:val="24"/>
        </w:rPr>
      </w:pPr>
    </w:p>
    <w:p w14:paraId="2FED64D9" w14:textId="77777777" w:rsidR="002F4F67" w:rsidRPr="00AD6688" w:rsidRDefault="00E15D01" w:rsidP="006635CC">
      <w:pPr>
        <w:autoSpaceDE w:val="0"/>
        <w:autoSpaceDN w:val="0"/>
        <w:adjustRightInd w:val="0"/>
        <w:spacing w:after="0"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770843A6" wp14:editId="13183F91">
            <wp:extent cx="5486400" cy="2110740"/>
            <wp:effectExtent l="0" t="0" r="0" b="0"/>
            <wp:docPr id="104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4295F9" w14:textId="77777777" w:rsidR="002F4F67" w:rsidRPr="00AD6688" w:rsidRDefault="002F4F67" w:rsidP="006635CC">
      <w:pPr>
        <w:spacing w:after="0" w:line="240" w:lineRule="auto"/>
        <w:rPr>
          <w:rFonts w:ascii="Times New Roman" w:hAnsi="Times New Roman" w:cs="Times New Roman"/>
          <w:sz w:val="24"/>
          <w:szCs w:val="24"/>
          <w:lang w:val="en-GB"/>
        </w:rPr>
      </w:pPr>
    </w:p>
    <w:p w14:paraId="328053B0" w14:textId="77777777" w:rsidR="002F4F67" w:rsidRPr="00AD6688" w:rsidRDefault="00E15D01" w:rsidP="006635CC">
      <w:pPr>
        <w:spacing w:after="0" w:line="240" w:lineRule="auto"/>
        <w:rPr>
          <w:rFonts w:ascii="Times New Roman" w:hAnsi="Times New Roman" w:cs="Times New Roman"/>
          <w:b/>
          <w:sz w:val="24"/>
          <w:szCs w:val="24"/>
          <w:lang w:val="en-GB"/>
        </w:rPr>
      </w:pPr>
      <w:r w:rsidRPr="00AD6688">
        <w:rPr>
          <w:rFonts w:ascii="Times New Roman" w:hAnsi="Times New Roman" w:cs="Times New Roman"/>
          <w:sz w:val="24"/>
          <w:szCs w:val="24"/>
          <w:lang w:val="en-GB"/>
        </w:rPr>
        <w:t>Source: Field data, 2021</w:t>
      </w:r>
    </w:p>
    <w:p w14:paraId="001765CD" w14:textId="77777777" w:rsidR="002F4F67" w:rsidRPr="00AD6688" w:rsidRDefault="00E15D01" w:rsidP="006635CC">
      <w:pPr>
        <w:pStyle w:val="Caption"/>
        <w:rPr>
          <w:b w:val="0"/>
          <w:lang w:val="en-GB"/>
        </w:rPr>
      </w:pPr>
      <w:bookmarkStart w:id="40" w:name="_Toc77009330"/>
      <w:r w:rsidRPr="00AD6688">
        <w:t xml:space="preserve">Figure </w:t>
      </w:r>
      <w:r w:rsidR="00AD6688" w:rsidRPr="00AD6688">
        <w:t>2</w:t>
      </w:r>
      <w:r w:rsidRPr="00AD6688">
        <w:rPr>
          <w:lang w:val="en-GB"/>
        </w:rPr>
        <w:t>: Health Workers ever Diagnosed of Infection at the Facility</w:t>
      </w:r>
      <w:bookmarkEnd w:id="40"/>
    </w:p>
    <w:p w14:paraId="1CA91B4D" w14:textId="77777777"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Figure </w:t>
      </w:r>
      <w:r w:rsidR="00AD6688" w:rsidRPr="00AD6688">
        <w:rPr>
          <w:rFonts w:ascii="Times New Roman" w:hAnsi="Times New Roman" w:cs="Times New Roman"/>
          <w:sz w:val="24"/>
          <w:szCs w:val="24"/>
          <w:lang w:val="en-GB"/>
        </w:rPr>
        <w:t>2</w:t>
      </w:r>
      <w:r w:rsidRPr="00AD6688">
        <w:rPr>
          <w:rFonts w:ascii="Times New Roman" w:hAnsi="Times New Roman" w:cs="Times New Roman"/>
          <w:sz w:val="24"/>
          <w:szCs w:val="24"/>
          <w:lang w:val="en-GB"/>
        </w:rPr>
        <w:t xml:space="preserve"> showed that, respondents 25 (9.6%) have ever been diagnosed of an infection at the facility before, while 234 (90.4%) said they have never been diagnosed of any infection in the facility</w:t>
      </w:r>
    </w:p>
    <w:p w14:paraId="1E892ACC"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244B49F6" wp14:editId="77612341">
            <wp:extent cx="5486400" cy="2529205"/>
            <wp:effectExtent l="0" t="0" r="0" b="0"/>
            <wp:docPr id="104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3BA2B6"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7DDDE858" w14:textId="77777777" w:rsidR="002F4F67" w:rsidRPr="00AD6688" w:rsidRDefault="00E15D01" w:rsidP="006635CC">
      <w:pPr>
        <w:pStyle w:val="Caption"/>
        <w:rPr>
          <w:b w:val="0"/>
        </w:rPr>
      </w:pPr>
      <w:bookmarkStart w:id="41" w:name="_Toc77009331"/>
      <w:r w:rsidRPr="00AD6688">
        <w:t xml:space="preserve">Figure </w:t>
      </w:r>
      <w:r w:rsidR="00AD6688" w:rsidRPr="00AD6688">
        <w:t>3</w:t>
      </w:r>
      <w:r w:rsidRPr="00AD6688">
        <w:t>: Type of Infection</w:t>
      </w:r>
      <w:bookmarkEnd w:id="41"/>
    </w:p>
    <w:p w14:paraId="45277C11"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the type of infections health workers were diagnosed with in the health facility, figure </w:t>
      </w:r>
      <w:r w:rsidR="00AD6688" w:rsidRPr="00AD6688">
        <w:rPr>
          <w:rFonts w:ascii="Times New Roman" w:hAnsi="Times New Roman" w:cs="Times New Roman"/>
          <w:sz w:val="24"/>
          <w:szCs w:val="24"/>
        </w:rPr>
        <w:t>3</w:t>
      </w:r>
      <w:r w:rsidRPr="00AD6688">
        <w:rPr>
          <w:rFonts w:ascii="Times New Roman" w:hAnsi="Times New Roman" w:cs="Times New Roman"/>
          <w:sz w:val="24"/>
          <w:szCs w:val="24"/>
        </w:rPr>
        <w:t xml:space="preserve"> showed that 2 (8%) said Tuberculosis, 7 (28%) said skin rashes, 2 (8%) said hepatitis and 14 (56%) said other infections such as diarrhea, malaria and common cold.</w:t>
      </w:r>
    </w:p>
    <w:p w14:paraId="16CF7B02"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649259FD" wp14:editId="5D9335F8">
            <wp:extent cx="5486400" cy="2136140"/>
            <wp:effectExtent l="0" t="0" r="0" b="0"/>
            <wp:docPr id="1050"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AEC59B"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3BDFA8E5" w14:textId="77777777" w:rsidR="002F4F67" w:rsidRPr="00AD6688" w:rsidRDefault="00E15D01" w:rsidP="006635CC">
      <w:pPr>
        <w:pStyle w:val="Caption"/>
        <w:rPr>
          <w:b w:val="0"/>
        </w:rPr>
      </w:pPr>
      <w:bookmarkStart w:id="42" w:name="_Toc77009332"/>
      <w:r w:rsidRPr="00AD6688">
        <w:t xml:space="preserve">Figure </w:t>
      </w:r>
      <w:r w:rsidR="00AD6688" w:rsidRPr="00AD6688">
        <w:t>4</w:t>
      </w:r>
      <w:r w:rsidRPr="00AD6688">
        <w:t>: Infection Acquired through Routine Duties at the Workplace</w:t>
      </w:r>
      <w:bookmarkEnd w:id="42"/>
    </w:p>
    <w:p w14:paraId="0E5F2E03"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Whether the infections were acquired through routine duties at the workplace, figure </w:t>
      </w:r>
      <w:r w:rsidR="00AD6688" w:rsidRPr="00AD6688">
        <w:rPr>
          <w:rFonts w:ascii="Times New Roman" w:hAnsi="Times New Roman" w:cs="Times New Roman"/>
          <w:sz w:val="24"/>
          <w:szCs w:val="24"/>
        </w:rPr>
        <w:t>4</w:t>
      </w:r>
      <w:r w:rsidRPr="00AD6688">
        <w:rPr>
          <w:rFonts w:ascii="Times New Roman" w:hAnsi="Times New Roman" w:cs="Times New Roman"/>
          <w:sz w:val="24"/>
          <w:szCs w:val="24"/>
        </w:rPr>
        <w:t xml:space="preserve"> showed that 4 (16%) said yes and 21 (84%) said no.</w:t>
      </w:r>
    </w:p>
    <w:p w14:paraId="7474F43D" w14:textId="77777777" w:rsidR="002F4F67" w:rsidRPr="00AD6688" w:rsidRDefault="00E15D01" w:rsidP="006635CC">
      <w:pPr>
        <w:spacing w:line="240" w:lineRule="auto"/>
        <w:rPr>
          <w:rFonts w:ascii="Times New Roman" w:hAnsi="Times New Roman" w:cs="Times New Roman"/>
          <w:b/>
          <w:sz w:val="24"/>
          <w:szCs w:val="24"/>
        </w:rPr>
      </w:pPr>
      <w:r w:rsidRPr="00AD6688">
        <w:rPr>
          <w:rFonts w:ascii="Times New Roman" w:hAnsi="Times New Roman" w:cs="Times New Roman"/>
          <w:b/>
          <w:noProof/>
          <w:sz w:val="24"/>
          <w:szCs w:val="24"/>
        </w:rPr>
        <w:drawing>
          <wp:inline distT="0" distB="0" distL="114300" distR="114300" wp14:anchorId="738A5CFB" wp14:editId="1E1E0CFC">
            <wp:extent cx="5486400" cy="2375535"/>
            <wp:effectExtent l="0" t="0" r="0" b="0"/>
            <wp:docPr id="105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CACF7B"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10867D2D" w14:textId="77777777" w:rsidR="002F4F67" w:rsidRPr="00AD6688" w:rsidRDefault="00E15D01" w:rsidP="006635CC">
      <w:pPr>
        <w:pStyle w:val="Caption"/>
        <w:rPr>
          <w:b w:val="0"/>
        </w:rPr>
      </w:pPr>
      <w:bookmarkStart w:id="43" w:name="_Toc77009333"/>
      <w:r w:rsidRPr="00AD6688">
        <w:t xml:space="preserve">Figure </w:t>
      </w:r>
      <w:r w:rsidR="00AD6688" w:rsidRPr="00AD6688">
        <w:t>5</w:t>
      </w:r>
      <w:r w:rsidRPr="00AD6688">
        <w:t>: Healthcare Workers’ Management of Infection</w:t>
      </w:r>
      <w:bookmarkEnd w:id="43"/>
    </w:p>
    <w:p w14:paraId="127CD282"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management of infections acquired by healthcare workers, figure </w:t>
      </w:r>
      <w:r w:rsidR="00AD6688" w:rsidRPr="00AD6688">
        <w:rPr>
          <w:rFonts w:ascii="Times New Roman" w:hAnsi="Times New Roman" w:cs="Times New Roman"/>
          <w:sz w:val="24"/>
          <w:szCs w:val="24"/>
        </w:rPr>
        <w:t>5</w:t>
      </w:r>
      <w:r w:rsidRPr="00AD6688">
        <w:rPr>
          <w:rFonts w:ascii="Times New Roman" w:hAnsi="Times New Roman" w:cs="Times New Roman"/>
          <w:sz w:val="24"/>
          <w:szCs w:val="24"/>
        </w:rPr>
        <w:t xml:space="preserve"> illustrated that 19 (75.7%) said they self-medicated and 6 (24.3%) said sought medical attention.</w:t>
      </w:r>
    </w:p>
    <w:p w14:paraId="59A490AE" w14:textId="77777777" w:rsidR="002F4F67" w:rsidRPr="00AD6688" w:rsidRDefault="002F4F67" w:rsidP="006635CC">
      <w:pPr>
        <w:spacing w:line="240" w:lineRule="auto"/>
        <w:rPr>
          <w:rFonts w:ascii="Times New Roman" w:hAnsi="Times New Roman" w:cs="Times New Roman"/>
          <w:sz w:val="24"/>
          <w:szCs w:val="24"/>
        </w:rPr>
      </w:pPr>
    </w:p>
    <w:p w14:paraId="194F39AE"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01E4E682" wp14:editId="456BBD3A">
            <wp:extent cx="5486400" cy="2460625"/>
            <wp:effectExtent l="0" t="0" r="0" b="0"/>
            <wp:docPr id="105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F649338"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20707801" w14:textId="77777777" w:rsidR="002F4F67" w:rsidRPr="00AD6688" w:rsidRDefault="00E15D01" w:rsidP="006635CC">
      <w:pPr>
        <w:pStyle w:val="Caption"/>
        <w:rPr>
          <w:b w:val="0"/>
        </w:rPr>
      </w:pPr>
      <w:bookmarkStart w:id="44" w:name="_Toc77009334"/>
      <w:r w:rsidRPr="00AD6688">
        <w:t xml:space="preserve">Figure </w:t>
      </w:r>
      <w:r w:rsidR="00AD6688" w:rsidRPr="00AD6688">
        <w:t>6</w:t>
      </w:r>
      <w:r w:rsidRPr="00AD6688">
        <w:t>: Health Workers ever Injured at the Health Facility</w:t>
      </w:r>
      <w:bookmarkEnd w:id="44"/>
    </w:p>
    <w:p w14:paraId="15B87BBC"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health workers who have ever injured at the health facility, figure </w:t>
      </w:r>
      <w:r w:rsidR="00AD6688" w:rsidRPr="00AD6688">
        <w:rPr>
          <w:rFonts w:ascii="Times New Roman" w:hAnsi="Times New Roman" w:cs="Times New Roman"/>
          <w:sz w:val="24"/>
          <w:szCs w:val="24"/>
        </w:rPr>
        <w:t>6</w:t>
      </w:r>
      <w:r w:rsidRPr="00AD6688">
        <w:rPr>
          <w:rFonts w:ascii="Times New Roman" w:hAnsi="Times New Roman" w:cs="Times New Roman"/>
          <w:sz w:val="24"/>
          <w:szCs w:val="24"/>
        </w:rPr>
        <w:t xml:space="preserve"> indicated that 196 (75.7%) said yes whiles 63 (24.3%) said no.</w:t>
      </w:r>
    </w:p>
    <w:p w14:paraId="616F85B4"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51473629" wp14:editId="33F59671">
            <wp:extent cx="5486400" cy="3200400"/>
            <wp:effectExtent l="0" t="0" r="0" b="0"/>
            <wp:docPr id="105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694341" w14:textId="77777777"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7745C790" w14:textId="77777777" w:rsidR="002F4F67" w:rsidRPr="00AD6688" w:rsidRDefault="00E15D01" w:rsidP="006635CC">
      <w:pPr>
        <w:pStyle w:val="Caption"/>
        <w:rPr>
          <w:b w:val="0"/>
        </w:rPr>
      </w:pPr>
      <w:bookmarkStart w:id="45" w:name="_Toc77009335"/>
      <w:r w:rsidRPr="00AD6688">
        <w:t xml:space="preserve">Figure </w:t>
      </w:r>
      <w:r w:rsidR="00AD6688" w:rsidRPr="00AD6688">
        <w:t>7</w:t>
      </w:r>
      <w:r w:rsidRPr="00AD6688">
        <w:t>: Type of Injury</w:t>
      </w:r>
      <w:bookmarkEnd w:id="45"/>
    </w:p>
    <w:p w14:paraId="4B05CCEF"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type of injuries health workers are embattled at the healthcare environment, figure </w:t>
      </w:r>
      <w:r w:rsidR="00AD6688" w:rsidRPr="00AD6688">
        <w:rPr>
          <w:rFonts w:ascii="Times New Roman" w:hAnsi="Times New Roman" w:cs="Times New Roman"/>
          <w:sz w:val="24"/>
          <w:szCs w:val="24"/>
        </w:rPr>
        <w:t>7</w:t>
      </w:r>
      <w:r w:rsidRPr="00AD6688">
        <w:rPr>
          <w:rFonts w:ascii="Times New Roman" w:hAnsi="Times New Roman" w:cs="Times New Roman"/>
          <w:sz w:val="24"/>
          <w:szCs w:val="24"/>
        </w:rPr>
        <w:t xml:space="preserve"> showed that, 15 (5.8%) was needle prick, 33 (12.7%) was back pain, 50 (19. 3%) was leg injury and 104 (40.2 %) was other injuries such as fall, burns, lifting of patient and cut through weeding.</w:t>
      </w:r>
    </w:p>
    <w:p w14:paraId="3893BCC6" w14:textId="77777777" w:rsidR="00977FB9" w:rsidRPr="00AD6688" w:rsidRDefault="00977FB9" w:rsidP="006635CC">
      <w:pPr>
        <w:pStyle w:val="Caption"/>
      </w:pPr>
      <w:bookmarkStart w:id="46" w:name="_Toc77009336"/>
    </w:p>
    <w:p w14:paraId="16BDCA81" w14:textId="77777777" w:rsidR="002F4F67" w:rsidRPr="00AD6688" w:rsidRDefault="00E15D01" w:rsidP="006635CC">
      <w:pPr>
        <w:pStyle w:val="Caption"/>
        <w:rPr>
          <w:b w:val="0"/>
        </w:rPr>
      </w:pPr>
      <w:r w:rsidRPr="00AD6688">
        <w:t xml:space="preserve">Figure </w:t>
      </w:r>
      <w:r w:rsidR="00AD6688" w:rsidRPr="00AD6688">
        <w:t>8</w:t>
      </w:r>
      <w:r w:rsidRPr="00AD6688">
        <w:t>: Attended any Workshop/training on Occupational Health and Safety</w:t>
      </w:r>
      <w:bookmarkEnd w:id="46"/>
    </w:p>
    <w:p w14:paraId="0A0E70C9" w14:textId="77777777" w:rsidR="002F4F67" w:rsidRPr="00AD6688" w:rsidRDefault="002F4F67" w:rsidP="006635CC">
      <w:pPr>
        <w:spacing w:line="240" w:lineRule="auto"/>
        <w:rPr>
          <w:rFonts w:ascii="Times New Roman" w:hAnsi="Times New Roman" w:cs="Times New Roman"/>
          <w:sz w:val="24"/>
          <w:szCs w:val="24"/>
        </w:rPr>
      </w:pPr>
    </w:p>
    <w:p w14:paraId="67099227"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6F9934D4" wp14:editId="638CA9AA">
            <wp:extent cx="5965190" cy="2383790"/>
            <wp:effectExtent l="0" t="0" r="0" b="0"/>
            <wp:docPr id="105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38D8C7" w14:textId="77777777" w:rsidR="002F4F67" w:rsidRPr="00AD6688" w:rsidRDefault="00E15D01" w:rsidP="006635CC">
      <w:pPr>
        <w:widowControl w:val="0"/>
        <w:autoSpaceDE w:val="0"/>
        <w:autoSpaceDN w:val="0"/>
        <w:adjustRightInd w:val="0"/>
        <w:spacing w:after="0" w:line="240" w:lineRule="auto"/>
        <w:rPr>
          <w:rFonts w:ascii="Times New Roman" w:hAnsi="Times New Roman" w:cs="Times New Roman"/>
          <w:sz w:val="24"/>
          <w:szCs w:val="24"/>
        </w:rPr>
      </w:pPr>
      <w:r w:rsidRPr="00AD6688">
        <w:rPr>
          <w:rFonts w:ascii="Times New Roman" w:hAnsi="Times New Roman" w:cs="Times New Roman"/>
          <w:sz w:val="24"/>
          <w:szCs w:val="24"/>
        </w:rPr>
        <w:t xml:space="preserve">Figure </w:t>
      </w:r>
      <w:r w:rsidR="00AD6688" w:rsidRPr="00AD6688">
        <w:rPr>
          <w:rFonts w:ascii="Times New Roman" w:hAnsi="Times New Roman" w:cs="Times New Roman"/>
          <w:sz w:val="24"/>
          <w:szCs w:val="24"/>
        </w:rPr>
        <w:t>8</w:t>
      </w:r>
      <w:r w:rsidRPr="00AD6688">
        <w:rPr>
          <w:rFonts w:ascii="Times New Roman" w:hAnsi="Times New Roman" w:cs="Times New Roman"/>
          <w:sz w:val="24"/>
          <w:szCs w:val="24"/>
        </w:rPr>
        <w:t xml:space="preserve"> revealed that 70 (26.9%) of health workers said they had attended a workshop on occupational health and safety while 189 (73.1%) said they have never attended any workshop on occupational health and safety.</w:t>
      </w:r>
    </w:p>
    <w:p w14:paraId="20E138BD" w14:textId="77777777" w:rsidR="002F4F67" w:rsidRPr="00AD6688" w:rsidRDefault="002F4F67" w:rsidP="006635CC">
      <w:pPr>
        <w:spacing w:line="240" w:lineRule="auto"/>
        <w:rPr>
          <w:rFonts w:ascii="Times New Roman" w:hAnsi="Times New Roman" w:cs="Times New Roman"/>
          <w:sz w:val="24"/>
          <w:szCs w:val="24"/>
        </w:rPr>
      </w:pPr>
    </w:p>
    <w:p w14:paraId="7B4A7A75" w14:textId="77777777"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shd w:val="clear" w:color="auto" w:fill="C00000"/>
        </w:rPr>
        <w:drawing>
          <wp:inline distT="0" distB="0" distL="114300" distR="114300" wp14:anchorId="2655DA51" wp14:editId="46A51D0F">
            <wp:extent cx="6171565" cy="2339975"/>
            <wp:effectExtent l="0" t="0" r="0" b="0"/>
            <wp:docPr id="1060"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348C580" w14:textId="77777777" w:rsidR="002F4F67" w:rsidRPr="00AD6688" w:rsidRDefault="00E15D01" w:rsidP="006635CC">
      <w:pPr>
        <w:pStyle w:val="Caption"/>
        <w:rPr>
          <w:b w:val="0"/>
        </w:rPr>
      </w:pPr>
      <w:bookmarkStart w:id="47" w:name="_Toc77009337"/>
      <w:r w:rsidRPr="00AD6688">
        <w:t xml:space="preserve">Figure </w:t>
      </w:r>
      <w:r w:rsidR="00AD6688" w:rsidRPr="00AD6688">
        <w:t>9</w:t>
      </w:r>
      <w:r w:rsidRPr="00AD6688">
        <w:t xml:space="preserve">: Recommendation for Management to organize more Training on Occupational Health and Safety </w:t>
      </w:r>
      <w:bookmarkEnd w:id="47"/>
    </w:p>
    <w:p w14:paraId="49CDA806" w14:textId="77777777" w:rsidR="002F4F67" w:rsidRPr="00AD6688" w:rsidRDefault="00E15D01" w:rsidP="006635CC">
      <w:pPr>
        <w:widowControl w:val="0"/>
        <w:autoSpaceDE w:val="0"/>
        <w:autoSpaceDN w:val="0"/>
        <w:adjustRightInd w:val="0"/>
        <w:spacing w:after="0" w:line="240" w:lineRule="auto"/>
        <w:rPr>
          <w:rFonts w:ascii="Times New Roman" w:hAnsi="Times New Roman" w:cs="Times New Roman"/>
          <w:sz w:val="24"/>
          <w:szCs w:val="24"/>
        </w:rPr>
      </w:pPr>
      <w:r w:rsidRPr="00AD6688">
        <w:rPr>
          <w:rFonts w:ascii="Times New Roman" w:hAnsi="Times New Roman" w:cs="Times New Roman"/>
          <w:sz w:val="24"/>
          <w:szCs w:val="24"/>
        </w:rPr>
        <w:t xml:space="preserve">Figure </w:t>
      </w:r>
      <w:r w:rsidR="00AD6688" w:rsidRPr="00AD6688">
        <w:rPr>
          <w:rFonts w:ascii="Times New Roman" w:hAnsi="Times New Roman" w:cs="Times New Roman"/>
          <w:sz w:val="24"/>
          <w:szCs w:val="24"/>
        </w:rPr>
        <w:t>9</w:t>
      </w:r>
      <w:r w:rsidRPr="00AD6688">
        <w:rPr>
          <w:rFonts w:ascii="Times New Roman" w:hAnsi="Times New Roman" w:cs="Times New Roman"/>
          <w:sz w:val="24"/>
          <w:szCs w:val="24"/>
        </w:rPr>
        <w:t xml:space="preserve"> revealed that most health workers 239 (92.3%) recommended management should organize more training on occupational health and safety practices, 9 (3.9%) said no and 11 (4.2%) said they do not know whether management should organize training on occupational health and safety or not. </w:t>
      </w:r>
    </w:p>
    <w:p w14:paraId="71B3D700" w14:textId="77777777" w:rsidR="00977FB9" w:rsidRPr="00AD6688" w:rsidRDefault="00977FB9" w:rsidP="00977FB9">
      <w:pPr>
        <w:pStyle w:val="Heading1"/>
      </w:pPr>
    </w:p>
    <w:p w14:paraId="1B4C1FA0" w14:textId="77777777" w:rsidR="002F4F67" w:rsidRPr="00AD6688" w:rsidRDefault="00977FB9" w:rsidP="006635CC">
      <w:pPr>
        <w:pStyle w:val="Heading2"/>
        <w:spacing w:line="240" w:lineRule="auto"/>
        <w:rPr>
          <w:rFonts w:ascii="Times New Roman" w:hAnsi="Times New Roman" w:cs="Times New Roman"/>
          <w:b/>
          <w:color w:val="auto"/>
          <w:sz w:val="24"/>
          <w:szCs w:val="24"/>
          <w:lang w:val="en-GB"/>
        </w:rPr>
      </w:pPr>
      <w:bookmarkStart w:id="48" w:name="_Toc79350952"/>
      <w:r w:rsidRPr="00AD6688">
        <w:rPr>
          <w:rFonts w:ascii="Times New Roman" w:hAnsi="Times New Roman" w:cs="Times New Roman"/>
          <w:b/>
          <w:color w:val="auto"/>
          <w:sz w:val="24"/>
          <w:szCs w:val="24"/>
        </w:rPr>
        <w:t>3</w:t>
      </w:r>
      <w:r w:rsidR="00E15D01" w:rsidRPr="00AD6688">
        <w:rPr>
          <w:rFonts w:ascii="Times New Roman" w:hAnsi="Times New Roman" w:cs="Times New Roman"/>
          <w:b/>
          <w:color w:val="auto"/>
          <w:sz w:val="24"/>
          <w:szCs w:val="24"/>
        </w:rPr>
        <w:t>.3. Possible Reasons of Occupational Hazards and injuries among Health Care Workers</w:t>
      </w:r>
      <w:bookmarkEnd w:id="48"/>
      <w:r w:rsidR="00E15D01" w:rsidRPr="00AD6688">
        <w:rPr>
          <w:rFonts w:ascii="Times New Roman" w:hAnsi="Times New Roman" w:cs="Times New Roman"/>
          <w:b/>
          <w:color w:val="auto"/>
          <w:sz w:val="24"/>
          <w:szCs w:val="24"/>
        </w:rPr>
        <w:t xml:space="preserve"> </w:t>
      </w:r>
    </w:p>
    <w:p w14:paraId="526603EE" w14:textId="77777777"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aim of this analysis was to identify the possible reasons of occupational hazards and injuries among health care workers in the </w:t>
      </w:r>
      <w:proofErr w:type="spellStart"/>
      <w:r w:rsidRPr="00AD6688">
        <w:rPr>
          <w:rFonts w:ascii="Times New Roman" w:hAnsi="Times New Roman" w:cs="Times New Roman"/>
          <w:sz w:val="24"/>
          <w:szCs w:val="24"/>
          <w:lang w:val="en-GB"/>
        </w:rPr>
        <w:t>Ahafo</w:t>
      </w:r>
      <w:proofErr w:type="spellEnd"/>
      <w:r w:rsidRPr="00AD6688">
        <w:rPr>
          <w:rFonts w:ascii="Times New Roman" w:hAnsi="Times New Roman" w:cs="Times New Roman"/>
          <w:sz w:val="24"/>
          <w:szCs w:val="24"/>
          <w:lang w:val="en-GB"/>
        </w:rPr>
        <w:t xml:space="preserve">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w:t>
      </w:r>
      <w:r w:rsidRPr="00AD6688">
        <w:rPr>
          <w:rFonts w:ascii="Times New Roman" w:hAnsi="Times New Roman" w:cs="Times New Roman"/>
          <w:sz w:val="24"/>
          <w:szCs w:val="24"/>
        </w:rPr>
        <w:t xml:space="preserve">Municipal, Tepa using frequency and percentage calculations. Majority </w:t>
      </w:r>
      <w:r w:rsidRPr="00AD6688">
        <w:rPr>
          <w:rFonts w:ascii="Times New Roman" w:hAnsi="Times New Roman" w:cs="Times New Roman"/>
          <w:sz w:val="24"/>
          <w:szCs w:val="24"/>
          <w:lang w:val="en-GB"/>
        </w:rPr>
        <w:t>(78.8%) of the health workers had no PPE to use in the facility. The most prevalent PPE available for use was the hand gloves (41.9%), followed by the face mask (30.5%) and then the head cap (26.6%)</w:t>
      </w:r>
    </w:p>
    <w:p w14:paraId="2EB1B441"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Again, health workers (57.1%) use PPE all the time, (16.6%) do not use and (26.3%) sometimes use it. In addition, health workers responses to the PPE they use at work, (26.6%) use head cover, (41.7%) use glove, (41.7%) use facemask and (1.2%) was non-response. Furthermore, health workers (38.6%) have had adequate training on the use of PPE, (61.4%) said no. </w:t>
      </w:r>
    </w:p>
    <w:p w14:paraId="725CDF94" w14:textId="77777777" w:rsidR="002F4F67" w:rsidRPr="00AD6688" w:rsidRDefault="00E15D01" w:rsidP="006635CC">
      <w:pPr>
        <w:pStyle w:val="Caption"/>
        <w:rPr>
          <w:b w:val="0"/>
          <w:lang w:val="en-GB"/>
        </w:rPr>
      </w:pPr>
      <w:bookmarkStart w:id="49" w:name="_Toc77008845"/>
      <w:r w:rsidRPr="00AD6688">
        <w:t xml:space="preserve">Table </w:t>
      </w:r>
      <w:r w:rsidR="00AD6688" w:rsidRPr="00AD6688">
        <w:t>4</w:t>
      </w:r>
      <w:r w:rsidRPr="00AD6688">
        <w:rPr>
          <w:lang w:val="en-GB"/>
        </w:rPr>
        <w:t xml:space="preserve">: </w:t>
      </w:r>
      <w:r w:rsidRPr="00AD6688">
        <w:t>Possible Reasons of Occupational Hazards and injuries among Health Care Workers</w:t>
      </w:r>
      <w:bookmarkEnd w:id="4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3370"/>
        <w:gridCol w:w="3672"/>
      </w:tblGrid>
      <w:tr w:rsidR="002F4F67" w:rsidRPr="00AD6688" w14:paraId="4E332F01" w14:textId="77777777">
        <w:trPr>
          <w:trHeight w:val="381"/>
        </w:trPr>
        <w:tc>
          <w:tcPr>
            <w:tcW w:w="1740" w:type="pct"/>
            <w:tcBorders>
              <w:top w:val="single" w:sz="4" w:space="0" w:color="auto"/>
              <w:left w:val="nil"/>
              <w:bottom w:val="single" w:sz="4" w:space="0" w:color="auto"/>
              <w:right w:val="nil"/>
            </w:tcBorders>
          </w:tcPr>
          <w:p w14:paraId="6FFA12EB"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Variable</w:t>
            </w:r>
          </w:p>
        </w:tc>
        <w:tc>
          <w:tcPr>
            <w:tcW w:w="1560" w:type="pct"/>
            <w:tcBorders>
              <w:top w:val="single" w:sz="4" w:space="0" w:color="auto"/>
              <w:left w:val="nil"/>
              <w:bottom w:val="single" w:sz="4" w:space="0" w:color="auto"/>
              <w:right w:val="nil"/>
            </w:tcBorders>
          </w:tcPr>
          <w:p w14:paraId="67B4BFA0" w14:textId="77777777" w:rsidR="002F4F67" w:rsidRPr="00AD6688" w:rsidRDefault="00E15D01" w:rsidP="006635CC">
            <w:pPr>
              <w:spacing w:after="0" w:line="240" w:lineRule="auto"/>
              <w:ind w:leftChars="54" w:left="119"/>
              <w:rPr>
                <w:rFonts w:ascii="Times New Roman" w:hAnsi="Times New Roman" w:cs="Times New Roman"/>
                <w:b/>
                <w:sz w:val="24"/>
                <w:szCs w:val="24"/>
                <w:lang w:val="en-GB"/>
              </w:rPr>
            </w:pPr>
            <w:r w:rsidRPr="00AD6688">
              <w:rPr>
                <w:rFonts w:ascii="Times New Roman" w:hAnsi="Times New Roman" w:cs="Times New Roman"/>
                <w:b/>
                <w:sz w:val="24"/>
                <w:szCs w:val="24"/>
                <w:lang w:val="en-GB"/>
              </w:rPr>
              <w:t>Frequencies</w:t>
            </w:r>
          </w:p>
        </w:tc>
        <w:tc>
          <w:tcPr>
            <w:tcW w:w="1700" w:type="pct"/>
            <w:tcBorders>
              <w:top w:val="single" w:sz="4" w:space="0" w:color="auto"/>
              <w:left w:val="nil"/>
              <w:bottom w:val="single" w:sz="4" w:space="0" w:color="auto"/>
              <w:right w:val="nil"/>
            </w:tcBorders>
          </w:tcPr>
          <w:p w14:paraId="1C283984"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Percentage (%)</w:t>
            </w:r>
          </w:p>
        </w:tc>
      </w:tr>
      <w:tr w:rsidR="002F4F67" w:rsidRPr="00AD6688" w14:paraId="1F9EED52" w14:textId="77777777">
        <w:trPr>
          <w:trHeight w:val="386"/>
        </w:trPr>
        <w:tc>
          <w:tcPr>
            <w:tcW w:w="5000" w:type="pct"/>
            <w:gridSpan w:val="3"/>
            <w:tcBorders>
              <w:top w:val="single" w:sz="4" w:space="0" w:color="auto"/>
              <w:left w:val="nil"/>
              <w:bottom w:val="nil"/>
              <w:right w:val="nil"/>
            </w:tcBorders>
          </w:tcPr>
          <w:p w14:paraId="1C9F2018"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b/>
                <w:sz w:val="24"/>
                <w:szCs w:val="24"/>
                <w:lang w:val="en-GB"/>
              </w:rPr>
              <w:t>Do you have PPE to use in your facility</w:t>
            </w:r>
          </w:p>
        </w:tc>
      </w:tr>
      <w:tr w:rsidR="002F4F67" w:rsidRPr="00AD6688" w14:paraId="14C7E00E" w14:textId="77777777">
        <w:trPr>
          <w:trHeight w:val="212"/>
        </w:trPr>
        <w:tc>
          <w:tcPr>
            <w:tcW w:w="1740" w:type="pct"/>
          </w:tcPr>
          <w:p w14:paraId="2F0329E6"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60" w:type="pct"/>
            <w:vAlign w:val="center"/>
          </w:tcPr>
          <w:p w14:paraId="276B1E7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204</w:t>
            </w:r>
          </w:p>
        </w:tc>
        <w:tc>
          <w:tcPr>
            <w:tcW w:w="1700" w:type="pct"/>
            <w:vAlign w:val="center"/>
          </w:tcPr>
          <w:p w14:paraId="537D9B9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78.8</w:t>
            </w:r>
          </w:p>
        </w:tc>
      </w:tr>
      <w:tr w:rsidR="002F4F67" w:rsidRPr="00AD6688" w14:paraId="011AF6D7" w14:textId="77777777">
        <w:trPr>
          <w:trHeight w:val="345"/>
        </w:trPr>
        <w:tc>
          <w:tcPr>
            <w:tcW w:w="1740" w:type="pct"/>
          </w:tcPr>
          <w:p w14:paraId="52EB42E4"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60" w:type="pct"/>
            <w:vAlign w:val="center"/>
          </w:tcPr>
          <w:p w14:paraId="2671FB7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47</w:t>
            </w:r>
          </w:p>
        </w:tc>
        <w:tc>
          <w:tcPr>
            <w:tcW w:w="1700" w:type="pct"/>
            <w:vAlign w:val="center"/>
          </w:tcPr>
          <w:p w14:paraId="7DC81D5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18.1</w:t>
            </w:r>
          </w:p>
        </w:tc>
      </w:tr>
      <w:tr w:rsidR="002F4F67" w:rsidRPr="00AD6688" w14:paraId="73F3B57C" w14:textId="77777777">
        <w:trPr>
          <w:trHeight w:val="345"/>
        </w:trPr>
        <w:tc>
          <w:tcPr>
            <w:tcW w:w="1740" w:type="pct"/>
          </w:tcPr>
          <w:p w14:paraId="027C543A"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Don’t know</w:t>
            </w:r>
          </w:p>
        </w:tc>
        <w:tc>
          <w:tcPr>
            <w:tcW w:w="1560" w:type="pct"/>
            <w:vAlign w:val="center"/>
          </w:tcPr>
          <w:p w14:paraId="76B7D86F"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w:t>
            </w:r>
          </w:p>
        </w:tc>
        <w:tc>
          <w:tcPr>
            <w:tcW w:w="1700" w:type="pct"/>
            <w:vAlign w:val="center"/>
          </w:tcPr>
          <w:p w14:paraId="05F71BD7"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3.1</w:t>
            </w:r>
          </w:p>
        </w:tc>
      </w:tr>
      <w:tr w:rsidR="002F4F67" w:rsidRPr="00AD6688" w14:paraId="2468EC4D" w14:textId="77777777">
        <w:trPr>
          <w:trHeight w:val="212"/>
        </w:trPr>
        <w:tc>
          <w:tcPr>
            <w:tcW w:w="5000" w:type="pct"/>
            <w:gridSpan w:val="3"/>
          </w:tcPr>
          <w:p w14:paraId="6786409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b/>
                <w:sz w:val="24"/>
                <w:szCs w:val="24"/>
                <w:lang w:val="en-GB"/>
              </w:rPr>
              <w:t>Which PPE are available for use</w:t>
            </w:r>
          </w:p>
        </w:tc>
      </w:tr>
      <w:tr w:rsidR="002F4F67" w:rsidRPr="00AD6688" w14:paraId="001F464C" w14:textId="77777777">
        <w:trPr>
          <w:trHeight w:val="212"/>
        </w:trPr>
        <w:tc>
          <w:tcPr>
            <w:tcW w:w="1740" w:type="pct"/>
          </w:tcPr>
          <w:p w14:paraId="683DFAB8"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Head cover/cap</w:t>
            </w:r>
          </w:p>
        </w:tc>
        <w:tc>
          <w:tcPr>
            <w:tcW w:w="1560" w:type="pct"/>
            <w:vAlign w:val="center"/>
          </w:tcPr>
          <w:p w14:paraId="2CC86041"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69</w:t>
            </w:r>
          </w:p>
        </w:tc>
        <w:tc>
          <w:tcPr>
            <w:tcW w:w="1700" w:type="pct"/>
            <w:vAlign w:val="center"/>
          </w:tcPr>
          <w:p w14:paraId="1E21574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26.6</w:t>
            </w:r>
          </w:p>
        </w:tc>
      </w:tr>
      <w:tr w:rsidR="002F4F67" w:rsidRPr="00AD6688" w14:paraId="29B283B4" w14:textId="77777777">
        <w:trPr>
          <w:trHeight w:val="339"/>
        </w:trPr>
        <w:tc>
          <w:tcPr>
            <w:tcW w:w="1740" w:type="pct"/>
          </w:tcPr>
          <w:p w14:paraId="4AD887DB"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Gloves</w:t>
            </w:r>
          </w:p>
        </w:tc>
        <w:tc>
          <w:tcPr>
            <w:tcW w:w="1560" w:type="pct"/>
            <w:vAlign w:val="center"/>
          </w:tcPr>
          <w:p w14:paraId="6FE0C9E1"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108</w:t>
            </w:r>
          </w:p>
        </w:tc>
        <w:tc>
          <w:tcPr>
            <w:tcW w:w="1700" w:type="pct"/>
            <w:vAlign w:val="center"/>
          </w:tcPr>
          <w:p w14:paraId="1DADA57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41.7</w:t>
            </w:r>
          </w:p>
        </w:tc>
      </w:tr>
      <w:tr w:rsidR="002F4F67" w:rsidRPr="00AD6688" w14:paraId="05BB0E68" w14:textId="77777777">
        <w:trPr>
          <w:trHeight w:val="286"/>
        </w:trPr>
        <w:tc>
          <w:tcPr>
            <w:tcW w:w="1740" w:type="pct"/>
          </w:tcPr>
          <w:p w14:paraId="40735B52"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Face mask</w:t>
            </w:r>
          </w:p>
        </w:tc>
        <w:tc>
          <w:tcPr>
            <w:tcW w:w="1560" w:type="pct"/>
            <w:vAlign w:val="center"/>
          </w:tcPr>
          <w:p w14:paraId="248324D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79</w:t>
            </w:r>
          </w:p>
        </w:tc>
        <w:tc>
          <w:tcPr>
            <w:tcW w:w="1700" w:type="pct"/>
            <w:vAlign w:val="center"/>
          </w:tcPr>
          <w:p w14:paraId="562933F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r>
      <w:tr w:rsidR="002F4F67" w:rsidRPr="00AD6688" w14:paraId="78838D6A" w14:textId="77777777">
        <w:trPr>
          <w:trHeight w:val="307"/>
        </w:trPr>
        <w:tc>
          <w:tcPr>
            <w:tcW w:w="1740" w:type="pct"/>
          </w:tcPr>
          <w:p w14:paraId="74245B6F"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Missing system</w:t>
            </w:r>
          </w:p>
        </w:tc>
        <w:tc>
          <w:tcPr>
            <w:tcW w:w="1560" w:type="pct"/>
            <w:vAlign w:val="center"/>
          </w:tcPr>
          <w:p w14:paraId="31D49F3F"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0" w:type="pct"/>
            <w:vAlign w:val="center"/>
          </w:tcPr>
          <w:p w14:paraId="44EDF95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r>
      <w:tr w:rsidR="002F4F67" w:rsidRPr="00AD6688" w14:paraId="30C59928" w14:textId="77777777">
        <w:trPr>
          <w:trHeight w:val="313"/>
        </w:trPr>
        <w:tc>
          <w:tcPr>
            <w:tcW w:w="5000" w:type="pct"/>
            <w:gridSpan w:val="3"/>
            <w:tcBorders>
              <w:top w:val="nil"/>
              <w:left w:val="nil"/>
              <w:bottom w:val="nil"/>
              <w:right w:val="nil"/>
            </w:tcBorders>
          </w:tcPr>
          <w:p w14:paraId="69D523A6"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b/>
                <w:sz w:val="24"/>
                <w:szCs w:val="24"/>
                <w:lang w:val="en-GB"/>
              </w:rPr>
              <w:t>Do you use PPE when working all the time</w:t>
            </w:r>
          </w:p>
        </w:tc>
      </w:tr>
      <w:tr w:rsidR="002F4F67" w:rsidRPr="00AD6688" w14:paraId="64ACCFF2" w14:textId="77777777">
        <w:trPr>
          <w:trHeight w:val="204"/>
        </w:trPr>
        <w:tc>
          <w:tcPr>
            <w:tcW w:w="1740" w:type="pct"/>
            <w:tcBorders>
              <w:top w:val="nil"/>
              <w:left w:val="nil"/>
              <w:bottom w:val="nil"/>
              <w:right w:val="nil"/>
            </w:tcBorders>
          </w:tcPr>
          <w:p w14:paraId="2791650E"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60" w:type="pct"/>
            <w:tcBorders>
              <w:top w:val="nil"/>
              <w:left w:val="nil"/>
              <w:bottom w:val="nil"/>
              <w:right w:val="nil"/>
            </w:tcBorders>
            <w:vAlign w:val="center"/>
          </w:tcPr>
          <w:p w14:paraId="0FDE958B"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148</w:t>
            </w:r>
          </w:p>
        </w:tc>
        <w:tc>
          <w:tcPr>
            <w:tcW w:w="1700" w:type="pct"/>
            <w:tcBorders>
              <w:top w:val="nil"/>
              <w:left w:val="nil"/>
              <w:bottom w:val="nil"/>
              <w:right w:val="nil"/>
            </w:tcBorders>
            <w:vAlign w:val="center"/>
          </w:tcPr>
          <w:p w14:paraId="691BA599"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57.1</w:t>
            </w:r>
          </w:p>
        </w:tc>
      </w:tr>
      <w:tr w:rsidR="002F4F67" w:rsidRPr="00AD6688" w14:paraId="54527CBC" w14:textId="77777777">
        <w:trPr>
          <w:trHeight w:val="265"/>
        </w:trPr>
        <w:tc>
          <w:tcPr>
            <w:tcW w:w="1740" w:type="pct"/>
            <w:tcBorders>
              <w:top w:val="nil"/>
              <w:left w:val="nil"/>
              <w:bottom w:val="nil"/>
              <w:right w:val="nil"/>
            </w:tcBorders>
          </w:tcPr>
          <w:p w14:paraId="54B2704C"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60" w:type="pct"/>
            <w:tcBorders>
              <w:top w:val="nil"/>
              <w:left w:val="nil"/>
              <w:bottom w:val="nil"/>
              <w:right w:val="nil"/>
            </w:tcBorders>
            <w:vAlign w:val="center"/>
          </w:tcPr>
          <w:p w14:paraId="5C8AF756"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43</w:t>
            </w:r>
          </w:p>
        </w:tc>
        <w:tc>
          <w:tcPr>
            <w:tcW w:w="1700" w:type="pct"/>
            <w:tcBorders>
              <w:top w:val="nil"/>
              <w:left w:val="nil"/>
              <w:bottom w:val="nil"/>
              <w:right w:val="nil"/>
            </w:tcBorders>
            <w:vAlign w:val="center"/>
          </w:tcPr>
          <w:p w14:paraId="5A3F9560"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16.6</w:t>
            </w:r>
          </w:p>
        </w:tc>
      </w:tr>
      <w:tr w:rsidR="002F4F67" w:rsidRPr="00AD6688" w14:paraId="0DC69CBD" w14:textId="77777777">
        <w:trPr>
          <w:trHeight w:val="297"/>
        </w:trPr>
        <w:tc>
          <w:tcPr>
            <w:tcW w:w="1740" w:type="pct"/>
            <w:tcBorders>
              <w:top w:val="nil"/>
              <w:left w:val="nil"/>
              <w:bottom w:val="nil"/>
              <w:right w:val="nil"/>
            </w:tcBorders>
          </w:tcPr>
          <w:p w14:paraId="7B88119C"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Sometimes </w:t>
            </w:r>
          </w:p>
        </w:tc>
        <w:tc>
          <w:tcPr>
            <w:tcW w:w="1560" w:type="pct"/>
            <w:tcBorders>
              <w:top w:val="nil"/>
              <w:left w:val="nil"/>
              <w:bottom w:val="nil"/>
              <w:right w:val="nil"/>
            </w:tcBorders>
            <w:vAlign w:val="center"/>
          </w:tcPr>
          <w:p w14:paraId="2E187B4B"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68</w:t>
            </w:r>
          </w:p>
        </w:tc>
        <w:tc>
          <w:tcPr>
            <w:tcW w:w="1700" w:type="pct"/>
            <w:tcBorders>
              <w:top w:val="nil"/>
              <w:left w:val="nil"/>
              <w:bottom w:val="nil"/>
              <w:right w:val="nil"/>
            </w:tcBorders>
            <w:vAlign w:val="center"/>
          </w:tcPr>
          <w:p w14:paraId="7C3EBC31"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26.3</w:t>
            </w:r>
          </w:p>
        </w:tc>
      </w:tr>
      <w:tr w:rsidR="002F4F67" w:rsidRPr="00AD6688" w14:paraId="66F0EF43" w14:textId="77777777">
        <w:trPr>
          <w:trHeight w:val="289"/>
        </w:trPr>
        <w:tc>
          <w:tcPr>
            <w:tcW w:w="5000" w:type="pct"/>
            <w:gridSpan w:val="3"/>
            <w:tcBorders>
              <w:top w:val="nil"/>
              <w:left w:val="nil"/>
              <w:bottom w:val="nil"/>
              <w:right w:val="nil"/>
            </w:tcBorders>
          </w:tcPr>
          <w:p w14:paraId="1777B895" w14:textId="77777777" w:rsidR="002F4F67" w:rsidRPr="00AD6688" w:rsidRDefault="00E15D01" w:rsidP="006635CC">
            <w:pPr>
              <w:spacing w:after="0" w:line="240" w:lineRule="auto"/>
              <w:ind w:leftChars="30" w:left="66" w:firstLine="2"/>
              <w:rPr>
                <w:rFonts w:ascii="Times New Roman" w:hAnsi="Times New Roman" w:cs="Times New Roman"/>
                <w:b/>
                <w:sz w:val="24"/>
                <w:szCs w:val="24"/>
                <w:lang w:val="en-GB"/>
              </w:rPr>
            </w:pPr>
            <w:r w:rsidRPr="00AD6688">
              <w:rPr>
                <w:rFonts w:ascii="Times New Roman" w:hAnsi="Times New Roman" w:cs="Times New Roman"/>
                <w:b/>
                <w:sz w:val="24"/>
                <w:szCs w:val="24"/>
                <w:lang w:val="en-GB"/>
              </w:rPr>
              <w:t>Which of the PPE do you use at work</w:t>
            </w:r>
          </w:p>
        </w:tc>
      </w:tr>
      <w:tr w:rsidR="002F4F67" w:rsidRPr="00AD6688" w14:paraId="47220D5C" w14:textId="77777777">
        <w:trPr>
          <w:trHeight w:val="148"/>
        </w:trPr>
        <w:tc>
          <w:tcPr>
            <w:tcW w:w="1740" w:type="pct"/>
            <w:tcBorders>
              <w:top w:val="nil"/>
              <w:left w:val="nil"/>
              <w:bottom w:val="nil"/>
              <w:right w:val="nil"/>
            </w:tcBorders>
          </w:tcPr>
          <w:p w14:paraId="4417D3F4"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Head cover</w:t>
            </w:r>
          </w:p>
        </w:tc>
        <w:tc>
          <w:tcPr>
            <w:tcW w:w="1560" w:type="pct"/>
            <w:tcBorders>
              <w:top w:val="nil"/>
              <w:left w:val="nil"/>
              <w:bottom w:val="nil"/>
              <w:right w:val="nil"/>
            </w:tcBorders>
            <w:vAlign w:val="center"/>
          </w:tcPr>
          <w:p w14:paraId="612AFFB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69</w:t>
            </w:r>
          </w:p>
        </w:tc>
        <w:tc>
          <w:tcPr>
            <w:tcW w:w="1700" w:type="pct"/>
            <w:tcBorders>
              <w:top w:val="nil"/>
              <w:left w:val="nil"/>
              <w:bottom w:val="nil"/>
              <w:right w:val="nil"/>
            </w:tcBorders>
            <w:vAlign w:val="center"/>
          </w:tcPr>
          <w:p w14:paraId="49A12C01"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26.6</w:t>
            </w:r>
          </w:p>
        </w:tc>
      </w:tr>
      <w:tr w:rsidR="002F4F67" w:rsidRPr="00AD6688" w14:paraId="4DECD705" w14:textId="77777777">
        <w:trPr>
          <w:trHeight w:val="276"/>
        </w:trPr>
        <w:tc>
          <w:tcPr>
            <w:tcW w:w="1740" w:type="pct"/>
            <w:tcBorders>
              <w:top w:val="nil"/>
              <w:left w:val="nil"/>
              <w:bottom w:val="nil"/>
              <w:right w:val="nil"/>
            </w:tcBorders>
          </w:tcPr>
          <w:p w14:paraId="00676AF3"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Gloves</w:t>
            </w:r>
          </w:p>
        </w:tc>
        <w:tc>
          <w:tcPr>
            <w:tcW w:w="1560" w:type="pct"/>
            <w:tcBorders>
              <w:top w:val="nil"/>
              <w:left w:val="nil"/>
              <w:bottom w:val="nil"/>
              <w:right w:val="nil"/>
            </w:tcBorders>
            <w:vAlign w:val="center"/>
          </w:tcPr>
          <w:p w14:paraId="1A7EAEAB"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108</w:t>
            </w:r>
          </w:p>
        </w:tc>
        <w:tc>
          <w:tcPr>
            <w:tcW w:w="1700" w:type="pct"/>
            <w:tcBorders>
              <w:top w:val="nil"/>
              <w:left w:val="nil"/>
              <w:bottom w:val="nil"/>
              <w:right w:val="nil"/>
            </w:tcBorders>
            <w:vAlign w:val="center"/>
          </w:tcPr>
          <w:p w14:paraId="08FF870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41.7</w:t>
            </w:r>
          </w:p>
        </w:tc>
      </w:tr>
      <w:tr w:rsidR="002F4F67" w:rsidRPr="00AD6688" w14:paraId="6EEEBC4E" w14:textId="77777777">
        <w:trPr>
          <w:trHeight w:val="394"/>
        </w:trPr>
        <w:tc>
          <w:tcPr>
            <w:tcW w:w="1740" w:type="pct"/>
            <w:tcBorders>
              <w:top w:val="nil"/>
              <w:left w:val="nil"/>
              <w:bottom w:val="nil"/>
              <w:right w:val="nil"/>
            </w:tcBorders>
          </w:tcPr>
          <w:p w14:paraId="1201A9ED"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Face mask</w:t>
            </w:r>
          </w:p>
        </w:tc>
        <w:tc>
          <w:tcPr>
            <w:tcW w:w="1560" w:type="pct"/>
            <w:tcBorders>
              <w:top w:val="nil"/>
              <w:left w:val="nil"/>
              <w:bottom w:val="nil"/>
              <w:right w:val="nil"/>
            </w:tcBorders>
          </w:tcPr>
          <w:p w14:paraId="64E09D3F" w14:textId="77777777" w:rsidR="002F4F67" w:rsidRPr="00AD6688" w:rsidRDefault="00E15D01" w:rsidP="006635CC">
            <w:pPr>
              <w:spacing w:after="0" w:line="240" w:lineRule="auto"/>
              <w:ind w:leftChars="156" w:left="343"/>
              <w:rPr>
                <w:rFonts w:ascii="Times New Roman" w:hAnsi="Times New Roman" w:cs="Times New Roman"/>
                <w:sz w:val="24"/>
                <w:szCs w:val="24"/>
                <w:lang w:val="en-GB"/>
              </w:rPr>
            </w:pPr>
            <w:r w:rsidRPr="00AD6688">
              <w:rPr>
                <w:rFonts w:ascii="Times New Roman" w:hAnsi="Times New Roman" w:cs="Times New Roman"/>
                <w:sz w:val="24"/>
                <w:szCs w:val="24"/>
                <w:lang w:val="en-GB"/>
              </w:rPr>
              <w:t>79</w:t>
            </w:r>
          </w:p>
        </w:tc>
        <w:tc>
          <w:tcPr>
            <w:tcW w:w="1700" w:type="pct"/>
            <w:tcBorders>
              <w:top w:val="nil"/>
              <w:left w:val="nil"/>
              <w:bottom w:val="nil"/>
              <w:right w:val="nil"/>
            </w:tcBorders>
          </w:tcPr>
          <w:p w14:paraId="17FD63EA"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sz w:val="24"/>
                <w:szCs w:val="24"/>
                <w:lang w:val="en-GB"/>
              </w:rPr>
              <w:t>30.5</w:t>
            </w:r>
          </w:p>
        </w:tc>
      </w:tr>
      <w:tr w:rsidR="002F4F67" w:rsidRPr="00AD6688" w14:paraId="4359EDE2" w14:textId="77777777">
        <w:trPr>
          <w:trHeight w:val="394"/>
        </w:trPr>
        <w:tc>
          <w:tcPr>
            <w:tcW w:w="1740" w:type="pct"/>
            <w:tcBorders>
              <w:top w:val="nil"/>
              <w:left w:val="nil"/>
              <w:bottom w:val="nil"/>
              <w:right w:val="nil"/>
            </w:tcBorders>
          </w:tcPr>
          <w:p w14:paraId="57BAF44C"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Missing system</w:t>
            </w:r>
          </w:p>
        </w:tc>
        <w:tc>
          <w:tcPr>
            <w:tcW w:w="1560" w:type="pct"/>
            <w:tcBorders>
              <w:top w:val="nil"/>
              <w:left w:val="nil"/>
              <w:bottom w:val="nil"/>
              <w:right w:val="nil"/>
            </w:tcBorders>
          </w:tcPr>
          <w:p w14:paraId="3A3ADA1B" w14:textId="77777777" w:rsidR="002F4F67" w:rsidRPr="00AD6688" w:rsidRDefault="00E15D01" w:rsidP="006635CC">
            <w:pPr>
              <w:spacing w:after="0" w:line="240" w:lineRule="auto"/>
              <w:ind w:leftChars="156" w:left="343"/>
              <w:rPr>
                <w:rFonts w:ascii="Times New Roman" w:hAnsi="Times New Roman" w:cs="Times New Roman"/>
                <w:sz w:val="24"/>
                <w:szCs w:val="24"/>
                <w:lang w:val="en-GB"/>
              </w:rPr>
            </w:pPr>
            <w:r w:rsidRPr="00AD6688">
              <w:rPr>
                <w:rFonts w:ascii="Times New Roman" w:hAnsi="Times New Roman" w:cs="Times New Roman"/>
                <w:sz w:val="24"/>
                <w:szCs w:val="24"/>
                <w:lang w:val="en-GB"/>
              </w:rPr>
              <w:t>3</w:t>
            </w:r>
          </w:p>
        </w:tc>
        <w:tc>
          <w:tcPr>
            <w:tcW w:w="1700" w:type="pct"/>
            <w:tcBorders>
              <w:top w:val="nil"/>
              <w:left w:val="nil"/>
              <w:bottom w:val="nil"/>
              <w:right w:val="nil"/>
            </w:tcBorders>
          </w:tcPr>
          <w:p w14:paraId="7ECE171F"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sz w:val="24"/>
                <w:szCs w:val="24"/>
                <w:lang w:val="en-GB"/>
              </w:rPr>
              <w:t>1.2</w:t>
            </w:r>
          </w:p>
        </w:tc>
      </w:tr>
      <w:tr w:rsidR="002F4F67" w:rsidRPr="00AD6688" w14:paraId="016C104C" w14:textId="77777777">
        <w:trPr>
          <w:trHeight w:val="220"/>
        </w:trPr>
        <w:tc>
          <w:tcPr>
            <w:tcW w:w="5000" w:type="pct"/>
            <w:gridSpan w:val="3"/>
            <w:tcBorders>
              <w:top w:val="nil"/>
              <w:left w:val="nil"/>
              <w:bottom w:val="nil"/>
              <w:right w:val="nil"/>
            </w:tcBorders>
          </w:tcPr>
          <w:p w14:paraId="6C07C70C"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Have you had adequate training on the use of these PPE</w:t>
            </w:r>
          </w:p>
        </w:tc>
      </w:tr>
      <w:tr w:rsidR="002F4F67" w:rsidRPr="00AD6688" w14:paraId="7FD61CA6" w14:textId="77777777">
        <w:trPr>
          <w:trHeight w:val="358"/>
        </w:trPr>
        <w:tc>
          <w:tcPr>
            <w:tcW w:w="1740" w:type="pct"/>
            <w:tcBorders>
              <w:top w:val="nil"/>
              <w:left w:val="nil"/>
              <w:bottom w:val="nil"/>
              <w:right w:val="nil"/>
            </w:tcBorders>
          </w:tcPr>
          <w:p w14:paraId="29B9ED88"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60" w:type="pct"/>
            <w:tcBorders>
              <w:top w:val="nil"/>
              <w:left w:val="nil"/>
              <w:bottom w:val="nil"/>
              <w:right w:val="nil"/>
            </w:tcBorders>
            <w:vAlign w:val="center"/>
          </w:tcPr>
          <w:p w14:paraId="5CDA3D8B"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100</w:t>
            </w:r>
          </w:p>
        </w:tc>
        <w:tc>
          <w:tcPr>
            <w:tcW w:w="1700" w:type="pct"/>
            <w:tcBorders>
              <w:top w:val="nil"/>
              <w:left w:val="nil"/>
              <w:bottom w:val="nil"/>
              <w:right w:val="nil"/>
            </w:tcBorders>
            <w:vAlign w:val="center"/>
          </w:tcPr>
          <w:p w14:paraId="3B77D93F"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38.6</w:t>
            </w:r>
          </w:p>
        </w:tc>
      </w:tr>
      <w:tr w:rsidR="002F4F67" w:rsidRPr="00AD6688" w14:paraId="47ABF750" w14:textId="77777777">
        <w:trPr>
          <w:trHeight w:val="156"/>
        </w:trPr>
        <w:tc>
          <w:tcPr>
            <w:tcW w:w="1740" w:type="pct"/>
            <w:tcBorders>
              <w:top w:val="nil"/>
              <w:left w:val="nil"/>
              <w:bottom w:val="nil"/>
              <w:right w:val="nil"/>
            </w:tcBorders>
          </w:tcPr>
          <w:p w14:paraId="5416198B"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60" w:type="pct"/>
            <w:tcBorders>
              <w:top w:val="nil"/>
              <w:left w:val="nil"/>
              <w:bottom w:val="nil"/>
              <w:right w:val="nil"/>
            </w:tcBorders>
            <w:vAlign w:val="center"/>
          </w:tcPr>
          <w:p w14:paraId="6EDED278"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159</w:t>
            </w:r>
          </w:p>
        </w:tc>
        <w:tc>
          <w:tcPr>
            <w:tcW w:w="1700" w:type="pct"/>
            <w:tcBorders>
              <w:top w:val="nil"/>
              <w:left w:val="nil"/>
              <w:bottom w:val="nil"/>
              <w:right w:val="nil"/>
            </w:tcBorders>
            <w:vAlign w:val="center"/>
          </w:tcPr>
          <w:p w14:paraId="753D31C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61.4</w:t>
            </w:r>
          </w:p>
        </w:tc>
      </w:tr>
      <w:tr w:rsidR="002F4F67" w:rsidRPr="00AD6688" w14:paraId="23A3EB0D" w14:textId="77777777">
        <w:trPr>
          <w:trHeight w:val="156"/>
        </w:trPr>
        <w:tc>
          <w:tcPr>
            <w:tcW w:w="1740" w:type="pct"/>
            <w:tcBorders>
              <w:top w:val="nil"/>
              <w:left w:val="nil"/>
              <w:bottom w:val="single" w:sz="4" w:space="0" w:color="auto"/>
              <w:right w:val="nil"/>
            </w:tcBorders>
          </w:tcPr>
          <w:p w14:paraId="2B3B8551" w14:textId="77777777" w:rsidR="002F4F67" w:rsidRPr="00AD6688" w:rsidRDefault="00E15D01" w:rsidP="006635CC">
            <w:pPr>
              <w:spacing w:after="0" w:line="240" w:lineRule="auto"/>
              <w:ind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Total</w:t>
            </w:r>
          </w:p>
        </w:tc>
        <w:tc>
          <w:tcPr>
            <w:tcW w:w="1560" w:type="pct"/>
            <w:tcBorders>
              <w:top w:val="nil"/>
              <w:left w:val="nil"/>
              <w:bottom w:val="single" w:sz="4" w:space="0" w:color="auto"/>
              <w:right w:val="nil"/>
            </w:tcBorders>
          </w:tcPr>
          <w:p w14:paraId="25763252" w14:textId="77777777" w:rsidR="002F4F67" w:rsidRPr="00AD6688" w:rsidRDefault="00E15D01" w:rsidP="006635CC">
            <w:pPr>
              <w:spacing w:after="0" w:line="240" w:lineRule="auto"/>
              <w:ind w:leftChars="156" w:left="343"/>
              <w:rPr>
                <w:rFonts w:ascii="Times New Roman" w:hAnsi="Times New Roman" w:cs="Times New Roman"/>
                <w:b/>
                <w:sz w:val="24"/>
                <w:szCs w:val="24"/>
                <w:lang w:val="en-GB"/>
              </w:rPr>
            </w:pPr>
            <w:r w:rsidRPr="00AD6688">
              <w:rPr>
                <w:rFonts w:ascii="Times New Roman" w:hAnsi="Times New Roman" w:cs="Times New Roman"/>
                <w:b/>
                <w:sz w:val="24"/>
                <w:szCs w:val="24"/>
                <w:lang w:val="en-GB"/>
              </w:rPr>
              <w:t>259</w:t>
            </w:r>
          </w:p>
        </w:tc>
        <w:tc>
          <w:tcPr>
            <w:tcW w:w="1700" w:type="pct"/>
            <w:tcBorders>
              <w:top w:val="nil"/>
              <w:left w:val="nil"/>
              <w:bottom w:val="single" w:sz="4" w:space="0" w:color="auto"/>
              <w:right w:val="nil"/>
            </w:tcBorders>
          </w:tcPr>
          <w:p w14:paraId="4275289D"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100.0%</w:t>
            </w:r>
          </w:p>
        </w:tc>
      </w:tr>
    </w:tbl>
    <w:p w14:paraId="627D074B" w14:textId="77777777" w:rsidR="002F4F67" w:rsidRPr="00AD6688" w:rsidRDefault="00E15D01" w:rsidP="006635CC">
      <w:pPr>
        <w:spacing w:line="240" w:lineRule="auto"/>
        <w:ind w:firstLine="720"/>
        <w:jc w:val="both"/>
        <w:rPr>
          <w:rFonts w:ascii="Times New Roman" w:hAnsi="Times New Roman" w:cs="Times New Roman"/>
          <w:b/>
          <w:sz w:val="24"/>
          <w:szCs w:val="24"/>
        </w:rPr>
      </w:pPr>
      <w:r w:rsidRPr="00AD6688">
        <w:rPr>
          <w:rFonts w:ascii="Times New Roman" w:hAnsi="Times New Roman" w:cs="Times New Roman"/>
          <w:b/>
          <w:sz w:val="24"/>
          <w:szCs w:val="24"/>
        </w:rPr>
        <w:t>Source: Field data, 2021</w:t>
      </w:r>
    </w:p>
    <w:p w14:paraId="718DC393" w14:textId="77777777" w:rsidR="002F4F67" w:rsidRPr="00AD6688" w:rsidRDefault="00977FB9" w:rsidP="006635CC">
      <w:pPr>
        <w:pStyle w:val="Heading2"/>
        <w:spacing w:line="240" w:lineRule="auto"/>
        <w:rPr>
          <w:rFonts w:ascii="Times New Roman" w:hAnsi="Times New Roman" w:cs="Times New Roman"/>
          <w:b/>
          <w:color w:val="auto"/>
          <w:sz w:val="24"/>
          <w:szCs w:val="24"/>
        </w:rPr>
      </w:pPr>
      <w:bookmarkStart w:id="50" w:name="_Toc79350953"/>
      <w:r w:rsidRPr="00AD6688">
        <w:rPr>
          <w:rFonts w:ascii="Times New Roman" w:hAnsi="Times New Roman" w:cs="Times New Roman"/>
          <w:b/>
          <w:color w:val="auto"/>
          <w:sz w:val="24"/>
          <w:szCs w:val="24"/>
        </w:rPr>
        <w:t>3</w:t>
      </w:r>
      <w:r w:rsidR="00E15D01" w:rsidRPr="00AD6688">
        <w:rPr>
          <w:rFonts w:ascii="Times New Roman" w:hAnsi="Times New Roman" w:cs="Times New Roman"/>
          <w:b/>
          <w:color w:val="auto"/>
          <w:sz w:val="24"/>
          <w:szCs w:val="24"/>
        </w:rPr>
        <w:t>.4 Occupational Hazards and Injuries Health Workers Report</w:t>
      </w:r>
      <w:bookmarkEnd w:id="50"/>
      <w:r w:rsidR="00E15D01" w:rsidRPr="00AD6688">
        <w:rPr>
          <w:rFonts w:ascii="Times New Roman" w:hAnsi="Times New Roman" w:cs="Times New Roman"/>
          <w:b/>
          <w:color w:val="auto"/>
          <w:sz w:val="24"/>
          <w:szCs w:val="24"/>
        </w:rPr>
        <w:t xml:space="preserve"> </w:t>
      </w:r>
    </w:p>
    <w:p w14:paraId="6694DDDA" w14:textId="77777777" w:rsidR="002F4F67" w:rsidRPr="00AD6688" w:rsidRDefault="00E15D01" w:rsidP="006635CC">
      <w:pPr>
        <w:widowControl w:val="0"/>
        <w:autoSpaceDE w:val="0"/>
        <w:autoSpaceDN w:val="0"/>
        <w:adjustRightInd w:val="0"/>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This analysis focused on</w:t>
      </w:r>
      <w:r w:rsidRPr="00AD6688">
        <w:rPr>
          <w:rFonts w:ascii="Times New Roman" w:hAnsi="Times New Roman" w:cs="Times New Roman"/>
          <w:b/>
          <w:sz w:val="24"/>
          <w:szCs w:val="24"/>
        </w:rPr>
        <w:t xml:space="preserve"> </w:t>
      </w:r>
      <w:r w:rsidRPr="00AD6688">
        <w:rPr>
          <w:rFonts w:ascii="Times New Roman" w:hAnsi="Times New Roman" w:cs="Times New Roman"/>
          <w:sz w:val="24"/>
          <w:szCs w:val="24"/>
        </w:rPr>
        <w:t xml:space="preserve">assessing whether health workers report occupational hazards and injuries they encounter at the work place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Municipality,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 xml:space="preserve">. Frequency and percentage calculations were used. The results were analyzed in table </w:t>
      </w:r>
      <w:r w:rsidR="00AD6688" w:rsidRPr="00AD6688">
        <w:rPr>
          <w:rFonts w:ascii="Times New Roman" w:hAnsi="Times New Roman" w:cs="Times New Roman"/>
          <w:sz w:val="24"/>
          <w:szCs w:val="24"/>
        </w:rPr>
        <w:t>4</w:t>
      </w:r>
      <w:r w:rsidRPr="00AD6688">
        <w:rPr>
          <w:rFonts w:ascii="Times New Roman" w:hAnsi="Times New Roman" w:cs="Times New Roman"/>
          <w:sz w:val="24"/>
          <w:szCs w:val="24"/>
        </w:rPr>
        <w:t xml:space="preserve"> as follows; health workers (22%) said there is a department/unit in the facility earmarked to handle OHI in the facility, (54.4%) said there is no department/unit in the facility earmarked to handle OHI. However, (23.6%) said they are not sure such department for OHI exist. Health workers (94.7%) said the department /unit is the emergency, (5.3%) said is the OPD. However, no one said there is special department/unit for OHI. Health workers (1.5%) had ever reported an OHI in their facility, (16.2%) said no and (82.2%) there is no need reporting any OHI to the facility. Again, health workers (1.2%) mentioned their facility have a protocol to follow when encountered with OHI, (11.2%) said no such protocol exist. However, (87.6%) said they do not know. Finally, (98.4%) had never reported any OHI, (0.4%) had reported a case of needle prick, and (1.2%) had reported other cases such as diarrhea, headache and backache respectively to the unit.</w:t>
      </w:r>
    </w:p>
    <w:p w14:paraId="780FF358" w14:textId="77777777" w:rsidR="002F4F67" w:rsidRPr="00AD6688" w:rsidRDefault="002F4F67" w:rsidP="006635CC">
      <w:pPr>
        <w:pStyle w:val="Caption"/>
      </w:pPr>
      <w:bookmarkStart w:id="51" w:name="_Toc77008846"/>
      <w:bookmarkStart w:id="52" w:name="_Toc40793102"/>
    </w:p>
    <w:p w14:paraId="16F7808A" w14:textId="77777777" w:rsidR="002F4F67" w:rsidRPr="00AD6688" w:rsidRDefault="00E15D01" w:rsidP="006635CC">
      <w:pPr>
        <w:pStyle w:val="Caption"/>
        <w:rPr>
          <w:b w:val="0"/>
        </w:rPr>
      </w:pPr>
      <w:r w:rsidRPr="00AD6688">
        <w:t xml:space="preserve">Table </w:t>
      </w:r>
      <w:r w:rsidR="00AD6688" w:rsidRPr="00AD6688">
        <w:t>5</w:t>
      </w:r>
      <w:r w:rsidRPr="00AD6688">
        <w:t>: Occupational Hazards and Injuries Health Workers Report</w:t>
      </w:r>
      <w:bookmarkEnd w:id="5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3367"/>
        <w:gridCol w:w="3674"/>
      </w:tblGrid>
      <w:tr w:rsidR="002F4F67" w:rsidRPr="00AD6688" w14:paraId="495876BE" w14:textId="77777777">
        <w:trPr>
          <w:trHeight w:val="362"/>
        </w:trPr>
        <w:tc>
          <w:tcPr>
            <w:tcW w:w="1740" w:type="pct"/>
            <w:tcBorders>
              <w:top w:val="single" w:sz="4" w:space="0" w:color="auto"/>
              <w:left w:val="nil"/>
              <w:bottom w:val="single" w:sz="4" w:space="0" w:color="auto"/>
              <w:right w:val="nil"/>
            </w:tcBorders>
          </w:tcPr>
          <w:p w14:paraId="300AF47E" w14:textId="77777777"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Variable</w:t>
            </w:r>
          </w:p>
        </w:tc>
        <w:tc>
          <w:tcPr>
            <w:tcW w:w="1559" w:type="pct"/>
            <w:tcBorders>
              <w:top w:val="single" w:sz="4" w:space="0" w:color="auto"/>
              <w:left w:val="nil"/>
              <w:bottom w:val="single" w:sz="4" w:space="0" w:color="auto"/>
              <w:right w:val="nil"/>
            </w:tcBorders>
          </w:tcPr>
          <w:p w14:paraId="2F524EC1" w14:textId="77777777" w:rsidR="002F4F67" w:rsidRPr="00AD6688" w:rsidRDefault="00E15D01" w:rsidP="006635CC">
            <w:pPr>
              <w:spacing w:after="0" w:line="240" w:lineRule="auto"/>
              <w:ind w:leftChars="54" w:left="119"/>
              <w:rPr>
                <w:rFonts w:ascii="Times New Roman" w:hAnsi="Times New Roman" w:cs="Times New Roman"/>
                <w:b/>
                <w:sz w:val="24"/>
                <w:szCs w:val="24"/>
                <w:lang w:val="en-GB"/>
              </w:rPr>
            </w:pPr>
            <w:r w:rsidRPr="00AD6688">
              <w:rPr>
                <w:rFonts w:ascii="Times New Roman" w:hAnsi="Times New Roman" w:cs="Times New Roman"/>
                <w:b/>
                <w:sz w:val="24"/>
                <w:szCs w:val="24"/>
                <w:lang w:val="en-GB"/>
              </w:rPr>
              <w:t>Frequencies</w:t>
            </w:r>
          </w:p>
        </w:tc>
        <w:tc>
          <w:tcPr>
            <w:tcW w:w="1701" w:type="pct"/>
            <w:tcBorders>
              <w:top w:val="single" w:sz="4" w:space="0" w:color="auto"/>
              <w:left w:val="nil"/>
              <w:bottom w:val="single" w:sz="4" w:space="0" w:color="auto"/>
              <w:right w:val="nil"/>
            </w:tcBorders>
          </w:tcPr>
          <w:p w14:paraId="03A418CF"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Percentage (%)</w:t>
            </w:r>
          </w:p>
        </w:tc>
      </w:tr>
      <w:tr w:rsidR="002F4F67" w:rsidRPr="00AD6688" w14:paraId="0DCF3EDA" w14:textId="77777777">
        <w:trPr>
          <w:trHeight w:val="81"/>
        </w:trPr>
        <w:tc>
          <w:tcPr>
            <w:tcW w:w="5000" w:type="pct"/>
            <w:gridSpan w:val="3"/>
            <w:tcBorders>
              <w:top w:val="single" w:sz="4" w:space="0" w:color="auto"/>
              <w:left w:val="nil"/>
              <w:bottom w:val="nil"/>
              <w:right w:val="nil"/>
            </w:tcBorders>
          </w:tcPr>
          <w:p w14:paraId="61D0440B" w14:textId="77777777"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b/>
                <w:sz w:val="24"/>
                <w:szCs w:val="24"/>
                <w:lang w:val="en-GB"/>
              </w:rPr>
              <w:t>Department/unit in the facility earmarked to handle OHI</w:t>
            </w:r>
          </w:p>
        </w:tc>
      </w:tr>
      <w:tr w:rsidR="002F4F67" w:rsidRPr="00AD6688" w14:paraId="087465A8" w14:textId="77777777">
        <w:trPr>
          <w:trHeight w:val="201"/>
        </w:trPr>
        <w:tc>
          <w:tcPr>
            <w:tcW w:w="1740" w:type="pct"/>
          </w:tcPr>
          <w:p w14:paraId="62AAF767"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59" w:type="pct"/>
            <w:vAlign w:val="center"/>
          </w:tcPr>
          <w:p w14:paraId="53E20BD3"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57</w:t>
            </w:r>
          </w:p>
        </w:tc>
        <w:tc>
          <w:tcPr>
            <w:tcW w:w="1701" w:type="pct"/>
            <w:vAlign w:val="center"/>
          </w:tcPr>
          <w:p w14:paraId="21EC7C97"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22.0</w:t>
            </w:r>
          </w:p>
        </w:tc>
      </w:tr>
      <w:tr w:rsidR="002F4F67" w:rsidRPr="00AD6688" w14:paraId="5DD4E24B" w14:textId="77777777">
        <w:trPr>
          <w:trHeight w:val="221"/>
        </w:trPr>
        <w:tc>
          <w:tcPr>
            <w:tcW w:w="1740" w:type="pct"/>
          </w:tcPr>
          <w:p w14:paraId="746C855E"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59" w:type="pct"/>
            <w:vAlign w:val="center"/>
          </w:tcPr>
          <w:p w14:paraId="02454ED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141</w:t>
            </w:r>
          </w:p>
        </w:tc>
        <w:tc>
          <w:tcPr>
            <w:tcW w:w="1701" w:type="pct"/>
            <w:vAlign w:val="center"/>
          </w:tcPr>
          <w:p w14:paraId="37EEC3A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54.4</w:t>
            </w:r>
          </w:p>
        </w:tc>
      </w:tr>
      <w:tr w:rsidR="002F4F67" w:rsidRPr="00AD6688" w14:paraId="6F57FBC6" w14:textId="77777777">
        <w:trPr>
          <w:trHeight w:val="176"/>
        </w:trPr>
        <w:tc>
          <w:tcPr>
            <w:tcW w:w="1740" w:type="pct"/>
          </w:tcPr>
          <w:p w14:paraId="4AFA350E"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Not sure</w:t>
            </w:r>
          </w:p>
        </w:tc>
        <w:tc>
          <w:tcPr>
            <w:tcW w:w="1559" w:type="pct"/>
            <w:vAlign w:val="center"/>
          </w:tcPr>
          <w:p w14:paraId="7BD243C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61</w:t>
            </w:r>
          </w:p>
        </w:tc>
        <w:tc>
          <w:tcPr>
            <w:tcW w:w="1701" w:type="pct"/>
            <w:vAlign w:val="center"/>
          </w:tcPr>
          <w:p w14:paraId="4C80415A"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23.6</w:t>
            </w:r>
          </w:p>
        </w:tc>
      </w:tr>
      <w:tr w:rsidR="002F4F67" w:rsidRPr="00AD6688" w14:paraId="73276869" w14:textId="77777777">
        <w:trPr>
          <w:trHeight w:val="201"/>
        </w:trPr>
        <w:tc>
          <w:tcPr>
            <w:tcW w:w="5000" w:type="pct"/>
            <w:gridSpan w:val="3"/>
          </w:tcPr>
          <w:p w14:paraId="1D62D23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b/>
                <w:sz w:val="24"/>
                <w:szCs w:val="24"/>
                <w:lang w:val="en-GB"/>
              </w:rPr>
              <w:t>If yes, which department</w:t>
            </w:r>
          </w:p>
        </w:tc>
      </w:tr>
      <w:tr w:rsidR="002F4F67" w:rsidRPr="00AD6688" w14:paraId="1660B19E" w14:textId="77777777">
        <w:trPr>
          <w:trHeight w:val="201"/>
        </w:trPr>
        <w:tc>
          <w:tcPr>
            <w:tcW w:w="1740" w:type="pct"/>
          </w:tcPr>
          <w:p w14:paraId="49DD7B94"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Emergency</w:t>
            </w:r>
          </w:p>
        </w:tc>
        <w:tc>
          <w:tcPr>
            <w:tcW w:w="1559" w:type="pct"/>
            <w:vAlign w:val="center"/>
          </w:tcPr>
          <w:p w14:paraId="50DACB2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54</w:t>
            </w:r>
          </w:p>
        </w:tc>
        <w:tc>
          <w:tcPr>
            <w:tcW w:w="1701" w:type="pct"/>
            <w:vAlign w:val="center"/>
          </w:tcPr>
          <w:p w14:paraId="74AFC68B"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94.7</w:t>
            </w:r>
          </w:p>
        </w:tc>
      </w:tr>
      <w:tr w:rsidR="002F4F67" w:rsidRPr="00AD6688" w14:paraId="6795C7E7" w14:textId="77777777">
        <w:trPr>
          <w:trHeight w:val="322"/>
        </w:trPr>
        <w:tc>
          <w:tcPr>
            <w:tcW w:w="1740" w:type="pct"/>
          </w:tcPr>
          <w:p w14:paraId="168ABC43"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OPD</w:t>
            </w:r>
          </w:p>
        </w:tc>
        <w:tc>
          <w:tcPr>
            <w:tcW w:w="1559" w:type="pct"/>
            <w:vAlign w:val="center"/>
          </w:tcPr>
          <w:p w14:paraId="63652337"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1" w:type="pct"/>
            <w:vAlign w:val="center"/>
          </w:tcPr>
          <w:p w14:paraId="3A04DCC2"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5.3</w:t>
            </w:r>
          </w:p>
        </w:tc>
      </w:tr>
      <w:tr w:rsidR="002F4F67" w:rsidRPr="00AD6688" w14:paraId="1ABA4218" w14:textId="77777777">
        <w:trPr>
          <w:trHeight w:val="271"/>
        </w:trPr>
        <w:tc>
          <w:tcPr>
            <w:tcW w:w="1740" w:type="pct"/>
          </w:tcPr>
          <w:p w14:paraId="7822E96B"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Special unit for OHI</w:t>
            </w:r>
          </w:p>
        </w:tc>
        <w:tc>
          <w:tcPr>
            <w:tcW w:w="1559" w:type="pct"/>
            <w:vAlign w:val="center"/>
          </w:tcPr>
          <w:p w14:paraId="6E619B6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w:t>
            </w:r>
          </w:p>
        </w:tc>
        <w:tc>
          <w:tcPr>
            <w:tcW w:w="1701" w:type="pct"/>
            <w:vAlign w:val="center"/>
          </w:tcPr>
          <w:p w14:paraId="319420C7"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w:t>
            </w:r>
          </w:p>
        </w:tc>
      </w:tr>
      <w:tr w:rsidR="002F4F67" w:rsidRPr="00AD6688" w14:paraId="1AD20039" w14:textId="77777777">
        <w:trPr>
          <w:trHeight w:val="94"/>
        </w:trPr>
        <w:tc>
          <w:tcPr>
            <w:tcW w:w="5000" w:type="pct"/>
            <w:gridSpan w:val="3"/>
            <w:tcBorders>
              <w:top w:val="nil"/>
              <w:left w:val="nil"/>
              <w:bottom w:val="nil"/>
              <w:right w:val="nil"/>
            </w:tcBorders>
          </w:tcPr>
          <w:p w14:paraId="7686575A" w14:textId="77777777" w:rsidR="002F4F67" w:rsidRPr="00AD6688" w:rsidRDefault="00E15D01" w:rsidP="006635CC">
            <w:pPr>
              <w:spacing w:after="0" w:line="240" w:lineRule="auto"/>
              <w:rPr>
                <w:rFonts w:ascii="Times New Roman" w:hAnsi="Times New Roman" w:cs="Times New Roman"/>
                <w:b/>
                <w:sz w:val="24"/>
                <w:szCs w:val="24"/>
                <w:lang w:val="en-GB"/>
              </w:rPr>
            </w:pPr>
            <w:r w:rsidRPr="00AD6688">
              <w:rPr>
                <w:rFonts w:ascii="Times New Roman" w:hAnsi="Times New Roman" w:cs="Times New Roman"/>
                <w:b/>
                <w:sz w:val="24"/>
                <w:szCs w:val="24"/>
                <w:lang w:val="en-GB"/>
              </w:rPr>
              <w:t xml:space="preserve">Have you ever reported any OHI </w:t>
            </w:r>
          </w:p>
        </w:tc>
      </w:tr>
      <w:tr w:rsidR="002F4F67" w:rsidRPr="00AD6688" w14:paraId="61F9D312" w14:textId="77777777">
        <w:trPr>
          <w:trHeight w:val="193"/>
        </w:trPr>
        <w:tc>
          <w:tcPr>
            <w:tcW w:w="1740" w:type="pct"/>
            <w:tcBorders>
              <w:top w:val="nil"/>
              <w:left w:val="nil"/>
              <w:bottom w:val="nil"/>
              <w:right w:val="nil"/>
            </w:tcBorders>
          </w:tcPr>
          <w:p w14:paraId="055F4D2C" w14:textId="77777777" w:rsidR="002F4F67" w:rsidRPr="00AD6688" w:rsidRDefault="00E15D01" w:rsidP="006635CC">
            <w:pPr>
              <w:spacing w:after="0" w:line="240" w:lineRule="auto"/>
              <w:ind w:right="366"/>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Yes</w:t>
            </w:r>
          </w:p>
        </w:tc>
        <w:tc>
          <w:tcPr>
            <w:tcW w:w="1559" w:type="pct"/>
            <w:tcBorders>
              <w:top w:val="nil"/>
              <w:left w:val="nil"/>
              <w:bottom w:val="nil"/>
              <w:right w:val="nil"/>
            </w:tcBorders>
            <w:vAlign w:val="center"/>
          </w:tcPr>
          <w:p w14:paraId="342048E2"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w:t>
            </w:r>
          </w:p>
        </w:tc>
        <w:tc>
          <w:tcPr>
            <w:tcW w:w="1701" w:type="pct"/>
            <w:tcBorders>
              <w:top w:val="nil"/>
              <w:left w:val="nil"/>
              <w:bottom w:val="nil"/>
              <w:right w:val="nil"/>
            </w:tcBorders>
            <w:vAlign w:val="center"/>
          </w:tcPr>
          <w:p w14:paraId="5598CCE8"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1.5</w:t>
            </w:r>
          </w:p>
        </w:tc>
      </w:tr>
      <w:tr w:rsidR="002F4F67" w:rsidRPr="00AD6688" w14:paraId="71AFE0E1" w14:textId="77777777">
        <w:trPr>
          <w:trHeight w:val="252"/>
        </w:trPr>
        <w:tc>
          <w:tcPr>
            <w:tcW w:w="1740" w:type="pct"/>
            <w:tcBorders>
              <w:top w:val="nil"/>
              <w:left w:val="nil"/>
              <w:bottom w:val="nil"/>
              <w:right w:val="nil"/>
            </w:tcBorders>
          </w:tcPr>
          <w:p w14:paraId="48233DDE"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No </w:t>
            </w:r>
          </w:p>
        </w:tc>
        <w:tc>
          <w:tcPr>
            <w:tcW w:w="1559" w:type="pct"/>
            <w:tcBorders>
              <w:top w:val="nil"/>
              <w:left w:val="nil"/>
              <w:bottom w:val="nil"/>
              <w:right w:val="nil"/>
            </w:tcBorders>
            <w:vAlign w:val="center"/>
          </w:tcPr>
          <w:p w14:paraId="0B094FCF"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42</w:t>
            </w:r>
          </w:p>
        </w:tc>
        <w:tc>
          <w:tcPr>
            <w:tcW w:w="1701" w:type="pct"/>
            <w:tcBorders>
              <w:top w:val="nil"/>
              <w:left w:val="nil"/>
              <w:bottom w:val="nil"/>
              <w:right w:val="nil"/>
            </w:tcBorders>
            <w:vAlign w:val="center"/>
          </w:tcPr>
          <w:p w14:paraId="7F4769B9"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16.2</w:t>
            </w:r>
          </w:p>
        </w:tc>
      </w:tr>
      <w:tr w:rsidR="002F4F67" w:rsidRPr="00AD6688" w14:paraId="5607657D" w14:textId="77777777">
        <w:trPr>
          <w:trHeight w:val="252"/>
        </w:trPr>
        <w:tc>
          <w:tcPr>
            <w:tcW w:w="1740" w:type="pct"/>
            <w:tcBorders>
              <w:top w:val="nil"/>
              <w:left w:val="nil"/>
              <w:bottom w:val="nil"/>
              <w:right w:val="nil"/>
            </w:tcBorders>
          </w:tcPr>
          <w:p w14:paraId="03530F8D"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 need</w:t>
            </w:r>
          </w:p>
        </w:tc>
        <w:tc>
          <w:tcPr>
            <w:tcW w:w="1559" w:type="pct"/>
            <w:tcBorders>
              <w:top w:val="nil"/>
              <w:left w:val="nil"/>
              <w:bottom w:val="nil"/>
              <w:right w:val="nil"/>
            </w:tcBorders>
          </w:tcPr>
          <w:p w14:paraId="248858C9" w14:textId="77777777" w:rsidR="002F4F67" w:rsidRPr="00AD6688" w:rsidRDefault="00E15D01" w:rsidP="006635CC">
            <w:pPr>
              <w:spacing w:after="0" w:line="240" w:lineRule="auto"/>
              <w:ind w:leftChars="156" w:left="343"/>
              <w:rPr>
                <w:rFonts w:ascii="Times New Roman" w:hAnsi="Times New Roman" w:cs="Times New Roman"/>
                <w:sz w:val="24"/>
                <w:szCs w:val="24"/>
                <w:lang w:val="en-GB"/>
              </w:rPr>
            </w:pPr>
            <w:r w:rsidRPr="00AD6688">
              <w:rPr>
                <w:rFonts w:ascii="Times New Roman" w:hAnsi="Times New Roman" w:cs="Times New Roman"/>
                <w:sz w:val="24"/>
                <w:szCs w:val="24"/>
                <w:lang w:val="en-GB"/>
              </w:rPr>
              <w:t>213</w:t>
            </w:r>
          </w:p>
        </w:tc>
        <w:tc>
          <w:tcPr>
            <w:tcW w:w="1701" w:type="pct"/>
            <w:tcBorders>
              <w:top w:val="nil"/>
              <w:left w:val="nil"/>
              <w:bottom w:val="nil"/>
              <w:right w:val="nil"/>
            </w:tcBorders>
          </w:tcPr>
          <w:p w14:paraId="1DC2D238" w14:textId="77777777"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sz w:val="24"/>
                <w:szCs w:val="24"/>
                <w:lang w:val="en-GB"/>
              </w:rPr>
              <w:t>82.2</w:t>
            </w:r>
          </w:p>
        </w:tc>
      </w:tr>
      <w:tr w:rsidR="002F4F67" w:rsidRPr="00AD6688" w14:paraId="0600A967" w14:textId="77777777">
        <w:trPr>
          <w:trHeight w:val="104"/>
        </w:trPr>
        <w:tc>
          <w:tcPr>
            <w:tcW w:w="5000" w:type="pct"/>
            <w:gridSpan w:val="3"/>
            <w:tcBorders>
              <w:top w:val="nil"/>
              <w:left w:val="nil"/>
              <w:bottom w:val="nil"/>
              <w:right w:val="nil"/>
            </w:tcBorders>
          </w:tcPr>
          <w:p w14:paraId="74CD609F" w14:textId="77777777"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b/>
                <w:sz w:val="24"/>
                <w:szCs w:val="24"/>
                <w:lang w:val="en-GB"/>
              </w:rPr>
              <w:t>Facility has a protocol to follow when encountered with OHI</w:t>
            </w:r>
          </w:p>
        </w:tc>
      </w:tr>
      <w:tr w:rsidR="002F4F67" w:rsidRPr="00AD6688" w14:paraId="4B18FD65" w14:textId="77777777">
        <w:trPr>
          <w:trHeight w:val="140"/>
        </w:trPr>
        <w:tc>
          <w:tcPr>
            <w:tcW w:w="1740" w:type="pct"/>
            <w:tcBorders>
              <w:top w:val="nil"/>
              <w:left w:val="nil"/>
              <w:bottom w:val="nil"/>
              <w:right w:val="nil"/>
            </w:tcBorders>
          </w:tcPr>
          <w:p w14:paraId="626F8EA3"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59" w:type="pct"/>
            <w:tcBorders>
              <w:top w:val="nil"/>
              <w:left w:val="nil"/>
              <w:bottom w:val="nil"/>
              <w:right w:val="nil"/>
            </w:tcBorders>
            <w:vAlign w:val="center"/>
          </w:tcPr>
          <w:p w14:paraId="6CBFE239"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1" w:type="pct"/>
            <w:tcBorders>
              <w:top w:val="nil"/>
              <w:left w:val="nil"/>
              <w:bottom w:val="nil"/>
              <w:right w:val="nil"/>
            </w:tcBorders>
            <w:vAlign w:val="center"/>
          </w:tcPr>
          <w:p w14:paraId="18568AD6"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r>
      <w:tr w:rsidR="002F4F67" w:rsidRPr="00AD6688" w14:paraId="61A9A0A3" w14:textId="77777777">
        <w:trPr>
          <w:trHeight w:val="261"/>
        </w:trPr>
        <w:tc>
          <w:tcPr>
            <w:tcW w:w="1740" w:type="pct"/>
            <w:tcBorders>
              <w:top w:val="nil"/>
              <w:left w:val="nil"/>
              <w:bottom w:val="nil"/>
              <w:right w:val="nil"/>
            </w:tcBorders>
          </w:tcPr>
          <w:p w14:paraId="18BDFABD"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59" w:type="pct"/>
            <w:tcBorders>
              <w:top w:val="nil"/>
              <w:left w:val="nil"/>
              <w:bottom w:val="nil"/>
              <w:right w:val="nil"/>
            </w:tcBorders>
            <w:vAlign w:val="center"/>
          </w:tcPr>
          <w:p w14:paraId="4B48DF7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29</w:t>
            </w:r>
          </w:p>
        </w:tc>
        <w:tc>
          <w:tcPr>
            <w:tcW w:w="1701" w:type="pct"/>
            <w:tcBorders>
              <w:top w:val="nil"/>
              <w:left w:val="nil"/>
              <w:bottom w:val="nil"/>
              <w:right w:val="nil"/>
            </w:tcBorders>
            <w:vAlign w:val="center"/>
          </w:tcPr>
          <w:p w14:paraId="45B23BB6"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11.2</w:t>
            </w:r>
          </w:p>
        </w:tc>
      </w:tr>
      <w:tr w:rsidR="002F4F67" w:rsidRPr="00AD6688" w14:paraId="01AD22CE" w14:textId="77777777">
        <w:trPr>
          <w:trHeight w:val="113"/>
        </w:trPr>
        <w:tc>
          <w:tcPr>
            <w:tcW w:w="1740" w:type="pct"/>
            <w:tcBorders>
              <w:top w:val="nil"/>
              <w:left w:val="nil"/>
              <w:bottom w:val="nil"/>
              <w:right w:val="nil"/>
            </w:tcBorders>
          </w:tcPr>
          <w:p w14:paraId="43848028"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Do not know</w:t>
            </w:r>
          </w:p>
        </w:tc>
        <w:tc>
          <w:tcPr>
            <w:tcW w:w="1559" w:type="pct"/>
            <w:tcBorders>
              <w:top w:val="nil"/>
              <w:left w:val="nil"/>
              <w:bottom w:val="nil"/>
              <w:right w:val="nil"/>
            </w:tcBorders>
            <w:vAlign w:val="center"/>
          </w:tcPr>
          <w:p w14:paraId="4D354A6F"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227</w:t>
            </w:r>
          </w:p>
        </w:tc>
        <w:tc>
          <w:tcPr>
            <w:tcW w:w="1701" w:type="pct"/>
            <w:tcBorders>
              <w:top w:val="nil"/>
              <w:left w:val="nil"/>
              <w:bottom w:val="nil"/>
              <w:right w:val="nil"/>
            </w:tcBorders>
            <w:vAlign w:val="center"/>
          </w:tcPr>
          <w:p w14:paraId="10755E3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87.6</w:t>
            </w:r>
          </w:p>
        </w:tc>
      </w:tr>
      <w:tr w:rsidR="002F4F67" w:rsidRPr="00AD6688" w14:paraId="71F3329F" w14:textId="77777777">
        <w:trPr>
          <w:trHeight w:val="209"/>
        </w:trPr>
        <w:tc>
          <w:tcPr>
            <w:tcW w:w="5000" w:type="pct"/>
            <w:gridSpan w:val="3"/>
            <w:tcBorders>
              <w:top w:val="nil"/>
              <w:left w:val="nil"/>
              <w:bottom w:val="nil"/>
              <w:right w:val="nil"/>
            </w:tcBorders>
          </w:tcPr>
          <w:p w14:paraId="6A1CE7BD" w14:textId="77777777" w:rsidR="002F4F67" w:rsidRPr="00AD6688" w:rsidRDefault="00E15D01" w:rsidP="006635CC">
            <w:pPr>
              <w:spacing w:after="0" w:line="240" w:lineRule="auto"/>
              <w:rPr>
                <w:rFonts w:ascii="Times New Roman" w:hAnsi="Times New Roman" w:cs="Times New Roman"/>
                <w:b/>
                <w:sz w:val="24"/>
                <w:szCs w:val="24"/>
                <w:lang w:val="en-GB"/>
              </w:rPr>
            </w:pPr>
            <w:r w:rsidRPr="00AD6688">
              <w:rPr>
                <w:rFonts w:ascii="Times New Roman" w:hAnsi="Times New Roman" w:cs="Times New Roman"/>
                <w:b/>
                <w:sz w:val="24"/>
                <w:szCs w:val="24"/>
                <w:lang w:val="en-GB"/>
              </w:rPr>
              <w:t>OHI health workers have ever reported</w:t>
            </w:r>
          </w:p>
        </w:tc>
      </w:tr>
      <w:tr w:rsidR="002F4F67" w:rsidRPr="00AD6688" w14:paraId="687A21E9" w14:textId="77777777">
        <w:trPr>
          <w:trHeight w:val="212"/>
        </w:trPr>
        <w:tc>
          <w:tcPr>
            <w:tcW w:w="1740" w:type="pct"/>
            <w:tcBorders>
              <w:top w:val="nil"/>
              <w:left w:val="nil"/>
              <w:bottom w:val="nil"/>
              <w:right w:val="nil"/>
            </w:tcBorders>
          </w:tcPr>
          <w:p w14:paraId="19EA035D"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None</w:t>
            </w:r>
          </w:p>
        </w:tc>
        <w:tc>
          <w:tcPr>
            <w:tcW w:w="1559" w:type="pct"/>
            <w:tcBorders>
              <w:top w:val="nil"/>
              <w:left w:val="nil"/>
              <w:bottom w:val="nil"/>
              <w:right w:val="nil"/>
            </w:tcBorders>
            <w:vAlign w:val="center"/>
          </w:tcPr>
          <w:p w14:paraId="418FB52A"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255</w:t>
            </w:r>
          </w:p>
        </w:tc>
        <w:tc>
          <w:tcPr>
            <w:tcW w:w="1701" w:type="pct"/>
            <w:tcBorders>
              <w:top w:val="nil"/>
              <w:left w:val="nil"/>
              <w:bottom w:val="nil"/>
              <w:right w:val="nil"/>
            </w:tcBorders>
            <w:vAlign w:val="center"/>
          </w:tcPr>
          <w:p w14:paraId="4125F6CE"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98.4</w:t>
            </w:r>
          </w:p>
        </w:tc>
      </w:tr>
      <w:tr w:rsidR="002F4F67" w:rsidRPr="00AD6688" w14:paraId="517E9E49" w14:textId="77777777">
        <w:trPr>
          <w:trHeight w:val="148"/>
        </w:trPr>
        <w:tc>
          <w:tcPr>
            <w:tcW w:w="1740" w:type="pct"/>
            <w:tcBorders>
              <w:top w:val="nil"/>
              <w:left w:val="nil"/>
              <w:bottom w:val="nil"/>
              <w:right w:val="nil"/>
            </w:tcBorders>
          </w:tcPr>
          <w:p w14:paraId="3073E91F"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Needle prick</w:t>
            </w:r>
          </w:p>
        </w:tc>
        <w:tc>
          <w:tcPr>
            <w:tcW w:w="1559" w:type="pct"/>
            <w:tcBorders>
              <w:top w:val="nil"/>
              <w:left w:val="nil"/>
              <w:bottom w:val="nil"/>
              <w:right w:val="nil"/>
            </w:tcBorders>
            <w:vAlign w:val="center"/>
          </w:tcPr>
          <w:p w14:paraId="69C31F4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w:t>
            </w:r>
          </w:p>
        </w:tc>
        <w:tc>
          <w:tcPr>
            <w:tcW w:w="1701" w:type="pct"/>
            <w:tcBorders>
              <w:top w:val="nil"/>
              <w:left w:val="nil"/>
              <w:bottom w:val="nil"/>
              <w:right w:val="nil"/>
            </w:tcBorders>
            <w:vAlign w:val="center"/>
          </w:tcPr>
          <w:p w14:paraId="7D94D364"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0.4</w:t>
            </w:r>
          </w:p>
        </w:tc>
      </w:tr>
      <w:tr w:rsidR="002F4F67" w:rsidRPr="00AD6688" w14:paraId="44D50091" w14:textId="77777777">
        <w:trPr>
          <w:trHeight w:val="148"/>
        </w:trPr>
        <w:tc>
          <w:tcPr>
            <w:tcW w:w="1740" w:type="pct"/>
            <w:tcBorders>
              <w:top w:val="nil"/>
              <w:left w:val="nil"/>
              <w:bottom w:val="nil"/>
              <w:right w:val="nil"/>
            </w:tcBorders>
          </w:tcPr>
          <w:p w14:paraId="018B3336" w14:textId="77777777"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Others</w:t>
            </w:r>
          </w:p>
        </w:tc>
        <w:tc>
          <w:tcPr>
            <w:tcW w:w="1559" w:type="pct"/>
            <w:tcBorders>
              <w:top w:val="nil"/>
              <w:left w:val="nil"/>
              <w:bottom w:val="nil"/>
              <w:right w:val="nil"/>
            </w:tcBorders>
            <w:vAlign w:val="center"/>
          </w:tcPr>
          <w:p w14:paraId="5438462E" w14:textId="77777777"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1" w:type="pct"/>
            <w:tcBorders>
              <w:top w:val="nil"/>
              <w:left w:val="nil"/>
              <w:bottom w:val="nil"/>
              <w:right w:val="nil"/>
            </w:tcBorders>
            <w:vAlign w:val="center"/>
          </w:tcPr>
          <w:p w14:paraId="0DE928F5" w14:textId="77777777"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r>
      <w:tr w:rsidR="002F4F67" w:rsidRPr="00AD6688" w14:paraId="72BBEB7C" w14:textId="77777777">
        <w:trPr>
          <w:trHeight w:val="148"/>
        </w:trPr>
        <w:tc>
          <w:tcPr>
            <w:tcW w:w="1740" w:type="pct"/>
            <w:tcBorders>
              <w:top w:val="nil"/>
              <w:left w:val="nil"/>
              <w:bottom w:val="single" w:sz="4" w:space="0" w:color="auto"/>
              <w:right w:val="nil"/>
            </w:tcBorders>
          </w:tcPr>
          <w:p w14:paraId="3A83920B" w14:textId="77777777" w:rsidR="002F4F67" w:rsidRPr="00AD6688" w:rsidRDefault="00E15D01" w:rsidP="006635CC">
            <w:pPr>
              <w:spacing w:after="0" w:line="240" w:lineRule="auto"/>
              <w:ind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Total</w:t>
            </w:r>
          </w:p>
        </w:tc>
        <w:tc>
          <w:tcPr>
            <w:tcW w:w="1559" w:type="pct"/>
            <w:tcBorders>
              <w:top w:val="nil"/>
              <w:left w:val="nil"/>
              <w:bottom w:val="single" w:sz="4" w:space="0" w:color="auto"/>
              <w:right w:val="nil"/>
            </w:tcBorders>
          </w:tcPr>
          <w:p w14:paraId="648681E4" w14:textId="77777777" w:rsidR="002F4F67" w:rsidRPr="00AD6688" w:rsidRDefault="00E15D01" w:rsidP="006635CC">
            <w:pPr>
              <w:spacing w:after="0" w:line="240" w:lineRule="auto"/>
              <w:ind w:leftChars="156" w:left="343"/>
              <w:rPr>
                <w:rFonts w:ascii="Times New Roman" w:hAnsi="Times New Roman" w:cs="Times New Roman"/>
                <w:b/>
                <w:sz w:val="24"/>
                <w:szCs w:val="24"/>
                <w:lang w:val="en-GB"/>
              </w:rPr>
            </w:pPr>
            <w:r w:rsidRPr="00AD6688">
              <w:rPr>
                <w:rFonts w:ascii="Times New Roman" w:hAnsi="Times New Roman" w:cs="Times New Roman"/>
                <w:b/>
                <w:sz w:val="24"/>
                <w:szCs w:val="24"/>
                <w:lang w:val="en-GB"/>
              </w:rPr>
              <w:t>259</w:t>
            </w:r>
          </w:p>
        </w:tc>
        <w:tc>
          <w:tcPr>
            <w:tcW w:w="1701" w:type="pct"/>
            <w:tcBorders>
              <w:top w:val="nil"/>
              <w:left w:val="nil"/>
              <w:bottom w:val="single" w:sz="4" w:space="0" w:color="auto"/>
              <w:right w:val="nil"/>
            </w:tcBorders>
          </w:tcPr>
          <w:p w14:paraId="1731F620" w14:textId="77777777"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100.0%</w:t>
            </w:r>
          </w:p>
        </w:tc>
      </w:tr>
    </w:tbl>
    <w:p w14:paraId="2E45E74A" w14:textId="77777777" w:rsidR="002F4F67" w:rsidRPr="00AD6688" w:rsidRDefault="00E15D01" w:rsidP="006635CC">
      <w:pPr>
        <w:spacing w:line="240" w:lineRule="auto"/>
        <w:ind w:firstLine="720"/>
        <w:jc w:val="both"/>
        <w:rPr>
          <w:rFonts w:ascii="Times New Roman" w:hAnsi="Times New Roman" w:cs="Times New Roman"/>
          <w:sz w:val="24"/>
          <w:szCs w:val="24"/>
        </w:rPr>
      </w:pPr>
      <w:r w:rsidRPr="00AD6688">
        <w:rPr>
          <w:rFonts w:ascii="Times New Roman" w:hAnsi="Times New Roman" w:cs="Times New Roman"/>
          <w:sz w:val="24"/>
          <w:szCs w:val="24"/>
        </w:rPr>
        <w:t>Source: Field data, 2021.</w:t>
      </w:r>
    </w:p>
    <w:p w14:paraId="4AC6C34B" w14:textId="77777777" w:rsidR="002F4F67" w:rsidRPr="00AD6688" w:rsidRDefault="002F4F67" w:rsidP="006635CC">
      <w:pPr>
        <w:pStyle w:val="Heading1"/>
        <w:spacing w:line="240" w:lineRule="auto"/>
        <w:rPr>
          <w:rFonts w:ascii="Times New Roman" w:hAnsi="Times New Roman" w:cs="Times New Roman"/>
          <w:sz w:val="24"/>
          <w:szCs w:val="24"/>
        </w:rPr>
      </w:pPr>
      <w:bookmarkStart w:id="53" w:name="_Toc79350954"/>
      <w:bookmarkStart w:id="54" w:name="_Toc74516223"/>
      <w:bookmarkStart w:id="55" w:name="_Toc74516021"/>
    </w:p>
    <w:p w14:paraId="463F040A" w14:textId="77777777" w:rsidR="002F4F67" w:rsidRPr="00AD6688" w:rsidRDefault="002F4F67" w:rsidP="006635CC">
      <w:pPr>
        <w:pStyle w:val="Heading1"/>
        <w:spacing w:line="240" w:lineRule="auto"/>
        <w:rPr>
          <w:rFonts w:ascii="Times New Roman" w:hAnsi="Times New Roman" w:cs="Times New Roman"/>
          <w:sz w:val="24"/>
          <w:szCs w:val="24"/>
        </w:rPr>
      </w:pPr>
    </w:p>
    <w:p w14:paraId="7A8ACDC5" w14:textId="77777777" w:rsidR="009F5662" w:rsidRPr="00AD6688" w:rsidRDefault="009F5662" w:rsidP="006635CC">
      <w:pPr>
        <w:pStyle w:val="Heading1"/>
        <w:spacing w:line="240" w:lineRule="auto"/>
        <w:rPr>
          <w:rFonts w:ascii="Times New Roman" w:hAnsi="Times New Roman" w:cs="Times New Roman"/>
          <w:b/>
          <w:color w:val="auto"/>
          <w:sz w:val="24"/>
          <w:szCs w:val="24"/>
        </w:rPr>
      </w:pPr>
      <w:bookmarkStart w:id="56" w:name="_Toc79350955"/>
      <w:bookmarkEnd w:id="53"/>
      <w:bookmarkEnd w:id="54"/>
      <w:bookmarkEnd w:id="55"/>
    </w:p>
    <w:p w14:paraId="3A04EC1D" w14:textId="77777777" w:rsidR="009F5662" w:rsidRPr="00AD6688" w:rsidRDefault="009F5662" w:rsidP="006635CC">
      <w:pPr>
        <w:spacing w:line="240" w:lineRule="auto"/>
        <w:rPr>
          <w:rFonts w:ascii="Times New Roman" w:hAnsi="Times New Roman" w:cs="Times New Roman"/>
          <w:b/>
          <w:sz w:val="24"/>
          <w:szCs w:val="24"/>
        </w:rPr>
      </w:pPr>
    </w:p>
    <w:p w14:paraId="69E2DD70" w14:textId="77777777" w:rsidR="00977FB9" w:rsidRPr="00AD6688" w:rsidRDefault="00977FB9" w:rsidP="00977FB9"/>
    <w:p w14:paraId="3F5607C6" w14:textId="77777777" w:rsidR="00977FB9" w:rsidRPr="00AD6688" w:rsidRDefault="00977FB9" w:rsidP="00977FB9">
      <w:pPr>
        <w:pStyle w:val="Heading1"/>
      </w:pPr>
    </w:p>
    <w:p w14:paraId="62751AF5" w14:textId="77777777" w:rsidR="002F4F67" w:rsidRPr="00AD6688" w:rsidRDefault="00977FB9" w:rsidP="006635CC">
      <w:pPr>
        <w:spacing w:line="240" w:lineRule="auto"/>
        <w:rPr>
          <w:rFonts w:ascii="Times New Roman" w:hAnsi="Times New Roman" w:cs="Times New Roman"/>
          <w:b/>
          <w:sz w:val="24"/>
          <w:szCs w:val="24"/>
        </w:rPr>
      </w:pPr>
      <w:r w:rsidRPr="00AD6688">
        <w:rPr>
          <w:rFonts w:ascii="Times New Roman" w:hAnsi="Times New Roman" w:cs="Times New Roman"/>
          <w:b/>
          <w:sz w:val="24"/>
          <w:szCs w:val="24"/>
        </w:rPr>
        <w:t>4</w:t>
      </w:r>
      <w:r w:rsidR="009F5662" w:rsidRPr="00AD6688">
        <w:rPr>
          <w:rFonts w:ascii="Times New Roman" w:hAnsi="Times New Roman" w:cs="Times New Roman"/>
          <w:b/>
          <w:sz w:val="24"/>
          <w:szCs w:val="24"/>
        </w:rPr>
        <w:t xml:space="preserve">.0 </w:t>
      </w:r>
      <w:r w:rsidR="00E15D01" w:rsidRPr="00AD6688">
        <w:rPr>
          <w:rFonts w:ascii="Times New Roman" w:hAnsi="Times New Roman" w:cs="Times New Roman"/>
          <w:b/>
          <w:sz w:val="24"/>
          <w:szCs w:val="24"/>
        </w:rPr>
        <w:t>DISCUSSION</w:t>
      </w:r>
      <w:bookmarkEnd w:id="56"/>
    </w:p>
    <w:bookmarkEnd w:id="52"/>
    <w:p w14:paraId="419815A6" w14:textId="77777777" w:rsidR="002F4F67" w:rsidRPr="00AD6688" w:rsidRDefault="00E15D01" w:rsidP="006635CC">
      <w:pPr>
        <w:spacing w:after="0" w:line="240" w:lineRule="auto"/>
        <w:contextualSpacing/>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This chapter discussed the results of this study based on the research objectives. They were </w:t>
      </w:r>
      <w:r w:rsidRPr="00AD6688">
        <w:rPr>
          <w:rFonts w:ascii="Times New Roman" w:hAnsi="Times New Roman" w:cs="Times New Roman"/>
          <w:sz w:val="24"/>
          <w:szCs w:val="24"/>
        </w:rPr>
        <w:t xml:space="preserve">the nature of occupational hazards and injuries health care workers suffer during healthcare delivery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r w:rsidRPr="00AD6688">
        <w:rPr>
          <w:rFonts w:ascii="Times New Roman" w:hAnsi="Times New Roman" w:cs="Times New Roman"/>
          <w:color w:val="000000"/>
          <w:sz w:val="24"/>
          <w:szCs w:val="24"/>
        </w:rPr>
        <w:t xml:space="preserve">the possible reasons of occupational hazards and injuries among health care workers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and whether health workers report occupational hazards and injuries they encounter at the work place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 xml:space="preserve">. </w:t>
      </w:r>
    </w:p>
    <w:p w14:paraId="028369AF" w14:textId="77777777" w:rsidR="002F4F67" w:rsidRPr="00AD6688" w:rsidRDefault="00977FB9" w:rsidP="006635CC">
      <w:pPr>
        <w:pStyle w:val="Heading1"/>
        <w:spacing w:line="240" w:lineRule="auto"/>
        <w:rPr>
          <w:rFonts w:ascii="Times New Roman" w:hAnsi="Times New Roman" w:cs="Times New Roman"/>
          <w:b/>
          <w:color w:val="auto"/>
          <w:sz w:val="24"/>
          <w:szCs w:val="24"/>
        </w:rPr>
      </w:pPr>
      <w:bookmarkStart w:id="57" w:name="_Toc79350956"/>
      <w:r w:rsidRPr="00AD6688">
        <w:rPr>
          <w:rFonts w:ascii="Times New Roman" w:hAnsi="Times New Roman" w:cs="Times New Roman"/>
          <w:b/>
          <w:color w:val="auto"/>
          <w:sz w:val="24"/>
          <w:szCs w:val="24"/>
        </w:rPr>
        <w:t>4</w:t>
      </w:r>
      <w:r w:rsidR="00E15D01" w:rsidRPr="00AD6688">
        <w:rPr>
          <w:rFonts w:ascii="Times New Roman" w:hAnsi="Times New Roman" w:cs="Times New Roman"/>
          <w:b/>
          <w:color w:val="auto"/>
          <w:sz w:val="24"/>
          <w:szCs w:val="24"/>
        </w:rPr>
        <w:t>.1 Nature of Occupational Hazards and Injuries Health Care Workers suffer during Healthcare Delivery</w:t>
      </w:r>
      <w:bookmarkEnd w:id="57"/>
    </w:p>
    <w:p w14:paraId="067A1307"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eastAsia="SimSun" w:hAnsi="Times New Roman" w:cs="Times New Roman"/>
          <w:bCs/>
          <w:sz w:val="24"/>
          <w:szCs w:val="24"/>
        </w:rPr>
        <w:t xml:space="preserve">The finding of this study revealed </w:t>
      </w:r>
      <w:commentRangeStart w:id="58"/>
      <w:r w:rsidRPr="00AD6688">
        <w:rPr>
          <w:rFonts w:ascii="Times New Roman" w:eastAsia="SimSun" w:hAnsi="Times New Roman" w:cs="Times New Roman"/>
          <w:bCs/>
          <w:sz w:val="24"/>
          <w:szCs w:val="24"/>
        </w:rPr>
        <w:t>that</w:t>
      </w:r>
      <w:commentRangeEnd w:id="58"/>
      <w:r w:rsidR="00B036BC">
        <w:rPr>
          <w:rStyle w:val="CommentReference"/>
        </w:rPr>
        <w:commentReference w:id="58"/>
      </w:r>
      <w:r w:rsidRPr="00AD6688">
        <w:rPr>
          <w:rFonts w:ascii="Times New Roman" w:eastAsia="SimSun" w:hAnsi="Times New Roman" w:cs="Times New Roman"/>
          <w:bCs/>
          <w:sz w:val="24"/>
          <w:szCs w:val="24"/>
        </w:rPr>
        <w:t xml:space="preserve"> 234 (79.9%) of health workers had never been diagnosed of an infection at the facility. However, few 25 (20.1%) of the health workers had been diagnosed of an infection in the facility. This study finding is not in agreement with a study conducted by </w:t>
      </w:r>
      <w:proofErr w:type="spellStart"/>
      <w:r w:rsidRPr="00AD6688">
        <w:rPr>
          <w:rFonts w:ascii="Times New Roman" w:eastAsia="SimSun" w:hAnsi="Times New Roman" w:cs="Times New Roman"/>
          <w:bCs/>
          <w:sz w:val="24"/>
          <w:szCs w:val="24"/>
        </w:rPr>
        <w:t>Russi</w:t>
      </w:r>
      <w:proofErr w:type="spellEnd"/>
      <w:r w:rsidRPr="00AD6688">
        <w:rPr>
          <w:rFonts w:ascii="Times New Roman" w:eastAsia="SimSun" w:hAnsi="Times New Roman" w:cs="Times New Roman"/>
          <w:bCs/>
          <w:sz w:val="24"/>
          <w:szCs w:val="24"/>
        </w:rPr>
        <w:t>, (2017) which found that health care workers are mostly</w:t>
      </w:r>
      <w:r w:rsidRPr="00AD6688">
        <w:rPr>
          <w:rFonts w:ascii="Times New Roman" w:hAnsi="Times New Roman" w:cs="Times New Roman"/>
          <w:sz w:val="24"/>
          <w:szCs w:val="24"/>
        </w:rPr>
        <w:t xml:space="preserve"> diagnosed with blood borne pathogens and other related infections. HIV/AIDS, hepatitis B virus, tuberculosis specimen and other infectious diseases that can be acquired in the workplace during their processes and preparations are toll on the healthcare worker and the healthcare environment. Similarly,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jgiUb7P","properties":{"formattedCitation":"(14)","plainCitation":"(14)","noteIndex":0},"citationItems":[{"id":"vN2fituk/Coo5JZ6P","uris":["http://www.mendeley.com/documents/?uuid=41c935d3-d324-48e8-a767-f6a227842f47"],"itemData":{"DOI":"10.2486/indhealth.2015-0112","ISSN":"0019-8366","PMID":"26903262","abstract":"Workers in the Indian informal sector are engaged with different occupations. These occupations involve varied work related hazards. These occupational hazards are a consequent risk to health. The study aimed to determine occupational health scenario in the Indian Informal sector. One thousand eleven hundred twenty two workers from five different occupations namely weaving (handloom and power loom), construction, transportation, tobacco processing and fish processing were assessed by interviewer administered health questionnaire. Workers suffered from musculoskeletal complaints, respiratory health hazards, eye problems and skin related complaints. There was a high prevalence of self-reported occupational health problems in the selected sectors. The study finds that workers have occupational exposures to multiple hazards. The absence of protective guards aggrevate their health condition. The study attempts to draws an immediate attention on the existing health scenario of the Indian Informal sector.","author":[{"dropping-particle":"","family":"Nas","given":"Anjali","non-dropping-particle":"","parse-names":false,"suffix":""},{"dropping-particle":"","family":"Vaer","given":"Heer","non-dropping-particle":"","parse-names":false,"suffix":""},{"dropping-particle":"","family":"Nasd","given":"Pranab","non-dropping-particle":"","parse-names":false,"suffix":""}],"container-title":"INDUSTRIAL HEALTH","id":"ITEM-1","issue":"4","issued":{"date-parts":[["2016"]]},"page":"377-385","title":"Occupational health scenario of Indian informal sector","type":"article-journal","volume":"54"}}],"schema":"https://github.com/citation-style-language/schema/raw/master/csl-citation.json"}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dissenting to this finding also revealed that Health workers are diagnosed with different infections in the healthcare environment. Most of these infections were found in laboratories and include Tuberculosis, hepatitis, and HIV/AIDS. Other chemical hazards such as harsh detergents flammables, lead, radiation, solvents and many others are consequent risk to health workers who are exposed to them. furthermore,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LELTgewJ","properties":{"formattedCitation":"(15)","plainCitation":"(15)","noteIndex":0},"citationItems":[{"id":"vN2fituk/iXPmEjs0","uris":["http://www.mendeley.com/documents/?uuid=9fc03992-3d61-4a07-9953-cd7c2ad6879e"],"itemData":{"DOI":"10.1101/2020.04.20.20072470","abstract":"Importance: Healthcare workers are presumed to be at increased risk of severe acute respiratory syndrome coronavirus-2 (SARS-CoV-2) infection due to occupational exposure to infected patients. However, no epidemiological study has examined the prevalence of SARS-CoV-2 infection in a cohort of healthcare workers during the early phase of community transmission. Objective: To determine the baseline prevalence of SARS-CoV-2 infection in a cohort of previously undiagnosed healthcare workers and a comparison group of non-healthcare workers. Design: Prospective cohort study Setting: A large U.S. university and two affiliated university hospitals Participants: 546 health care workers and 283 non-health care workers with no known prior SARS-CoV-2 infection Exposure: Healthcare worker status and role Main outcome(s) and measure(s): SARS-CoV-2 infection status as determined by presence of SARS-CoV-2 RNA in oropharyngeal swabs. Results: At baseline, 41 (5.0%) of participants tested positive for SARS-CoV-2 infection, of whom 14 (34.2%) reported symptoms. The prevalence of SARS-CoV-2 infection was higher among healthcare workers (7.3%) than in non-healthcare workers (0.4%), representing a 7.0% greater absolute risk (95% confidence interval for risk difference 4.7%, 9.3%). The majority of infected healthcare workers (62.5%) worked as nurses. Positive tests increased across the two weeks of cohort recruitment in line with rising confirmed cases in the hospitals and surrounding counties. Conclusions and relevance: In a prospective cohort conducted in the early phases of community transmission, healthcare workers had a higher prevalence of SARS-CoV-2 infection than non-healthcare workers, attesting to the occupational hazards of caring for patients in this crisis. Baseline data reported here will enable us to monitor the spread of infection and examine risk factors for transmission among healthcare workers. These results will inform optimal strategies for protecting the healthcare workforce, their families, and their patients.","author":[{"dropping-particle":"","family":"Barrett","given":"Emily S.","non-dropping-particle":"","parse-names":false,"suffix":""},{"dropping-particle":"","family":"Horton","given":"Daniel B.","non-dropping-particle":"","parse-names":false,"suffix":""},{"dropping-particle":"","family":"Roy","given":"Jason","non-dropping-particle":"","parse-names":false,"suffix":""},{"dropping-particle":"","family":"Gennaro","given":"Maria Laura","non-dropping-particle":"","parse-names":false,"suffix":""},{"dropping-particle":"","family":"Brooks","given":"Andrew","non-dropping-particle":"","parse-names":false,"suffix":""},{"dropping-particle":"","family":"Tischfield","given":"Jay","non-dropping-particle":"","parse-names":false,"suffix":""},{"dropping-particle":"","family":"Greenberg","given":"Patricia","non-dropping-particle":"","parse-names":false,"suffix":""},{"dropping-particle":"","family":"Andrews","given":"Tracy","non-dropping-particle":"","parse-names":false,"suffix":""},{"dropping-particle":"","family":"Jagpal","given":"Sugeet","non-dropping-particle":"","parse-names":false,"suffix":""},{"dropping-particle":"","family":"Reilly","given":"Nancy","non-dropping-particle":"","parse-names":false,"suffix":""},{"dropping-particle":"","family":"Blaser","given":"Martin J.","non-dropping-particle":"","parse-names":false,"suffix":""},{"dropping-particle":"","family":"Carson","given":"Jeffrey L.","non-dropping-particle":"","parse-names":false,"suffix":""},{"dropping-particle":"","family":"Panettieri","given":"Reynold A.","non-dropping-particle":"","parse-names":false,"suffix":""}],"container-title":"medRxiv","id":"ITEM-1","issue":"853","issued":{"date-parts":[["2020"]]},"page":"1-10","publisher":"BMC Infectious Diseases","title":"Prevalence of SARS-CoV-2 infection in previously undiagnosed health care workers at the onset of the U.S. COVID-19 epidemic","type":"article-journal","volume":"20"}}],"schema":"https://github.com/citation-style-language/schema/raw/master/csl-citation.json"}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also found opposite to the findings of this study, which revealed that SARS-CoV-2 infection was diagnosed in  health workers (7.3%) than in non health care workers. Few health workers 25 (9.6%) diagnosed of infection further affirmed a study conducted by </w:t>
      </w:r>
      <w:proofErr w:type="spellStart"/>
      <w:r w:rsidRPr="00AD6688">
        <w:rPr>
          <w:rFonts w:ascii="Times New Roman" w:hAnsi="Times New Roman" w:cs="Times New Roman"/>
          <w:sz w:val="24"/>
          <w:szCs w:val="24"/>
        </w:rPr>
        <w:t>Eyayo</w:t>
      </w:r>
      <w:proofErr w:type="spellEnd"/>
      <w:r w:rsidRPr="00AD6688">
        <w:rPr>
          <w:rFonts w:ascii="Times New Roman" w:hAnsi="Times New Roman" w:cs="Times New Roman"/>
          <w:sz w:val="24"/>
          <w:szCs w:val="24"/>
        </w:rPr>
        <w:t>, (2014) on evaluation of occupational health hazards among health workers, which found that, majority of workers working in the facility are familiar with the three main hazards in the work environment and therefore are careful of coming into contact with it. The workers know them (biological physical and chemical) and the risk impose by these hazards since management are always educating them on the causes, and the health effects of these hazards. On the type of infections health workers were diagnosed with in the health facility, the study found that most of the health workers 14(56%) were infected with diarrhea, malaria, and common cold with only 7(28%) been skin disease. Again, 4 (16%) health workers said these infections were acquired through routine duties at the workplace. These study findings confirmed studies conducted by Chhabra, 2016 and on healthcare hazards among healthcare professionals which revealed that, nurses who go on night duties are usually infected with malaria, skin rashes and diarrheal diseases, and chemicals (disinfectants, diagnosis, and drugs) are among the leading causes of disorders in healthcare providers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{"citationID":"U1XZ4SpC","properties":{"formattedCitation":"(16)","plainCitation":"(16)","noteIndex":0},"citationItems":[{"id":372,"uris":["http://zotero.org/users/local/fuyxLwzY/items/F2FXCTWW"],"itemData":{"id":372,"type":"article-journal","container-title":"Journal of Mahatma Gandhi Institute of Medical Sciences","DOI":"10.4103/0971-9903.178074","ISSN":"0971-9903","issue":"1","journalAbbreviation":"J Mahatma Gandhi Inst Med Sci","language":"en","note":"publisher: Medknow","page":"19","source":"Crossref","title":"Health hazards among health care personnel","volume":"21","author":[{"family":"Chhabra","given":"ShakuntalaAmirchand"}],"issued":{"date-parts":[["2016"]]}}}],"schema":"https://github.com/citation-style-language/schema/raw/master/csl-citation.json"}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Similarly, Von Delft et al., 2015, on why healthcare workers are sick of TB, revealed that rather than being protected, thousands of healthcare colleagues are at an increased risk of TB and especially drug-resistant TB. Health workers are the first to suffer the consequences of a progressively more resistant and fatal TB epidemic, and urgent interventions are needed to ensure the safety and continued availability of these precious healthcare resources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{"citationID":"zDZk5Q9x","properties":{"formattedCitation":"(17)","plainCitation":"(17)","noteIndex":0},"citationItems":[{"id":373,"uris":["http://zotero.org/users/local/fuyxLwzY/items/U6GICBKW"],"itemData":{"id":373,"type":"article-journal","container-title":"International Journal of Infectious Diseases","DOI":"10.1016/j.ijid.2014.12.003","ISSN":"1201-9712","language":"en","license":"https://www.elsevier.com/tdm/userlicense/1.0/","note":"publisher: Elsevier BV","page":"147-151","source":"Crossref","title":"Why healthcare workers are sick of TB","volume":"32","author":[{"family":"Von Delft","given":"Arne"},{"family":"Dramowski","given":"Angela"},{"family":"Khosa","given":"Celso"},{"family":"Kotze","given":"Koot"},{"family":"Lederer","given":"Philip"},{"family":"Mosidi","given":"Thato"},{"family":"Peters","given":"Jurgens A."},{"family":"Smith","given":"Jonathan"},{"family":"Van Der Westhuizen","given":"Helene-Mari"},{"family":"Von Delft","given":"Dalene"},{"family":"Willems","given":"Bart"},{"family":"Bates","given":"Matthew"},{"family":"Craig","given":"Gill"},{"family":"Maeurer","given":"Markus"},{"family":"Marais","given":"Ben J."},{"family":"Mwaba","given":"Peter"},{"family":"Nunes","given":"Elizabete A."},{"family":"Nyirenda","given":"Thomas"},{"family":"Oliver","given":"Matt"},{"family":"Zumla","given":"Alimuddin"}],"issued":{"date-parts":[["2015",3]]}}}],"schema":"https://github.com/citation-style-language/schema/raw/master/csl-citation.json"}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Dudeia</w:t>
      </w:r>
      <w:proofErr w:type="spellEnd"/>
      <w:r w:rsidRPr="00AD6688">
        <w:rPr>
          <w:rFonts w:ascii="Times New Roman" w:hAnsi="Times New Roman" w:cs="Times New Roman"/>
          <w:sz w:val="24"/>
          <w:szCs w:val="24"/>
        </w:rPr>
        <w:t xml:space="preserve"> &amp; Singh, 2017 also confirmed this finding when it was revealed in their study that health care workers in their quest to provide quality health service to patients, majority of them send for food when they are in need. Food handlers, during preparation and processing contaminate the food with several chemical and biological agents unintentionally</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{"citationID":"Mv0bY705","properties":{"formattedCitation":"(18)","plainCitation":"(18)","noteIndex":0},"citationItems":[{"id":375,"uris":["http://zotero.org/users/local/fuyxLwzY/items/R28IN5VC"],"itemData":{"id":375,"type":"chapter","container-title":"Food Safety in the 21st Century","ISBN":"978-0-12-801773-9","language":"en","license":"https://www.elsevier.com/tdm/userlicense/1.0/","note":"DOI: 10.1016/b978-0-12-801773-9.00021-2","page":"269-280","publisher":"Elsevier","source":"Crossref","title":"Food handlers","URL":"https://linkinghub.elsevier.com/retrieve/pii/B9780128017739000212","container-author":[{"family":"Dudeja","given":"P."},{"family":"Singh","given":"A."}],"accessed":{"date-parts":[["2025",7,10]]},"issued":{"date-parts":[["2017"]]}}}],"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Similar study conducted by </w:t>
      </w:r>
      <w:proofErr w:type="spellStart"/>
      <w:r w:rsidRPr="00AD6688">
        <w:rPr>
          <w:rFonts w:ascii="Times New Roman" w:hAnsi="Times New Roman" w:cs="Times New Roman"/>
          <w:sz w:val="24"/>
          <w:szCs w:val="24"/>
        </w:rPr>
        <w:t>Ulutasdemir</w:t>
      </w:r>
      <w:proofErr w:type="spellEnd"/>
      <w:r w:rsidRPr="00AD6688">
        <w:rPr>
          <w:rFonts w:ascii="Times New Roman" w:hAnsi="Times New Roman" w:cs="Times New Roman"/>
          <w:sz w:val="24"/>
          <w:szCs w:val="24"/>
        </w:rPr>
        <w:t xml:space="preserve"> &amp; </w:t>
      </w:r>
      <w:proofErr w:type="spellStart"/>
      <w:r w:rsidRPr="00AD6688">
        <w:rPr>
          <w:rFonts w:ascii="Times New Roman" w:hAnsi="Times New Roman" w:cs="Times New Roman"/>
          <w:sz w:val="24"/>
          <w:szCs w:val="24"/>
        </w:rPr>
        <w:t>Tanir</w:t>
      </w:r>
      <w:proofErr w:type="spellEnd"/>
      <w:r w:rsidRPr="00AD6688">
        <w:rPr>
          <w:rFonts w:ascii="Times New Roman" w:hAnsi="Times New Roman" w:cs="Times New Roman"/>
          <w:sz w:val="24"/>
          <w:szCs w:val="24"/>
        </w:rPr>
        <w:t>, 2017 on occupational risk of health professionals iterated that, healthcare environment is highly considered the most breeding sites for occupational hazards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{"citationID":"RG3S0r35","properties":{"formattedCitation":"(19)","plainCitation":"(19)","noteIndex":0},"citationItems":[{"id":376,"uris":["http://zotero.org/users/local/fuyxLwzY/items/C8GN7AYU"],"itemData":{"id":376,"type":"article-journal","container-title":"Colloids and Surfaces A: Physicochemical and Engineering Aspects","DOI":"10.1016/j.colsurfa.2011.12.014","ISSN":"0927-7757","language":"en","license":"https://www.elsevier.com/tdm/userlicense/1.0/","note":"publisher: Elsevier BV","page":"116-124","source":"Crossref","title":"Novel ionic liquid-type Gemini surfactants: Synthesis, surface property and antimicrobial activity","title-short":"Novel ionic liquid-type Gemini surfactants","volume":"395","author":[{"family":"Li","given":"Hongqi"},{"family":"Yu","given":"Chaochao"},{"family":"Chen","given":"Rui"},{"family":"Li","given":"Juan"},{"family":"Li","given":"Jinxing"}],"issued":{"date-parts":[["2012",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drgEaCf5","properties":{"formattedCitation":"(15)","plainCitation":"(15)","noteIndex":0},"citationItems":[{"id":"vN2fituk/iXPmEjs0","uris":["http://www.mendeley.com/documents/?uuid=9fc03992-3d61-4a07-9953-cd7c2ad6879e"],"itemData":{"DOI":"10.1101/2020.04.20.20072470","abstract":"Importance: Healthcare workers are presumed to be at increased risk of severe acute respiratory syndrome coronavirus-2 (SARS-CoV-2) infection due to occupational exposure to infected patients. However, no epidemiological study has examined the prevalence of SARS-CoV-2 infection in a cohort of healthcare workers during the early phase of community transmission. Objective: To determine the baseline prevalence of SARS-CoV-2 infection in a cohort of previously undiagnosed healthcare workers and a comparison group of non-healthcare workers. Design: Prospective cohort study Setting: A large U.S. university and two affiliated university hospitals Participants: 546 health care workers and 283 non-health care workers with no known prior SARS-CoV-2 infection Exposure: Healthcare worker status and role Main outcome(s) and measure(s): SARS-CoV-2 infection status as determined by presence of SARS-CoV-2 RNA in oropharyngeal swabs. Results: At baseline, 41 (5.0%) of participants tested positive for SARS-CoV-2 infection, of whom 14 (34.2%) reported symptoms. The prevalence of SARS-CoV-2 infection was higher among healthcare workers (7.3%) than in non-healthcare workers (0.4%), representing a 7.0% greater absolute risk (95% confidence interval for risk difference 4.7%, 9.3%). The majority of infected healthcare workers (62.5%) worked as nurses. Positive tests increased across the two weeks of cohort recruitment in line with rising confirmed cases in the hospitals and surrounding counties. Conclusions and relevance: In a prospective cohort conducted in the early phases of community transmission, healthcare workers had a higher prevalence of SARS-CoV-2 infection than non-healthcare workers, attesting to the occupational hazards of caring for patients in this crisis. Baseline data reported here will enable us to monitor the spread of infection and examine risk factors for transmission among healthcare workers. These results will inform optimal strategies for protecting the healthcare workforce, their families, and their patients.","author":[{"dropping-particle":"","family":"Barrett","given":"Emily S.","non-dropping-particle":"","parse-names":false,"suffix":""},{"dropping-particle":"","family":"Horton","given":"Daniel B.","non-dropping-particle":"","parse-names":false,"suffix":""},{"dropping-particle":"","family":"Roy","given":"Jason","non-dropping-particle":"","parse-names":false,"suffix":""},{"dropping-particle":"","family":"Gennaro","given":"Maria Laura","non-dropping-particle":"","parse-names":false,"suffix":""},{"dropping-particle":"","family":"Brooks","given":"Andrew","non-dropping-particle":"","parse-names":false,"suffix":""},{"dropping-particle":"","family":"Tischfield","given":"Jay","non-dropping-particle":"","parse-names":false,"suffix":""},{"dropping-particle":"","family":"Greenberg","given":"Patricia","non-dropping-particle":"","parse-names":false,"suffix":""},{"dropping-particle":"","family":"Andrews","given":"Tracy","non-dropping-particle":"","parse-names":false,"suffix":""},{"dropping-particle":"","family":"Jagpal","given":"Sugeet","non-dropping-particle":"","parse-names":false,"suffix":""},{"dropping-particle":"","family":"Reilly","given":"Nancy","non-dropping-particle":"","parse-names":false,"suffix":""},{"dropping-particle":"","family":"Blaser","given":"Martin J.","non-dropping-particle":"","parse-names":false,"suffix":""},{"dropping-particle":"","family":"Carson","given":"Jeffrey L.","non-dropping-particle":"","parse-names":false,"suffix":""},{"dropping-particle":"","family":"Panettieri","given":"Reynold A.","non-dropping-particle":"","parse-names":false,"suffix":""}],"container-title":"medRxiv","id":"ITEM-1","issue":"853","issued":{"date-parts":[["2020"]]},"page":"1-10","publisher":"BMC Infectious Diseases","title":"Prevalence of SARS-CoV-2 infection in previously undiagnosed health care workers at the onset of the U.S. COVID-19 epidemic","type":"article-journal","volume":"20"}}],"schema":"https://github.com/citation-style-language/schema/raw/master/csl-citation.json"}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study further found that majority of health workers  75.7% self-medicate when they acquire infections while 24.3% seek medical attention. This study finding is in line with a study conducted by </w:t>
      </w:r>
      <w:proofErr w:type="spellStart"/>
      <w:r w:rsidRPr="00AD6688">
        <w:rPr>
          <w:rFonts w:ascii="Times New Roman" w:hAnsi="Times New Roman" w:cs="Times New Roman"/>
          <w:color w:val="000000" w:themeColor="text1"/>
          <w:sz w:val="24"/>
          <w:szCs w:val="24"/>
        </w:rPr>
        <w:t>Onchonga</w:t>
      </w:r>
      <w:proofErr w:type="spellEnd"/>
      <w:r w:rsidRPr="00AD6688">
        <w:rPr>
          <w:rFonts w:ascii="Times New Roman" w:hAnsi="Times New Roman" w:cs="Times New Roman"/>
          <w:color w:val="000000" w:themeColor="text1"/>
          <w:sz w:val="24"/>
          <w:szCs w:val="24"/>
        </w:rPr>
        <w:t xml:space="preserve">, </w:t>
      </w:r>
      <w:proofErr w:type="spellStart"/>
      <w:r w:rsidRPr="00AD6688">
        <w:rPr>
          <w:rFonts w:ascii="Times New Roman" w:hAnsi="Times New Roman" w:cs="Times New Roman"/>
          <w:color w:val="000000" w:themeColor="text1"/>
          <w:sz w:val="24"/>
          <w:szCs w:val="24"/>
        </w:rPr>
        <w:t>Omwoyo</w:t>
      </w:r>
      <w:proofErr w:type="spellEnd"/>
      <w:r w:rsidRPr="00AD6688">
        <w:rPr>
          <w:rFonts w:ascii="Times New Roman" w:hAnsi="Times New Roman" w:cs="Times New Roman"/>
          <w:color w:val="000000" w:themeColor="text1"/>
          <w:sz w:val="24"/>
          <w:szCs w:val="24"/>
        </w:rPr>
        <w:t xml:space="preserve">, &amp; </w:t>
      </w:r>
      <w:proofErr w:type="spellStart"/>
      <w:r w:rsidRPr="00AD6688">
        <w:rPr>
          <w:rFonts w:ascii="Times New Roman" w:hAnsi="Times New Roman" w:cs="Times New Roman"/>
          <w:color w:val="000000" w:themeColor="text1"/>
          <w:sz w:val="24"/>
          <w:szCs w:val="24"/>
        </w:rPr>
        <w:t>Nyamamba</w:t>
      </w:r>
      <w:proofErr w:type="spellEnd"/>
      <w:r w:rsidRPr="00AD6688">
        <w:rPr>
          <w:rFonts w:ascii="Times New Roman" w:hAnsi="Times New Roman" w:cs="Times New Roman"/>
          <w:color w:val="000000" w:themeColor="text1"/>
          <w:sz w:val="24"/>
          <w:szCs w:val="24"/>
        </w:rPr>
        <w:t>, 2020</w:t>
      </w:r>
      <w:r w:rsidRPr="00AD6688">
        <w:rPr>
          <w:rFonts w:ascii="Times New Roman" w:hAnsi="Times New Roman" w:cs="Times New Roman"/>
          <w:sz w:val="24"/>
          <w:szCs w:val="24"/>
        </w:rPr>
        <w:t xml:space="preserve"> on assessing the prevalence of self medication among health care workers before and during 2019 SARS-CoV-2(COVID 19) pandemic in </w:t>
      </w:r>
      <w:proofErr w:type="spellStart"/>
      <w:r w:rsidRPr="00AD6688">
        <w:rPr>
          <w:rFonts w:ascii="Times New Roman" w:hAnsi="Times New Roman" w:cs="Times New Roman"/>
          <w:sz w:val="24"/>
          <w:szCs w:val="24"/>
        </w:rPr>
        <w:t>kenya</w:t>
      </w:r>
      <w:proofErr w:type="spellEnd"/>
      <w:r w:rsidRPr="00AD6688">
        <w:rPr>
          <w:rFonts w:ascii="Times New Roman" w:hAnsi="Times New Roman" w:cs="Times New Roman"/>
          <w:sz w:val="24"/>
          <w:szCs w:val="24"/>
        </w:rPr>
        <w:t xml:space="preserve"> added that most health care workers usually self-medicate when they found out they have acquired an infection (p&lt;0.05)</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{"citationID":"VdGQoZxI","properties":{"formattedCitation":"(20)","plainCitation":"(20)","noteIndex":0},"citationItems":[{"id":377,"uris":["http://zotero.org/users/local/fuyxLwzY/items/DKSPFD3X"],"itemData":{"id":377,"type":"article-journal","container-title":"Saudi Pharmaceutical Journal","DOI":"10.1016/j.jsps.2020.08.003","ISSN":"1319-0164","issue":"10","language":"en","license":"https://www.elsevier.com/tdm/userlicense/1.0/","note":"publisher: Springer Science and Business Media LLC","page":"1149-1154","source":"Crossref","title":"Assessing the prevalence of self-medication among healthcare workers before and during the 2019 SARS-CoV-2 (COVID-19) pandemic in Kenya","volume":"28","author":[{"family":"Onchonga","given":"David"},{"family":"Omwoyo","given":"Joshua"},{"family":"Nyamamba","given":"Duke"}],"issued":{"date-parts":[["2020",10]]}}}],"schema":"https://github.com/citation-style-language/schema/raw/master/csl-citation.json"}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w:t>
      </w:r>
      <w:proofErr w:type="spellStart"/>
      <w:r w:rsidRPr="00AD6688">
        <w:rPr>
          <w:rFonts w:ascii="Times New Roman" w:hAnsi="Times New Roman" w:cs="Times New Roman"/>
          <w:sz w:val="24"/>
          <w:szCs w:val="24"/>
        </w:rPr>
        <w:t>Sadio</w:t>
      </w:r>
      <w:proofErr w:type="spellEnd"/>
      <w:r w:rsidRPr="00AD6688">
        <w:rPr>
          <w:rFonts w:ascii="Times New Roman" w:hAnsi="Times New Roman" w:cs="Times New Roman"/>
          <w:sz w:val="24"/>
          <w:szCs w:val="24"/>
        </w:rPr>
        <w:t xml:space="preserve"> et al., 2020) in their study on </w:t>
      </w:r>
      <w:proofErr w:type="spellStart"/>
      <w:r w:rsidRPr="00AD6688">
        <w:rPr>
          <w:rFonts w:ascii="Times New Roman" w:hAnsi="Times New Roman" w:cs="Times New Roman"/>
          <w:sz w:val="24"/>
          <w:szCs w:val="24"/>
        </w:rPr>
        <w:t>assessement</w:t>
      </w:r>
      <w:proofErr w:type="spellEnd"/>
      <w:r w:rsidRPr="00AD6688">
        <w:rPr>
          <w:rFonts w:ascii="Times New Roman" w:hAnsi="Times New Roman" w:cs="Times New Roman"/>
          <w:sz w:val="24"/>
          <w:szCs w:val="24"/>
        </w:rPr>
        <w:t xml:space="preserve"> of self medication practices in the context of COVID outbreak in Togo affirmed that self medication was prevalent in the treatment of COVID 19. Most of the health workers were using vitamin C (27.6%) and some relied on  traditional medicine (95% CI : 31.2-37.3). The study in addition found that 75.7% of health workers had ever got injured and 24.3% had not. Again, 104 (40.2%) had injuries such as fall, burns, lifting of patient and cut through weeding, other injuries </w:t>
      </w:r>
      <w:proofErr w:type="spellStart"/>
      <w:r w:rsidRPr="00AD6688">
        <w:rPr>
          <w:rFonts w:ascii="Times New Roman" w:hAnsi="Times New Roman" w:cs="Times New Roman"/>
          <w:sz w:val="24"/>
          <w:szCs w:val="24"/>
        </w:rPr>
        <w:t>injuries</w:t>
      </w:r>
      <w:proofErr w:type="spellEnd"/>
      <w:r w:rsidRPr="00AD6688">
        <w:rPr>
          <w:rFonts w:ascii="Times New Roman" w:hAnsi="Times New Roman" w:cs="Times New Roman"/>
          <w:sz w:val="24"/>
          <w:szCs w:val="24"/>
        </w:rPr>
        <w:t xml:space="preserve"> included needle prick (5.8%), back pain (12.7%) and leg injury 50 (19.3%). This finding affirmed studies conducted by (Suliman et al., 2018); (</w:t>
      </w:r>
      <w:proofErr w:type="spellStart"/>
      <w:r w:rsidRPr="00AD6688">
        <w:rPr>
          <w:rFonts w:ascii="Times New Roman" w:hAnsi="Times New Roman" w:cs="Times New Roman"/>
          <w:sz w:val="24"/>
          <w:szCs w:val="24"/>
        </w:rPr>
        <w:t>Wåhlin</w:t>
      </w:r>
      <w:proofErr w:type="spellEnd"/>
      <w:r w:rsidRPr="00AD6688">
        <w:rPr>
          <w:rFonts w:ascii="Times New Roman" w:hAnsi="Times New Roman" w:cs="Times New Roman"/>
          <w:sz w:val="24"/>
          <w:szCs w:val="24"/>
        </w:rPr>
        <w:t xml:space="preserve"> et al., 2020) who revealed that averagely, 3.5% of health workers had </w:t>
      </w:r>
      <w:proofErr w:type="spellStart"/>
      <w:r w:rsidRPr="00AD6688">
        <w:rPr>
          <w:rFonts w:ascii="Times New Roman" w:hAnsi="Times New Roman" w:cs="Times New Roman"/>
          <w:sz w:val="24"/>
          <w:szCs w:val="24"/>
        </w:rPr>
        <w:t>injuriess</w:t>
      </w:r>
      <w:proofErr w:type="spellEnd"/>
      <w:r w:rsidRPr="00AD6688">
        <w:rPr>
          <w:rFonts w:ascii="Times New Roman" w:hAnsi="Times New Roman" w:cs="Times New Roman"/>
          <w:sz w:val="24"/>
          <w:szCs w:val="24"/>
        </w:rPr>
        <w:t xml:space="preserve"> such as needle prick, workplace violence, injuries during patient manual handling and sharp injuries and these injuries are common in the health care environment, especially student nurses who are at high risk of needle prick injuries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c5u60Ja7","properties":{"formattedCitation":"(21,22)","plainCitation":"(21,22)","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Today","id":"vN2fituk/2EmtLpcl","issue":"12","issued":{"date-parts":[["2018","1"]]},"page":"23-27","title":"Students nurses' knowledge and prevalence of Needle Stick Injury in Jordan","type":"article-journal","volume":"60"}},{"id":380,"uris":["http://zotero.org/users/local/fuyxLwzY/items/P2WS2LI5"],"itemData":{"id":380,"type":"article-journal","container-title":"European Journal of Physiotherapy","DOI":"10.1080/21679169.2018.1549594","ISSN":"2167-9169, 2167-9177","issue":"1","language":"en","license":"http://creativecommons.org/licenses/by-nc-nd/4.0/","note":"publisher: Informa UK Limited","page":"44-50","source":"Crossref","title":"Patient and healthcare worker safety risks and injuries. Learning from incident reporting","volume":"22","author":[{"family":"Wåhlin","given":"Charlotte"},{"family":"Kvarnström","given":"Susanne"},{"family":"Öhrn","given":"Annica"},{"family":"Nilsing Strid","given":"Emma"}],"issued":{"date-parts":[["2020",1,2]]}}}],"schema":"https://github.com/citation-style-language/schema/raw/master/csl-citation.json"}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(21,22)</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Similarly, a systematic review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2qfEfku","properties":{"formattedCitation":"(23)","plainCitation":"(23)","noteIndex":0},"citationItems":[{"id":"vN2fituk/llpP7kyq","uris":["http://www.mendeley.com/documents/?uuid=e6723b08-4cbc-4e81-aca8-545f22735564"],"itemData":{"DOI":"10.5334/aogh.2434","ISSN":"22149996","PMID":"31172728","abstract":"Background: While all healthcare workers are exposed to occupational hazards, workers in sub-Saharan Africa have higher rates of occupational exposure to infectious diseases than workers in developed countries. Identifying prevalence and context of exposure to blood and bloodborne pathogens may help guide policies for prevention. Objective: This systematic review examined occupational exposure rates to blood and bloodborne pathogen among healthcare workers in sub-Saharan Africa. Methods: In November 2017, a comprehensive literature search was conducted to identify studies reporting exposure of health workers in African coutnries to blood and bodily fluids. Title, abstract and full text screening were used to narrow our search. Studies more than 10 years old, or published in non-English languages were excluded. Findings: Fifteen studies reported a variety of exposures. The lifetime prevalence of needlestick injury ranged from 22–95%, and one-year prevalence ranged from 39–91%. Studies included a range of descriptive statistics of knowledge, attitudes, practice and access factors related to exposures. Two studies reported 21–32% of respondents linked poor knowledge or training with prevention of needlestick injuries. Rates of recapping needles ranged from 12–57% in four studies. Attitudes were generally positive toward occupational safety procedures while access was poor. Conclusions: The high burden of blood and bloodborne pathogen exposures demonstrated here indicates a high risk for contracting bloodborne illnesses. Although the data are sparse, implementation of preventative policies based on current knowledge remains critical to minimize risk and reduce exposure. There remains a pressing need for high quality data on occupational hazards to identify the burden of exposures and inform preventive policies in Sub-Saharan Africa. Additional studies are needed to determine whether differential exposures exist between professions and the associations with knowledge, attitudes, practices, and access factors to create targeted strategies to diminish occupational hazards.","author":[{"dropping-particle":"","family":"Mossburg","given":"Sarah","non-dropping-particle":"","parse-names":false,"suffix":""},{"dropping-particle":"","family":"Agore","given":"Angela","non-dropping-particle":"","parse-names":false,"suffix":""},{"dropping-particle":"","family":"Nkimbeng","given":"Manka","non-dropping-particle":"","parse-names":false,"suffix":""},{"dropping-particle":"","family":"Commodore-Mensah","given":"Yvonne","non-dropping-particle":"","parse-names":false,"suffix":""}],"container-title":"Annals of Global Health","id":"ITEM-1","issue":"1","issued":{"date-parts":[["2019"]]},"page":"1-13","title":"Occupational hazards among healthcare workers in africa: A systematic review","type":"article-journal","volume":"85"}}],"schema":"https://github.com/citation-style-language/schema/raw/master/csl-citation.json"}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occupational hazards among health care workers in Africa revealed needle stick injuries are among the leading cause of injuries among care workers, rate of recapping was prominent and nurses lacked adequate knowledge.</w:t>
      </w:r>
    </w:p>
    <w:p w14:paraId="1438ACB8"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  In addition, </w:t>
      </w:r>
      <w:proofErr w:type="spellStart"/>
      <w:r w:rsidRPr="00AD6688">
        <w:rPr>
          <w:rFonts w:ascii="Times New Roman" w:hAnsi="Times New Roman" w:cs="Times New Roman"/>
          <w:sz w:val="24"/>
          <w:szCs w:val="24"/>
        </w:rPr>
        <w:t>Ulutasdemir</w:t>
      </w:r>
      <w:proofErr w:type="spellEnd"/>
      <w:r w:rsidRPr="00AD6688">
        <w:rPr>
          <w:rFonts w:ascii="Times New Roman" w:hAnsi="Times New Roman" w:cs="Times New Roman"/>
          <w:sz w:val="24"/>
          <w:szCs w:val="24"/>
        </w:rPr>
        <w:t xml:space="preserve"> &amp; </w:t>
      </w:r>
      <w:proofErr w:type="spellStart"/>
      <w:r w:rsidRPr="00AD6688">
        <w:rPr>
          <w:rFonts w:ascii="Times New Roman" w:hAnsi="Times New Roman" w:cs="Times New Roman"/>
          <w:sz w:val="24"/>
          <w:szCs w:val="24"/>
        </w:rPr>
        <w:t>Tanir</w:t>
      </w:r>
      <w:proofErr w:type="spellEnd"/>
      <w:r w:rsidRPr="00AD6688">
        <w:rPr>
          <w:rFonts w:ascii="Times New Roman" w:hAnsi="Times New Roman" w:cs="Times New Roman"/>
          <w:sz w:val="24"/>
          <w:szCs w:val="24"/>
        </w:rPr>
        <w:t>, (2017) on occupational risk of health professionals iterated that, healthcare environment is highly considered the most breeding sites for occupational hazards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Q7tItPw","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Health","id":"vN2fituk/a7i7OMzr","issue":"13","issued":{"date-parts":[["2017"]]},"page":"38-68","title":"Occupational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study further revealed that majority of health workers 189 (73.1%) had had no workshop on occupational health and safety whilst 70 (26.9%) said yes they have had a workshop on occupational health and safety. Again, 239(92.3%) recommended management should organize more training on occupational health and safety practices. These findings are of  similar to finding of the study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hwgCuaY","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Health","id":"ITEM-1","issue":"13","issued":{"date-parts":[["2017"]]},"page":"38-68","title":"Occupational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which affirmed that there is little or no workshop for most health staff and further recommended regular in-service training on OHS.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{"citationID":"maz1oj5z","properties":{"formattedCitation":"(25)","plainCitation":"(25)","noteIndex":0},"citationItems":[{"id":"vN2fituk/1Gn2Qx4A","uris":["http://www.mendeley.com/documents/?uuid=c3e46763-b921-41a2-980f-4efba1c2c745"],"itemData":{"abstract":"Each year workplaces provide many hours of training for employees, including occupational health and safety (OHS) training. Training is widely acknowledged as an important component of occupational hazard control and risk management programs. Increasingly, business owners want to know whether training can meet its goals of decreasing injury and illness, and whether the cost of training programs can be justified. This is important in view of the millions of injuries and illnesses, and thousands of deaths, that are reported annually in workplaces throughout North America and globally","author":[{"dropping-particle":"","family":"Atuahene Mensah","given":"John Esian","non-dropping-particle":"","parse-names":false,"suffix":""}],"container-title":"Sharing Best Evidence.","id":"ITEM-1","issue":"01","issued":{"date-parts":[["2019"]]},"page":"1-4","title":"Effectiveness of OHS education and training","type":"article-journal","volume":"4"}}],"schema":"https://github.com/citation-style-language/schema/raw/master/csl-citation.json"}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also added that Training of health care workers on the prevention of occupational injuries can prevent work retardants. Training is widely acknowledged as an important component of occupational hazard control and risk management. Again,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s5KDpEc0","properties":{"formattedCitation":"(26)","plainCitation":"(26)","noteIndex":0},"citationItems":[{"id":"vN2fituk/2OBjKgUZ","uris":["http://www.mendeley.com/documents/?uuid=ed39145a-0f19-446b-a169-b121a9290f5c"],"itemData":{"DOI":"10.1155/2015/913741","ISSN":"1687-9805","PMID":"25802531","abstract":"Objective. To assess the occupational health hazards faced by healthcare workers and the mitigation measures. Methods. We conducted a cross-sectional study utilizing quantitative data collection methods among 200 respondents who worked in 8 major health facilities in Kampala. Results. Overall, 50.0% of respondents reported experiencing an occupational health hazard. Among these, 39.5% experienced biological hazards while 31.5% experienced nonbiological hazards. Predictors for experiencing hazards included not wearing the necessary personal protective equipment (PPE), working overtime, job related pressures, and working in multiple health facilities. Control measures to mitigate hazards were availing separate areas and containers to store medical waste and provision of safety tools and equipment. Conclusion. Healthcare workers in this setting experience several hazards in their workplaces. Associated factors include not wearing all necessary protective equipment, working overtime, experiencing work related pressures, and working in multiple facilities. Interventions should be instituted to mitigate the hazards. Specifically PPE supply gaps, job related pressures, and complacence in adhering to mitigation measures should be addressed.","author":[{"dropping-particle":"","family":"Ndejjo","given":"Rawlance","non-dropping-particle":"","parse-names":false,"suffix":""},{"dropping-particle":"","family":"Musinguzi","given":"Geofrey","non-dropping-particle":"","parse-names":false,"suffix":""},{"dropping-particle":"","family":"Yu","given":"Xiaozhong","non-dropping-particle":"","parse-names":false,"suffix":""},{"dropping-particle":"","family":"Buregyeya","given":"Esther","non-dropping-particle":"","parse-names":false,"suffix":""},{"dropping-particle":"","family":"Musoke","given":"David","non-dropping-particle":"","parse-names":false,"suffix":""},{"dropping-particle":"","family":"Wang","given":"Jia-Sheng","non-dropping-particle":"","parse-names":false,"suffix":""},{"dropping-particle":"","family":"Halage","given":"Abdullah Ali","non-dropping-particle":"","parse-names":false,"suffix":""},{"dropping-particle":"","family":"Whalen","given":"Christopher","non-dropping-particle":"","parse-names":false,"suffix":""},{"dropping-particle":"","family":"Bazeyo","given":"William","non-dropping-particle":"","parse-names":false,"suffix":""},{"dropping-particle":"","family":"Williams","given":"Phillip","non-dropping-particle":"","parse-names":false,"suffix":""},{"dropping-particle":"","family":"Ssempebwa","given":"John","non-dropping-particle":"","parse-names":false,"suffix":""}],"container-title":"Journal of Environmental and Public Health","id":"ITEM-1","issue":"3","issued":{"date-parts":[["2015"]]},"page":"1-9","title":"Occupational Health Hazards among Healthcare Workers in Kampala, Uganda","type":"article-journal","volume":"2015"}}],"schema":"https://github.com/citation-style-language/schema/raw/master/csl-citation.json"}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also revealed that factors associated with injuri</w:t>
      </w:r>
      <w:r w:rsidR="00004FBC" w:rsidRPr="00AD6688">
        <w:rPr>
          <w:rFonts w:ascii="Times New Roman" w:hAnsi="Times New Roman" w:cs="Times New Roman"/>
          <w:sz w:val="24"/>
          <w:szCs w:val="24"/>
        </w:rPr>
        <w:t xml:space="preserve">es at the workplace include non </w:t>
      </w:r>
      <w:r w:rsidRPr="00AD6688">
        <w:rPr>
          <w:rFonts w:ascii="Times New Roman" w:hAnsi="Times New Roman" w:cs="Times New Roman"/>
          <w:sz w:val="24"/>
          <w:szCs w:val="24"/>
        </w:rPr>
        <w:t xml:space="preserve">wearing of PPE, overtime working, work related pressures, working in multiple facilities and inadequate training on the use of equipment. These hinder compliance to </w:t>
      </w:r>
      <w:proofErr w:type="spellStart"/>
      <w:r w:rsidRPr="00AD6688">
        <w:rPr>
          <w:rFonts w:ascii="Times New Roman" w:hAnsi="Times New Roman" w:cs="Times New Roman"/>
          <w:sz w:val="24"/>
          <w:szCs w:val="24"/>
        </w:rPr>
        <w:t>protoclos</w:t>
      </w:r>
      <w:proofErr w:type="spellEnd"/>
      <w:r w:rsidRPr="00AD6688">
        <w:rPr>
          <w:rFonts w:ascii="Times New Roman" w:hAnsi="Times New Roman" w:cs="Times New Roman"/>
          <w:sz w:val="24"/>
          <w:szCs w:val="24"/>
        </w:rPr>
        <w:t xml:space="preserve"> and expose workers to work related injuries</w:t>
      </w:r>
    </w:p>
    <w:p w14:paraId="5D46C9A8" w14:textId="77777777" w:rsidR="002F4F67" w:rsidRPr="00AD6688" w:rsidRDefault="00977FB9" w:rsidP="006635CC">
      <w:pPr>
        <w:pStyle w:val="Heading1"/>
        <w:spacing w:line="240" w:lineRule="auto"/>
        <w:rPr>
          <w:rFonts w:ascii="Times New Roman" w:hAnsi="Times New Roman" w:cs="Times New Roman"/>
          <w:b/>
          <w:color w:val="000000"/>
          <w:sz w:val="24"/>
          <w:szCs w:val="24"/>
        </w:rPr>
      </w:pPr>
      <w:bookmarkStart w:id="59" w:name="_Toc79350957"/>
      <w:r w:rsidRPr="00AD6688">
        <w:rPr>
          <w:rFonts w:ascii="Times New Roman" w:hAnsi="Times New Roman" w:cs="Times New Roman"/>
          <w:b/>
          <w:color w:val="000000"/>
          <w:sz w:val="24"/>
          <w:szCs w:val="24"/>
        </w:rPr>
        <w:t>4</w:t>
      </w:r>
      <w:r w:rsidR="00E15D01" w:rsidRPr="00AD6688">
        <w:rPr>
          <w:rFonts w:ascii="Times New Roman" w:hAnsi="Times New Roman" w:cs="Times New Roman"/>
          <w:b/>
          <w:color w:val="000000"/>
          <w:sz w:val="24"/>
          <w:szCs w:val="24"/>
        </w:rPr>
        <w:t>.2 Possible Reasons of Occupational Hazards and Injuries among Health Care Workers</w:t>
      </w:r>
      <w:bookmarkEnd w:id="59"/>
      <w:r w:rsidR="00004FBC" w:rsidRPr="00AD6688">
        <w:rPr>
          <w:rFonts w:ascii="Times New Roman" w:hAnsi="Times New Roman" w:cs="Times New Roman"/>
          <w:b/>
          <w:color w:val="000000"/>
          <w:sz w:val="24"/>
          <w:szCs w:val="24"/>
        </w:rPr>
        <w:t>.</w:t>
      </w:r>
    </w:p>
    <w:p w14:paraId="7FB31ACC"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study revealed several possible reasons of occupational hazards and injuries among health workers in the health facilities. Use and non-use of PPE have diverse effect on the health of workers. Majority of health workers 78.8% had no PPE to use in their facility, 18.1% said PPE were available for use and 3.1% said they do not know whether PPE were available. These findings are similar to studies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yTcpRNRU","properties":{"formattedCitation":"(27)","plainCitation":"(27)","noteIndex":0},"citationItems":[{"id":"vN2fituk/xUgpC293","uris":["http://www.mendeley.com/documents/?uuid=8b5968ed-9d99-4c92-a4e8-bbb03b328e4b","http://www.mendeley.com/documents/?uuid=3343314c-4036-4bf1-8de3-caf3bb6593d8"],"itemData":{"DOI":"10.1002/14651858.CD011621.pub4","ISSN":"14651858","PMID":"32293717","abstract":"Background: In epidemics of highly infectious diseases, such as Ebola, severe acute respiratory syndrome (SARS), or coronavirus (COVID-19), healthcare workers (HCW) are at much greater risk of infection than the general population, due to their contact with patients' contaminated body fluids. Personal protective equipment (PPE) can reduce the risk by covering exposed body parts. It is unclear which type of PPE protects best, what is the best way to put PPE on (i.e. donning) or to remove PPE (i.e. doffing), and how to train HCWs to use PPE as instructed. Objectives: To evaluate which type of full-body PPE and which method of donning or doffing PPE have the least risk of contamination or infection for HCW, and which training methods increase compliance with PPE protocols. Search methods: We searched CENTRAL, MEDLINE, Embase and CINAHL to 20 March 2020. Selection criteria: We included all controlled studies that evaluated the effect of full-body PPE used by HCW exposed to highly infectious diseases, on the risk of infection, contamination, or noncompliance with protocols. We also included studies that compared the effect of various ways of donning or doffing PPE, and the effects of training on the same outcomes. Data collection and analysis: Two review authors independently selected studies, extracted data and assessed the risk of bias in included trials. We conducted random-effects meta-analyses were appropriate. Main results: Earlier versions of this review were published in 2016 and 2019. In this update, we included 24 studies with 2278 participants, of which 14 were randomised controlled trials (RCT), one was a quasi-RCT and nine had a non-randomised design. Eight studies compared types of PPE. Six studies evaluated adapted PPE. Eight studies compared donning and doffing processes and three studies evaluated types of training. Eighteen studies used simulated exposure with fluorescent markers or harmless microbes. In simulation studies, median contamination rates were 25% for the intervention and 67% for the control groups. Evidence for all outcomes is of very low certainty unless otherwise stated because it is based on one or two studies, the indirectness of the evidence in simulation studies and because of risk of bias. Types of PPE. The use of a powered, air-purifying respirator with coverall may protect against the risk of contamination better than a N95 mask and gown (risk ratio (RR) 0.27, 95% confidence interval (CI) 0.17 to 0.43) but was more dif…","author":[{"dropping-particle":"","family":"Verbeek","given":"Jos H.","non-dropping-particle":"","parse-names":false,"suffix":""},{"dropping-particle":"","family":"Rajamaki","given":"Blair","non-dropping-particle":"","parse-names":false,"suffix":""},{"dropping-particle":"","family":"Ijaz","given":"Sharea","non-dropping-particle":"","parse-names":false,"suffix":""},{"dropping-particle":"","family":"Sauni","given":"Riitta","non-dropping-particle":"","parse-names":false,"suffix":""},{"dropping-particle":"","family":"Toomey","given":"Elaine","non-dropping-particle":"","parse-names":false,"suffix":""},{"dropping-particle":"","family":"Blackwood","given":"Bronagh","non-dropping-particle":"","parse-names":false,"suffix":""},{"dropping-particle":"","family":"Tikka","given":"Christina","non-dropping-particle":"","parse-names":false,"suffix":""},{"dropping-particle":"","family":"Ruotsalainen","given":"Jani H.","non-dropping-particle":"","parse-names":false,"suffix":""},{"dropping-particle":"","family":"Kilinc Balci","given":"F. Selcen","non-dropping-particle":"","parse-names":false,"suffix":""}],"container-title":"Cochrane Database of Systematic Reviews","id":"ITEM-1","issued":{"date-parts":[["2020","4","15"]]},"title":"Personal protective equipment for preventing highly infectious diseases due to exposure to contaminated body fluids in healthcare staff","type":"article-journal"}}],"schema":"https://github.com/citation-style-language/schema/raw/master/csl-citation.json"}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nUiLezu","properties":{"formattedCitation":"(28)","plainCitation":"(28)","noteIndex":0},"citationItems":[{"id":"vN2fituk/69bRM68t","uris":["http://www.mendeley.com/documents/?uuid=d42f638e-9eef-4bac-bdf6-9143f2195b28"],"itemData":{"DOI":"10.1016/S2468-2667(20)30164-X","ISSN":"24682667","PMID":"32745512","abstract":"Background: Data for front-line health-care workers and risk of COVID-19 are limited. We sought to assess risk of COVID-19 among front-line health-care workers compared with the general community and the effect of personal protective equipment (PPE) on risk. Methods: We did a prospective, observational cohort study in the UK and the USA of the general community, including front-line health-care workers, using self-reported data from the COVID Symptom Study smartphone application (app) from March 24 (UK) and March 29 (USA) to April 23, 2020. Participants were voluntary users of the app and at first use provided information on demographic factors (including age, sex, race or ethnic background, height and weight, and occupation) and medical history, and subsequently reported any COVID-19 symptoms. We used Cox proportional hazards modelling to estimate multivariate-adjusted hazard ratios (HRs) of our primary outcome, which was a positive COVID-19 test. The COVID Symptom Study app is registered with ClinicalTrials.gov, NCT04331509. Findings: Among 2 035 395 community individuals and 99 795 front-line health-care workers, we recorded 5545 incident reports of a positive COVID-19 test over 34 435 272 person-days. Compared with the general community, front-line health-care workers were at increased risk for reporting a positive COVID-19 test (adjusted HR 11·61, 95% CI 10·93–12·33). To account for differences in testing frequency between front-line health-care workers and the general community and possible selection bias, an inverse probability-weighted model was used to adjust for the likelihood of receiving a COVID-19 test (adjusted HR 3·40, 95% CI 3·37–3·43). Secondary and post-hoc analyses suggested adequacy of PPE, clinical setting, and ethnic background were also important factors. Interpretation: In the UK and the USA, risk of reporting a positive test for COVID-19 was increased among front-line health-care workers. Health-care systems should ensure adequate availability of PPE and develop additional strategies to protect health-care workers from COVID-19, particularly those from Black, Asian, and minority ethnic backgrounds. Additional follow-up of these observational findings is needed. Funding: Zoe Global, Wellcome Trust, Engineering and Physical Sciences Research Council, National Institutes of Health Research, UK Research and Innovation, Alzheimer's Society, National Institutes of Health, National Institute for Occupational Safety and Health, and Mass…","author":[{"dropping-particle":"","family":"Nguyen","given":"Long H.","non-dropping-particle":"","parse-names":false,"suffix":""},{"dropping-particle":"","family":"Drew","given":"David A.","non-dropping-particle":"","parse-names":false,"suffix":""},{"dropping-particle":"","family":"Graham","given":"Mark S.","non-dropping-particle":"","parse-names":false,"suffix":""},{"dropping-particle":"","family":"Joshi","given":"Amit D.","non-dropping-particle":"","parse-names":false,"suffix":""},{"dropping-particle":"","family":"Guo","given":"Chuan Guo","non-dropping-particle":"","parse-names":false,"suffix":""},{"dropping-particle":"","family":"Ma","given":"Wenjie","non-dropping-particle":"","parse-names":false,"suffix":""},{"dropping-particle":"","family":"Mehta","given":"Raaj S.","non-dropping-particle":"","parse-names":false,"suffix":""},{"dropping-particle":"","family":"Warner","given":"Erica T.","non-dropping-particle":"","parse-names":false,"suffix":""},{"dropping-particle":"","family":"Sikavi","given":"Daniel R.","non-dropping-particle":"","parse-names":false,"suffix":""},{"dropping-particle":"","family":"Lo","given":"Chun Han","non-dropping-particle":"","parse-names":false,"suffix":""},{"dropping-particle":"","family":"Kwon","given":"Sohee","non-dropping-particle":"","parse-names":false,"suffix":""},{"dropping-particle":"","family":"Song","given":"Mingyang","non-dropping-particle":"","parse-names":false,"suffix":""},{"dropping-particle":"","family":"Mucci","given":"Lorelei A.","non-dropping-particle":"","parse-names":false,"suffix":""},{"dropping-particle":"","family":"Stampfer","given":"Meir J.","non-dropping-particle":"","parse-names":false,"suffix":""},{"dropping-particle":"","family":"Willett","given":"Walter C.","non-dropping-particle":"","parse-names":false,"suffix":""},{"dropping-particle":"","family":"Eliassen","given":"A. Heather","non-dropping-particle":"","parse-names":false,"suffix":""},{"dropping-particle":"","family":"Hart","given":"Jaime E.","non-dropping-particle":"","parse-names":false,"suffix":""},{"dropping-particle":"","family":"Chavarro","given":"Jorge E.","non-dropping-particle":"","parse-names":false,"suffix":""},{"dropping-particle":"","family":"Rich-Edwards","given":"Janet W.","non-dropping-particle":"","parse-names":false,"suffix":""},{"dropping-particle":"","family":"Davies","given":"Richard","non-dropping-particle":"","parse-names":false,"suffix":""},{"dropping-particle":"","family":"Capdevila","given":"Joan","non-dropping-particle":"","parse-names":false,"suffix":""},{"dropping-particle":"","family":"Lee","given":"Karla A.","non-dropping-particle":"","parse-names":false,"suffix":""},{"dropping-particle":"","family":"Lochlainn","given":"Mary Ni","non-dropping-particle":"","parse-names":false,"suffix":""},{"dropping-particle":"","family":"Varsavsky","given":"Thomas","non-dropping-particle":"","parse-names":false,"suffix":""},{"dropping-particle":"","family":"Sudre","given":"Carole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Jorge","non-dropping-particle":"","parse-names":false,"suffix":""},{"dropping-particle":"","family":"Wolf","given":"Jonathan","non-dropping-particle":"","parse-names":false,"suffix":""},{"dropping-particle":"","family":"Spector","given":"Tim D.","non-dropping-particle":"","parse-names":false,"suffix":""},{"dropping-particle":"","family":"Ourselin","given":"Sebastien","non-dropping-particle":"","parse-names":false,"suffix":""},{"dropping-particle":"","family":"Steves","given":"Claire J.","non-dropping-particle":"","parse-names":false,"suffix":""},{"dropping-particle":"","family":"Chan","given":"Andrew T.","non-dropping-particle":"","parse-names":false,"suffix":""},{"dropping-particle":"","family":"Albert","given":"Christine M.","non-dropping-particle":"","parse-names":false,"suffix":""},{"dropping-particle":"","family":"Andreotti","given":"Gabriella","non-dropping-particle":"","parse-names":false,"suffix":""},{"dropping-particle":"","family":"Bala","given":"Bijal","non-dropping-particle":"","parse-names":false,"suffix":""},{"dropping-particle":"","family":"Balasubramanian","given":"Bijal A.","non-dropping-particle":"","parse-names":false,"suffix":""},{"dropping-particle":"","family":"Beane-Freeman","given":"Laura E.","non-dropping-particle":"","parse-names":false,"suffix":""},{"dropping-particle":"","family":"Brownstein","given":"John S.","non-dropping-particle":"","parse-names":false,"suffix":""},{"dropping-particle":"","family":"Bruinsma","given":"Fiona J.","non-dropping-particle":"","parse-names":false,"suffix":""},{"dropping-particle":"","family":"Coresh","given":"Joe","non-dropping-particle":"","parse-names":false,"suffix":""},{"dropping-particle":"","family":"Costa","given":"Rui","non-dropping-particle":"","parse-names":false,"suffix":""},{"dropping-particle":"","family":"Cowan","given":"Annie N.","non-dropping-particle":"","parse-names":false,"suffix":""},{"dropping-particle":"","family":"Deka","given":"Anusila","non-dropping-particle":"","parse-names":false,"suffix":""},{"dropping-particle":"","family":"Deming-Halverson","given":"Sandra L.","non-dropping-particle":"","parse-names":false,"suffix":""},{"dropping-particle":"","family":"Elena Martinez","given":"Maria","non-dropping-particle":"","parse-names":false,"suffix":""},{"dropping-particle":"","family":"Ernst","given":"Michael E.","non-dropping-particle":"","parse-names":false,"suffix":""},{"dropping-particle":"","family":"Figueiredo","given":"Jane C.","non-dropping-particle":"","parse-names":false,"suffix":""},{"dropping-particle":"","family":"Fortuna","given":"Pedro","non-dropping-particle":"","parse-names":false,"suffix":""},{"dropping-particle":"","family":"Franks","given":"Paul W.","non-dropping-particle":"","parse-names":false,"suffix":""},{"dropping-particle":"","family":"Freeman","given":"Laura Beane","non-dropping-particle":"","parse-names":false,"suffix":""},{"dropping-particle":"","family":"Gardner","given":"Christopher D.","non-dropping-particle":"","parse-names":false,"suffix":""},{"dropping-particle":"","family":"Ghobrial","given":"Irene M.","non-dropping-particle":"","parse-names":false,"suffix":""},{"dropping-particle":"","family":"Haiman","given":"Christopher A.","non-dropping-particle":"","parse-names":false,"suffix":""},{"dropping-particle":"","family":"Hall","given":"Janet E.","non-dropping-particle":"","parse-names":false,"suffix":""},{"dropping-particle":"","family":"Kang","given":"Jae H.","non-dropping-particle":"","parse-names":false,"suffix":""},{"dropping-particle":"","family":"Kirpach","given":"Brenda","non-dropping-particle":"","parse-names":false,"suffix":""},{"dropping-particle":"","family":"Koenen","given":"Karestan C.","non-dropping-particle":"","parse-names":false,"suffix":""},{"dropping-particle":"","family":"Kubzansky","given":"Laura D.","non-dropping-particle":"","parse-names":false,"suffix":""},{"dropping-particle":"V.","family":"Lacey,","given":"James","non-dropping-particle":"","parse-names":false,"suffix":""},{"dropping-particle":"","family":"Marchand","given":"Loic","non-dropping-particle":"Le","parse-names":false,"suffix":""},{"dropping-particle":"","family":"Lin","given":"Xihong","non-dropping-particle":"","parse-names":false,"suffix":""},{"dropping-particle":"","family":"Lutsey","given":"Pam","non-dropping-particle":"","parse-names":false,"suffix":""},{"dropping-particle":"","family":"Marinac","given":"Catherine R.","non-dropping-particle":"","parse-names":false,"suffix":""},{"dropping-particle":"","family":"Martinez","given":"Maria Elena","non-dropping-particle":"","parse-names":false,"suffix":""},{"dropping-particle":"","family":"Milne","given":"Roger L.","non-dropping-particle":"","parse-names":false,"suffix":""},{"dropping-particle":"","family":"Murray","given":"Anne M.","non-dropping-particle":"","parse-names":false,"suffix":""},{"dropping-particle":"","family":"Nash","given":"Denis","non-dropping-particle":"","parse-names":false,"suffix":""},{"dropping-particle":"","family":"Palmer","given":"Julie R.","non-dropping-particle":"","parse-names":false,"suffix":""},{"dropping-particle":"V.","family":"Patel","given":"Alpa","non-dropping-particle":"","parse-names":false,"suffix":""},{"dropping-particle":"","family":"Pierce","given":"Eric","non-dropping-particle":"","parse-names":false,"suffix":""},{"dropping-particle":"","family":"Robertson","given":"McKaylee M.","non-dropping-particle":"","parse-names":false,"suffix":""},{"dropping-particle":"","family":"Rosenberg","given":"Lynn","non-dropping-particle":"","parse-names":false,"suffix":""},{"dropping-particle":"","family":"Sandler","given":"Dale P.","non-dropping-particle":"","parse-names":false,"suffix":""},{"dropping-particle":"","family":"Schurman","given":"Shepherd H.","non-dropping-particle":"","parse-names":false,"suffix":""},{"dropping-particle":"","family":"Sewalk","given":"Kara","non-dropping-particle":"","parse-names":false,"suffix":""},{"dropping-particle":"V.","family":"Sharma","given":"Shreela","non-dropping-particle":"","parse-names":false,"suffix":""},{"dropping-particle":"","family":"Sidey-Gibbons","given":"Christopher J.","non-dropping-particle":"","parse-names":false,"suffix":""},{"dropping-particle":"","family":"Slevin","given":"Liz","non-dropping-particle":"","parse-names":false,"suffix":""},{"dropping-particle":"","family":"Smoller","given":"Jordan W.","non-dropping-particle":"","parse-names":false,"suffix":""},{"dropping-particle":"","family":"Steves","given":"Claire J.","non-dropping-particle":"","parse-names":false,"suffix":""},{"dropping-particle":"","family":"Tiirikainen","given":"Maarit I.","non-dropping-particle":"","parse-names":false,"suffix":""},{"dropping-particle":"","family":"Weiss","given":"Scott T.","non-dropping-particle":"","parse-names":false,"suffix":""},{"dropping-particle":"","family":"Wilkens","given":"Lynne R.","non-dropping-particle":"","parse-names":false,"suffix":""},{"dropping-particle":"","family":"Zhang","given":"Feng","non-dropping-particle":"","parse-names":false,"suffix":""}],"container-title":"The Lancet Public Health","id":"ITEM-1","issue":"9","issued":{"date-parts":[["2020"]]},"page":"e475-e483","title":"Risk of COVID-19 among front-line health-care workers and the general community: a prospective cohort study","type":"article-journal","volume":"5"}}],"schema":"https://github.com/citation-style-language/schema/raw/master/csl-citation.json"}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non-availability and persistent use of PPE which revealed that in an outbreak of acute contagious infections such as COVID-19, Ebola, and severe acute respiratory syndrome(SARS),personal protective equipment (PPE) needed were not available causing apathy and fear among healthcare workers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KrT7dPK","properties":{"formattedCitation":"(27)","plainCitation":"(27)","noteIndex":0},"citationItems":[{"id":"vN2fituk/xUgpC293","uris":["http://www.mendeley.com/documents/?uuid=8b5968ed-9d99-4c92-a4e8-bbb03b328e4b","http://www.mendeley.com/documents/?uuid=3343314c-4036-4bf1-8de3-caf3bb6593d8"],"itemData":{"DOI":"10.1002/14651858.CD011621.pub4","ISSN":"14651858","PMID":"32293717","abstract":"Background: In epidemics of highly infectious diseases, such as Ebola, severe acute respiratory syndrome (SARS), or coronavirus (COVID-19), healthcare workers (HCW) are at much greater risk of infection than the general population, due to their contact with patients' contaminated body fluids. Personal protective equipment (PPE) can reduce the risk by covering exposed body parts. It is unclear which type of PPE protects best, what is the best way to put PPE on (i.e. donning) or to remove PPE (i.e. doffing), and how to train HCWs to use PPE as instructed. Objectives: To evaluate which type of full-body PPE and which method of donning or doffing PPE have the least risk of contamination or infection for HCW, and which training methods increase compliance with PPE protocols. Search methods: We searched CENTRAL, MEDLINE, Embase and CINAHL to 20 March 2020. Selection criteria: We included all controlled studies that evaluated the effect of full-body PPE used by HCW exposed to highly infectious diseases, on the risk of infection, contamination, or noncompliance with protocols. We also included studies that compared the effect of various ways of donning or doffing PPE, and the effects of training on the same outcomes. Data collection and analysis: Two review authors independently selected studies, extracted data and assessed the risk of bias in included trials. We conducted random-effects meta-analyses were appropriate. Main results: Earlier versions of this review were published in 2016 and 2019. In this update, we included 24 studies with 2278 participants, of which 14 were randomised controlled trials (RCT), one was a quasi-RCT and nine had a non-randomised design. Eight studies compared types of PPE. Six studies evaluated adapted PPE. Eight studies compared donning and doffing processes and three studies evaluated types of training. Eighteen studies used simulated exposure with fluorescent markers or harmless microbes. In simulation studies, median contamination rates were 25% for the intervention and 67% for the control groups. Evidence for all outcomes is of very low certainty unless otherwise stated because it is based on one or two studies, the indirectness of the evidence in simulation studies and because of risk of bias. Types of PPE. The use of a powered, air-purifying respirator with coverall may protect against the risk of contamination better than a N95 mask and gown (risk ratio (RR) 0.27, 95% confidence interval (CI) 0.17 to 0.43) but was more dif…","author":[{"dropping-particle":"","family":"Verbeek","given":"Jos H.","non-dropping-particle":"","parse-names":false,"suffix":""},{"dropping-particle":"","family":"Rajamaki","given":"Blair","non-dropping-particle":"","parse-names":false,"suffix":""},{"dropping-particle":"","family":"Ijaz","given":"Sharea","non-dropping-particle":"","parse-names":false,"suffix":""},{"dropping-particle":"","family":"Sauni","given":"Riitta","non-dropping-particle":"","parse-names":false,"suffix":""},{"dropping-particle":"","family":"Toomey","given":"Elaine","non-dropping-particle":"","parse-names":false,"suffix":""},{"dropping-particle":"","family":"Blackwood","given":"Bronagh","non-dropping-particle":"","parse-names":false,"suffix":""},{"dropping-particle":"","family":"Tikka","given":"Christina","non-dropping-particle":"","parse-names":false,"suffix":""},{"dropping-particle":"","family":"Ruotsalainen","given":"Jani H.","non-dropping-particle":"","parse-names":false,"suffix":""},{"dropping-particle":"","family":"Kilinc Balci","given":"F. Selcen","non-dropping-particle":"","parse-names":false,"suffix":""}],"container-title":"Cochrane Database of Systematic Reviews","id":"ITEM-1","issued":{"date-parts":[["2020","4","15"]]},"title":"Personal protective equipment for preventing highly infectious diseases due to exposure to contaminated body fluids in healthcare staff","type":"article-journal"}}],"schema":"https://github.com/citation-style-language/schema/raw/master/csl-citation.json"}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etmFllx","properties":{"formattedCitation":"(28)","plainCitation":"(28)","noteIndex":0},"citationItems":[{"id":"vN2fituk/69bRM68t","uris":["http://www.mendeley.com/documents/?uuid=d42f638e-9eef-4bac-bdf6-9143f2195b28"],"itemData":{"DOI":"10.1016/S2468-2667(20)30164-X","ISSN":"24682667","PMID":"32745512","abstract":"Background: Data for front-line health-care workers and risk of COVID-19 are limited. We sought to assess risk of COVID-19 among front-line health-care workers compared with the general community and the effect of personal protective equipment (PPE) on risk. Methods: We did a prospective, observational cohort study in the UK and the USA of the general community, including front-line health-care workers, using self-reported data from the COVID Symptom Study smartphone application (app) from March 24 (UK) and March 29 (USA) to April 23, 2020. Participants were voluntary users of the app and at first use provided information on demographic factors (including age, sex, race or ethnic background, height and weight, and occupation) and medical history, and subsequently reported any COVID-19 symptoms. We used Cox proportional hazards modelling to estimate multivariate-adjusted hazard ratios (HRs) of our primary outcome, which was a positive COVID-19 test. The COVID Symptom Study app is registered with ClinicalTrials.gov, NCT04331509. Findings: Among 2 035 395 community individuals and 99 795 front-line health-care workers, we recorded 5545 incident reports of a positive COVID-19 test over 34 435 272 person-days. Compared with the general community, front-line health-care workers were at increased risk for reporting a positive COVID-19 test (adjusted HR 11·61, 95% CI 10·93–12·33). To account for differences in testing frequency between front-line health-care workers and the general community and possible selection bias, an inverse probability-weighted model was used to adjust for the likelihood of receiving a COVID-19 test (adjusted HR 3·40, 95% CI 3·37–3·43). Secondary and post-hoc analyses suggested adequacy of PPE, clinical setting, and ethnic background were also important factors. Interpretation: In the UK and the USA, risk of reporting a positive test for COVID-19 was increased among front-line health-care workers. Health-care systems should ensure adequate availability of PPE and develop additional strategies to protect health-care workers from COVID-19, particularly those from Black, Asian, and minority ethnic backgrounds. Additional follow-up of these observational findings is needed. Funding: Zoe Global, Wellcome Trust, Engineering and Physical Sciences Research Council, National Institutes of Health Research, UK Research and Innovation, Alzheimer's Society, National Institutes of Health, National Institute for Occupational Safety and Health, and Mass…","author":[{"dropping-particle":"","family":"Nguyen","given":"Long H.","non-dropping-particle":"","parse-names":false,"suffix":""},{"dropping-particle":"","family":"Drew","given":"David A.","non-dropping-particle":"","parse-names":false,"suffix":""},{"dropping-particle":"","family":"Graham","given":"Mark S.","non-dropping-particle":"","parse-names":false,"suffix":""},{"dropping-particle":"","family":"Joshi","given":"Amit D.","non-dropping-particle":"","parse-names":false,"suffix":""},{"dropping-particle":"","family":"Guo","given":"Chuan Guo","non-dropping-particle":"","parse-names":false,"suffix":""},{"dropping-particle":"","family":"Ma","given":"Wenjie","non-dropping-particle":"","parse-names":false,"suffix":""},{"dropping-particle":"","family":"Mehta","given":"Raaj S.","non-dropping-particle":"","parse-names":false,"suffix":""},{"dropping-particle":"","family":"Warner","given":"Erica T.","non-dropping-particle":"","parse-names":false,"suffix":""},{"dropping-particle":"","family":"Sikavi","given":"Daniel R.","non-dropping-particle":"","parse-names":false,"suffix":""},{"dropping-particle":"","family":"Lo","given":"Chun Han","non-dropping-particle":"","parse-names":false,"suffix":""},{"dropping-particle":"","family":"Kwon","given":"Sohee","non-dropping-particle":"","parse-names":false,"suffix":""},{"dropping-particle":"","family":"Song","given":"Mingyang","non-dropping-particle":"","parse-names":false,"suffix":""},{"dropping-particle":"","family":"Mucci","given":"Lorelei A.","non-dropping-particle":"","parse-names":false,"suffix":""},{"dropping-particle":"","family":"Stampfer","given":"Meir J.","non-dropping-particle":"","parse-names":false,"suffix":""},{"dropping-particle":"","family":"Willett","given":"Walter C.","non-dropping-particle":"","parse-names":false,"suffix":""},{"dropping-particle":"","family":"Eliassen","given":"A. Heather","non-dropping-particle":"","parse-names":false,"suffix":""},{"dropping-particle":"","family":"Hart","given":"Jaime E.","non-dropping-particle":"","parse-names":false,"suffix":""},{"dropping-particle":"","family":"Chavarro","given":"Jorge E.","non-dropping-particle":"","parse-names":false,"suffix":""},{"dropping-particle":"","family":"Rich-Edwards","given":"Janet W.","non-dropping-particle":"","parse-names":false,"suffix":""},{"dropping-particle":"","family":"Davies","given":"Richard","non-dropping-particle":"","parse-names":false,"suffix":""},{"dropping-particle":"","family":"Capdevila","given":"Joan","non-dropping-particle":"","parse-names":false,"suffix":""},{"dropping-particle":"","family":"Lee","given":"Karla A.","non-dropping-particle":"","parse-names":false,"suffix":""},{"dropping-particle":"","family":"Lochlainn","given":"Mary Ni","non-dropping-particle":"","parse-names":false,"suffix":""},{"dropping-particle":"","family":"Varsavsky","given":"Thomas","non-dropping-particle":"","parse-names":false,"suffix":""},{"dropping-particle":"","family":"Sudre","given":"Carole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Jorge","non-dropping-particle":"","parse-names":false,"suffix":""},{"dropping-particle":"","family":"Wolf","given":"Jonathan","non-dropping-particle":"","parse-names":false,"suffix":""},{"dropping-particle":"","family":"Spector","given":"Tim D.","non-dropping-particle":"","parse-names":false,"suffix":""},{"dropping-particle":"","family":"Ourselin","given":"Sebastien","non-dropping-particle":"","parse-names":false,"suffix":""},{"dropping-particle":"","family":"Steves","given":"Claire J.","non-dropping-particle":"","parse-names":false,"suffix":""},{"dropping-particle":"","family":"Chan","given":"Andrew T.","non-dropping-particle":"","parse-names":false,"suffix":""},{"dropping-particle":"","family":"Albert","given":"Christine M.","non-dropping-particle":"","parse-names":false,"suffix":""},{"dropping-particle":"","family":"Andreotti","given":"Gabriella","non-dropping-particle":"","parse-names":false,"suffix":""},{"dropping-particle":"","family":"Bala","given":"Bijal","non-dropping-particle":"","parse-names":false,"suffix":""},{"dropping-particle":"","family":"Balasubramanian","given":"Bijal A.","non-dropping-particle":"","parse-names":false,"suffix":""},{"dropping-particle":"","family":"Beane-Freeman","given":"Laura E.","non-dropping-particle":"","parse-names":false,"suffix":""},{"dropping-particle":"","family":"Brownstein","given":"John S.","non-dropping-particle":"","parse-names":false,"suffix":""},{"dropping-particle":"","family":"Bruinsma","given":"Fiona J.","non-dropping-particle":"","parse-names":false,"suffix":""},{"dropping-particle":"","family":"Coresh","given":"Joe","non-dropping-particle":"","parse-names":false,"suffix":""},{"dropping-particle":"","family":"Costa","given":"Rui","non-dropping-particle":"","parse-names":false,"suffix":""},{"dropping-particle":"","family":"Cowan","given":"Annie N.","non-dropping-particle":"","parse-names":false,"suffix":""},{"dropping-particle":"","family":"Deka","given":"Anusila","non-dropping-particle":"","parse-names":false,"suffix":""},{"dropping-particle":"","family":"Deming-Halverson","given":"Sandra L.","non-dropping-particle":"","parse-names":false,"suffix":""},{"dropping-particle":"","family":"Elena Martinez","given":"Maria","non-dropping-particle":"","parse-names":false,"suffix":""},{"dropping-particle":"","family":"Ernst","given":"Michael E.","non-dropping-particle":"","parse-names":false,"suffix":""},{"dropping-particle":"","family":"Figueiredo","given":"Jane C.","non-dropping-particle":"","parse-names":false,"suffix":""},{"dropping-particle":"","family":"Fortuna","given":"Pedro","non-dropping-particle":"","parse-names":false,"suffix":""},{"dropping-particle":"","family":"Franks","given":"Paul W.","non-dropping-particle":"","parse-names":false,"suffix":""},{"dropping-particle":"","family":"Freeman","given":"Laura Beane","non-dropping-particle":"","parse-names":false,"suffix":""},{"dropping-particle":"","family":"Gardner","given":"Christopher D.","non-dropping-particle":"","parse-names":false,"suffix":""},{"dropping-particle":"","family":"Ghobrial","given":"Irene M.","non-dropping-particle":"","parse-names":false,"suffix":""},{"dropping-particle":"","family":"Haiman","given":"Christopher A.","non-dropping-particle":"","parse-names":false,"suffix":""},{"dropping-particle":"","family":"Hall","given":"Janet E.","non-dropping-particle":"","parse-names":false,"suffix":""},{"dropping-particle":"","family":"Kang","given":"Jae H.","non-dropping-particle":"","parse-names":false,"suffix":""},{"dropping-particle":"","family":"Kirpach","given":"Brenda","non-dropping-particle":"","parse-names":false,"suffix":""},{"dropping-particle":"","family":"Koenen","given":"Karestan C.","non-dropping-particle":"","parse-names":false,"suffix":""},{"dropping-particle":"","family":"Kubzansky","given":"Laura D.","non-dropping-particle":"","parse-names":false,"suffix":""},{"dropping-particle":"V.","family":"Lacey,","given":"James","non-dropping-particle":"","parse-names":false,"suffix":""},{"dropping-particle":"","family":"Marchand","given":"Loic","non-dropping-particle":"Le","parse-names":false,"suffix":""},{"dropping-particle":"","family":"Lin","given":"Xihong","non-dropping-particle":"","parse-names":false,"suffix":""},{"dropping-particle":"","family":"Lutsey","given":"Pam","non-dropping-particle":"","parse-names":false,"suffix":""},{"dropping-particle":"","family":"Marinac","given":"Catherine R.","non-dropping-particle":"","parse-names":false,"suffix":""},{"dropping-particle":"","family":"Martinez","given":"Maria Elena","non-dropping-particle":"","parse-names":false,"suffix":""},{"dropping-particle":"","family":"Milne","given":"Roger L.","non-dropping-particle":"","parse-names":false,"suffix":""},{"dropping-particle":"","family":"Murray","given":"Anne M.","non-dropping-particle":"","parse-names":false,"suffix":""},{"dropping-particle":"","family":"Nash","given":"Denis","non-dropping-particle":"","parse-names":false,"suffix":""},{"dropping-particle":"","family":"Palmer","given":"Julie R.","non-dropping-particle":"","parse-names":false,"suffix":""},{"dropping-particle":"V.","family":"Patel","given":"Alpa","non-dropping-particle":"","parse-names":false,"suffix":""},{"dropping-particle":"","family":"Pierce","given":"Eric","non-dropping-particle":"","parse-names":false,"suffix":""},{"dropping-particle":"","family":"Robertson","given":"McKaylee M.","non-dropping-particle":"","parse-names":false,"suffix":""},{"dropping-particle":"","family":"Rosenberg","given":"Lynn","non-dropping-particle":"","parse-names":false,"suffix":""},{"dropping-particle":"","family":"Sandler","given":"Dale P.","non-dropping-particle":"","parse-names":false,"suffix":""},{"dropping-particle":"","family":"Schurman","given":"Shepherd H.","non-dropping-particle":"","parse-names":false,"suffix":""},{"dropping-particle":"","family":"Sewalk","given":"Kara","non-dropping-particle":"","parse-names":false,"suffix":""},{"dropping-particle":"V.","family":"Sharma","given":"Shreela","non-dropping-particle":"","parse-names":false,"suffix":""},{"dropping-particle":"","family":"Sidey-Gibbons","given":"Christopher J.","non-dropping-particle":"","parse-names":false,"suffix":""},{"dropping-particle":"","family":"Slevin","given":"Liz","non-dropping-particle":"","parse-names":false,"suffix":""},{"dropping-particle":"","family":"Smoller","given":"Jordan W.","non-dropping-particle":"","parse-names":false,"suffix":""},{"dropping-particle":"","family":"Steves","given":"Claire J.","non-dropping-particle":"","parse-names":false,"suffix":""},{"dropping-particle":"","family":"Tiirikainen","given":"Maarit I.","non-dropping-particle":"","parse-names":false,"suffix":""},{"dropping-particle":"","family":"Weiss","given":"Scott T.","non-dropping-particle":"","parse-names":false,"suffix":""},{"dropping-particle":"","family":"Wilkens","given":"Lynne R.","non-dropping-particle":"","parse-names":false,"suffix":""},{"dropping-particle":"","family":"Zhang","given":"Feng","non-dropping-particle":"","parse-names":false,"suffix":""}],"container-title":"The Lancet Public Health","id":"ITEM-1","issue":"9","issued":{"date-parts":[["2020"]]},"page":"e475-e483","title":"Risk of COVID-19 among front-line health-care workers and the general community: a prospective cohort study","type":"article-journal","volume":"5"}}],"schema":"https://github.com/citation-style-language/schema/raw/master/csl-citation.json"}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Again, experience on other respiratory virus requires persistent usage of PPE and is essential in reducing transmission of nosocomial infections and its non-existence proves detrimental to health care givers. Martin-Delgado et al, 2020  also affirmed these findings when they revealed in their study that 70% of healthcare workers reported lack of PPE, which hindered the progress of work output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aJHdD62","properties":{"formattedCitation":"(29)","plainCitation":"(29)","noteIndex":0},"citationItems":[{"id":"vN2fituk/szrF3mot","uris":["http://www.mendeley.com/documents/?uuid=0d85d8f2-23eb-4a58-96e9-1afada60787b"],"itemData":{"DOI":"10.1371/journal.pone.0242185","ISBN":"1111111111","ISSN":"19326203","PMID":"33175877","abstract":"Many affected counties have had experienced a shortage of personal protective equipment (PPE) during the coronavirus disease (COVID-19) pandemic. We aimed to investigate the needs of healthcare professionals and the technical difficulties faced by them during the initial outbreak. A cross-sectional web-based survey was conducted among the healthcare workforce in the most populous cities from three Latin American countries in April 2020. In total, 1,082 participants were included. Of these, 534 (49.4%), 263 (24.3%), and 114 (10.5%) were physicians, nurses, and other professionals, respectively. At least 70% of participants reported a lack of PPE. The most common shortages were shortages in gown coverall suits (643, 59.4%), N95 masks (600, 55.5%), and face shields (569, 52.6%). Professionals who performed procedures that generated aerosols reported shortages more frequently (p&lt;0.05). Professionals working in the emergency department and primary care units reported more shortages than those working in intensive care units and hospital-based wards (p&lt;0.001). Up to 556 (51.4%) participants reported the lack of sufficient knowledge about using PPE. Professionals working in public institutions felt less prepared, received less training, and had no protocols compared with their peers in working private institutions (p&lt;0.001). Although the study sample corresponded to different hospital centers in different cities from the participating countries, sampling was non-random. Healthcare professionals in Latin America may face more difficulties than those from other countries, with 7 out of 10 professionals reporting that they did not have the necessary resources to care for patients with COVID-19. Technical and logistical difficulties should be addressed in the event of a future outbreak, as they have a negative impact on healthcare workers.","author":[{"dropping-particle":"","family":"Martin-Delgado","given":"Jimmy","non-dropping-particle":"","parse-names":false,"suffix":""},{"dropping-particle":"","family":"Viteri","given":"Eduardo","non-dropping-particle":"","parse-names":false,"suffix":""},{"dropping-particle":"","family":"Mula","given":"Aurora","non-dropping-particle":"","parse-names":false,"suffix":""},{"dropping-particle":"","family":"Serpa","given":"Piedad","non-dropping-particle":"","parse-names":false,"suffix":""},{"dropping-particle":"","family":"Pacheco","given":"Gloria","non-dropping-particle":"","parse-names":false,"suffix":""},{"dropping-particle":"","family":"Prada","given":"Diana","non-dropping-particle":"","parse-names":false,"suffix":""},{"dropping-particle":"","family":"Andrade Lourenção","given":"Daniela Campos","non-dropping-particle":"de","parse-names":false,"suffix":""},{"dropping-particle":"","family":"Baptista","given":"Patricia Campos Pavan","non-dropping-particle":"","parse-names":false,"suffix":""},{"dropping-particle":"","family":"Ramirez","given":"Gustavo","non-dropping-particle":"","parse-names":false,"suffix":""},{"dropping-particle":"","family":"Mira","given":"Jose Joaquin","non-dropping-particle":"","parse-names":false,"suffix":""}],"container-title":"PLoS ONE","id":"ITEM-1","issue":"11 November","issued":{"date-parts":[["2020"]]},"page":"1-13","title":"Availability of personal protective equipment and diagnostic and treatment facilities for healthcare workers involved in COVID-19 care: A cross-sectional study in Brazil, Colombia, and Ecuador","type":"article-journal","volume":"15"}}],"schema":"https://github.com/citation-style-language/schema/raw/master/csl-citation.json"}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(29)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Further findings from (</w:t>
      </w:r>
      <w:proofErr w:type="spellStart"/>
      <w:r w:rsidRPr="00AD6688">
        <w:rPr>
          <w:rFonts w:ascii="Times New Roman" w:hAnsi="Times New Roman" w:cs="Times New Roman"/>
          <w:sz w:val="24"/>
          <w:szCs w:val="24"/>
        </w:rPr>
        <w:t>Rebmann</w:t>
      </w:r>
      <w:proofErr w:type="spellEnd"/>
      <w:r w:rsidRPr="00AD6688">
        <w:rPr>
          <w:rFonts w:ascii="Times New Roman" w:hAnsi="Times New Roman" w:cs="Times New Roman"/>
          <w:sz w:val="24"/>
          <w:szCs w:val="24"/>
        </w:rPr>
        <w:t xml:space="preserve"> et al., 2021) regarding </w:t>
      </w:r>
      <w:proofErr w:type="spellStart"/>
      <w:r w:rsidRPr="00AD6688">
        <w:rPr>
          <w:rFonts w:ascii="Times New Roman" w:hAnsi="Times New Roman" w:cs="Times New Roman"/>
          <w:sz w:val="24"/>
          <w:szCs w:val="24"/>
        </w:rPr>
        <w:t>thereness</w:t>
      </w:r>
      <w:proofErr w:type="spellEnd"/>
      <w:r w:rsidRPr="00AD6688">
        <w:rPr>
          <w:rFonts w:ascii="Times New Roman" w:hAnsi="Times New Roman" w:cs="Times New Roman"/>
          <w:sz w:val="24"/>
          <w:szCs w:val="24"/>
        </w:rPr>
        <w:t xml:space="preserve"> of PPE, infection and prevention repository on the first month added that, soon after COVID-19 was declared pandemic, a lot of hospitals and health care facilities were running low to almost full shortage of all PPE (P&lt;001 for all)</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{"citationID":"i2WrCjX1","properties":{"formattedCitation":"(30)","plainCitation":"(30)","noteIndex":0},"citationItems":[{"id":382,"uris":["http://zotero.org/users/local/fuyxLwzY/items/32URK89E"],"itemData":{"id":382,"type":"article-journal","container-title":"MMWR. Morbidity and Mortality Weekly Report","DOI":"10.15585/mmwr.mm7036a3","ISSN":"0149-2195, 1545-861X","issue":"36","journalAbbreviation":"MMWR Morb. Mortal. Wkly. Rep.","note":"publisher: Centers for Disease Control MMWR Office","page":"1245-1248","source":"Crossref","title":"SARS-CoV-2 Transmission to Masked and Unmasked Close Contacts of University Students with COVID-19 — St. Louis, Missouri, January–May 2021","volume":"70","author":[{"family":"Rebmann","given":"Terri"},{"family":"Loux","given":"Travis M."},{"family":"Arnold","given":"Lauren D."},{"family":"Charney","given":"Rachel"},{"family":"Horton","given":"Deborah"},{"family":"Gomel","given":"Ashley"}],"issued":{"date-parts":[["2021",9,10]]}}}],"schema":"https://github.com/citation-style-language/schema/raw/master/csl-citation.json"}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Further findings of the study revealed </w:t>
      </w:r>
      <w:r w:rsidRPr="00AD6688">
        <w:rPr>
          <w:rFonts w:ascii="Times New Roman" w:hAnsi="Times New Roman" w:cs="Times New Roman"/>
          <w:sz w:val="24"/>
          <w:szCs w:val="24"/>
          <w:lang w:val="en-GB"/>
        </w:rPr>
        <w:t>Some PPE available for use were head cover/cap 69 (26.6%), gloves 108 (41.9%), face mask 79 (2.7%). These findings confirm a study conducted by</w:t>
      </w:r>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Chughtai</w:t>
      </w:r>
      <w:proofErr w:type="spellEnd"/>
      <w:r w:rsidRPr="00AD6688">
        <w:rPr>
          <w:rFonts w:ascii="Times New Roman" w:hAnsi="Times New Roman" w:cs="Times New Roman"/>
          <w:sz w:val="24"/>
          <w:szCs w:val="24"/>
        </w:rPr>
        <w:t xml:space="preserve"> &amp; Khan, 2020)  </w:t>
      </w:r>
      <w:r w:rsidRPr="00AD6688">
        <w:rPr>
          <w:rFonts w:ascii="Times New Roman" w:hAnsi="Times New Roman" w:cs="Times New Roman"/>
          <w:color w:val="000000"/>
          <w:sz w:val="24"/>
          <w:szCs w:val="24"/>
        </w:rPr>
        <w:t>on the use of personal protective equipment to protect against respiratory infections in Pakistan: a systematic review found out that the face mask and gloves were the most commonly used to protect HCW from respiratory and other infections</w:t>
      </w:r>
      <w:r w:rsidRPr="00AD6688">
        <w:rPr>
          <w:rFonts w:ascii="Times New Roman" w:hAnsi="Times New Roman" w:cs="Times New Roman"/>
          <w:color w:val="000000"/>
          <w:sz w:val="24"/>
          <w:szCs w:val="24"/>
        </w:rPr>
        <w:fldChar w:fldCharType="begin"/>
      </w:r>
      <w:r w:rsidRPr="00AD6688">
        <w:rPr>
          <w:rFonts w:ascii="Times New Roman" w:hAnsi="Times New Roman" w:cs="Times New Roman"/>
          <w:color w:val="000000"/>
          <w:sz w:val="24"/>
          <w:szCs w:val="24"/>
        </w:rPr>
        <w:instrText xml:space="preserve"> ADDIN ZOTERO_ITEM CSL_CITATION {"citationID":"C6zAWA2Z","properties":{"formattedCitation":"(31)","plainCitation":"(31)","noteIndex":0},"citationItems":[{"id":384,"uris":["http://zotero.org/users/local/fuyxLwzY/items/ZA6MNH7W"],"itemData":{"id":384,"type":"article-journal","container-title":"Journal of Infection and Public Health","DOI":"10.1016/j.jiph.2020.02.032","ISSN":"1876-0341","issue":"3","language":"en","license":"https://www.elsevier.com/tdm/userlicense/1.0/","note":"publisher: Elsevier BV","page":"385-390","source":"Crossref","title":"Use of personal protective equipment to protect against respiratory infections in Pakistan: A systematic review","title-short":"Use of personal protective equipment to protect against respiratory infections in Pakistan","volume":"13","author":[{"family":"Chughtai","given":"Abrar Ahmad"},{"family":"Khan","given":"Wasiq"}],"issued":{"date-parts":[["2020",3]]}}}],"schema":"https://github.com/citation-style-language/schema/raw/master/csl-citation.json"} </w:instrText>
      </w:r>
      <w:r w:rsidRPr="00AD6688">
        <w:rPr>
          <w:rFonts w:ascii="Times New Roman" w:hAnsi="Times New Roman" w:cs="Times New Roman"/>
          <w:color w:val="000000"/>
          <w:sz w:val="24"/>
          <w:szCs w:val="24"/>
        </w:rPr>
        <w:fldChar w:fldCharType="separate"/>
      </w:r>
      <w:r w:rsidRPr="00AD6688">
        <w:rPr>
          <w:rFonts w:ascii="Times New Roman" w:hAnsi="Times New Roman" w:cs="Times New Roman"/>
          <w:sz w:val="24"/>
        </w:rPr>
        <w:t>(31)</w:t>
      </w:r>
      <w:r w:rsidRPr="00AD6688">
        <w:rPr>
          <w:rFonts w:ascii="Times New Roman" w:hAnsi="Times New Roman" w:cs="Times New Roman"/>
          <w:color w:val="000000"/>
          <w:sz w:val="24"/>
          <w:szCs w:val="24"/>
        </w:rPr>
        <w:fldChar w:fldCharType="end"/>
      </w:r>
      <w:r w:rsidRPr="00AD6688">
        <w:rPr>
          <w:rFonts w:ascii="Times New Roman" w:hAnsi="Times New Roman" w:cs="Times New Roman"/>
          <w:sz w:val="24"/>
          <w:szCs w:val="24"/>
        </w:rPr>
        <w:t xml:space="preserve">. Similar finding from Livingston, Desai, &amp; </w:t>
      </w:r>
      <w:proofErr w:type="spellStart"/>
      <w:r w:rsidRPr="00AD6688">
        <w:rPr>
          <w:rFonts w:ascii="Times New Roman" w:hAnsi="Times New Roman" w:cs="Times New Roman"/>
          <w:sz w:val="24"/>
          <w:szCs w:val="24"/>
        </w:rPr>
        <w:t>Berkwits</w:t>
      </w:r>
      <w:proofErr w:type="spellEnd"/>
      <w:r w:rsidRPr="00AD6688">
        <w:rPr>
          <w:rFonts w:ascii="Times New Roman" w:hAnsi="Times New Roman" w:cs="Times New Roman"/>
          <w:sz w:val="24"/>
          <w:szCs w:val="24"/>
        </w:rPr>
        <w:t>, 2020 on sourcing personal protective equipment during the COVID-19 pandemic affirmed that shortage of PPE such as face mask, goggles, coveralls and aprons were so rapid that propositions such us turning plastic garbage bags for gowns and water bottles cutouts for eye protection were considered. Finding out whether health workers have had adequate training on the use of PPE, 38.6% said they have had training, and 61.4% said no training had been done</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D9d2UgUQ","properties":{"formattedCitation":"(32)","plainCitation":"(32)","noteIndex":0},"citationItems":[{"id":386,"uris":["http://zotero.org/users/local/fuyxLwzY/items/T76HBV2P"],"itemData":{"id":386,"type":"article-journal","container-title":"JAMA","DOI":"10.1001/jama.2020.5317","ISSN":"0098-7484","issue":"19","journalAbbreviation":"JAMA","language":"en","page":"1912","source":"DOI.org (Crossref)","title":"Sourcing Personal Protective Equipment During the COVID-19 Pandemic","volume":"323","author":[{"family":"Livingston","given":"Edward"},{"family":"Desai","given":"Angel"},{"family":"Berkwits","given":"Michael"}],"issued":{"date-parts":[["2020",5,19]]}}}],"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(32)</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This finding of the study was similar to a study conducted by Park, 2020 which found that health care workers(HCWs) are at a high risk of exposure and therefore protecting the health care worker is important</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tfn7wT5l","properties":{"formattedCitation":"(33)","plainCitation":"(33)","noteIndex":0},"citationItems":[{"id":"vN2fituk/o0Uvtc14","uris":["http://www.mendeley.com/documents/?uuid=154ba797-3130-4d56-918f-3f4cfce0e01f"],"itemData":{"DOI":"10.3947/ic.2020.52.2.165","ISSN":"2093-2340","PMID":"32618146","abstract":"The coronavirus disease (COVID-19) pandemic has posed a challenge for healthcare systems, and healthcare workers (HCWs) are at high risk of exposure. Protecting HCWs is of paramount importance to maintain continuous patient care and keep healthcare systems functioning. Used alongside administrative and engineering control measures, personal protective equipment (PPE) is the last line of defense and the core component of protection. Current data suggest that severe acute respiratory syndrome coronavirus 2 (SARS-CoV-2) is mainly transmitted through respiratory droplets and close contact. Airborne transmission may occur during aerosol-generating procedures. However, the modes of transmission still remain uncertain, especially regarding the possibility of airborne transmission when aerosol-generating procedures are not performed. Thus, there are some inconsistencies in the respiratory protective equipment recommended by international and national organizations. In Korea, there have been several modifications to PPE recommendations offering options in choosing PPE for respiratory and body protection, which confuses HCWs; they are often unsure what to wear and when to wear it. The choice of PPE is based on the risk of exposure and possible modes of transmission. The level of protection provided by PPE differs based on standards and test methods. Thus, understanding them is the key in selecting the proper PPE. This article reviews evidence on the mode of SARS-CoV-2 transmission, compares the current PPE recommendations of the World Health Organization with those in Korea, and discusses standard requirements and the proper selection of PPE.","author":[{"dropping-particle":"","family":"Park","given":"Sun Hee","non-dropping-particle":"","parse-names":false,"suffix":""}],"container-title":"Infection &amp; Chemotherapy","id":"ITEM-1","issue":"2","issued":{"date-parts":[["2020"]]},"page":"165","title":"Personal Protective Equipment for Healthcare Workers during the COVID-19 Pandemic","type":"article-journal","volume":"52"}}],"schema":"https://github.com/citation-style-language/schema/raw/master/csl-citation.json"}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However, severe acute respiratory syndrome such as corona virus 2(SAR-CoV-2) requires continuous and further trainings on the use PPE such as face mask, face shields and respirators for health workers. The study further added that HCWs are often not sure of what to wear and when to wear. Decision to wear a mask or a shield is dependent on the level of protection particular PPE provides. Therefore, understanding the usage is key in selecting the appropriate PPE. Again, </w:t>
      </w:r>
      <w:proofErr w:type="spellStart"/>
      <w:r w:rsidRPr="00AD6688">
        <w:rPr>
          <w:rFonts w:ascii="Times New Roman" w:hAnsi="Times New Roman" w:cs="Times New Roman"/>
          <w:sz w:val="24"/>
          <w:szCs w:val="24"/>
        </w:rPr>
        <w:t>Schröder</w:t>
      </w:r>
      <w:proofErr w:type="spellEnd"/>
      <w:r w:rsidRPr="00AD6688">
        <w:rPr>
          <w:rFonts w:ascii="Times New Roman" w:hAnsi="Times New Roman" w:cs="Times New Roman"/>
          <w:sz w:val="24"/>
          <w:szCs w:val="24"/>
        </w:rPr>
        <w:t xml:space="preserve"> et al., 2016 in their study on laboratory safety attitudes and practices:  A comparison of academic, government and industry researchers affirmed that, safety trainings in healthcare institutions are woefully inadequate and they sometimes base on experience to avoid certain striking challenges which affect their mode of delivery at the work place environment</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F7WFeQ91","properties":{"formattedCitation":"(34)","plainCitation":"(34)","noteIndex":0},"citationItems":[{"id":"vN2fituk/qxsKiiGF","uris":["http://www.mendeley.com/documents/?uuid=ba52ca02-3da0-4717-8920-5b126a662758"],"itemData":{"DOI":"10.1016/j.jchas.2015.03.001","ISSN":"18715532","abstract":"A survey on laboratory safety, conducted in 2012, provided the basis for comparing safety culture attributes of respondents from academic (n = 991), government (n = 133) and industry (n = 120) laboratories. There were institutional differences in risk assessment methods conducted before carrying out an experiment, for which fewer researchers from academia (18%) used forms issued by their organization as compared to government and industry researchers (51% and 43%, respectively). Safety training in all three institutions was reported to be similar; however, about 25% of all researchers were not trained on the specific hazard with which they worked. Risk perceptions were similar between respondents from all three institutions with respondents generally believing their personal risk to be significantly lower than what they assumed was predicated by their institution. The most striking difference between institutions was observed with self-reported PPE compliance behavior respondents from industry labs were significantly more compliant with wearing a lab coat (87%) and eye protection (83%) than respondents from academic (66% and 61%, respectively) and government labs (73% and 76%, respectively). PPE compliance was highly associated with researchers' perception of the level of risk in their lab; PPE compliance generally declined with lower perceived risk. In contrast to industry and government labs, PPE compliance of researchers in academia was significantly positively influenced when their safety behavior was monitored. Active safety involvement of the principal investigator (PI) or laboratory supervisor also correlated significantly with lower numbers of accidents reported by students and postdoctoral fellows in academic labs. The data support the view that laboratory safety is positively impacted by active involvement of the PI or a dedicated laboratory supervisor in academic institutions.","author":[{"dropping-particle":"","family":"Schröder","given":"Imke","non-dropping-particle":"","parse-names":false,"suffix":""},{"dropping-particle":"","family":"Huang","given":"Debbie Yan Qun","non-dropping-particle":"","parse-names":false,"suffix":""},{"dropping-particle":"","family":"Ellis","given":"Olivia","non-dropping-particle":"","parse-names":false,"suffix":""},{"dropping-particle":"","family":"Gibson","given":"James H.","non-dropping-particle":"","parse-names":false,"suffix":""},{"dropping-particle":"","family":"Wayne","given":"Nancy L.","non-dropping-particle":"","parse-names":false,"suffix":""}],"container-title":"Journal of Chemical Health and Safety","id":"ITEM-1","issue":"1","issued":{"date-parts":[["2016","1"]]},"page":"12-23","title":"Laboratory safety attitudes and practices: A comparison of academic, government, and industry researchers","type":"article-journal","volume":"23"}}],"schema":"https://github.com/citation-style-language/schema/raw/master/csl-citation.json"}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study further recommended the need to involve expect to train especially laboratory staff on the right PPE to use when attending specific samples. Furthermore, </w:t>
      </w:r>
      <w:proofErr w:type="spellStart"/>
      <w:r w:rsidRPr="00AD6688">
        <w:rPr>
          <w:rFonts w:ascii="Times New Roman" w:hAnsi="Times New Roman" w:cs="Times New Roman"/>
          <w:sz w:val="24"/>
          <w:szCs w:val="24"/>
        </w:rPr>
        <w:t>Alao</w:t>
      </w:r>
      <w:proofErr w:type="spellEnd"/>
      <w:r w:rsidRPr="00AD6688">
        <w:rPr>
          <w:rFonts w:ascii="Times New Roman" w:hAnsi="Times New Roman" w:cs="Times New Roman"/>
          <w:sz w:val="24"/>
          <w:szCs w:val="24"/>
        </w:rPr>
        <w:t xml:space="preserve"> et al., 2020 assessment on health workers’ knowledge, beliefs, attitudes and use of PPE for prevention of COVID-19 infection in low-resource setting in Nigeria found that only (25%) of health workers had adequate knowledge about PPE</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5bmhdSZ0","properties":{"formattedCitation":"(35)","plainCitation":"(35)","noteIndex":0},"citationItems":[{"id":"vN2fituk/MawOaAfP","uris":["http://www.mendeley.com/documents/?uuid=1323cfe2-7c80-4071-a970-d6f5dce779cf"],"itemData":{"DOI":"10.1155/2020/4619214","ISSN":"2356-6868","abstract":"Background. Severe acute respiratory syndrome coronavirus 2 (SARS-CoV-2) is a highly infectious disease with a potential for healthcare workers (HCWs) getting infected due to inadequate protection while attending to patients. Effective use of personal protective equipment (PPE) is key to mitigating the spread of SARS-CoV-2 infection in healthcare settings. Hence, there is a need to understand HCWs’ use of PPE in resource-limited settings and how closely the currently recommended guidelines for PPE are followed. This study assessed the HCWs’ knowledge about, attitudes towards, beliefs on, and use of PPE to prevent SARS-CoV-2 infection in a resource-limited setting. Methods . This cross-sectional study was conducted in April 2020 in Southwest and Northwest Nigeria. The selection of participants was performed via the snowball sampling technique using a 33-item, web-based, self-administered questionnaire via a social media network. We obtained relevant sociodemographic data and information on participants’ occupations and knowledge about, attitudes towards, beliefs on, and use of PPE. We analysed the data using SPSS version 23.0 for Windows (IBM, Armonk, New York, USA). A p values &lt;0.05 were considered statistically significant. Results . A total of 290 subjects responded to the questionnaire, and 18 (6.2%) were excluded because of incomplete data. The mean age of the respondents was 32.3 ± 9.9 years. There were 116 males (42.6%). The majority of the respondents were medical doctors (114, 41.9%), followed by nurses and clinical students. Of the 272 respondents in this survey, only 70 (25.7%) had adequate knowledge about PPE. Of the respondents who presumed they had adequate knowledge about donning and doffing PPE, 94 (56%) were incorrect. The predictors of good knowledge were ages younger than 45 years ( p = 0.046 ) and practice location ( p = 0.009 ). Conclusion . This study showed that HCWs’ knowledge about, attitudes towards, and beliefs on PPE and their PPE skill in practice in Nigeria were remarkably poor. There is an urgent need for nationwide practical training on PPE use to curtail the spread of SARS-CoV-2 infection among HCWs.","author":[{"dropping-particle":"","family":"Alao","given":"M. A.","non-dropping-particle":"","parse-names":false,"suffix":""},{"dropping-particle":"","family":"Durodola","given":"A. O.","non-dropping-particle":"","parse-names":false,"suffix":""},{"dropping-particle":"","family":"Ibrahim","given":"O. R.","non-dropping-particle":"","parse-names":false,"suffix":""},{"dropping-particle":"","family":"Asinobi","given":"O. A.","non-dropping-particle":"","parse-names":false,"suffix":""}],"container-title":"Advances in Public Health","id":"ITEM-1","issue":"5","issued":{"date-parts":[["2020"]]},"page":"1-10","title":"Assessment of Health Workers’ Knowledge, Beliefs, Attitudes, and Use of Personal Protective Equipment for Prevention of COVID-19 Infection in Low-Resource Settings","type":"article-journal","volume":"2020"}}],"schema":"https://github.com/citation-style-language/schema/raw/master/csl-citation.json"}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Even health workers who had adequate </w:t>
      </w:r>
      <w:proofErr w:type="spellStart"/>
      <w:r w:rsidRPr="00AD6688">
        <w:rPr>
          <w:rFonts w:ascii="Times New Roman" w:hAnsi="Times New Roman" w:cs="Times New Roman"/>
          <w:sz w:val="24"/>
          <w:szCs w:val="24"/>
        </w:rPr>
        <w:t>knowlegde</w:t>
      </w:r>
      <w:proofErr w:type="spellEnd"/>
      <w:r w:rsidRPr="00AD6688">
        <w:rPr>
          <w:rFonts w:ascii="Times New Roman" w:hAnsi="Times New Roman" w:cs="Times New Roman"/>
          <w:sz w:val="24"/>
          <w:szCs w:val="24"/>
        </w:rPr>
        <w:t xml:space="preserve"> had difficulty in donning and doffing of mask (p=0.002). </w:t>
      </w:r>
    </w:p>
    <w:p w14:paraId="1517F9E6" w14:textId="77777777" w:rsidR="002F4F67" w:rsidRPr="00AD6688" w:rsidRDefault="00977FB9" w:rsidP="006635CC">
      <w:pPr>
        <w:pStyle w:val="Heading1"/>
        <w:spacing w:line="240" w:lineRule="auto"/>
        <w:rPr>
          <w:rFonts w:ascii="Times New Roman" w:hAnsi="Times New Roman" w:cs="Times New Roman"/>
          <w:b/>
          <w:color w:val="auto"/>
          <w:sz w:val="24"/>
          <w:szCs w:val="24"/>
        </w:rPr>
      </w:pPr>
      <w:bookmarkStart w:id="60" w:name="_Toc79350958"/>
      <w:r w:rsidRPr="00AD6688">
        <w:rPr>
          <w:rFonts w:ascii="Times New Roman" w:hAnsi="Times New Roman" w:cs="Times New Roman"/>
          <w:b/>
          <w:color w:val="auto"/>
          <w:sz w:val="24"/>
          <w:szCs w:val="24"/>
        </w:rPr>
        <w:t>4</w:t>
      </w:r>
      <w:r w:rsidR="00E15D01" w:rsidRPr="00AD6688">
        <w:rPr>
          <w:rFonts w:ascii="Times New Roman" w:hAnsi="Times New Roman" w:cs="Times New Roman"/>
          <w:b/>
          <w:color w:val="auto"/>
          <w:sz w:val="24"/>
          <w:szCs w:val="24"/>
        </w:rPr>
        <w:t>.3 Occupational Hazards and Injuries Health Workers Report</w:t>
      </w:r>
      <w:bookmarkEnd w:id="60"/>
      <w:r w:rsidR="00E15D01" w:rsidRPr="00AD6688">
        <w:rPr>
          <w:rFonts w:ascii="Times New Roman" w:hAnsi="Times New Roman" w:cs="Times New Roman"/>
          <w:b/>
          <w:color w:val="auto"/>
          <w:sz w:val="24"/>
          <w:szCs w:val="24"/>
        </w:rPr>
        <w:t xml:space="preserve"> </w:t>
      </w:r>
    </w:p>
    <w:p w14:paraId="53DAB4B6" w14:textId="77777777"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In order to found out whether health workers report occupational hazards and injuries (OHI) they encounter at the work place during provision of health services to clients, the study found out if there is availability of an OHI department or unit earmarked to handle OHI for health workers. Majority of health workers 141 (54%) said there is no department or unit in the facility earmarked to handle OHI. Few health workers 57 (22%) said there is a department or unit in the facility that takes care of OHI encountered during routine health service delivery. However, 61 (23.6%) said they are not sure such department for OHI even exist. Most Health workers 54(94.7%) assumed the emergency unit at the hospital is the place earmarked for OHI, while other health workers spotted the outpatient department (OPD) as the place earmarked for OHI. No health worker mentioned that, there is a special unit/department earmarked to handle OHI. This study finding is not in agreement with the policy guidelines on occupational health and safety in Ghana, which explained that health facilities should have an OHS unit. The unit would be man by Public Health Officer/clinician and report directly to the District Director of Health services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{"citationID":"ZcnvxXmD","properties":{"formattedCitation":"(36)","plainCitation":"(36)","noteIndex":0},"citationItems":[{"id":"vN2fituk/U9RGp8Hb","uris":["http://www.mendeley.com/documents/?uuid=4ed69864-7d1d-4d8f-959c-07d6bc1cf359"],"itemData":{"abstract":"Health care facilities are potentially hazardous workplaces that expose their workers to a wide range of hazards. Generally, it is assumed among healthcare workers and the general public that the greatest occupational health and safety risk faced by healthcare workers is infection resulting from exposure to blood and body fluids as well as infected air-borne aerosols. Skin contact, infectious fluids (via broken skin, mucous membrane) and droplets aerosols from patients expose healthcare workers to infectious diseases such as hepatitis, HIV and tuberculosis among many others. The emergence of highly infectious diseases such as Severe Acute Respiratory Syndrome (SARS) and the H1N1 Influenza has the tendency to increase the infection risk dramatically. In addition to these, health workers are confronted with physical, mechanical, chemical, ergonomic and psychosocial hazards. For instance, lifting and rolling immobilized or disabled patients exposes workers especially nurses to back injuries. Besides, on call duty, high work load, verbal abuse from disgruntled patients, problematic work relationships, frustrations due to limited resources, poor remuneration among others, exposes healthcare workers to psychosocial hazards such as stress, depression and burnout syndrome. It is in view of the fact that the health worker is the most important resource in the process of rendering health care that the sector considers prudent to provide a safe and healthy working environment as far as reasonably practicable, for its staff in line with the Kenya constitution 2010 and the Occupational Safety and health Act 2007. The implementation of occupational health services expected to be put in place will largely depend on training in occupational health and on-going information provision for staff. It is in this regard that this policy guideline on Occupational Safety and Health for health workers outlines evidence-based measures for adoption by health service managers and staff of institutions in the health sector both within the public and private sub-sectors. Similarly, on-going monitoring of programmes including regular audits is a must if performance of services is to improve progressively. The importance of ensuring the availability of financial resources to make the system function cannot be overemphasized. It is hoped that the Ministry of health at the national level as well as county and sub county heads and facility managers will include specialist training in occu…","author":[{"dropping-particle":"","family":"Macharia","given":"James","non-dropping-particle":"","parse-names":false,"suffix":""}],"container-title":"African Field Epidemiology Network","id":"vN2fituk/U9RGp8Hb","issue":"19","issued":{"date-parts":[["2016"]]},"page":"2-80","title":"OCCUPATIONAL SAFETY AND HEALTH POLICY GUIDELINES FOR THE HEALTH SECTOR","type":"article-journal","volume":"8"}}],"schema":"https://github.com/citation-style-language/schema/raw/master/csl-citation.json"}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(36)</w:t>
      </w:r>
      <w:r w:rsidRPr="00AD6688">
        <w:rPr>
          <w:rFonts w:ascii="Times New Roman" w:hAnsi="Times New Roman" w:cs="Times New Roman"/>
          <w:sz w:val="24"/>
          <w:szCs w:val="24"/>
        </w:rPr>
        <w:fldChar w:fldCharType="end"/>
      </w:r>
      <w:r w:rsidRPr="00AD6688">
        <w:rPr>
          <w:rFonts w:ascii="Times New Roman" w:hAnsi="Times New Roman" w:cs="Times New Roman"/>
          <w:color w:val="FF0000"/>
          <w:sz w:val="24"/>
          <w:szCs w:val="24"/>
        </w:rPr>
        <w:t xml:space="preserve">. </w:t>
      </w:r>
      <w:r w:rsidRPr="00AD6688">
        <w:rPr>
          <w:rFonts w:ascii="Times New Roman" w:hAnsi="Times New Roman" w:cs="Times New Roman"/>
          <w:sz w:val="24"/>
          <w:szCs w:val="24"/>
        </w:rPr>
        <w:t xml:space="preserve">Again, policy document on occupational health and safety of </w:t>
      </w:r>
      <w:proofErr w:type="spellStart"/>
      <w:r w:rsidRPr="00AD6688">
        <w:rPr>
          <w:rFonts w:ascii="Times New Roman" w:hAnsi="Times New Roman" w:cs="Times New Roman"/>
          <w:sz w:val="24"/>
          <w:szCs w:val="24"/>
        </w:rPr>
        <w:t>Komfo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Anokye</w:t>
      </w:r>
      <w:proofErr w:type="spellEnd"/>
      <w:r w:rsidRPr="00AD6688">
        <w:rPr>
          <w:rFonts w:ascii="Times New Roman" w:hAnsi="Times New Roman" w:cs="Times New Roman"/>
          <w:sz w:val="24"/>
          <w:szCs w:val="24"/>
        </w:rPr>
        <w:t xml:space="preserve"> Teaching Hospital provided similar finding. The facility has no specific system for collecting and collation of health data on staff of health sector in that, specific structure to address occupational challenges for health workers is at large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{"citationID":"Eoe3FGU0","properties":{"formattedCitation":"(37)","plainCitation":"(37)","noteIndex":0},"citationItems":[{"id":"vN2fituk/WHCCgw0G","uris":["http://www.mendeley.com/documents/?uuid=c7c00bc9-a424-48ae-919e-c3ef657e8fe9"],"itemData":{"abstract":"The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facilities.","author":[{"dropping-particle":"","family":"Ohene Adjei","given":"","non-dropping-particle":"","parse-names":false,"suffix":""}],"container-title":"Advances in Public Health","id":"ITEM-1","issue":"31","issued":{"date-parts":[["2019"]]},"page":"3-28","title":"Occupational Health and Safety Guide, Komfo Anokye Teaching Hospital","type":"article-journal","volume":"3"}}],"schema":"https://github.com/citation-style-language/schema/raw/master/csl-citation.json"}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085380E3" w14:textId="77777777" w:rsidR="002F4F67" w:rsidRPr="00AD6688" w:rsidRDefault="00E15D01" w:rsidP="006635CC">
      <w:pPr>
        <w:widowControl w:val="0"/>
        <w:autoSpaceDE w:val="0"/>
        <w:autoSpaceDN w:val="0"/>
        <w:adjustRightInd w:val="0"/>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whether health workers have ever reported any OHI to the department, majority 213 (87.6%) said there was no need reporting any OHI to the department, only few 4 (1.5%) said they had ever reported a case at the facility. This study finding affirms the findings of  a study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sd67Olt","properties":{"formattedCitation":"(21)","plainCitation":"(21)","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Today","id":"ITEM-1","issue":"12","issued":{"date-parts":[["2018","1"]]},"page":"23-27","title":"Students nurses' knowledge and prevalence of Needle Stick Injury in Jordan","type":"article-journal","volume":"60"}}],"schema":"https://github.com/citation-style-language/schema/raw/master/csl-citation.json"}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student nurses level of knowledge about NSI and its prevalence and post-exposure measures in Jordan which found that, student nurses had exposure to NSI. However, majority of the students who suffered NSI found it difficult to report to their clinical instructors or even write a short report. Similar study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GsBGvAvo","properties":{"formattedCitation":"(38)","plainCitation":"(38)","noteIndex":0},"citationItems":[{"id":"vN2fituk/M5dzKcp1","uris":["http://www.mendeley.com/documents/?uuid=f5ae3355-e0f1-4548-9e9c-7d2555c18d2c","http://www.mendeley.com/documents/?uuid=e71ff960-6fda-42eb-84f7-3034c053b03b"],"itemData":{"DOI":"10.1186/s12889-018-5620-5","ISSN":"1471-2458","PMID":"29875015","abstract":"Background: Psychiatric hospitals need safe working environments to promote productivity at the workplace. Even though occupational health and safety is not completely new to the corporate society, its scope is largely limited to the manufacturing/processing industries which are perceived to pose greater dangers to workers than the health sector. This paper sought to explore the experiences of frontline nursing personnel on the occupational health and safety conditions in two psychiatric hospitals in Ghana. Methods: This is an exploratory cross-sectional study among 296 nurses and nurse-assistants in Accra (n = 164) and Pantang (n = 132) psychiatric hospitals using the proportional stratified random sampling technique. Multivariate Ordinary Least Squares (OLS) regression test was conducted to ascertain the determinants of staff exposure to occupational health hazards and the frequency of exposure to these occupational health hazards on daily basis. Results: Knowledge levels on occupational health hazards was high in Accra and Pantang psychiatric hospitals (i.e. 92 and 81% respectively), but barely 44% of the 296 interviewed staff in the two hospitals said they reported their most recent exposure to an occupational health hazard to hospital management. It was found that staff who worked for more years on the ward had higher likelihood of exposure to occupational health hazards than those who worked for lesser years (p = 0.002). The category of occupational health hazards reported most were the physical health hazards. Psychosocial hazards were the least reported health hazards. Frequency of exposure to occupational health hazards on daily basis was positively associated with work schedules of staff particularly, staff on routine day schedule (Coef = 4.49, p = 0.011) and those who alternated between day and night schedules (Coef = 4.48, p = 0.010). Conclusion: Occupational health and safety conditions in the two hospitals were found to be generally poor. Even though majority of the staff knew about occupational health and safety, less than half of them reported exposure to workplace health hazards. Key stakeholders such as the Ministry of Health in collaboration with the Mental Health Authority should intensify efforts towards effective enforcement of existing policies on safety in healthcare institutions, particularly psychiatric hospitals where exposure to occupational health hazards is more prevalent.","author":[{"dropping-particle":"","family":"Alhassan","given":"Robert Kaba","non-dropping-particle":"","parse-names":false,"suffix":""},{"dropping-particle":"","family":"Poku","given":"Kwabena Adu","non-dropping-particle":"","parse-names":false,"suffix":""}],"container-title":"BMC Public Health","id":"ITEM-1","issue":"1","issued":{"date-parts":[["2018","12"]]},"page":"701","title":"Experiences of frontline nursing staff on workplace safety and occupational health hazards in two psychiatric hospitals in Ghana","type":"article-journal","volume":"18"}}],"schema":"https://github.com/citation-style-language/schema/raw/master/csl-citation.json"}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experiences of frontline nursing staff on workplace safety and occupational health hazard in two psychiatric hospitals in Ghana also revealed that,  although majority  of health staff knew about occupational hazards, less than half of the healthcare workers reported exposure to work place health hazards. Moreover, several of these healthcare workers had had exposure to occupational hazards and injury. Again,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S31lI7b","properties":{"formattedCitation":"(39)","plainCitation":"(39)","noteIndex":0},"citationItems":[{"id":"vN2fituk/uYnGYVK5","uris":["http://www.mendeley.com/documents/?uuid=364e3219-6c33-446d-8ea2-8f13a5d64be7","http://www.mendeley.com/documents/?uuid=c5d3499a-0977-4802-9c9c-3e59588a1613"],"itemData":{"DOI":"10.1016/j.ijid.2014.12.003","ISSN":"12019712","PMID":"25809771","abstract":"Dr Thato Mosidi never expected to be diagnosed with tuberculosis (TB), despite widely prevalent exposure and very limited infection control measures. The life-threatening diagnosis of primary extensively drug-resistant TB (XDR-TB) came as an even greater shock. The inconvenient truth is that, rather than being protected, Dr Mosidi and thousands of her healthcare colleagues are at an increased risk of TB and especially drug-resistant TB. In this viewpoint paper we debunk the widely held false belief that healthcare workers are somehow immune to TB disease (TB-proof) and explore some of the key factors contributing to the pervasive stigmatization and subsequent non-disclosure of occupational TB. Our front-line workers are some of the first to suffer the consequences of a progressively more resistant and fatal TB epidemic, and urgent interventions are needed to ensure the safety and continued availability of these precious healthcare resources. These include the rapid development and scale-up of improved diagnostic and treatment options, strengthened infection control measures, and focused interventions to tackle stigma and discrimination in all its forms. We call our colleagues to action to protect themselves and those they care for.","author":[{"dropping-particle":"","family":"Delft","given":"Arne","non-dropping-particle":"von","parse-names":false,"suffix":""},{"dropping-particle":"","family":"Dramowski","given":"Angela","non-dropping-particle":"","parse-names":false,"suffix":""},{"dropping-particle":"","family":"Khosa","given":"Celso","non-dropping-particle":"","parse-names":false,"suffix":""},{"dropping-particle":"","family":"Kotze","given":"Koot","non-dropping-particle":"","parse-names":false,"suffix":""},{"dropping-particle":"","family":"Lederer","given":"Philip","non-dropping-particle":"","parse-names":false,"suffix":""},{"dropping-particle":"","family":"Mosidi","given":"Thato","non-dropping-particle":"","parse-names":false,"suffix":""},{"dropping-particle":"","family":"Peters","given":"Jurgens A.","non-dropping-particle":"","parse-names":false,"suffix":""},{"dropping-particle":"","family":"Smith","given":"Jonathan","non-dropping-particle":"","parse-names":false,"suffix":""},{"dropping-particle":"","family":"Westhuizen","given":"Helene-Mari","non-dropping-particle":"van der","parse-names":false,"suffix":""},{"dropping-particle":"","family":"Delft","given":"Dalene","non-dropping-particle":"von","parse-names":false,"suffix":""},{"dropping-particle":"","family":"Willems","given":"Bart","non-dropping-particle":"","parse-names":false,"suffix":""},{"dropping-particle":"","family":"Bates","given":"Matthew","non-dropping-particle":"","parse-names":false,"suffix":""},{"dropping-particle":"","family":"Craig","given":"Gill","non-dropping-particle":"","parse-names":false,"suffix":""},{"dropping-particle":"","family":"Maeurer","given":"Markus","non-dropping-particle":"","parse-names":false,"suffix":""},{"dropping-particle":"","family":"Marais","given":"Ben J.","non-dropping-particle":"","parse-names":false,"suffix":""},{"dropping-particle":"","family":"Mwaba","given":"Peter","non-dropping-particle":"","parse-names":false,"suffix":""},{"dropping-particle":"","family":"Nunes","given":"Elizabete A.","non-dropping-particle":"","parse-names":false,"suffix":""},{"dropping-particle":"","family":"Nyirenda","given":"Thomas","non-dropping-particle":"","parse-names":false,"suffix":""},{"dropping-particle":"","family":"Oliver","given":"Matt","non-dropping-particle":"","parse-names":false,"suffix":""},{"dropping-particle":"","family":"Zumla","given":"Alimuddin","non-dropping-particle":"","parse-names":false,"suffix":""}],"container-title":"International Journal of Infectious Diseases","id":"ITEM-1","issued":{"date-parts":[["2015","3"]]},"page":"147-151","title":"Why healthcare workers are sick of TB","type":"article-journal","volume":"32"}}],"schema":"https://github.com/citation-style-language/schema/raw/master/csl-citation.json"}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reasons why health care workers are sick of TB explained that, most healthcare workers feel stigmatized and therefore feel reluctant to report occupational hazards to management.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8FNMaELw","properties":{"formattedCitation":"(26)","plainCitation":"(26)","noteIndex":0},"citationItems":[{"id":"vN2fituk/2OBjKgUZ","uris":["http://www.mendeley.com/documents/?uuid=ed39145a-0f19-446b-a169-b121a9290f5c"],"itemData":{"DOI":"10.1155/2015/913741","ISSN":"1687-9805","PMID":"25802531","abstract":"Objective. To assess the occupational health hazards faced by healthcare workers and the mitigation measures. Methods. We conducted a cross-sectional study utilizing quantitative data collection methods among 200 respondents who worked in 8 major health facilities in Kampala. Results. Overall, 50.0% of respondents reported experiencing an occupational health hazard. Among these, 39.5% experienced biological hazards while 31.5% experienced nonbiological hazards. Predictors for experiencing hazards included not wearing the necessary personal protective equipment (PPE), working overtime, job related pressures, and working in multiple health facilities. Control measures to mitigate hazards were availing separate areas and containers to store medical waste and provision of safety tools and equipment. Conclusion. Healthcare workers in this setting experience several hazards in their workplaces. Associated factors include not wearing all necessary protective equipment, working overtime, experiencing work related pressures, and working in multiple facilities. Interventions should be instituted to mitigate the hazards. Specifically PPE supply gaps, job related pressures, and complacence in adhering to mitigation measures should be addressed.","author":[{"dropping-particle":"","family":"Ndejjo","given":"Rawlance","non-dropping-particle":"","parse-names":false,"suffix":""},{"dropping-particle":"","family":"Musinguzi","given":"Geofrey","non-dropping-particle":"","parse-names":false,"suffix":""},{"dropping-particle":"","family":"Yu","given":"Xiaozhong","non-dropping-particle":"","parse-names":false,"suffix":""},{"dropping-particle":"","family":"Buregyeya","given":"Esther","non-dropping-particle":"","parse-names":false,"suffix":""},{"dropping-particle":"","family":"Musoke","given":"David","non-dropping-particle":"","parse-names":false,"suffix":""},{"dropping-particle":"","family":"Wang","given":"Jia-Sheng","non-dropping-particle":"","parse-names":false,"suffix":""},{"dropping-particle":"","family":"Halage","given":"Abdullah Ali","non-dropping-particle":"","parse-names":false,"suffix":""},{"dropping-particle":"","family":"Whalen","given":"Christopher","non-dropping-particle":"","parse-names":false,"suffix":""},{"dropping-particle":"","family":"Bazeyo","given":"William","non-dropping-particle":"","parse-names":false,"suffix":""},{"dropping-particle":"","family":"Williams","given":"Phillip","non-dropping-particle":"","parse-names":false,"suffix":""},{"dropping-particle":"","family":"Ssempebwa","given":"John","non-dropping-particle":"","parse-names":false,"suffix":""}],"container-title":"Journal of Environmental and Public Health","id":"ITEM-1","issue":"3","issued":{"date-parts":[["2015"]]},"page":"1-9","title":"Occupational Health Hazards among Healthcare Workers in Kampala, Uganda","type":"article-journal","volume":"2015"}}],"schema":"https://github.com/citation-style-language/schema/raw/master/csl-citation.json"}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occupational health hazards among healthcare workers in Kampala, Uganda found the affirmative, that 50% of respondents reported experiencing occupational health hazard. In addition,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{"citationID":"NmZy93p6","properties":{"formattedCitation":"(40)","plainCitation":"(40)","noteIndex":0},"citationItems":[{"id":"vN2fituk/TZApuhfz","uris":["http://www.mendeley.com/documents/?uuid=28696901-c1e3-47e7-9965-26ec39f63401"],"itemData":{"abstract":"Background: Health care workers are continually exposed to occupational health hazards. The study aimed to assess the prevalence of some occupational health hazards and their reporting behavior. Methods: A hospital based cross-sectional study was conducted in August 2014 among health care workers in a tertiary health institution in Bida, North-central Nigeria. A total of 200 health care workers from all the departments were included using the multi-staged random sampling technique. Relevant quantitative and qualitative data were collected using semi- structured self-administered questionnaire. The participants were divided into clinical health care workers and non-clinical health care workers. The frequency distribution of the variables were calculated and presented in the form of frequency tables and figures. Results: The overall prevalence of occupational health hazard was 56.8% (n = 108). The most common occupational health hazard among clinical health care workers were needle stick injury (40.7%) and infections with hepatitis B and C viruses (13.9%) and among the non-clinical health care workers were stress (32.8%) and back pain (10.3%). Majority of the health care workers who had occupational health hazards reported appropriately to the committee concerned. Conclusions: Occupational health hazards are common among hospital health care workers and were adequately reported. Training of the health care workers on measures to mitigate these hazards may also enhance the reporting behavior and its management when it occurs. Keywords:","author":[{"dropping-particle":"","family":"Umar","given":"Adamu G","non-dropping-particle":"","parse-names":false,"suffix":""},{"dropping-particle":"","family":"Aisha","given":"Abdullahi","non-dropping-particle":"","parse-names":false,"suffix":""}],"id":"ITEM-1","issue":"01","issued":{"date-parts":[["2017"]]},"page":"1-6","title":"Common occupational health hazards amongst Health care workers in a Tertiary Health Institution in Bida , North-central","type":"article-journal","volume":"8"}}],"schema":"https://github.com/citation-style-language/schema/raw/master/csl-citation.json"}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(40)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in their study on common occupational health hazards in a tertiary health institution in </w:t>
      </w:r>
      <w:proofErr w:type="spellStart"/>
      <w:r w:rsidRPr="00AD6688">
        <w:rPr>
          <w:rFonts w:ascii="Times New Roman" w:hAnsi="Times New Roman" w:cs="Times New Roman"/>
          <w:sz w:val="24"/>
          <w:szCs w:val="24"/>
        </w:rPr>
        <w:t>Bida</w:t>
      </w:r>
      <w:proofErr w:type="spellEnd"/>
      <w:r w:rsidRPr="00AD6688">
        <w:rPr>
          <w:rFonts w:ascii="Times New Roman" w:hAnsi="Times New Roman" w:cs="Times New Roman"/>
          <w:sz w:val="24"/>
          <w:szCs w:val="24"/>
        </w:rPr>
        <w:t xml:space="preserve">, North-Central revealed that, of 108 health workers who sustained various occupational health hazards, 57.4% reported to management. Respondents, 32% did not report to the committee and six of the health workers felt there was no need to inform anybody about it. Again, 169 (65.3%) of respondents said their facilities have no protocol to work with when encountered with OHI, 30 (11.6%) said protocol exist however, 40 (15.4%) said they do not know. This study finding is in affirmative to the provision of standardized protocols to health workers when encountered with health hazards or injuries in Kenya, according to Kenyan guidelines on occupational health and safety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{"citationID":"xjcvWSSU","properties":{"formattedCitation":"(36)","plainCitation":"(36)","noteIndex":0},"citationItems":[{"id":"vN2fituk/U9RGp8Hb","uris":["http://www.mendeley.com/documents/?uuid=4ed69864-7d1d-4d8f-959c-07d6bc1cf359"],"itemData":{"abstract":"Health care facilities are potentially hazardous workplaces that expose their workers to a wide range of hazards. Generally, it is assumed among healthcare workers and the general public that the greatest occupational health and safety risk faced by healthcare workers is infection resulting from exposure to blood and body fluids as well as infected air-borne aerosols. Skin contact, infectious fluids (via broken skin, mucous membrane) and droplets aerosols from patients expose healthcare workers to infectious diseases such as hepatitis, HIV and tuberculosis among many others. The emergence of highly infectious diseases such as Severe Acute Respiratory Syndrome (SARS) and the H1N1 Influenza has the tendency to increase the infection risk dramatically. In addition to these, health workers are confronted with physical, mechanical, chemical, ergonomic and psychosocial hazards. For instance, lifting and rolling immobilized or disabled patients exposes workers especially nurses to back injuries. Besides, on call duty, high work load, verbal abuse from disgruntled patients, problematic work relationships, frustrations due to limited resources, poor remuneration among others, exposes healthcare workers to psychosocial hazards such as stress, depression and burnout syndrome. It is in view of the fact that the health worker is the most important resource in the process of rendering health care that the sector considers prudent to provide a safe and healthy working environment as far as reasonably practicable, for its staff in line with the Kenya constitution 2010 and the Occupational Safety and health Act 2007. The implementation of occupational health services expected to be put in place will largely depend on training in occupational health and on-going information provision for staff. It is in this regard that this policy guideline on Occupational Safety and Health for health workers outlines evidence-based measures for adoption by health service managers and staff of institutions in the health sector both within the public and private sub-sectors. Similarly, on-going monitoring of programmes including regular audits is a must if performance of services is to improve progressively. The importance of ensuring the availability of financial resources to make the system function cannot be overemphasized. It is hoped that the Ministry of health at the national level as well as county and sub county heads and facility managers will include specialist training in occu…","author":[{"dropping-particle":"","family":"Macharia","given":"James","non-dropping-particle":"","parse-names":false,"suffix":""}],"container-title":"African Field Epidemiology Network","id":"ITEM-1","issue":"19","issued":{"date-parts":[["2016"]]},"page":"2-80","title":"OCCUPATIONAL SAFETY AND HEALTH POLICY GUIDELINES FOR THE HEALTH SECTOR","type":"article-journal","volume":"8"}}],"schema":"https://github.com/citation-style-language/schema/raw/master/csl-citation.json"}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14:paraId="068444FB" w14:textId="77777777" w:rsidR="002F4F67" w:rsidRPr="00AD6688" w:rsidRDefault="00E15D01" w:rsidP="006635CC">
      <w:pPr>
        <w:widowControl w:val="0"/>
        <w:autoSpaceDE w:val="0"/>
        <w:autoSpaceDN w:val="0"/>
        <w:adjustRightInd w:val="0"/>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study further revealed that 235 (90.7%) had never reported any OHI, 15 (5.8%) had reported cases of needle prick, and 9 (3.5%) had reported other cases such as diarrhea, headache and backache to the unit. This finding from the study further confirmed earlies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2BqDnq0W","properties":{"formattedCitation":"(21)","plainCitation":"(21)","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Today","id":"ITEM-1","issue":"12","issued":{"date-parts":[["2018","1"]]},"page":"23-27","title":"Students nurses' knowledge and prevalence of Needle Stick Injury in Jordan","type":"article-journal","volume":"60"}}],"schema":"https://github.com/citation-style-language/schema/raw/master/csl-citation.json"}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F5fQ53q","properties":{"formattedCitation":"(38)","plainCitation":"(38)","noteIndex":0},"citationItems":[{"id":"vN2fituk/M5dzKcp1","uris":["http://www.mendeley.com/documents/?uuid=f5ae3355-e0f1-4548-9e9c-7d2555c18d2c","http://www.mendeley.com/documents/?uuid=e71ff960-6fda-42eb-84f7-3034c053b03b"],"itemData":{"DOI":"10.1186/s12889-018-5620-5","ISSN":"1471-2458","PMID":"29875015","abstract":"Background: Psychiatric hospitals need safe working environments to promote productivity at the workplace. Even though occupational health and safety is not completely new to the corporate society, its scope is largely limited to the manufacturing/processing industries which are perceived to pose greater dangers to workers than the health sector. This paper sought to explore the experiences of frontline nursing personnel on the occupational health and safety conditions in two psychiatric hospitals in Ghana. Methods: This is an exploratory cross-sectional study among 296 nurses and nurse-assistants in Accra (n = 164) and Pantang (n = 132) psychiatric hospitals using the proportional stratified random sampling technique. Multivariate Ordinary Least Squares (OLS) regression test was conducted to ascertain the determinants of staff exposure to occupational health hazards and the frequency of exposure to these occupational health hazards on daily basis. Results: Knowledge levels on occupational health hazards was high in Accra and Pantang psychiatric hospitals (i.e. 92 and 81% respectively), but barely 44% of the 296 interviewed staff in the two hospitals said they reported their most recent exposure to an occupational health hazard to hospital management. It was found that staff who worked for more years on the ward had higher likelihood of exposure to occupational health hazards than those who worked for lesser years (p = 0.002). The category of occupational health hazards reported most were the physical health hazards. Psychosocial hazards were the least reported health hazards. Frequency of exposure to occupational health hazards on daily basis was positively associated with work schedules of staff particularly, staff on routine day schedule (Coef = 4.49, p = 0.011) and those who alternated between day and night schedules (Coef = 4.48, p = 0.010). Conclusion: Occupational health and safety conditions in the two hospitals were found to be generally poor. Even though majority of the staff knew about occupational health and safety, less than half of them reported exposure to workplace health hazards. Key stakeholders such as the Ministry of Health in collaboration with the Mental Health Authority should intensify efforts towards effective enforcement of existing policies on safety in healthcare institutions, particularly psychiatric hospitals where exposure to occupational health hazards is more prevalent.","author":[{"dropping-particle":"","family":"Alhassan","given":"Robert Kaba","non-dropping-particle":"","parse-names":false,"suffix":""},{"dropping-particle":"","family":"Poku","given":"Kwabena Adu","non-dropping-particle":"","parse-names":false,"suffix":""}],"container-title":"BMC Public Health","id":"ITEM-1","issue":"1","issued":{"date-parts":[["2018","12"]]},"page":"701","title":"Experiences of frontline nursing staff on workplace safety and occupational health hazards in two psychiatric hospitals in Ghana","type":"article-journal","volume":"18"}}],"schema":"https://github.com/citation-style-language/schema/raw/master/csl-citation.json"}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which revealed that most nurses (student and background) find it difficult to report occupational hazards and injuries they encounter at the workplace. However, few of the health workers had reported of needle prick injuries, and other infections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cmWC8Pd9","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Health","id":"ITEM-1","issue":"13","issued":{"date-parts":[["2017"]]},"page":"38-68","title":"Occupational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RIfIDYu","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1B5713B9" w14:textId="77777777"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61" w:name="_Toc79350959"/>
      <w:r w:rsidRPr="00AD6688">
        <w:rPr>
          <w:rFonts w:ascii="Times New Roman" w:hAnsi="Times New Roman" w:cs="Times New Roman"/>
          <w:b/>
          <w:color w:val="auto"/>
          <w:sz w:val="24"/>
          <w:szCs w:val="24"/>
          <w:lang w:val="en-GB"/>
        </w:rPr>
        <w:t>4</w:t>
      </w:r>
      <w:r w:rsidR="00E15D01" w:rsidRPr="00AD6688">
        <w:rPr>
          <w:rFonts w:ascii="Times New Roman" w:hAnsi="Times New Roman" w:cs="Times New Roman"/>
          <w:b/>
          <w:color w:val="auto"/>
          <w:sz w:val="24"/>
          <w:szCs w:val="24"/>
          <w:lang w:val="en-GB"/>
        </w:rPr>
        <w:t>.4 Summary of Chapter</w:t>
      </w:r>
      <w:bookmarkEnd w:id="61"/>
    </w:p>
    <w:p w14:paraId="769C5F12"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Health workers may not suffer biological hazards such as HIV/AIDS, skin diseases, Tuberculosis, Hepatitis and diarrhea. However, occupational injuries were very common among health workers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health facilities. It was evident from this study that only 4 (16%) of health workers who had acquired infection (malaria) was through routine activities in the health care </w:t>
      </w:r>
      <w:proofErr w:type="spellStart"/>
      <w:r w:rsidRPr="00AD6688">
        <w:rPr>
          <w:rFonts w:ascii="Times New Roman" w:hAnsi="Times New Roman" w:cs="Times New Roman"/>
          <w:sz w:val="24"/>
          <w:szCs w:val="24"/>
        </w:rPr>
        <w:t>envirnment</w:t>
      </w:r>
      <w:proofErr w:type="spellEnd"/>
      <w:r w:rsidRPr="00AD6688">
        <w:rPr>
          <w:rFonts w:ascii="Times New Roman" w:hAnsi="Times New Roman" w:cs="Times New Roman"/>
          <w:sz w:val="24"/>
          <w:szCs w:val="24"/>
        </w:rPr>
        <w:t xml:space="preserve">. Most health workers had had one form of </w:t>
      </w:r>
      <w:proofErr w:type="spellStart"/>
      <w:r w:rsidRPr="00AD6688">
        <w:rPr>
          <w:rFonts w:ascii="Times New Roman" w:hAnsi="Times New Roman" w:cs="Times New Roman"/>
          <w:sz w:val="24"/>
          <w:szCs w:val="24"/>
        </w:rPr>
        <w:t>occpuational</w:t>
      </w:r>
      <w:proofErr w:type="spellEnd"/>
      <w:r w:rsidRPr="00AD6688">
        <w:rPr>
          <w:rFonts w:ascii="Times New Roman" w:hAnsi="Times New Roman" w:cs="Times New Roman"/>
          <w:sz w:val="24"/>
          <w:szCs w:val="24"/>
        </w:rPr>
        <w:t xml:space="preserve"> injuries or the other through burns, falls, lifting of patient and weeding. Other injuries included needle prick and  back pain. These study findings were substantiated with findings from (Suliman et al., 2018); (</w:t>
      </w:r>
      <w:proofErr w:type="spellStart"/>
      <w:r w:rsidRPr="00AD6688">
        <w:rPr>
          <w:rFonts w:ascii="Times New Roman" w:hAnsi="Times New Roman" w:cs="Times New Roman"/>
          <w:sz w:val="24"/>
          <w:szCs w:val="24"/>
        </w:rPr>
        <w:t>Wåhlin</w:t>
      </w:r>
      <w:proofErr w:type="spellEnd"/>
      <w:r w:rsidRPr="00AD6688">
        <w:rPr>
          <w:rFonts w:ascii="Times New Roman" w:hAnsi="Times New Roman" w:cs="Times New Roman"/>
          <w:sz w:val="24"/>
          <w:szCs w:val="24"/>
        </w:rPr>
        <w:t xml:space="preserve"> et al., 2020) who affirmed that, health workers had </w:t>
      </w:r>
      <w:proofErr w:type="spellStart"/>
      <w:r w:rsidRPr="00AD6688">
        <w:rPr>
          <w:rFonts w:ascii="Times New Roman" w:hAnsi="Times New Roman" w:cs="Times New Roman"/>
          <w:sz w:val="24"/>
          <w:szCs w:val="24"/>
        </w:rPr>
        <w:t>injuriess</w:t>
      </w:r>
      <w:proofErr w:type="spellEnd"/>
      <w:r w:rsidRPr="00AD6688">
        <w:rPr>
          <w:rFonts w:ascii="Times New Roman" w:hAnsi="Times New Roman" w:cs="Times New Roman"/>
          <w:sz w:val="24"/>
          <w:szCs w:val="24"/>
        </w:rPr>
        <w:t xml:space="preserve"> such as needle prick, workplace violence, injuries during patient manual handling and these injuries are common in the health care environment</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{"citationID":"f47SiWO5","properties":{"formattedCitation":"(22,41)","plainCitation":"(22,41)","noteIndex":0},"citationItems":[{"id":380,"uris":["http://zotero.org/users/local/fuyxLwzY/items/P2WS2LI5"],"itemData":{"id":380,"type":"article-journal","container-title":"European Journal of Physiotherapy","DOI":"10.1080/21679169.2018.1549594","ISSN":"2167-9169, 2167-9177","issue":"1","language":"en","license":"http://creativecommons.org/licenses/by-nc-nd/4.0/","note":"publisher: Informa UK Limited","page":"44-50","source":"Crossref","title":"Patient and healthcare worker safety risks and injuries. Learning from incident reporting","volume":"22","author":[{"family":"Wåhlin","given":"Charlotte"},{"family":"Kvarnström","given":"Susanne"},{"family":"Öhrn","given":"Annica"},{"family":"Nilsing Strid","given":"Emma"}],"issued":{"date-parts":[["2020",1,2]]}}},{"id":379,"uris":["http://zotero.org/users/local/fuyxLwzY/items/2K7WJURM"],"itemData":{"id":379,"type":"article-journal","container-title":"Nurse Education Today","DOI":"10.1016/j.nedt.2017.09.015","ISSN":"0260-6917","language":"en","license":"https://www.elsevier.com/tdm/userlicense/1.0/","note":"publisher: Elsevier BV","page":"23-27","source":"Crossref","title":"Students nurses' knowledge and prevalence of Needle Stick Injury in Jordan","volume":"60","author":[{"family":"Suliman","given":"Mohammad"},{"family":"Al Qadire","given":"Mohammad"},{"family":"Alazzam","given":"Manar"},{"family":"Aloush","given":"Sami"},{"family":"Alsaraireh","given":"Arwa"},{"family":"Alsaraireh","given":"Faris A."}],"issued":{"date-parts":[["2018",1]]}}}],"schema":"https://github.com/citation-style-language/schema/raw/master/csl-citation.json"}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(22,41)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T1cjTDcJ","properties":{"formattedCitation":"(23)","plainCitation":"(23)","noteIndex":0},"citationItems":[{"id":"vN2fituk/llpP7kyq","uris":["http://www.mendeley.com/documents/?uuid=e6723b08-4cbc-4e81-aca8-545f22735564"],"itemData":{"DOI":"10.5334/aogh.2434","ISSN":"22149996","PMID":"31172728","abstract":"Background: While all healthcare workers are exposed to occupational hazards, workers in sub-Saharan Africa have higher rates of occupational exposure to infectious diseases than workers in developed countries. Identifying prevalence and context of exposure to blood and bloodborne pathogens may help guide policies for prevention. Objective: This systematic review examined occupational exposure rates to blood and bloodborne pathogen among healthcare workers in sub-Saharan Africa. Methods: In November 2017, a comprehensive literature search was conducted to identify studies reporting exposure of health workers in African coutnries to blood and bodily fluids. Title, abstract and full text screening were used to narrow our search. Studies more than 10 years old, or published in non-English languages were excluded. Findings: Fifteen studies reported a variety of exposures. The lifetime prevalence of needlestick injury ranged from 22–95%, and one-year prevalence ranged from 39–91%. Studies included a range of descriptive statistics of knowledge, attitudes, practice and access factors related to exposures. Two studies reported 21–32% of respondents linked poor knowledge or training with prevention of needlestick injuries. Rates of recapping needles ranged from 12–57% in four studies. Attitudes were generally positive toward occupational safety procedures while access was poor. Conclusions: The high burden of blood and bloodborne pathogen exposures demonstrated here indicates a high risk for contracting bloodborne illnesses. Although the data are sparse, implementation of preventative policies based on current knowledge remains critical to minimize risk and reduce exposure. There remains a pressing need for high quality data on occupational hazards to identify the burden of exposures and inform preventive policies in Sub-Saharan Africa. Additional studies are needed to determine whether differential exposures exist between professions and the associations with knowledge, attitudes, practices, and access factors to create targeted strategies to diminish occupational hazards.","author":[{"dropping-particle":"","family":"Mossburg","given":"Sarah","non-dropping-particle":"","parse-names":false,"suffix":""},{"dropping-particle":"","family":"Agore","given":"Angela","non-dropping-particle":"","parse-names":false,"suffix":""},{"dropping-particle":"","family":"Nkimbeng","given":"Manka","non-dropping-particle":"","parse-names":false,"suffix":""},{"dropping-particle":"","family":"Commodore-Mensah","given":"Yvonne","non-dropping-particle":"","parse-names":false,"suffix":""}],"container-title":"Annals of Global Health","id":"ITEM-1","issue":"1","issued":{"date-parts":[["2019"]]},"page":"1-13","title":"Occupational hazards among healthcare workers in africa: A systematic review","type":"article-journal","volume":"85"}}],"schema":"https://github.com/citation-style-language/schema/raw/master/csl-citation.json"}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further added that, fall, burns and needle stick injuries are among the leading cause of injuries among healthcare workers, rate of recapping was prominent and nurses lacked adequate knowledge. Majority of health workers recommended management should organize more training on occupational health and safety practices. This was necessary in-behalf-of, more health workers can prevent themselves from occupational injuries and improve work effectiveness.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WAsZFRKA","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Health","id":"ITEM-1","issue":"13","issued":{"date-parts":[["2017"]]},"page":"38-68","title":"Occupational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{"citationID":"XReLeAgA","properties":{"formattedCitation":"(25)","plainCitation":"(25)","noteIndex":0},"citationItems":[{"id":"vN2fituk/1Gn2Qx4A","uris":["http://www.mendeley.com/documents/?uuid=c3e46763-b921-41a2-980f-4efba1c2c745"],"itemData":{"abstract":"Each year workplaces provide many hours of training for employees, including occupational health and safety (OHS) training. Training is widely acknowledged as an important component of occupational hazard control and risk management programs. Increasingly, business owners want to know whether training can meet its goals of decreasing injury and illness, and whether the cost of training programs can be justified. This is important in view of the millions of injuries and illnesses, and thousands of deaths, that are reported annually in workplaces throughout North America and globally","author":[{"dropping-particle":"","family":"Atuahene Mensah","given":"John Esian","non-dropping-particle":"","parse-names":false,"suffix":""}],"container-title":"Sharing Best Evidence.","id":"ITEM-1","issue":"01","issued":{"date-parts":[["2019"]]},"page":"1-4","title":"Effectiveness of OHS education and training","type":"article-journal","volume":"4"}}],"schema":"https://github.com/citation-style-language/schema/raw/master/csl-citation.json"}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3AnoAatD","properties":{"formattedCitation":"(26)","plainCitation":"(26)","noteIndex":0},"citationItems":[{"id":"vN2fituk/2OBjKgUZ","uris":["http://www.mendeley.com/documents/?uuid=ed39145a-0f19-446b-a169-b121a9290f5c"],"itemData":{"DOI":"10.1155/2015/913741","ISSN":"1687-9805","PMID":"25802531","abstract":"Objective. To assess the occupational health hazards faced by healthcare workers and the mitigation measures. Methods. We conducted a cross-sectional study utilizing quantitative data collection methods among 200 respondents who worked in 8 major health facilities in Kampala. Results. Overall, 50.0% of respondents reported experiencing an occupational health hazard. Among these, 39.5% experienced biological hazards while 31.5% experienced nonbiological hazards. Predictors for experiencing hazards included not wearing the necessary personal protective equipment (PPE), working overtime, job related pressures, and working in multiple health facilities. Control measures to mitigate hazards were availing separate areas and containers to store medical waste and provision of safety tools and equipment. Conclusion. Healthcare workers in this setting experience several hazards in their workplaces. Associated factors include not wearing all necessary protective equipment, working overtime, experiencing work related pressures, and working in multiple facilities. Interventions should be instituted to mitigate the hazards. Specifically PPE supply gaps, job related pressures, and complacence in adhering to mitigation measures should be addressed.","author":[{"dropping-particle":"","family":"Ndejjo","given":"Rawlance","non-dropping-particle":"","parse-names":false,"suffix":""},{"dropping-particle":"","family":"Musinguzi","given":"Geofrey","non-dropping-particle":"","parse-names":false,"suffix":""},{"dropping-particle":"","family":"Yu","given":"Xiaozhong","non-dropping-particle":"","parse-names":false,"suffix":""},{"dropping-particle":"","family":"Buregyeya","given":"Esther","non-dropping-particle":"","parse-names":false,"suffix":""},{"dropping-particle":"","family":"Musoke","given":"David","non-dropping-particle":"","parse-names":false,"suffix":""},{"dropping-particle":"","family":"Wang","given":"Jia-Sheng","non-dropping-particle":"","parse-names":false,"suffix":""},{"dropping-particle":"","family":"Halage","given":"Abdullah Ali","non-dropping-particle":"","parse-names":false,"suffix":""},{"dropping-particle":"","family":"Whalen","given":"Christopher","non-dropping-particle":"","parse-names":false,"suffix":""},{"dropping-particle":"","family":"Bazeyo","given":"William","non-dropping-particle":"","parse-names":false,"suffix":""},{"dropping-particle":"","family":"Williams","given":"Phillip","non-dropping-particle":"","parse-names":false,"suffix":""},{"dropping-particle":"","family":"Ssempebwa","given":"John","non-dropping-particle":"","parse-names":false,"suffix":""}],"container-title":"Journal of Environmental and Public Health","id":"ITEM-1","issue":"3","issued":{"date-parts":[["2015"]]},"page":"1-9","title":"Occupational Health Hazards among Healthcare Workers in Kampala, Uganda","type":"article-journal","volume":"2015"}}],"schema":"https://github.com/citation-style-language/schema/raw/master/csl-citation.json"}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14:paraId="67F81E96"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Inadequate PPE may be a possible reason of occupational hazards and injuries in the healthcare environment. It was evident from this study that majority of health workers had inadequate PPE to use in their facilities and its non-availability caused fear and apathy among respondents. However, limited PPE that were available for use such as gloves, face mask and cover/cap, most of the HCW had had no training on its usage. Studies from; (</w:t>
      </w:r>
      <w:proofErr w:type="spellStart"/>
      <w:r w:rsidRPr="00AD6688">
        <w:rPr>
          <w:rFonts w:ascii="Times New Roman" w:hAnsi="Times New Roman" w:cs="Times New Roman"/>
          <w:sz w:val="24"/>
          <w:szCs w:val="24"/>
        </w:rPr>
        <w:t>Rebmann</w:t>
      </w:r>
      <w:proofErr w:type="spellEnd"/>
      <w:r w:rsidRPr="00AD6688">
        <w:rPr>
          <w:rFonts w:ascii="Times New Roman" w:hAnsi="Times New Roman" w:cs="Times New Roman"/>
          <w:sz w:val="24"/>
          <w:szCs w:val="24"/>
        </w:rPr>
        <w:t xml:space="preserve"> et al., 2021); (</w:t>
      </w:r>
      <w:proofErr w:type="spellStart"/>
      <w:r w:rsidRPr="00AD6688">
        <w:rPr>
          <w:rFonts w:ascii="Times New Roman" w:hAnsi="Times New Roman" w:cs="Times New Roman"/>
          <w:sz w:val="24"/>
          <w:szCs w:val="24"/>
        </w:rPr>
        <w:t>Chughtai</w:t>
      </w:r>
      <w:proofErr w:type="spellEnd"/>
      <w:r w:rsidRPr="00AD6688">
        <w:rPr>
          <w:rFonts w:ascii="Times New Roman" w:hAnsi="Times New Roman" w:cs="Times New Roman"/>
          <w:sz w:val="24"/>
          <w:szCs w:val="24"/>
        </w:rPr>
        <w:t xml:space="preserve"> &amp; Khan, 2020); (Livingston, Desai, &amp; </w:t>
      </w:r>
      <w:proofErr w:type="spellStart"/>
      <w:r w:rsidRPr="00AD6688">
        <w:rPr>
          <w:rFonts w:ascii="Times New Roman" w:hAnsi="Times New Roman" w:cs="Times New Roman"/>
          <w:sz w:val="24"/>
          <w:szCs w:val="24"/>
        </w:rPr>
        <w:t>Berkwits</w:t>
      </w:r>
      <w:proofErr w:type="spellEnd"/>
      <w:r w:rsidRPr="00AD6688">
        <w:rPr>
          <w:rFonts w:ascii="Times New Roman" w:hAnsi="Times New Roman" w:cs="Times New Roman"/>
          <w:sz w:val="24"/>
          <w:szCs w:val="24"/>
        </w:rPr>
        <w:t xml:space="preserve">, 2020) confirmed that healthcare workers reported lack of PPE which hindered the progress and process of work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4KGSLiqt","properties":{"formattedCitation":"(27)","plainCitation":"(27)","noteIndex":0},"citationItems":[{"id":"vN2fituk/xUgpC293","uris":["http://www.mendeley.com/documents/?uuid=8b5968ed-9d99-4c92-a4e8-bbb03b328e4b","http://www.mendeley.com/documents/?uuid=3343314c-4036-4bf1-8de3-caf3bb6593d8"],"itemData":{"DOI":"10.1002/14651858.CD011621.pub4","ISSN":"14651858","PMID":"32293717","abstract":"Background: In epidemics of highly infectious diseases, such as Ebola, severe acute respiratory syndrome (SARS), or coronavirus (COVID-19), healthcare workers (HCW) are at much greater risk of infection than the general population, due to their contact with patients' contaminated body fluids. Personal protective equipment (PPE) can reduce the risk by covering exposed body parts. It is unclear which type of PPE protects best, what is the best way to put PPE on (i.e. donning) or to remove PPE (i.e. doffing), and how to train HCWs to use PPE as instructed. Objectives: To evaluate which type of full-body PPE and which method of donning or doffing PPE have the least risk of contamination or infection for HCW, and which training methods increase compliance with PPE protocols. Search methods: We searched CENTRAL, MEDLINE, Embase and CINAHL to 20 March 2020. Selection criteria: We included all controlled studies that evaluated the effect of full-body PPE used by HCW exposed to highly infectious diseases, on the risk of infection, contamination, or noncompliance with protocols. We also included studies that compared the effect of various ways of donning or doffing PPE, and the effects of training on the same outcomes. Data collection and analysis: Two review authors independently selected studies, extracted data and assessed the risk of bias in included trials. We conducted random-effects meta-analyses were appropriate. Main results: Earlier versions of this review were published in 2016 and 2019. In this update, we included 24 studies with 2278 participants, of which 14 were randomised controlled trials (RCT), one was a quasi-RCT and nine had a non-randomised design. Eight studies compared types of PPE. Six studies evaluated adapted PPE. Eight studies compared donning and doffing processes and three studies evaluated types of training. Eighteen studies used simulated exposure with fluorescent markers or harmless microbes. In simulation studies, median contamination rates were 25% for the intervention and 67% for the control groups. Evidence for all outcomes is of very low certainty unless otherwise stated because it is based on one or two studies, the indirectness of the evidence in simulation studies and because of risk of bias. Types of PPE. The use of a powered, air-purifying respirator with coverall may protect against the risk of contamination better than a N95 mask and gown (risk ratio (RR) 0.27, 95% confidence interval (CI) 0.17 to 0.43) but was more dif…","author":[{"dropping-particle":"","family":"Verbeek","given":"Jos H.","non-dropping-particle":"","parse-names":false,"suffix":""},{"dropping-particle":"","family":"Rajamaki","given":"Blair","non-dropping-particle":"","parse-names":false,"suffix":""},{"dropping-particle":"","family":"Ijaz","given":"Sharea","non-dropping-particle":"","parse-names":false,"suffix":""},{"dropping-particle":"","family":"Sauni","given":"Riitta","non-dropping-particle":"","parse-names":false,"suffix":""},{"dropping-particle":"","family":"Toomey","given":"Elaine","non-dropping-particle":"","parse-names":false,"suffix":""},{"dropping-particle":"","family":"Blackwood","given":"Bronagh","non-dropping-particle":"","parse-names":false,"suffix":""},{"dropping-particle":"","family":"Tikka","given":"Christina","non-dropping-particle":"","parse-names":false,"suffix":""},{"dropping-particle":"","family":"Ruotsalainen","given":"Jani H.","non-dropping-particle":"","parse-names":false,"suffix":""},{"dropping-particle":"","family":"Kilinc Balci","given":"F. Selcen","non-dropping-particle":"","parse-names":false,"suffix":""}],"container-title":"Cochrane Database of Systematic Reviews","id":"ITEM-1","issued":{"date-parts":[["2020","4","15"]]},"title":"Personal protective equipment for preventing highly infectious diseases due to exposure to contaminated body fluids in healthcare staff","type":"article-journal"}}],"schema":"https://github.com/citation-style-language/schema/raw/master/csl-citation.json"}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XUZwKf4","properties":{"formattedCitation":"(28)","plainCitation":"(28)","noteIndex":0},"citationItems":[{"id":"vN2fituk/69bRM68t","uris":["http://www.mendeley.com/documents/?uuid=d42f638e-9eef-4bac-bdf6-9143f2195b28"],"itemData":{"DOI":"10.1016/S2468-2667(20)30164-X","ISSN":"24682667","PMID":"32745512","abstract":"Background: Data for front-line health-care workers and risk of COVID-19 are limited. We sought to assess risk of COVID-19 among front-line health-care workers compared with the general community and the effect of personal protective equipment (PPE) on risk. Methods: We did a prospective, observational cohort study in the UK and the USA of the general community, including front-line health-care workers, using self-reported data from the COVID Symptom Study smartphone application (app) from March 24 (UK) and March 29 (USA) to April 23, 2020. Participants were voluntary users of the app and at first use provided information on demographic factors (including age, sex, race or ethnic background, height and weight, and occupation) and medical history, and subsequently reported any COVID-19 symptoms. We used Cox proportional hazards modelling to estimate multivariate-adjusted hazard ratios (HRs) of our primary outcome, which was a positive COVID-19 test. The COVID Symptom Study app is registered with ClinicalTrials.gov, NCT04331509. Findings: Among 2 035 395 community individuals and 99 795 front-line health-care workers, we recorded 5545 incident reports of a positive COVID-19 test over 34 435 272 person-days. Compared with the general community, front-line health-care workers were at increased risk for reporting a positive COVID-19 test (adjusted HR 11·61, 95% CI 10·93–12·33). To account for differences in testing frequency between front-line health-care workers and the general community and possible selection bias, an inverse probability-weighted model was used to adjust for the likelihood of receiving a COVID-19 test (adjusted HR 3·40, 95% CI 3·37–3·43). Secondary and post-hoc analyses suggested adequacy of PPE, clinical setting, and ethnic background were also important factors. Interpretation: In the UK and the USA, risk of reporting a positive test for COVID-19 was increased among front-line health-care workers. Health-care systems should ensure adequate availability of PPE and develop additional strategies to protect health-care workers from COVID-19, particularly those from Black, Asian, and minority ethnic backgrounds. Additional follow-up of these observational findings is needed. Funding: Zoe Global, Wellcome Trust, Engineering and Physical Sciences Research Council, National Institutes of Health Research, UK Research and Innovation, Alzheimer's Society, National Institutes of Health, National Institute for Occupational Safety and Health, and Mass…","author":[{"dropping-particle":"","family":"Nguyen","given":"Long H.","non-dropping-particle":"","parse-names":false,"suffix":""},{"dropping-particle":"","family":"Drew","given":"David A.","non-dropping-particle":"","parse-names":false,"suffix":""},{"dropping-particle":"","family":"Graham","given":"Mark S.","non-dropping-particle":"","parse-names":false,"suffix":""},{"dropping-particle":"","family":"Joshi","given":"Amit D.","non-dropping-particle":"","parse-names":false,"suffix":""},{"dropping-particle":"","family":"Guo","given":"Chuan Guo","non-dropping-particle":"","parse-names":false,"suffix":""},{"dropping-particle":"","family":"Ma","given":"Wenjie","non-dropping-particle":"","parse-names":false,"suffix":""},{"dropping-particle":"","family":"Mehta","given":"Raaj S.","non-dropping-particle":"","parse-names":false,"suffix":""},{"dropping-particle":"","family":"Warner","given":"Erica T.","non-dropping-particle":"","parse-names":false,"suffix":""},{"dropping-particle":"","family":"Sikavi","given":"Daniel R.","non-dropping-particle":"","parse-names":false,"suffix":""},{"dropping-particle":"","family":"Lo","given":"Chun Han","non-dropping-particle":"","parse-names":false,"suffix":""},{"dropping-particle":"","family":"Kwon","given":"Sohee","non-dropping-particle":"","parse-names":false,"suffix":""},{"dropping-particle":"","family":"Song","given":"Mingyang","non-dropping-particle":"","parse-names":false,"suffix":""},{"dropping-particle":"","family":"Mucci","given":"Lorelei A.","non-dropping-particle":"","parse-names":false,"suffix":""},{"dropping-particle":"","family":"Stampfer","given":"Meir J.","non-dropping-particle":"","parse-names":false,"suffix":""},{"dropping-particle":"","family":"Willett","given":"Walter C.","non-dropping-particle":"","parse-names":false,"suffix":""},{"dropping-particle":"","family":"Eliassen","given":"A. Heather","non-dropping-particle":"","parse-names":false,"suffix":""},{"dropping-particle":"","family":"Hart","given":"Jaime E.","non-dropping-particle":"","parse-names":false,"suffix":""},{"dropping-particle":"","family":"Chavarro","given":"Jorge E.","non-dropping-particle":"","parse-names":false,"suffix":""},{"dropping-particle":"","family":"Rich-Edwards","given":"Janet W.","non-dropping-particle":"","parse-names":false,"suffix":""},{"dropping-particle":"","family":"Davies","given":"Richard","non-dropping-particle":"","parse-names":false,"suffix":""},{"dropping-particle":"","family":"Capdevila","given":"Joan","non-dropping-particle":"","parse-names":false,"suffix":""},{"dropping-particle":"","family":"Lee","given":"Karla A.","non-dropping-particle":"","parse-names":false,"suffix":""},{"dropping-particle":"","family":"Lochlainn","given":"Mary Ni","non-dropping-particle":"","parse-names":false,"suffix":""},{"dropping-particle":"","family":"Varsavsky","given":"Thomas","non-dropping-particle":"","parse-names":false,"suffix":""},{"dropping-particle":"","family":"Sudre","given":"Carole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Jorge","non-dropping-particle":"","parse-names":false,"suffix":""},{"dropping-particle":"","family":"Wolf","given":"Jonathan","non-dropping-particle":"","parse-names":false,"suffix":""},{"dropping-particle":"","family":"Spector","given":"Tim D.","non-dropping-particle":"","parse-names":false,"suffix":""},{"dropping-particle":"","family":"Ourselin","given":"Sebastien","non-dropping-particle":"","parse-names":false,"suffix":""},{"dropping-particle":"","family":"Steves","given":"Claire J.","non-dropping-particle":"","parse-names":false,"suffix":""},{"dropping-particle":"","family":"Chan","given":"Andrew T.","non-dropping-particle":"","parse-names":false,"suffix":""},{"dropping-particle":"","family":"Albert","given":"Christine M.","non-dropping-particle":"","parse-names":false,"suffix":""},{"dropping-particle":"","family":"Andreotti","given":"Gabriella","non-dropping-particle":"","parse-names":false,"suffix":""},{"dropping-particle":"","family":"Bala","given":"Bijal","non-dropping-particle":"","parse-names":false,"suffix":""},{"dropping-particle":"","family":"Balasubramanian","given":"Bijal A.","non-dropping-particle":"","parse-names":false,"suffix":""},{"dropping-particle":"","family":"Beane-Freeman","given":"Laura E.","non-dropping-particle":"","parse-names":false,"suffix":""},{"dropping-particle":"","family":"Brownstein","given":"John S.","non-dropping-particle":"","parse-names":false,"suffix":""},{"dropping-particle":"","family":"Bruinsma","given":"Fiona J.","non-dropping-particle":"","parse-names":false,"suffix":""},{"dropping-particle":"","family":"Coresh","given":"Joe","non-dropping-particle":"","parse-names":false,"suffix":""},{"dropping-particle":"","family":"Costa","given":"Rui","non-dropping-particle":"","parse-names":false,"suffix":""},{"dropping-particle":"","family":"Cowan","given":"Annie N.","non-dropping-particle":"","parse-names":false,"suffix":""},{"dropping-particle":"","family":"Deka","given":"Anusila","non-dropping-particle":"","parse-names":false,"suffix":""},{"dropping-particle":"","family":"Deming-Halverson","given":"Sandra L.","non-dropping-particle":"","parse-names":false,"suffix":""},{"dropping-particle":"","family":"Elena Martinez","given":"Maria","non-dropping-particle":"","parse-names":false,"suffix":""},{"dropping-particle":"","family":"Ernst","given":"Michael E.","non-dropping-particle":"","parse-names":false,"suffix":""},{"dropping-particle":"","family":"Figueiredo","given":"Jane C.","non-dropping-particle":"","parse-names":false,"suffix":""},{"dropping-particle":"","family":"Fortuna","given":"Pedro","non-dropping-particle":"","parse-names":false,"suffix":""},{"dropping-particle":"","family":"Franks","given":"Paul W.","non-dropping-particle":"","parse-names":false,"suffix":""},{"dropping-particle":"","family":"Freeman","given":"Laura Beane","non-dropping-particle":"","parse-names":false,"suffix":""},{"dropping-particle":"","family":"Gardner","given":"Christopher D.","non-dropping-particle":"","parse-names":false,"suffix":""},{"dropping-particle":"","family":"Ghobrial","given":"Irene M.","non-dropping-particle":"","parse-names":false,"suffix":""},{"dropping-particle":"","family":"Haiman","given":"Christopher A.","non-dropping-particle":"","parse-names":false,"suffix":""},{"dropping-particle":"","family":"Hall","given":"Janet E.","non-dropping-particle":"","parse-names":false,"suffix":""},{"dropping-particle":"","family":"Kang","given":"Jae H.","non-dropping-particle":"","parse-names":false,"suffix":""},{"dropping-particle":"","family":"Kirpach","given":"Brenda","non-dropping-particle":"","parse-names":false,"suffix":""},{"dropping-particle":"","family":"Koenen","given":"Karestan C.","non-dropping-particle":"","parse-names":false,"suffix":""},{"dropping-particle":"","family":"Kubzansky","given":"Laura D.","non-dropping-particle":"","parse-names":false,"suffix":""},{"dropping-particle":"V.","family":"Lacey,","given":"James","non-dropping-particle":"","parse-names":false,"suffix":""},{"dropping-particle":"","family":"Marchand","given":"Loic","non-dropping-particle":"Le","parse-names":false,"suffix":""},{"dropping-particle":"","family":"Lin","given":"Xihong","non-dropping-particle":"","parse-names":false,"suffix":""},{"dropping-particle":"","family":"Lutsey","given":"Pam","non-dropping-particle":"","parse-names":false,"suffix":""},{"dropping-particle":"","family":"Marinac","given":"Catherine R.","non-dropping-particle":"","parse-names":false,"suffix":""},{"dropping-particle":"","family":"Martinez","given":"Maria Elena","non-dropping-particle":"","parse-names":false,"suffix":""},{"dropping-particle":"","family":"Milne","given":"Roger L.","non-dropping-particle":"","parse-names":false,"suffix":""},{"dropping-particle":"","family":"Murray","given":"Anne M.","non-dropping-particle":"","parse-names":false,"suffix":""},{"dropping-particle":"","family":"Nash","given":"Denis","non-dropping-particle":"","parse-names":false,"suffix":""},{"dropping-particle":"","family":"Palmer","given":"Julie R.","non-dropping-particle":"","parse-names":false,"suffix":""},{"dropping-particle":"V.","family":"Patel","given":"Alpa","non-dropping-particle":"","parse-names":false,"suffix":""},{"dropping-particle":"","family":"Pierce","given":"Eric","non-dropping-particle":"","parse-names":false,"suffix":""},{"dropping-particle":"","family":"Robertson","given":"McKaylee M.","non-dropping-particle":"","parse-names":false,"suffix":""},{"dropping-particle":"","family":"Rosenberg","given":"Lynn","non-dropping-particle":"","parse-names":false,"suffix":""},{"dropping-particle":"","family":"Sandler","given":"Dale P.","non-dropping-particle":"","parse-names":false,"suffix":""},{"dropping-particle":"","family":"Schurman","given":"Shepherd H.","non-dropping-particle":"","parse-names":false,"suffix":""},{"dropping-particle":"","family":"Sewalk","given":"Kara","non-dropping-particle":"","parse-names":false,"suffix":""},{"dropping-particle":"V.","family":"Sharma","given":"Shreela","non-dropping-particle":"","parse-names":false,"suffix":""},{"dropping-particle":"","family":"Sidey-Gibbons","given":"Christopher J.","non-dropping-particle":"","parse-names":false,"suffix":""},{"dropping-particle":"","family":"Slevin","given":"Liz","non-dropping-particle":"","parse-names":false,"suffix":""},{"dropping-particle":"","family":"Smoller","given":"Jordan W.","non-dropping-particle":"","parse-names":false,"suffix":""},{"dropping-particle":"","family":"Steves","given":"Claire J.","non-dropping-particle":"","parse-names":false,"suffix":""},{"dropping-particle":"","family":"Tiirikainen","given":"Maarit I.","non-dropping-particle":"","parse-names":false,"suffix":""},{"dropping-particle":"","family":"Weiss","given":"Scott T.","non-dropping-particle":"","parse-names":false,"suffix":""},{"dropping-particle":"","family":"Wilkens","given":"Lynne R.","non-dropping-particle":"","parse-names":false,"suffix":""},{"dropping-particle":"","family":"Zhang","given":"Feng","non-dropping-particle":"","parse-names":false,"suffix":""}],"container-title":"The Lancet Public Health","id":"ITEM-1","issue":"9","issued":{"date-parts":[["2020"]]},"page":"e475-e483","title":"Risk of COVID-19 among front-line health-care workers and the general community: a prospective cohort study","type":"article-journal","volume":"5"}}],"schema":"https://github.com/citation-style-language/schema/raw/master/csl-citation.json"}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KFfcDbD","properties":{"formattedCitation":"(29)","plainCitation":"(29)","noteIndex":0},"citationItems":[{"id":"vN2fituk/szrF3mot","uris":["http://www.mendeley.com/documents/?uuid=0d85d8f2-23eb-4a58-96e9-1afada60787b"],"itemData":{"DOI":"10.1371/journal.pone.0242185","ISBN":"1111111111","ISSN":"19326203","PMID":"33175877","abstract":"Many affected counties have had experienced a shortage of personal protective equipment (PPE) during the coronavirus disease (COVID-19) pandemic. We aimed to investigate the needs of healthcare professionals and the technical difficulties faced by them during the initial outbreak. A cross-sectional web-based survey was conducted among the healthcare workforce in the most populous cities from three Latin American countries in April 2020. In total, 1,082 participants were included. Of these, 534 (49.4%), 263 (24.3%), and 114 (10.5%) were physicians, nurses, and other professionals, respectively. At least 70% of participants reported a lack of PPE. The most common shortages were shortages in gown coverall suits (643, 59.4%), N95 masks (600, 55.5%), and face shields (569, 52.6%). Professionals who performed procedures that generated aerosols reported shortages more frequently (p&lt;0.05). Professionals working in the emergency department and primary care units reported more shortages than those working in intensive care units and hospital-based wards (p&lt;0.001). Up to 556 (51.4%) participants reported the lack of sufficient knowledge about using PPE. Professionals working in public institutions felt less prepared, received less training, and had no protocols compared with their peers in working private institutions (p&lt;0.001). Although the study sample corresponded to different hospital centers in different cities from the participating countries, sampling was non-random. Healthcare professionals in Latin America may face more difficulties than those from other countries, with 7 out of 10 professionals reporting that they did not have the necessary resources to care for patients with COVID-19. Technical and logistical difficulties should be addressed in the event of a future outbreak, as they have a negative impact on healthcare workers.","author":[{"dropping-particle":"","family":"Martin-Delgado","given":"Jimmy","non-dropping-particle":"","parse-names":false,"suffix":""},{"dropping-particle":"","family":"Viteri","given":"Eduardo","non-dropping-particle":"","parse-names":false,"suffix":""},{"dropping-particle":"","family":"Mula","given":"Aurora","non-dropping-particle":"","parse-names":false,"suffix":""},{"dropping-particle":"","family":"Serpa","given":"Piedad","non-dropping-particle":"","parse-names":false,"suffix":""},{"dropping-particle":"","family":"Pacheco","given":"Gloria","non-dropping-particle":"","parse-names":false,"suffix":""},{"dropping-particle":"","family":"Prada","given":"Diana","non-dropping-particle":"","parse-names":false,"suffix":""},{"dropping-particle":"","family":"Andrade Lourenção","given":"Daniela Campos","non-dropping-particle":"de","parse-names":false,"suffix":""},{"dropping-particle":"","family":"Baptista","given":"Patricia Campos Pavan","non-dropping-particle":"","parse-names":false,"suffix":""},{"dropping-particle":"","family":"Ramirez","given":"Gustavo","non-dropping-particle":"","parse-names":false,"suffix":""},{"dropping-particle":"","family":"Mira","given":"Jose Joaquin","non-dropping-particle":"","parse-names":false,"suffix":""}],"container-title":"PLoS ONE","id":"ITEM-1","issue":"11 November","issued":{"date-parts":[["2020"]]},"page":"1-13","title":"Availability of personal protective equipment and diagnostic and treatment facilities for healthcare workers involved in COVID-19 care: A cross-sectional study in Brazil, Colombia, and Ecuador","type":"article-journal","volume":"15"}}],"schema":"https://github.com/citation-style-language/schema/raw/master/csl-citation.json"}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This notwithstanding, face mask and gloves were the most commonly used PPE to protect HCW from respiratory and other infections yet, safety trainings in healthcare institutions are woefully inadequate and they sometimes base on experience to avoid certain striking challenges which affect their mode of service provision.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HVU79wL9","properties":{"formattedCitation":"(33)","plainCitation":"(33)","noteIndex":0},"citationItems":[{"id":"vN2fituk/o0Uvtc14","uris":["http://www.mendeley.com/documents/?uuid=154ba797-3130-4d56-918f-3f4cfce0e01f"],"itemData":{"DOI":"10.3947/ic.2020.52.2.165","ISSN":"2093-2340","PMID":"32618146","abstract":"The coronavirus disease (COVID-19) pandemic has posed a challenge for healthcare systems, and healthcare workers (HCWs) are at high risk of exposure. Protecting HCWs is of paramount importance to maintain continuous patient care and keep healthcare systems functioning. Used alongside administrative and engineering control measures, personal protective equipment (PPE) is the last line of defense and the core component of protection. Current data suggest that severe acute respiratory syndrome coronavirus 2 (SARS-CoV-2) is mainly transmitted through respiratory droplets and close contact. Airborne transmission may occur during aerosol-generating procedures. However, the modes of transmission still remain uncertain, especially regarding the possibility of airborne transmission when aerosol-generating procedures are not performed. Thus, there are some inconsistencies in the respiratory protective equipment recommended by international and national organizations. In Korea, there have been several modifications to PPE recommendations offering options in choosing PPE for respiratory and body protection, which confuses HCWs; they are often unsure what to wear and when to wear it. The choice of PPE is based on the risk of exposure and possible modes of transmission. The level of protection provided by PPE differs based on standards and test methods. Thus, understanding them is the key in selecting the proper PPE. This article reviews evidence on the mode of SARS-CoV-2 transmission, compares the current PPE recommendations of the World Health Organization with those in Korea, and discusses standard requirements and the proper selection of PPE.","author":[{"dropping-particle":"","family":"Park","given":"Sun Hee","non-dropping-particle":"","parse-names":false,"suffix":""}],"container-title":"Infection &amp; Chemotherapy","id":"ITEM-1","issue":"2","issued":{"date-parts":[["2020"]]},"page":"165","title":"Personal Protective Equipment for Healthcare Workers during the COVID-19 Pandemic","type":"article-journal","volume":"52"}}],"schema":"https://github.com/citation-style-language/schema/raw/master/csl-citation.json"}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eYYDXtj","properties":{"formattedCitation":"(34)","plainCitation":"(34)","noteIndex":0},"citationItems":[{"id":"vN2fituk/qxsKiiGF","uris":["http://www.mendeley.com/documents/?uuid=ba52ca02-3da0-4717-8920-5b126a662758"],"itemData":{"DOI":"10.1016/j.jchas.2015.03.001","ISSN":"18715532","abstract":"A survey on laboratory safety, conducted in 2012, provided the basis for comparing safety culture attributes of respondents from academic (n = 991), government (n = 133) and industry (n = 120) laboratories. There were institutional differences in risk assessment methods conducted before carrying out an experiment, for which fewer researchers from academia (18%) used forms issued by their organization as compared to government and industry researchers (51% and 43%, respectively). Safety training in all three institutions was reported to be similar; however, about 25% of all researchers were not trained on the specific hazard with which they worked. Risk perceptions were similar between respondents from all three institutions with respondents generally believing their personal risk to be significantly lower than what they assumed was predicated by their institution. The most striking difference between institutions was observed with self-reported PPE compliance behavior respondents from industry labs were significantly more compliant with wearing a lab coat (87%) and eye protection (83%) than respondents from academic (66% and 61%, respectively) and government labs (73% and 76%, respectively). PPE compliance was highly associated with researchers' perception of the level of risk in their lab; PPE compliance generally declined with lower perceived risk. In contrast to industry and government labs, PPE compliance of researchers in academia was significantly positively influenced when their safety behavior was monitored. Active safety involvement of the principal investigator (PI) or laboratory supervisor also correlated significantly with lower numbers of accidents reported by students and postdoctoral fellows in academic labs. The data support the view that laboratory safety is positively impacted by active involvement of the PI or a dedicated laboratory supervisor in academic institutions.","author":[{"dropping-particle":"","family":"Schröder","given":"Imke","non-dropping-particle":"","parse-names":false,"suffix":""},{"dropping-particle":"","family":"Huang","given":"Debbie Yan Qun","non-dropping-particle":"","parse-names":false,"suffix":""},{"dropping-particle":"","family":"Ellis","given":"Olivia","non-dropping-particle":"","parse-names":false,"suffix":""},{"dropping-particle":"","family":"Gibson","given":"James H.","non-dropping-particle":"","parse-names":false,"suffix":""},{"dropping-particle":"","family":"Wayne","given":"Nancy L.","non-dropping-particle":"","parse-names":false,"suffix":""}],"container-title":"Journal of Chemical Health and Safety","id":"ITEM-1","issue":"1","issued":{"date-parts":[["2016","1"]]},"page":"12-23","title":"Laboratory safety attitudes and practices: A comparison of academic, government, and industry researchers","type":"article-journal","volume":"23"}}],"schema":"https://github.com/citation-style-language/schema/raw/master/csl-citation.json"}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lHJwxBJe","properties":{"formattedCitation":"(35)","plainCitation":"(35)","noteIndex":0},"citationItems":[{"id":"vN2fituk/MawOaAfP","uris":["http://www.mendeley.com/documents/?uuid=1323cfe2-7c80-4071-a970-d6f5dce779cf"],"itemData":{"DOI":"10.1155/2020/4619214","ISSN":"2356-6868","abstract":"Background. Severe acute respiratory syndrome coronavirus 2 (SARS-CoV-2) is a highly infectious disease with a potential for healthcare workers (HCWs) getting infected due to inadequate protection while attending to patients. Effective use of personal protective equipment (PPE) is key to mitigating the spread of SARS-CoV-2 infection in healthcare settings. Hence, there is a need to understand HCWs’ use of PPE in resource-limited settings and how closely the currently recommended guidelines for PPE are followed. This study assessed the HCWs’ knowledge about, attitudes towards, beliefs on, and use of PPE to prevent SARS-CoV-2 infection in a resource-limited setting. Methods . This cross-sectional study was conducted in April 2020 in Southwest and Northwest Nigeria. The selection of participants was performed via the snowball sampling technique using a 33-item, web-based, self-administered questionnaire via a social media network. We obtained relevant sociodemographic data and information on participants’ occupations and knowledge about, attitudes towards, beliefs on, and use of PPE. We analysed the data using SPSS version 23.0 for Windows (IBM, Armonk, New York, USA). A p values &lt;0.05 were considered statistically significant. Results . A total of 290 subjects responded to the questionnaire, and 18 (6.2%) were excluded because of incomplete data. The mean age of the respondents was 32.3 ± 9.9 years. There were 116 males (42.6%). The majority of the respondents were medical doctors (114, 41.9%), followed by nurses and clinical students. Of the 272 respondents in this survey, only 70 (25.7%) had adequate knowledge about PPE. Of the respondents who presumed they had adequate knowledge about donning and doffing PPE, 94 (56%) were incorrect. The predictors of good knowledge were ages younger than 45 years ( p = 0.046 ) and practice location ( p = 0.009 ). Conclusion . This study showed that HCWs’ knowledge about, attitudes towards, and beliefs on PPE and their PPE skill in practice in Nigeria were remarkably poor. There is an urgent need for nationwide practical training on PPE use to curtail the spread of SARS-CoV-2 infection among HCWs.","author":[{"dropping-particle":"","family":"Alao","given":"M. A.","non-dropping-particle":"","parse-names":false,"suffix":""},{"dropping-particle":"","family":"Durodola","given":"A. O.","non-dropping-particle":"","parse-names":false,"suffix":""},{"dropping-particle":"","family":"Ibrahim","given":"O. R.","non-dropping-particle":"","parse-names":false,"suffix":""},{"dropping-particle":"","family":"Asinobi","given":"O. A.","non-dropping-particle":"","parse-names":false,"suffix":""}],"container-title":"Advances in Public Health","id":"ITEM-1","issue":"5","issued":{"date-parts":[["2020"]]},"page":"1-10","title":"Assessment of Health Workers’ Knowledge, Beliefs, Attitudes, and Use of Personal Protective Equipment for Prevention of COVID-19 Infection in Low-Resource Settings","type":"article-journal","volume":"2020"}}],"schema":"https://github.com/citation-style-language/schema/raw/master/csl-citation.json"}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14:paraId="34BA53A8" w14:textId="77777777"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Most health workers said no department or unit is earmarked to take care of OHI. They are compelled to mix with patient to receive treatment whenever they encounter any OHI at the emergency unit and the OPD. Staff at the Municipal Hospital assumed the emergency unit is the first point of call when you encounter any OHI, while the sub municipal facilities assumed is the OPD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{"citationID":"M2HCXewi","properties":{"formattedCitation":"(37)","plainCitation":"(37)","noteIndex":0},"citationItems":[{"id":"vN2fituk/WHCCgw0G","uris":["http://www.mendeley.com/documents/?uuid=c7c00bc9-a424-48ae-919e-c3ef657e8fe9"],"itemData":{"abstract":"The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facilities.","author":[{"dropping-particle":"","family":"Ohene Adjei","given":"","non-dropping-particle":"","parse-names":false,"suffix":""}],"container-title":"Advances in Public Health","id":"ITEM-1","issue":"31","issued":{"date-parts":[["2019"]]},"page":"3-28","title":"Occupational Health and Safety Guide, Komfo Anokye Teaching Hospital","type":"article-journal","volume":"3"}}],"schema":"https://github.com/citation-style-language/schema/raw/master/csl-citation.json"}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w:t>
      </w:r>
      <w:proofErr w:type="spellStart"/>
      <w:r w:rsidRPr="00AD6688">
        <w:rPr>
          <w:rFonts w:ascii="Times New Roman" w:hAnsi="Times New Roman" w:cs="Times New Roman"/>
          <w:sz w:val="24"/>
          <w:szCs w:val="24"/>
        </w:rPr>
        <w:t>Chireh</w:t>
      </w:r>
      <w:proofErr w:type="spellEnd"/>
      <w:r w:rsidRPr="00AD6688">
        <w:rPr>
          <w:rFonts w:ascii="Times New Roman" w:hAnsi="Times New Roman" w:cs="Times New Roman"/>
          <w:sz w:val="24"/>
          <w:szCs w:val="24"/>
        </w:rPr>
        <w:t xml:space="preserve">, 2010). Again, no standardized protocol on OHI exist in the units/department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{"citationID":"Rgklo6cv","properties":{"formattedCitation":"(36)","plainCitation":"(36)","noteIndex":0},"citationItems":[{"id":"vN2fituk/U9RGp8Hb","uris":["http://www.mendeley.com/documents/?uuid=4ed69864-7d1d-4d8f-959c-07d6bc1cf359"],"itemData":{"abstract":"Health care facilities are potentially hazardous workplaces that expose their workers to a wide range of hazards. Generally, it is assumed among healthcare workers and the general public that the greatest occupational health and safety risk faced by healthcare workers is infection resulting from exposure to blood and body fluids as well as infected air-borne aerosols. Skin contact, infectious fluids (via broken skin, mucous membrane) and droplets aerosols from patients expose healthcare workers to infectious diseases such as hepatitis, HIV and tuberculosis among many others. The emergence of highly infectious diseases such as Severe Acute Respiratory Syndrome (SARS) and the H1N1 Influenza has the tendency to increase the infection risk dramatically. In addition to these, health workers are confronted with physical, mechanical, chemical, ergonomic and psychosocial hazards. For instance, lifting and rolling immobilized or disabled patients exposes workers especially nurses to back injuries. Besides, on call duty, high work load, verbal abuse from disgruntled patients, problematic work relationships, frustrations due to limited resources, poor remuneration among others, exposes healthcare workers to psychosocial hazards such as stress, depression and burnout syndrome. It is in view of the fact that the health worker is the most important resource in the process of rendering health care that the sector considers prudent to provide a safe and healthy working environment as far as reasonably practicable, for its staff in line with the Kenya constitution 2010 and the Occupational Safety and health Act 2007. The implementation of occupational health services expected to be put in place will largely depend on training in occupational health and on-going information provision for staff. It is in this regard that this policy guideline on Occupational Safety and Health for health workers outlines evidence-based measures for adoption by health service managers and staff of institutions in the health sector both within the public and private sub-sectors. Similarly, on-going monitoring of programmes including regular audits is a must if performance of services is to improve progressively. The importance of ensuring the availability of financial resources to make the system function cannot be overemphasized. It is hoped that the Ministry of health at the national level as well as county and sub county heads and facility managers will include specialist training in occu…","author":[{"dropping-particle":"","family":"Macharia","given":"James","non-dropping-particle":"","parse-names":false,"suffix":""}],"container-title":"African Field Epidemiology Network","id":"ITEM-1","issue":"19","issued":{"date-parts":[["2016"]]},"page":"2-80","title":"OCCUPATIONAL SAFETY AND HEALTH POLICY GUIDELINES FOR THE HEALTH SECTOR","type":"article-journal","volume":"8"}}],"schema":"https://github.com/citation-style-language/schema/raw/master/csl-citation.json"}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Majority of health workers do not see the need to report any OHI to the health facility because the facilities lack basic protocols on OHI, feel stigmatized when they report cases of OHI. This notwithstanding, few health workers had reported cases of needle prick, diarrhea, headache, and backache to the units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di2BOzUK","properties":{"formattedCitation":"(38)","plainCitation":"(38)","noteIndex":0},"citationItems":[{"id":"vN2fituk/M5dzKcp1","uris":["http://www.mendeley.com/documents/?uuid=f5ae3355-e0f1-4548-9e9c-7d2555c18d2c","http://www.mendeley.com/documents/?uuid=e71ff960-6fda-42eb-84f7-3034c053b03b"],"itemData":{"DOI":"10.1186/s12889-018-5620-5","ISSN":"1471-2458","PMID":"29875015","abstract":"Background: Psychiatric hospitals need safe working environments to promote productivity at the workplace. Even though occupational health and safety is not completely new to the corporate society, its scope is largely limited to the manufacturing/processing industries which are perceived to pose greater dangers to workers than the health sector. This paper sought to explore the experiences of frontline nursing personnel on the occupational health and safety conditions in two psychiatric hospitals in Ghana. Methods: This is an exploratory cross-sectional study among 296 nurses and nurse-assistants in Accra (n = 164) and Pantang (n = 132) psychiatric hospitals using the proportional stratified random sampling technique. Multivariate Ordinary Least Squares (OLS) regression test was conducted to ascertain the determinants of staff exposure to occupational health hazards and the frequency of exposure to these occupational health hazards on daily basis. Results: Knowledge levels on occupational health hazards was high in Accra and Pantang psychiatric hospitals (i.e. 92 and 81% respectively), but barely 44% of the 296 interviewed staff in the two hospitals said they reported their most recent exposure to an occupational health hazard to hospital management. It was found that staff who worked for more years on the ward had higher likelihood of exposure to occupational health hazards than those who worked for lesser years (p = 0.002). The category of occupational health hazards reported most were the physical health hazards. Psychosocial hazards were the least reported health hazards. Frequency of exposure to occupational health hazards on daily basis was positively associated with work schedules of staff particularly, staff on routine day schedule (Coef = 4.49, p = 0.011) and those who alternated between day and night schedules (Coef = 4.48, p = 0.010). Conclusion: Occupational health and safety conditions in the two hospitals were found to be generally poor. Even though majority of the staff knew about occupational health and safety, less than half of them reported exposure to workplace health hazards. Key stakeholders such as the Ministry of Health in collaboration with the Mental Health Authority should intensify efforts towards effective enforcement of existing policies on safety in healthcare institutions, particularly psychiatric hospitals where exposure to occupational health hazards is more prevalent.","author":[{"dropping-particle":"","family":"Alhassan","given":"Robert Kaba","non-dropping-particle":"","parse-names":false,"suffix":""},{"dropping-particle":"","family":"Poku","given":"Kwabena Adu","non-dropping-particle":"","parse-names":false,"suffix":""}],"container-title":"BMC Public Health","id":"ITEM-1","issue":"1","issued":{"date-parts":[["2018","12"]]},"page":"701","title":"Experiences of frontline nursing staff on workplace safety and occupational health hazards in two psychiatric hospitals in Ghana","type":"article-journal","volume":"18"}}],"schema":"https://github.com/citation-style-language/schema/raw/master/csl-citation.json"}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rUSLFUjG","properties":{"formattedCitation":"(39)","plainCitation":"(39)","noteIndex":0},"citationItems":[{"id":"vN2fituk/uYnGYVK5","uris":["http://www.mendeley.com/documents/?uuid=364e3219-6c33-446d-8ea2-8f13a5d64be7","http://www.mendeley.com/documents/?uuid=c5d3499a-0977-4802-9c9c-3e59588a1613"],"itemData":{"DOI":"10.1016/j.ijid.2014.12.003","ISSN":"12019712","PMID":"25809771","abstract":"Dr Thato Mosidi never expected to be diagnosed with tuberculosis (TB), despite widely prevalent exposure and very limited infection control measures. The life-threatening diagnosis of primary extensively drug-resistant TB (XDR-TB) came as an even greater shock. The inconvenient truth is that, rather than being protected, Dr Mosidi and thousands of her healthcare colleagues are at an increased risk of TB and especially drug-resistant TB. In this viewpoint paper we debunk the widely held false belief that healthcare workers are somehow immune to TB disease (TB-proof) and explore some of the key factors contributing to the pervasive stigmatization and subsequent non-disclosure of occupational TB. Our front-line workers are some of the first to suffer the consequences of a progressively more resistant and fatal TB epidemic, and urgent interventions are needed to ensure the safety and continued availability of these precious healthcare resources. These include the rapid development and scale-up of improved diagnostic and treatment options, strengthened infection control measures, and focused interventions to tackle stigma and discrimination in all its forms. We call our colleagues to action to protect themselves and those they care for.","author":[{"dropping-particle":"","family":"Delft","given":"Arne","non-dropping-particle":"von","parse-names":false,"suffix":""},{"dropping-particle":"","family":"Dramowski","given":"Angela","non-dropping-particle":"","parse-names":false,"suffix":""},{"dropping-particle":"","family":"Khosa","given":"Celso","non-dropping-particle":"","parse-names":false,"suffix":""},{"dropping-particle":"","family":"Kotze","given":"Koot","non-dropping-particle":"","parse-names":false,"suffix":""},{"dropping-particle":"","family":"Lederer","given":"Philip","non-dropping-particle":"","parse-names":false,"suffix":""},{"dropping-particle":"","family":"Mosidi","given":"Thato","non-dropping-particle":"","parse-names":false,"suffix":""},{"dropping-particle":"","family":"Peters","given":"Jurgens A.","non-dropping-particle":"","parse-names":false,"suffix":""},{"dropping-particle":"","family":"Smith","given":"Jonathan","non-dropping-particle":"","parse-names":false,"suffix":""},{"dropping-particle":"","family":"Westhuizen","given":"Helene-Mari","non-dropping-particle":"van der","parse-names":false,"suffix":""},{"dropping-particle":"","family":"Delft","given":"Dalene","non-dropping-particle":"von","parse-names":false,"suffix":""},{"dropping-particle":"","family":"Willems","given":"Bart","non-dropping-particle":"","parse-names":false,"suffix":""},{"dropping-particle":"","family":"Bates","given":"Matthew","non-dropping-particle":"","parse-names":false,"suffix":""},{"dropping-particle":"","family":"Craig","given":"Gill","non-dropping-particle":"","parse-names":false,"suffix":""},{"dropping-particle":"","family":"Maeurer","given":"Markus","non-dropping-particle":"","parse-names":false,"suffix":""},{"dropping-particle":"","family":"Marais","given":"Ben J.","non-dropping-particle":"","parse-names":false,"suffix":""},{"dropping-particle":"","family":"Mwaba","given":"Peter","non-dropping-particle":"","parse-names":false,"suffix":""},{"dropping-particle":"","family":"Nunes","given":"Elizabete A.","non-dropping-particle":"","parse-names":false,"suffix":""},{"dropping-particle":"","family":"Nyirenda","given":"Thomas","non-dropping-particle":"","parse-names":false,"suffix":""},{"dropping-particle":"","family":"Oliver","given":"Matt","non-dropping-particle":"","parse-names":false,"suffix":""},{"dropping-particle":"","family":"Zumla","given":"Alimuddin","non-dropping-particle":"","parse-names":false,"suffix":""}],"container-title":"International Journal of Infectious Diseases","id":"ITEM-1","issued":{"date-parts":[["2015","3"]]},"page":"147-151","title":"Why healthcare workers are sick of TB","type":"article-journal","volume":"32"}}],"schema":"https://github.com/citation-style-language/schema/raw/master/csl-citation.json"}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{"citationID":"sEDX36o6","properties":{"formattedCitation":"(40)","plainCitation":"(40)","noteIndex":0},"citationItems":[{"id":"vN2fituk/TZApuhfz","uris":["http://www.mendeley.com/documents/?uuid=28696901-c1e3-47e7-9965-26ec39f63401"],"itemData":{"abstract":"Background: Health care workers are continually exposed to occupational health hazards. The study aimed to assess the prevalence of some occupational health hazards and their reporting behavior. Methods: A hospital based cross-sectional study was conducted in August 2014 among health care workers in a tertiary health institution in Bida, North-central Nigeria. A total of 200 health care workers from all the departments were included using the multi-staged random sampling technique. Relevant quantitative and qualitative data were collected using semi- structured self-administered questionnaire. The participants were divided into clinical health care workers and non-clinical health care workers. The frequency distribution of the variables were calculated and presented in the form of frequency tables and figures. Results: The overall prevalence of occupational health hazard was 56.8% (n = 108). The most common occupational health hazard among clinical health care workers were needle stick injury (40.7%) and infections with hepatitis B and C viruses (13.9%) and among the non-clinical health care workers were stress (32.8%) and back pain (10.3%). Majority of the health care workers who had occupational health hazards reported appropriately to the committee concerned. Conclusions: Occupational health hazards are common among hospital health care workers and were adequately reported. Training of the health care workers on measures to mitigate these hazards may also enhance the reporting behavior and its management when it occurs. Keywords:","author":[{"dropping-particle":"","family":"Umar","given":"Adamu G","non-dropping-particle":"","parse-names":false,"suffix":""},{"dropping-particle":"","family":"Aisha","given":"Abdullahi","non-dropping-particle":"","parse-names":false,"suffix":""}],"id":"ITEM-1","issue":"01","issued":{"date-parts":[["2017"]]},"page":"1-6","title":"Common occupational health hazards amongst Health care workers in a Tertiary Health Institution in Bida , North-central","type":"article-journal","volume":"8"}}],"schema":"https://github.com/citation-style-language/schema/raw/master/csl-citation.json"}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(40)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sb5uQVW","properties":{"formattedCitation":"(21)","plainCitation":"(21)","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Today","id":"ITEM-1","issue":"12","issued":{"date-parts":[["2018","1"]]},"page":"23-27","title":"Students nurses' knowledge and prevalence of Needle Stick Injury in Jordan","type":"article-journal","volume":"60"}}],"schema":"https://github.com/citation-style-language/schema/raw/master/csl-citation.json"}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klM4lB1","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14:paraId="6B2834D6" w14:textId="77777777" w:rsidR="002F4F67" w:rsidRPr="00AD6688" w:rsidRDefault="002F4F67" w:rsidP="006635CC">
      <w:pPr>
        <w:spacing w:line="240" w:lineRule="auto"/>
        <w:rPr>
          <w:rFonts w:ascii="Times New Roman" w:hAnsi="Times New Roman" w:cs="Times New Roman"/>
          <w:sz w:val="24"/>
          <w:szCs w:val="24"/>
        </w:rPr>
      </w:pPr>
    </w:p>
    <w:p w14:paraId="007FE9A9" w14:textId="77777777" w:rsidR="002F4F67" w:rsidRPr="00AD6688" w:rsidRDefault="00E15D01" w:rsidP="007C1781">
      <w:pPr>
        <w:spacing w:line="240" w:lineRule="auto"/>
        <w:rPr>
          <w:rFonts w:ascii="Times New Roman" w:hAnsi="Times New Roman" w:cs="Times New Roman"/>
          <w:b/>
          <w:sz w:val="24"/>
          <w:szCs w:val="24"/>
          <w:lang w:val="en-GB"/>
        </w:rPr>
      </w:pPr>
      <w:bookmarkStart w:id="62" w:name="_Toc40793103"/>
      <w:bookmarkStart w:id="63" w:name="_Toc74516229"/>
      <w:r w:rsidRPr="00AD6688">
        <w:rPr>
          <w:rFonts w:ascii="Times New Roman" w:hAnsi="Times New Roman" w:cs="Times New Roman"/>
          <w:sz w:val="24"/>
          <w:szCs w:val="24"/>
          <w:lang w:val="en-GB"/>
        </w:rPr>
        <w:br w:type="page"/>
      </w:r>
      <w:bookmarkStart w:id="64" w:name="_Toc79350961"/>
      <w:bookmarkEnd w:id="62"/>
      <w:bookmarkEnd w:id="63"/>
      <w:r w:rsidR="00977FB9" w:rsidRPr="00AD6688">
        <w:rPr>
          <w:rFonts w:ascii="Times New Roman" w:hAnsi="Times New Roman" w:cs="Times New Roman"/>
          <w:b/>
          <w:sz w:val="24"/>
          <w:szCs w:val="24"/>
          <w:lang w:val="en-GB"/>
        </w:rPr>
        <w:t>5</w:t>
      </w:r>
      <w:r w:rsidR="006224C1" w:rsidRPr="00AD6688">
        <w:rPr>
          <w:rFonts w:ascii="Times New Roman" w:hAnsi="Times New Roman" w:cs="Times New Roman"/>
          <w:b/>
          <w:sz w:val="24"/>
          <w:szCs w:val="24"/>
          <w:lang w:val="en-GB"/>
        </w:rPr>
        <w:t xml:space="preserve">.0 </w:t>
      </w:r>
      <w:r w:rsidRPr="00AD6688">
        <w:rPr>
          <w:rFonts w:ascii="Times New Roman" w:hAnsi="Times New Roman" w:cs="Times New Roman"/>
          <w:b/>
          <w:sz w:val="24"/>
          <w:szCs w:val="24"/>
          <w:lang w:val="en-GB"/>
        </w:rPr>
        <w:t>CONCLUSIONS AND RECOMMENDATIONS</w:t>
      </w:r>
      <w:bookmarkEnd w:id="64"/>
    </w:p>
    <w:p w14:paraId="4633ABDF"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purpose of the study was to assess the occupational hazards and injuries (OHI)</w:t>
      </w:r>
      <w:r w:rsidR="00004FBC"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among health workers in</w:t>
      </w:r>
      <w:r w:rsidRPr="00AD6688">
        <w:rPr>
          <w:rFonts w:ascii="Times New Roman" w:hAnsi="Times New Roman" w:cs="Times New Roman"/>
          <w:sz w:val="24"/>
          <w:szCs w:val="24"/>
        </w:rPr>
        <w:t xml:space="preserve">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Municipal, </w:t>
      </w:r>
      <w:proofErr w:type="spellStart"/>
      <w:r w:rsidRPr="00AD6688">
        <w:rPr>
          <w:rFonts w:ascii="Times New Roman" w:hAnsi="Times New Roman" w:cs="Times New Roman"/>
          <w:sz w:val="24"/>
          <w:szCs w:val="24"/>
        </w:rPr>
        <w:t>Tepa</w:t>
      </w:r>
      <w:proofErr w:type="spellEnd"/>
      <w:r w:rsidRPr="00AD6688">
        <w:rPr>
          <w:rFonts w:ascii="Times New Roman" w:hAnsi="Times New Roman" w:cs="Times New Roman"/>
          <w:sz w:val="24"/>
          <w:szCs w:val="24"/>
        </w:rPr>
        <w:t>.</w:t>
      </w:r>
      <w:r w:rsidRPr="00AD6688">
        <w:rPr>
          <w:rFonts w:ascii="Times New Roman" w:hAnsi="Times New Roman" w:cs="Times New Roman"/>
          <w:sz w:val="24"/>
          <w:szCs w:val="24"/>
          <w:lang w:val="en-GB"/>
        </w:rPr>
        <w:t xml:space="preserve"> This chapter focuses on conclusions and the recommendations of the study.</w:t>
      </w:r>
    </w:p>
    <w:p w14:paraId="47555BAF" w14:textId="77777777"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65" w:name="_Toc79350962"/>
      <w:r w:rsidRPr="00AD6688">
        <w:rPr>
          <w:rFonts w:ascii="Times New Roman" w:hAnsi="Times New Roman" w:cs="Times New Roman"/>
          <w:b/>
          <w:color w:val="auto"/>
          <w:sz w:val="24"/>
          <w:szCs w:val="24"/>
          <w:lang w:val="en-GB"/>
        </w:rPr>
        <w:t>5</w:t>
      </w:r>
      <w:r w:rsidR="00E15D01" w:rsidRPr="00AD6688">
        <w:rPr>
          <w:rFonts w:ascii="Times New Roman" w:hAnsi="Times New Roman" w:cs="Times New Roman"/>
          <w:b/>
          <w:color w:val="auto"/>
          <w:sz w:val="24"/>
          <w:szCs w:val="24"/>
          <w:lang w:val="en-GB"/>
        </w:rPr>
        <w:t>.1 Conclusion</w:t>
      </w:r>
      <w:bookmarkEnd w:id="65"/>
    </w:p>
    <w:p w14:paraId="30AB2D6E" w14:textId="77777777"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following conclusions are drawn based on the findings:</w:t>
      </w:r>
    </w:p>
    <w:p w14:paraId="31FA9B2C" w14:textId="77777777"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Health workers may not suffer biological hazards such as HIV/AIDS, Tuberculosis, Hepatitis B and diarrhoea. However, physical injuries such as needle prick, burns, falls, and lifting of patients affect health workers.</w:t>
      </w:r>
    </w:p>
    <w:p w14:paraId="761FA206" w14:textId="77777777"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Essentially, inadequate PPE may contribute to occupational hazards and injuries in the healthcare environment. Non-availability of PPE may influence fear and apathy among health workers in the discharge of their duties.</w:t>
      </w:r>
    </w:p>
    <w:p w14:paraId="3697C57A" w14:textId="77777777"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Safety training on the use of PPE is inadequate. To this extent, health workers are at high risk of exposure to several occupational hazards and injuries.</w:t>
      </w:r>
    </w:p>
    <w:p w14:paraId="777FB88D" w14:textId="77777777"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 xml:space="preserve">No occupational health and safety facility exist in any of the health facilities in the </w:t>
      </w:r>
      <w:proofErr w:type="spellStart"/>
      <w:r w:rsidRPr="00AD6688">
        <w:rPr>
          <w:rFonts w:ascii="Times New Roman" w:hAnsi="Times New Roman" w:cs="Times New Roman"/>
          <w:sz w:val="24"/>
          <w:szCs w:val="24"/>
        </w:rPr>
        <w:t>Ahafo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Municipality; therefore, majority of health workers are not encouraged to report occupational hazards and injuries (OHI) to the health facilities. </w:t>
      </w:r>
    </w:p>
    <w:p w14:paraId="79D7F440" w14:textId="77777777"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 xml:space="preserve">The emergency unit and the outpatient department (OPD) unit some health workers assume are the point of call when encountered with any OHI lack basic OHI protocols. </w:t>
      </w:r>
    </w:p>
    <w:p w14:paraId="6CC24531" w14:textId="77777777"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66" w:name="_Toc79350963"/>
      <w:r w:rsidRPr="00AD6688">
        <w:rPr>
          <w:rFonts w:ascii="Times New Roman" w:hAnsi="Times New Roman" w:cs="Times New Roman"/>
          <w:b/>
          <w:color w:val="auto"/>
          <w:sz w:val="24"/>
          <w:szCs w:val="24"/>
          <w:lang w:val="en-GB"/>
        </w:rPr>
        <w:t>5</w:t>
      </w:r>
      <w:r w:rsidR="00E15D01" w:rsidRPr="00AD6688">
        <w:rPr>
          <w:rFonts w:ascii="Times New Roman" w:hAnsi="Times New Roman" w:cs="Times New Roman"/>
          <w:b/>
          <w:color w:val="auto"/>
          <w:sz w:val="24"/>
          <w:szCs w:val="24"/>
          <w:lang w:val="en-GB"/>
        </w:rPr>
        <w:t>.2 Recommendations</w:t>
      </w:r>
      <w:bookmarkEnd w:id="66"/>
      <w:r w:rsidR="00E15D01" w:rsidRPr="00AD6688">
        <w:rPr>
          <w:rFonts w:ascii="Times New Roman" w:hAnsi="Times New Roman" w:cs="Times New Roman"/>
          <w:b/>
          <w:color w:val="auto"/>
          <w:sz w:val="24"/>
          <w:szCs w:val="24"/>
          <w:lang w:val="en-GB"/>
        </w:rPr>
        <w:t xml:space="preserve"> </w:t>
      </w:r>
    </w:p>
    <w:p w14:paraId="73E55212" w14:textId="77777777"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Based on the study findings, some recommendations are proposed to health workers, and managers of health services in the </w:t>
      </w:r>
      <w:proofErr w:type="spellStart"/>
      <w:r w:rsidRPr="00AD6688">
        <w:rPr>
          <w:rFonts w:ascii="Times New Roman" w:hAnsi="Times New Roman" w:cs="Times New Roman"/>
          <w:sz w:val="24"/>
          <w:szCs w:val="24"/>
          <w:lang w:val="en-GB"/>
        </w:rPr>
        <w:t>Ahafo</w:t>
      </w:r>
      <w:proofErr w:type="spellEnd"/>
      <w:r w:rsidRPr="00AD6688">
        <w:rPr>
          <w:rFonts w:ascii="Times New Roman" w:hAnsi="Times New Roman" w:cs="Times New Roman"/>
          <w:sz w:val="24"/>
          <w:szCs w:val="24"/>
          <w:lang w:val="en-GB"/>
        </w:rPr>
        <w:t xml:space="preserve">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on OHI, possible reasons and whether health workers report OHI they encounter.</w:t>
      </w:r>
    </w:p>
    <w:p w14:paraId="3F8A84AF" w14:textId="77777777"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study recommended that there should be enough PPE available for use by health workers to protect and prevent them from OHI since non-availability may cause fear and apathy among health workers in their discharge of duty.</w:t>
      </w:r>
    </w:p>
    <w:p w14:paraId="40110910" w14:textId="77777777"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Managers of health facilities should organize training on occupational health and safety practices (prevention of OHI and use of PPE). This is necessary in-behalf-of, health workers may prevent themselves from occupational injuries and improve work effectiveness.</w:t>
      </w:r>
    </w:p>
    <w:p w14:paraId="68957C55" w14:textId="77777777"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study further recommended that health facilities establish an occupational health and safety unit to address all concerns of OHI. This will encourage health workers to report all OHI affecting them in their routine activities.</w:t>
      </w:r>
    </w:p>
    <w:p w14:paraId="49CFBAB2" w14:textId="77777777"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Standard operating guidelines and protocols on occupational health and safety should be available at the occupational health and safety unit to ensure that safety procedures and protocols are followed.</w:t>
      </w:r>
    </w:p>
    <w:p w14:paraId="413A1522" w14:textId="77777777" w:rsidR="002F4F67" w:rsidRPr="00AD6688" w:rsidRDefault="00977FB9" w:rsidP="006635CC">
      <w:pPr>
        <w:pStyle w:val="Heading1"/>
        <w:spacing w:line="240" w:lineRule="auto"/>
        <w:rPr>
          <w:rFonts w:ascii="Times New Roman" w:hAnsi="Times New Roman" w:cs="Times New Roman"/>
          <w:b/>
          <w:color w:val="auto"/>
          <w:sz w:val="24"/>
          <w:szCs w:val="24"/>
        </w:rPr>
      </w:pPr>
      <w:bookmarkStart w:id="67" w:name="_Toc79350964"/>
      <w:r w:rsidRPr="00AD6688">
        <w:rPr>
          <w:rFonts w:ascii="Times New Roman" w:hAnsi="Times New Roman" w:cs="Times New Roman"/>
          <w:b/>
          <w:color w:val="auto"/>
          <w:sz w:val="24"/>
          <w:szCs w:val="24"/>
        </w:rPr>
        <w:t>5</w:t>
      </w:r>
      <w:r w:rsidR="00E15D01" w:rsidRPr="00AD6688">
        <w:rPr>
          <w:rFonts w:ascii="Times New Roman" w:hAnsi="Times New Roman" w:cs="Times New Roman"/>
          <w:b/>
          <w:color w:val="auto"/>
          <w:sz w:val="24"/>
          <w:szCs w:val="24"/>
        </w:rPr>
        <w:t>.3 Recommendations for Further Studies</w:t>
      </w:r>
      <w:bookmarkEnd w:id="67"/>
    </w:p>
    <w:p w14:paraId="6C49845A" w14:textId="77777777" w:rsidR="002F4F67" w:rsidRPr="00AD6688" w:rsidRDefault="00E15D01" w:rsidP="006635CC">
      <w:pPr>
        <w:spacing w:line="240" w:lineRule="auto"/>
        <w:ind w:left="450"/>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The study recommended that further research be conducted on how knowledge and awareness of Occupational Health and safety facilities influence report of OHI in health facilities.</w:t>
      </w:r>
    </w:p>
    <w:p w14:paraId="5B676A14" w14:textId="77777777" w:rsidR="002F4F67" w:rsidRPr="00AD6688" w:rsidRDefault="002F4F67" w:rsidP="006635CC">
      <w:pPr>
        <w:spacing w:line="240" w:lineRule="auto"/>
        <w:rPr>
          <w:rFonts w:ascii="Times New Roman" w:hAnsi="Times New Roman" w:cs="Times New Roman"/>
          <w:sz w:val="24"/>
          <w:szCs w:val="24"/>
          <w:lang w:val="en-GB"/>
        </w:rPr>
      </w:pPr>
    </w:p>
    <w:p w14:paraId="295D64FF" w14:textId="77777777" w:rsidR="002F4F67" w:rsidRPr="00AD6688" w:rsidRDefault="00E15D01" w:rsidP="006635CC">
      <w:pPr>
        <w:spacing w:line="240" w:lineRule="auto"/>
        <w:rPr>
          <w:rFonts w:ascii="Times New Roman" w:eastAsia="SimSun" w:hAnsi="Times New Roman" w:cs="Times New Roman"/>
          <w:b/>
          <w:bCs/>
          <w:sz w:val="24"/>
          <w:szCs w:val="24"/>
        </w:rPr>
      </w:pPr>
      <w:r w:rsidRPr="00AD6688">
        <w:rPr>
          <w:rFonts w:ascii="Times New Roman" w:hAnsi="Times New Roman" w:cs="Times New Roman"/>
          <w:sz w:val="24"/>
          <w:szCs w:val="24"/>
        </w:rPr>
        <w:br w:type="page"/>
      </w:r>
    </w:p>
    <w:p w14:paraId="7EF85B68" w14:textId="77777777" w:rsidR="002F4F67" w:rsidRPr="00AD6688" w:rsidRDefault="00E15D01" w:rsidP="006635CC">
      <w:pPr>
        <w:pStyle w:val="Heading1"/>
        <w:spacing w:line="240" w:lineRule="auto"/>
        <w:rPr>
          <w:rFonts w:ascii="Times New Roman" w:hAnsi="Times New Roman" w:cs="Times New Roman"/>
          <w:b/>
          <w:color w:val="auto"/>
          <w:sz w:val="24"/>
          <w:szCs w:val="24"/>
        </w:rPr>
      </w:pPr>
      <w:bookmarkStart w:id="68" w:name="_Toc79350965"/>
      <w:r w:rsidRPr="00AD6688">
        <w:rPr>
          <w:rFonts w:ascii="Times New Roman" w:hAnsi="Times New Roman" w:cs="Times New Roman"/>
          <w:b/>
          <w:color w:val="auto"/>
          <w:sz w:val="24"/>
          <w:szCs w:val="24"/>
        </w:rPr>
        <w:t>REFERENCES</w:t>
      </w:r>
      <w:bookmarkEnd w:id="68"/>
      <w:r w:rsidRPr="00AD6688">
        <w:rPr>
          <w:rFonts w:ascii="Times New Roman" w:hAnsi="Times New Roman" w:cs="Times New Roman"/>
          <w:b/>
          <w:color w:val="auto"/>
          <w:sz w:val="24"/>
          <w:szCs w:val="24"/>
        </w:rPr>
        <w:t xml:space="preserve"> </w:t>
      </w:r>
    </w:p>
    <w:p w14:paraId="18D79DA5" w14:textId="77777777" w:rsidR="002F4F67" w:rsidRPr="00AD6688" w:rsidRDefault="00E15D01" w:rsidP="006635CC">
      <w:pPr>
        <w:pStyle w:val="Bibliography1"/>
        <w:rPr>
          <w:rFonts w:ascii="Times New Roman" w:hAnsi="Times New Roman" w:cs="Times New Roman"/>
          <w:sz w:val="24"/>
        </w:rPr>
      </w:pPr>
      <w:r w:rsidRPr="00AD6688">
        <w:fldChar w:fldCharType="begin"/>
      </w:r>
      <w:r w:rsidRPr="00AD6688">
        <w:instrText xml:space="preserve">ADDIN Mendeley Bibliography CSL_BIBLIOGRAPHY </w:instrText>
      </w:r>
      <w:r w:rsidRPr="00AD6688">
        <w:fldChar w:fldCharType="separate"/>
      </w:r>
      <w:r w:rsidRPr="00AD6688">
        <w:rPr>
          <w:rFonts w:ascii="Times New Roman" w:hAnsi="Times New Roman" w:cs="Times New Roman"/>
          <w:sz w:val="24"/>
        </w:rPr>
        <w:t>1.</w:t>
      </w:r>
      <w:r w:rsidRPr="00AD6688">
        <w:rPr>
          <w:rFonts w:ascii="Times New Roman" w:hAnsi="Times New Roman" w:cs="Times New Roman"/>
          <w:sz w:val="24"/>
        </w:rPr>
        <w:tab/>
        <w:t xml:space="preserve">Stanaway JD, Afshin A, Gakidou E, Lim SS, Abate D, Abate KH, et al. Global, regional, and national comparative risk assessment of 84 behavioural, environmental and occupational, and metabolic risks or clusters of risks for 195 countries and territories, 1990-2017: A systematic analysis for the Global Burden of Disease Stu. The Lancet. 2018;392(10159):1923–94. </w:t>
      </w:r>
    </w:p>
    <w:p w14:paraId="22C775F8"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w:t>
      </w:r>
      <w:r w:rsidRPr="00AD6688">
        <w:rPr>
          <w:rFonts w:ascii="Times New Roman" w:hAnsi="Times New Roman" w:cs="Times New Roman"/>
          <w:sz w:val="24"/>
        </w:rPr>
        <w:tab/>
        <w:t xml:space="preserve">Gyedu A, Nakua EK, Otupiri E, Mock C, Donkor P, Ebel B. Incidence, characteristics and risk factors for household and neighbourhood injury among young children in semiurban Ghana: a population-based household survey. Injury Prevention. 2015 Apr;21(e1):e71–9. </w:t>
      </w:r>
    </w:p>
    <w:p w14:paraId="59057951"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w:t>
      </w:r>
      <w:r w:rsidRPr="00AD6688">
        <w:rPr>
          <w:rFonts w:ascii="Times New Roman" w:hAnsi="Times New Roman" w:cs="Times New Roman"/>
          <w:sz w:val="24"/>
        </w:rPr>
        <w:tab/>
        <w:t xml:space="preserve">McDiarmid MA. Hazards of the health care sector: Looking beyond infectious disease. Annals of Global Health. 2014;80(4):315–9. </w:t>
      </w:r>
    </w:p>
    <w:p w14:paraId="420C0A8B"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4.</w:t>
      </w:r>
      <w:r w:rsidRPr="00AD6688">
        <w:rPr>
          <w:rFonts w:ascii="Times New Roman" w:hAnsi="Times New Roman" w:cs="Times New Roman"/>
          <w:sz w:val="24"/>
        </w:rPr>
        <w:tab/>
        <w:t xml:space="preserve">Abdalla S, Apramian SS, Cantley LF, Cullen MR. Occupation and Risk for Injuries. In: Disease Control Priorities, Third Edition (Volume 7): Injury Prevention and Environmental Health. The World Bank; 2017. p. 97–132. </w:t>
      </w:r>
    </w:p>
    <w:p w14:paraId="62FD4279"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5.</w:t>
      </w:r>
      <w:r w:rsidRPr="00AD6688">
        <w:rPr>
          <w:rFonts w:ascii="Times New Roman" w:hAnsi="Times New Roman" w:cs="Times New Roman"/>
          <w:sz w:val="24"/>
        </w:rPr>
        <w:tab/>
        <w:t xml:space="preserve">Bekele T, Gebremariam A, Kaso M, Ahmed K. Factors Associated with Occupational Needle Stick and Sharps Injuries among Hospital Healthcare Workers in Bale Zone, Southeast Ethiopia. Tang JW, editor. PLOS ONE. 2015 Oct 15;10(10):e0140382. </w:t>
      </w:r>
    </w:p>
    <w:p w14:paraId="28EBFCD7"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6.</w:t>
      </w:r>
      <w:r w:rsidRPr="00AD6688">
        <w:rPr>
          <w:rFonts w:ascii="Times New Roman" w:hAnsi="Times New Roman" w:cs="Times New Roman"/>
          <w:sz w:val="24"/>
        </w:rPr>
        <w:tab/>
        <w:t xml:space="preserve">Liu S, Nkrumah ENK, Akoto LS, Gyabeng E, Nkrumah E. The State of Occupational Health and Safety Management Frameworks (OHSMF) and Occupational Injuries and Accidents in the Ghanaian Oil and Gas Industry: Assessing the Mediating Role of Safety Knowledge. BioMed Research International. 2020 Mar 13;2020:1–14. </w:t>
      </w:r>
    </w:p>
    <w:p w14:paraId="004F98A1"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7.</w:t>
      </w:r>
      <w:r w:rsidRPr="00AD6688">
        <w:rPr>
          <w:rFonts w:ascii="Times New Roman" w:hAnsi="Times New Roman" w:cs="Times New Roman"/>
          <w:sz w:val="24"/>
        </w:rPr>
        <w:tab/>
        <w:t xml:space="preserve">Mitchual SJ, Donkoh M, Bih F. Assessment of Safety Practices and Injuries Associated with Wood Processing in a Timber Company in Ghana. Open Journal of Safety Science and Technology. 2015;05(01):10–9. </w:t>
      </w:r>
    </w:p>
    <w:p w14:paraId="089F07C6"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8.</w:t>
      </w:r>
      <w:r w:rsidRPr="00AD6688">
        <w:rPr>
          <w:rFonts w:ascii="Times New Roman" w:hAnsi="Times New Roman" w:cs="Times New Roman"/>
          <w:sz w:val="24"/>
        </w:rPr>
        <w:tab/>
        <w:t xml:space="preserve">Amissah J, Badu E, Agyei-Baffour P, Nakua EK, Mensah I. Predisposing factors influencing occupational injury among frontline building construction workers in Ghana. BMC Research Notes. 2019;12(1):8–15. </w:t>
      </w:r>
    </w:p>
    <w:p w14:paraId="57F9DBA5"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9.</w:t>
      </w:r>
      <w:r w:rsidRPr="00AD6688">
        <w:rPr>
          <w:rFonts w:ascii="Times New Roman" w:hAnsi="Times New Roman" w:cs="Times New Roman"/>
          <w:sz w:val="24"/>
        </w:rPr>
        <w:tab/>
        <w:t xml:space="preserve">Langenhan MK, Leka S, Jain A. Psychosocial risks: Is risk management strategic enough in business and policy making? Safety and Health at Work. 2013;4(2):87–94. </w:t>
      </w:r>
    </w:p>
    <w:p w14:paraId="276C314F"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10.</w:t>
      </w:r>
      <w:r w:rsidRPr="00AD6688">
        <w:rPr>
          <w:rFonts w:ascii="Times New Roman" w:hAnsi="Times New Roman" w:cs="Times New Roman"/>
          <w:sz w:val="24"/>
        </w:rPr>
        <w:tab/>
        <w:t xml:space="preserve">Jaju A, Kurian JS, Ravikanth P. Health, safety and welfare measures for employees at hindustan coca-cola pvt. Ltd: An empirical study. International Journal of Mechanical Engineering and Technology. 2018;9(2):698–709. </w:t>
      </w:r>
    </w:p>
    <w:p w14:paraId="7CAC6F39"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11.</w:t>
      </w:r>
      <w:r w:rsidRPr="00AD6688">
        <w:rPr>
          <w:rFonts w:ascii="Times New Roman" w:hAnsi="Times New Roman" w:cs="Times New Roman"/>
          <w:sz w:val="24"/>
        </w:rPr>
        <w:tab/>
        <w:t xml:space="preserve">Aluko OO, Adebayo AE, Adebisi TF, Ewegbemi MK, Abidoye AT, Popoola BF. Knowledge, attitudes and perceptions of occupational hazards and safety practices in Nigerian healthcare workers. BMC Research Notes. 2016 Dec 6;9(1):71. </w:t>
      </w:r>
    </w:p>
    <w:p w14:paraId="7E33E181"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12.</w:t>
      </w:r>
      <w:r w:rsidRPr="00AD6688">
        <w:rPr>
          <w:rFonts w:ascii="Times New Roman" w:hAnsi="Times New Roman" w:cs="Times New Roman"/>
          <w:sz w:val="24"/>
        </w:rPr>
        <w:tab/>
        <w:t xml:space="preserve">Johnson OE, Umoren QM. Occupational hazards and health problems reported by workers in a Sawmill in Uyo ,. 2018;7(2):17–24. </w:t>
      </w:r>
    </w:p>
    <w:p w14:paraId="275EFF2F"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13.</w:t>
      </w:r>
      <w:r w:rsidRPr="00AD6688">
        <w:rPr>
          <w:rFonts w:ascii="Times New Roman" w:hAnsi="Times New Roman" w:cs="Times New Roman"/>
          <w:sz w:val="24"/>
        </w:rPr>
        <w:tab/>
        <w:t xml:space="preserve">Taherdoost H. Sampling Methods in Research Methodology; How to Choose a Sampling Technique for Research. SSRN Electronic Journal. 2016;8(9):27–78. </w:t>
      </w:r>
    </w:p>
    <w:p w14:paraId="02708884"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14.</w:t>
      </w:r>
      <w:r w:rsidRPr="00AD6688">
        <w:rPr>
          <w:rFonts w:ascii="Times New Roman" w:hAnsi="Times New Roman" w:cs="Times New Roman"/>
          <w:sz w:val="24"/>
        </w:rPr>
        <w:tab/>
        <w:t xml:space="preserve">Nas A, Vaer H, Nasd P. Occupational health scenario of Indian informal sector. INDUSTRIAL HEALTH. 2016;54(4):377–85. </w:t>
      </w:r>
    </w:p>
    <w:p w14:paraId="3231ECA5"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15.</w:t>
      </w:r>
      <w:r w:rsidRPr="00AD6688">
        <w:rPr>
          <w:rFonts w:ascii="Times New Roman" w:hAnsi="Times New Roman" w:cs="Times New Roman"/>
          <w:sz w:val="24"/>
        </w:rPr>
        <w:tab/>
        <w:t xml:space="preserve">Barrett ES, Horton DB, Roy J, Gennaro ML, Brooks A, Tischfield J, et al. Prevalence of SARS-CoV-2 infection in previously undiagnosed health care workers at the onset of the U.S. COVID-19 epidemic. medRxiv. 2020;20(853):1–10. </w:t>
      </w:r>
    </w:p>
    <w:p w14:paraId="405054BA"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16.</w:t>
      </w:r>
      <w:r w:rsidRPr="00AD6688">
        <w:rPr>
          <w:rFonts w:ascii="Times New Roman" w:hAnsi="Times New Roman" w:cs="Times New Roman"/>
          <w:sz w:val="24"/>
        </w:rPr>
        <w:tab/>
        <w:t xml:space="preserve">Chhabra S. Health hazards among health care personnel. J Mahatma Gandhi Inst Med Sci. 2016;21(1):19. </w:t>
      </w:r>
    </w:p>
    <w:p w14:paraId="64CF4BCB"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17.</w:t>
      </w:r>
      <w:r w:rsidRPr="00AD6688">
        <w:rPr>
          <w:rFonts w:ascii="Times New Roman" w:hAnsi="Times New Roman" w:cs="Times New Roman"/>
          <w:sz w:val="24"/>
        </w:rPr>
        <w:tab/>
        <w:t xml:space="preserve">Von Delft A, Dramowski A, Khosa C, Kotze K, Lederer P, Mosidi T, et al. Why healthcare workers are sick of TB. International Journal of Infectious Diseases. 2015 Mar;32:147–51. </w:t>
      </w:r>
    </w:p>
    <w:p w14:paraId="7F9B9DFB"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18.</w:t>
      </w:r>
      <w:r w:rsidRPr="00AD6688">
        <w:rPr>
          <w:rFonts w:ascii="Times New Roman" w:hAnsi="Times New Roman" w:cs="Times New Roman"/>
          <w:sz w:val="24"/>
        </w:rPr>
        <w:tab/>
        <w:t>Food handlers. In: Food Safety in the 21st Century [Internet]. Elsevier; 2017 [cited 2025 Jul 10]. p. 269–80. Available from: https://linkinghub.elsevier.com/retrieve/pii/B9780128017739000212</w:t>
      </w:r>
    </w:p>
    <w:p w14:paraId="1008B453"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19.</w:t>
      </w:r>
      <w:r w:rsidRPr="00AD6688">
        <w:rPr>
          <w:rFonts w:ascii="Times New Roman" w:hAnsi="Times New Roman" w:cs="Times New Roman"/>
          <w:sz w:val="24"/>
        </w:rPr>
        <w:tab/>
        <w:t xml:space="preserve">Li H, Yu C, Chen R, Li J, Li J. Novel ionic liquid-type Gemini surfactants: Synthesis, surface property and antimicrobial activity. Colloids and Surfaces A: Physicochemical and Engineering Aspects. 2012 Feb;395:116–24. </w:t>
      </w:r>
    </w:p>
    <w:p w14:paraId="38FA9DA8"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20.</w:t>
      </w:r>
      <w:r w:rsidRPr="00AD6688">
        <w:rPr>
          <w:rFonts w:ascii="Times New Roman" w:hAnsi="Times New Roman" w:cs="Times New Roman"/>
          <w:sz w:val="24"/>
        </w:rPr>
        <w:tab/>
        <w:t xml:space="preserve">Onchonga D, Omwoyo J, Nyamamba D. Assessing the prevalence of self-medication among healthcare workers before and during the 2019 SARS-CoV-2 (COVID-19) pandemic in Kenya. Saudi Pharmaceutical Journal. 2020 Oct;28(10):1149–54. </w:t>
      </w:r>
    </w:p>
    <w:p w14:paraId="017F1724"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21.</w:t>
      </w:r>
      <w:r w:rsidRPr="00AD6688">
        <w:rPr>
          <w:rFonts w:ascii="Times New Roman" w:hAnsi="Times New Roman" w:cs="Times New Roman"/>
          <w:sz w:val="24"/>
        </w:rPr>
        <w:tab/>
        <w:t xml:space="preserve">Suliman M, Al Qadire M, Alazzam M, Aloush S, Alsaraireh A, Alsaraireh FA. Students nurses’ knowledge and prevalence of Needle Stick Injury in Jordan. Nurse Education Today. 2018 Jan;60(12):23–7. </w:t>
      </w:r>
    </w:p>
    <w:p w14:paraId="03A78325"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22.</w:t>
      </w:r>
      <w:r w:rsidRPr="00AD6688">
        <w:rPr>
          <w:rFonts w:ascii="Times New Roman" w:hAnsi="Times New Roman" w:cs="Times New Roman"/>
          <w:sz w:val="24"/>
        </w:rPr>
        <w:tab/>
        <w:t xml:space="preserve">Wåhlin C, Kvarnström S, Öhrn A, Nilsing Strid E. Patient and healthcare worker safety risks and injuries. Learning from incident reporting. European Journal of Physiotherapy. 2020 Jan 2;22(1):44–50. </w:t>
      </w:r>
    </w:p>
    <w:p w14:paraId="4C5EC55C"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23.</w:t>
      </w:r>
      <w:r w:rsidRPr="00AD6688">
        <w:rPr>
          <w:rFonts w:ascii="Times New Roman" w:hAnsi="Times New Roman" w:cs="Times New Roman"/>
          <w:sz w:val="24"/>
        </w:rPr>
        <w:tab/>
        <w:t xml:space="preserve">Mossburg S, Agore A, Nkimbeng M, Commodore-Mensah Y. Occupational hazards among healthcare workers in africa: A systematic review. Annals of Global Health. 2019;85(1):1–13. </w:t>
      </w:r>
    </w:p>
    <w:p w14:paraId="6AC63220"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24.</w:t>
      </w:r>
      <w:r w:rsidRPr="00AD6688">
        <w:rPr>
          <w:rFonts w:ascii="Times New Roman" w:hAnsi="Times New Roman" w:cs="Times New Roman"/>
          <w:sz w:val="24"/>
        </w:rPr>
        <w:tab/>
        <w:t xml:space="preserve">Ulutasdemir N, Tanir F. Occupational Risks of Health Professionals. Occupational Health. 2017;6(13):38–68. </w:t>
      </w:r>
    </w:p>
    <w:p w14:paraId="507DD3BC"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25.</w:t>
      </w:r>
      <w:r w:rsidRPr="00AD6688">
        <w:rPr>
          <w:rFonts w:ascii="Times New Roman" w:hAnsi="Times New Roman" w:cs="Times New Roman"/>
          <w:sz w:val="24"/>
        </w:rPr>
        <w:tab/>
        <w:t xml:space="preserve">Atuahene Mensah JE. Effectiveness of OHS education and training. Sharing Best Evidence. 2019;4(01):1–4. </w:t>
      </w:r>
    </w:p>
    <w:p w14:paraId="0630B289"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26.</w:t>
      </w:r>
      <w:r w:rsidRPr="00AD6688">
        <w:rPr>
          <w:rFonts w:ascii="Times New Roman" w:hAnsi="Times New Roman" w:cs="Times New Roman"/>
          <w:sz w:val="24"/>
        </w:rPr>
        <w:tab/>
        <w:t xml:space="preserve">Ndejjo R, Musinguzi G, Yu X, Buregyeya E, Musoke D, Wang JS, et al. Occupational Health Hazards among Healthcare Workers in Kampala, Uganda. Journal of Environmental and Public Health. 2015;2015(3):1–9. </w:t>
      </w:r>
    </w:p>
    <w:p w14:paraId="153DE014"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27.</w:t>
      </w:r>
      <w:r w:rsidRPr="00AD6688">
        <w:rPr>
          <w:rFonts w:ascii="Times New Roman" w:hAnsi="Times New Roman" w:cs="Times New Roman"/>
          <w:sz w:val="24"/>
        </w:rPr>
        <w:tab/>
        <w:t xml:space="preserve">Verbeek JH, Rajamaki B, Ijaz S, Sauni R, Toomey E, Blackwood B, et al. Personal protective equipment for preventing highly infectious diseases due to exposure to contaminated body fluids in healthcare staff. Cochrane Database of Systematic Reviews. 2020 Apr 15; </w:t>
      </w:r>
    </w:p>
    <w:p w14:paraId="01CA1C7C"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28.</w:t>
      </w:r>
      <w:r w:rsidRPr="00AD6688">
        <w:rPr>
          <w:rFonts w:ascii="Times New Roman" w:hAnsi="Times New Roman" w:cs="Times New Roman"/>
          <w:sz w:val="24"/>
        </w:rPr>
        <w:tab/>
        <w:t xml:space="preserve">Nguyen LH, Drew DA, Graham MS, Joshi AD, Guo CG, Ma W, et al. Risk of COVID-19 among front-line health-care workers and the general community: a prospective cohort study. The Lancet Public Health. 2020;5(9):e475–83. </w:t>
      </w:r>
    </w:p>
    <w:p w14:paraId="41B383E2"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29.</w:t>
      </w:r>
      <w:r w:rsidRPr="00AD6688">
        <w:rPr>
          <w:rFonts w:ascii="Times New Roman" w:hAnsi="Times New Roman" w:cs="Times New Roman"/>
          <w:sz w:val="24"/>
        </w:rPr>
        <w:tab/>
        <w:t xml:space="preserve">Martin-Delgado J, Viteri E, Mula A, Serpa P, Pacheco G, Prada D, et al. Availability of personal protective equipment and diagnostic and treatment facilities for healthcare workers involved in COVID-19 care: A cross-sectional study in Brazil, Colombia, and Ecuador. PLoS ONE. 2020;15(11 November):1–13. </w:t>
      </w:r>
    </w:p>
    <w:p w14:paraId="1ED74FD8"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30.</w:t>
      </w:r>
      <w:r w:rsidRPr="00AD6688">
        <w:rPr>
          <w:rFonts w:ascii="Times New Roman" w:hAnsi="Times New Roman" w:cs="Times New Roman"/>
          <w:sz w:val="24"/>
        </w:rPr>
        <w:tab/>
        <w:t xml:space="preserve">Rebmann T, Loux TM, Arnold LD, Charney R, Horton D, Gomel A. SARS-CoV-2 Transmission to Masked and Unmasked Close Contacts of University Students with COVID-19 — St. Louis, Missouri, January–May 2021. MMWR Morb Mortal Wkly Rep. 2021 Sep 10;70(36):1245–8. </w:t>
      </w:r>
    </w:p>
    <w:p w14:paraId="451EDAAC"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31.</w:t>
      </w:r>
      <w:r w:rsidRPr="00AD6688">
        <w:rPr>
          <w:rFonts w:ascii="Times New Roman" w:hAnsi="Times New Roman" w:cs="Times New Roman"/>
          <w:sz w:val="24"/>
        </w:rPr>
        <w:tab/>
        <w:t xml:space="preserve">Chughtai AA, Khan W. Use of personal protective equipment to protect against respiratory infections in Pakistan: A systematic review. Journal of Infection and Public Health. 2020 Mar;13(3):385–90. </w:t>
      </w:r>
    </w:p>
    <w:p w14:paraId="4BB7E415"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32.</w:t>
      </w:r>
      <w:r w:rsidRPr="00AD6688">
        <w:rPr>
          <w:rFonts w:ascii="Times New Roman" w:hAnsi="Times New Roman" w:cs="Times New Roman"/>
          <w:sz w:val="24"/>
        </w:rPr>
        <w:tab/>
        <w:t xml:space="preserve">Livingston E, Desai A, Berkwits M. Sourcing Personal Protective Equipment During the COVID-19 Pandemic. JAMA. 2020 May 19;323(19):1912. </w:t>
      </w:r>
    </w:p>
    <w:p w14:paraId="68B5CD2C"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33.</w:t>
      </w:r>
      <w:r w:rsidRPr="00AD6688">
        <w:rPr>
          <w:rFonts w:ascii="Times New Roman" w:hAnsi="Times New Roman" w:cs="Times New Roman"/>
          <w:sz w:val="24"/>
        </w:rPr>
        <w:tab/>
        <w:t xml:space="preserve">Park SH. Personal Protective Equipment for Healthcare Workers during the COVID-19 Pandemic. Infection &amp; Chemotherapy. 2020;52(2):165. </w:t>
      </w:r>
    </w:p>
    <w:p w14:paraId="218CFF22"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34.</w:t>
      </w:r>
      <w:r w:rsidRPr="00AD6688">
        <w:rPr>
          <w:rFonts w:ascii="Times New Roman" w:hAnsi="Times New Roman" w:cs="Times New Roman"/>
          <w:sz w:val="24"/>
        </w:rPr>
        <w:tab/>
        <w:t xml:space="preserve">Schröder I, Huang DYQ, Ellis O, Gibson JH, Wayne NL. Laboratory safety attitudes and practices: A comparison of academic, government, and industry researchers. Journal of Chemical Health and Safety. 2016 Jan;23(1):12–23. </w:t>
      </w:r>
    </w:p>
    <w:p w14:paraId="39246F47"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35.</w:t>
      </w:r>
      <w:r w:rsidRPr="00AD6688">
        <w:rPr>
          <w:rFonts w:ascii="Times New Roman" w:hAnsi="Times New Roman" w:cs="Times New Roman"/>
          <w:sz w:val="24"/>
        </w:rPr>
        <w:tab/>
        <w:t xml:space="preserve">Alao MA, Durodola AO, Ibrahim OR, Asinobi OA. Assessment of Health Workers’ Knowledge, Beliefs, Attitudes, and Use of Personal Protective Equipment for Prevention of COVID-19 Infection in Low-Resource Settings. Advances in Public Health. 2020;2020(5):1–10. </w:t>
      </w:r>
    </w:p>
    <w:p w14:paraId="45CDCBE9"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36.</w:t>
      </w:r>
      <w:r w:rsidRPr="00AD6688">
        <w:rPr>
          <w:rFonts w:ascii="Times New Roman" w:hAnsi="Times New Roman" w:cs="Times New Roman"/>
          <w:sz w:val="24"/>
        </w:rPr>
        <w:tab/>
        <w:t xml:space="preserve">Macharia J. OCCUPATIONAL SAFETY AND HEALTH POLICY GUIDELINES FOR THE HEALTH SECTOR. African Field Epidemiology Network. 2016;8(19):2–80. </w:t>
      </w:r>
    </w:p>
    <w:p w14:paraId="031490AD"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37.</w:t>
      </w:r>
      <w:r w:rsidRPr="00AD6688">
        <w:rPr>
          <w:rFonts w:ascii="Times New Roman" w:hAnsi="Times New Roman" w:cs="Times New Roman"/>
          <w:sz w:val="24"/>
        </w:rPr>
        <w:tab/>
        <w:t xml:space="preserve">Ohene Adjei. Occupational Health and Safety Guide, Komfo Anokye Teaching Hospital. Advances in Public Health. 2019;3(31):3–28. </w:t>
      </w:r>
    </w:p>
    <w:p w14:paraId="46FEE6F5"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38.</w:t>
      </w:r>
      <w:r w:rsidRPr="00AD6688">
        <w:rPr>
          <w:rFonts w:ascii="Times New Roman" w:hAnsi="Times New Roman" w:cs="Times New Roman"/>
          <w:sz w:val="24"/>
        </w:rPr>
        <w:tab/>
        <w:t xml:space="preserve">Alhassan RK, Poku KA. Experiences of frontline nursing staff on workplace safety and occupational health hazards in two psychiatric hospitals in Ghana. BMC Public Health. 2018 Dec;18(1):701. </w:t>
      </w:r>
    </w:p>
    <w:p w14:paraId="3BEF21FE"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39.</w:t>
      </w:r>
      <w:r w:rsidRPr="00AD6688">
        <w:rPr>
          <w:rFonts w:ascii="Times New Roman" w:hAnsi="Times New Roman" w:cs="Times New Roman"/>
          <w:sz w:val="24"/>
        </w:rPr>
        <w:tab/>
        <w:t xml:space="preserve">von Delft A, Dramowski A, Khosa C, Kotze K, Lederer P, Mosidi T, et al. Why healthcare workers are sick of TB. International Journal of Infectious Diseases. 2015 Mar;32:147–51. </w:t>
      </w:r>
    </w:p>
    <w:p w14:paraId="5FF7E7B6"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40.</w:t>
      </w:r>
      <w:r w:rsidRPr="00AD6688">
        <w:rPr>
          <w:rFonts w:ascii="Times New Roman" w:hAnsi="Times New Roman" w:cs="Times New Roman"/>
          <w:sz w:val="24"/>
        </w:rPr>
        <w:tab/>
        <w:t xml:space="preserve">Umar AG, Aisha A. Common occupational health hazards amongst Health care workers in a Tertiary Health Institution in Bida , North-central. 2017;8(01):1–6. </w:t>
      </w:r>
    </w:p>
    <w:p w14:paraId="4481142C" w14:textId="77777777"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41.</w:t>
      </w:r>
      <w:r w:rsidRPr="00AD6688">
        <w:rPr>
          <w:rFonts w:ascii="Times New Roman" w:hAnsi="Times New Roman" w:cs="Times New Roman"/>
          <w:sz w:val="24"/>
        </w:rPr>
        <w:tab/>
        <w:t xml:space="preserve">Suliman M, Al Qadire M, Alazzam M, Aloush S, Alsaraireh A, Alsaraireh FA. Students nurses’ knowledge and prevalence of Needle Stick Injury in Jordan. Nurse Education Today. 2018 Jan;60:23–7. </w:t>
      </w:r>
    </w:p>
    <w:p w14:paraId="26EFBAC5" w14:textId="77777777" w:rsidR="002F4F67"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sz w:val="24"/>
          <w:szCs w:val="24"/>
        </w:rPr>
        <w:fldChar w:fldCharType="end"/>
      </w:r>
    </w:p>
    <w:p w14:paraId="55DCE8CA" w14:textId="77777777" w:rsidR="002F4F67" w:rsidRDefault="002F4F67" w:rsidP="006635CC">
      <w:pPr>
        <w:pStyle w:val="Heading1"/>
        <w:spacing w:line="240" w:lineRule="auto"/>
        <w:rPr>
          <w:rFonts w:ascii="Times New Roman" w:hAnsi="Times New Roman" w:cs="Times New Roman"/>
          <w:sz w:val="24"/>
          <w:szCs w:val="24"/>
        </w:rPr>
      </w:pPr>
    </w:p>
    <w:p w14:paraId="16DB6354" w14:textId="77777777" w:rsidR="002F4F67" w:rsidRDefault="002F4F67" w:rsidP="006635CC">
      <w:pPr>
        <w:spacing w:line="240" w:lineRule="auto"/>
        <w:rPr>
          <w:rFonts w:ascii="Times New Roman" w:hAnsi="Times New Roman" w:cs="Times New Roman"/>
          <w:sz w:val="24"/>
          <w:szCs w:val="24"/>
        </w:rPr>
      </w:pPr>
    </w:p>
    <w:sectPr w:rsidR="002F4F67" w:rsidSect="009E1A9B">
      <w:type w:val="continuous"/>
      <w:pgSz w:w="12240" w:h="15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erguson Ehimen" w:date="2025-07-14T13:54:00Z" w:initials="FE">
    <w:p w14:paraId="4A1AE229" w14:textId="77777777" w:rsidR="00F15201" w:rsidRDefault="00F15201" w:rsidP="00F15201">
      <w:pPr>
        <w:pStyle w:val="CommentText"/>
      </w:pPr>
      <w:r>
        <w:rPr>
          <w:rStyle w:val="CommentReference"/>
        </w:rPr>
        <w:annotationRef/>
      </w:r>
      <w:r>
        <w:t xml:space="preserve">This statement is hanging...please add a connector </w:t>
      </w:r>
    </w:p>
  </w:comment>
  <w:comment w:id="2" w:author="Ferguson Ehimen" w:date="2025-07-14T14:00:00Z" w:initials="FE">
    <w:p w14:paraId="7667B293" w14:textId="77777777" w:rsidR="00EB45F1" w:rsidRDefault="00EB45F1" w:rsidP="00EB45F1">
      <w:pPr>
        <w:pStyle w:val="CommentText"/>
      </w:pPr>
      <w:r>
        <w:rPr>
          <w:rStyle w:val="CommentReference"/>
        </w:rPr>
        <w:annotationRef/>
      </w:r>
      <w:r>
        <w:t>You sentences are not flowing, hence making reading difficult...learn to use English connectors and let one sentence connects with another...use of however, in view, nevertheless, based on the aforementioned etc</w:t>
      </w:r>
    </w:p>
  </w:comment>
  <w:comment w:id="3" w:author="Ferguson Ehimen" w:date="2025-07-14T14:06:00Z" w:initials="FE">
    <w:p w14:paraId="7D700767" w14:textId="77777777" w:rsidR="00FB1782" w:rsidRDefault="00FB1782" w:rsidP="00FB1782">
      <w:pPr>
        <w:pStyle w:val="CommentText"/>
      </w:pPr>
      <w:r>
        <w:rPr>
          <w:rStyle w:val="CommentReference"/>
        </w:rPr>
        <w:annotationRef/>
      </w:r>
      <w:r>
        <w:t xml:space="preserve">Please rephrase </w:t>
      </w:r>
    </w:p>
  </w:comment>
  <w:comment w:id="6" w:author="Ferguson Ehimen" w:date="2025-07-14T14:08:00Z" w:initials="FE">
    <w:p w14:paraId="20A79885" w14:textId="77777777" w:rsidR="003E3840" w:rsidRDefault="003E3840" w:rsidP="003E3840">
      <w:pPr>
        <w:pStyle w:val="CommentText"/>
      </w:pPr>
      <w:r>
        <w:rPr>
          <w:rStyle w:val="CommentReference"/>
        </w:rPr>
        <w:annotationRef/>
      </w:r>
      <w:r>
        <w:t>what message are you trying to convey</w:t>
      </w:r>
    </w:p>
  </w:comment>
  <w:comment w:id="58" w:author="Ferguson Ehimen" w:date="2025-07-14T14:13:00Z" w:initials="FE">
    <w:p w14:paraId="38352D3A" w14:textId="77777777" w:rsidR="00B036BC" w:rsidRDefault="00B036BC" w:rsidP="00B036BC">
      <w:pPr>
        <w:pStyle w:val="CommentText"/>
      </w:pPr>
      <w:r>
        <w:rPr>
          <w:rStyle w:val="CommentReference"/>
        </w:rPr>
        <w:annotationRef/>
      </w:r>
      <w:r>
        <w:t>The discussion section should not simply repeat the results. Instead of presenting exact figures again, use expressions such as “two-thirds,” “one-fifth,” or “more than half” to summarize the findings. Then, focus on comparing these findings with those of other studies.</w:t>
      </w:r>
      <w:r>
        <w:br/>
      </w:r>
      <w:r>
        <w:br/>
        <w:t>After each comparison, it’s important to discuss the public health significance of any differences observed, and offer possible explanations for why these differences exist. These key points are currently missing and should be included to strengthen your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1AE229" w15:done="0"/>
  <w15:commentEx w15:paraId="7667B293" w15:done="0"/>
  <w15:commentEx w15:paraId="7D700767" w15:done="0"/>
  <w15:commentEx w15:paraId="20A79885" w15:done="0"/>
  <w15:commentEx w15:paraId="38352D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6CE1D3" w16cex:dateUtc="2025-07-14T12:54:00Z"/>
  <w16cex:commentExtensible w16cex:durableId="5CDCF014" w16cex:dateUtc="2025-07-14T13:00:00Z"/>
  <w16cex:commentExtensible w16cex:durableId="101483AB" w16cex:dateUtc="2025-07-14T13:06:00Z"/>
  <w16cex:commentExtensible w16cex:durableId="626AC9FE" w16cex:dateUtc="2025-07-14T13:08:00Z"/>
  <w16cex:commentExtensible w16cex:durableId="32096F7A" w16cex:dateUtc="2025-07-14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1AE229" w16cid:durableId="716CE1D3"/>
  <w16cid:commentId w16cid:paraId="7667B293" w16cid:durableId="5CDCF014"/>
  <w16cid:commentId w16cid:paraId="7D700767" w16cid:durableId="101483AB"/>
  <w16cid:commentId w16cid:paraId="20A79885" w16cid:durableId="626AC9FE"/>
  <w16cid:commentId w16cid:paraId="38352D3A" w16cid:durableId="32096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D805B" w14:textId="77777777" w:rsidR="003A503F" w:rsidRDefault="003A503F">
      <w:pPr>
        <w:spacing w:line="240" w:lineRule="auto"/>
      </w:pPr>
      <w:r>
        <w:separator/>
      </w:r>
    </w:p>
  </w:endnote>
  <w:endnote w:type="continuationSeparator" w:id="0">
    <w:p w14:paraId="4644BD51" w14:textId="77777777" w:rsidR="003A503F" w:rsidRDefault="003A5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801C" w14:textId="77777777" w:rsidR="007C1781" w:rsidRDefault="007C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C5AE" w14:textId="77777777" w:rsidR="00DE5B58" w:rsidRDefault="00DE5B58">
    <w:pPr>
      <w:pStyle w:val="Footer"/>
      <w:jc w:val="center"/>
    </w:pPr>
    <w:r>
      <w:fldChar w:fldCharType="begin"/>
    </w:r>
    <w:r>
      <w:instrText xml:space="preserve"> PAGE   \* MERGEFORMAT </w:instrText>
    </w:r>
    <w:r>
      <w:fldChar w:fldCharType="separate"/>
    </w:r>
    <w:r w:rsidR="009E1A9B">
      <w:rPr>
        <w:noProof/>
      </w:rPr>
      <w:t>7</w:t>
    </w:r>
    <w:r>
      <w:fldChar w:fldCharType="end"/>
    </w:r>
  </w:p>
  <w:p w14:paraId="6B976F23" w14:textId="77777777" w:rsidR="00DE5B58" w:rsidRDefault="00DE5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71C6" w14:textId="77777777" w:rsidR="007C1781" w:rsidRDefault="007C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159D6" w14:textId="77777777" w:rsidR="003A503F" w:rsidRDefault="003A503F">
      <w:pPr>
        <w:spacing w:after="0"/>
      </w:pPr>
      <w:r>
        <w:separator/>
      </w:r>
    </w:p>
  </w:footnote>
  <w:footnote w:type="continuationSeparator" w:id="0">
    <w:p w14:paraId="6307D28C" w14:textId="77777777" w:rsidR="003A503F" w:rsidRDefault="003A50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BD3D" w14:textId="77777777" w:rsidR="007C1781" w:rsidRDefault="00FD11A5">
    <w:pPr>
      <w:pStyle w:val="Header"/>
    </w:pPr>
    <w:r>
      <w:rPr>
        <w:noProof/>
      </w:rPr>
    </w:r>
    <w:r w:rsidR="00FD11A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92454" o:spid="_x0000_s1026" type="#_x0000_t136" style="position:absolute;margin-left:0;margin-top:0;width:326.95pt;height:61.3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F8F0" w14:textId="77777777" w:rsidR="007C1781" w:rsidRDefault="00FD11A5">
    <w:pPr>
      <w:pStyle w:val="Header"/>
    </w:pPr>
    <w:r>
      <w:rPr>
        <w:noProof/>
      </w:rPr>
    </w:r>
    <w:r w:rsidR="00FD11A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92455" o:spid="_x0000_s1027" type="#_x0000_t136" style="position:absolute;margin-left:0;margin-top:0;width:326.95pt;height:61.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CDEA" w14:textId="77777777" w:rsidR="007C1781" w:rsidRDefault="00FD11A5">
    <w:pPr>
      <w:pStyle w:val="Header"/>
    </w:pPr>
    <w:r>
      <w:rPr>
        <w:noProof/>
      </w:rPr>
    </w:r>
    <w:r w:rsidR="00FD11A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92453" o:spid="_x0000_s1025" type="#_x0000_t136" style="position:absolute;margin-left:0;margin-top:0;width:326.95pt;height:61.3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0000012"/>
    <w:multiLevelType w:val="multilevel"/>
    <w:tmpl w:val="000000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1D"/>
    <w:multiLevelType w:val="multilevel"/>
    <w:tmpl w:val="0000001D"/>
    <w:lvl w:ilvl="0">
      <w:start w:val="1"/>
      <w:numFmt w:val="decimal"/>
      <w:lvlText w:val="%1."/>
      <w:lvlJc w:val="left"/>
      <w:pPr>
        <w:ind w:left="360" w:hanging="360"/>
      </w:pPr>
    </w:lvl>
    <w:lvl w:ilvl="1">
      <w:start w:val="3"/>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 w15:restartNumberingAfterBreak="0">
    <w:nsid w:val="00000021"/>
    <w:multiLevelType w:val="multilevel"/>
    <w:tmpl w:val="00000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3"/>
    <w:multiLevelType w:val="multilevel"/>
    <w:tmpl w:val="00000023"/>
    <w:lvl w:ilvl="0">
      <w:start w:val="1"/>
      <w:numFmt w:val="decimal"/>
      <w:lvlText w:val="%1."/>
      <w:lvlJc w:val="left"/>
      <w:pPr>
        <w:ind w:left="720" w:hanging="360"/>
      </w:pPr>
      <w:rPr>
        <w:rFonts w:ascii="Calibri" w:eastAsia="Calibri" w:hAnsi="Calibri" w:cs="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4F2DBE"/>
    <w:multiLevelType w:val="multilevel"/>
    <w:tmpl w:val="0C4ACE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7638445">
    <w:abstractNumId w:val="0"/>
  </w:num>
  <w:num w:numId="2" w16cid:durableId="1862402365">
    <w:abstractNumId w:val="2"/>
  </w:num>
  <w:num w:numId="3" w16cid:durableId="712576566">
    <w:abstractNumId w:val="3"/>
  </w:num>
  <w:num w:numId="4" w16cid:durableId="983435654">
    <w:abstractNumId w:val="1"/>
  </w:num>
  <w:num w:numId="5" w16cid:durableId="403527036">
    <w:abstractNumId w:val="4"/>
  </w:num>
  <w:num w:numId="6" w16cid:durableId="9413012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guson Ehimen">
    <w15:presenceInfo w15:providerId="Windows Live" w15:userId="034be0304280b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hdrShapeDefaults>
    <o:shapedefaults v:ext="edit" spidmax="2052" fillcolor="white">
      <v:fill color="white"/>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5A"/>
    <w:rsid w:val="00004FBC"/>
    <w:rsid w:val="0005099F"/>
    <w:rsid w:val="00063F84"/>
    <w:rsid w:val="00077F79"/>
    <w:rsid w:val="000A6AAA"/>
    <w:rsid w:val="00115AC0"/>
    <w:rsid w:val="00132ED8"/>
    <w:rsid w:val="0014719C"/>
    <w:rsid w:val="00164B83"/>
    <w:rsid w:val="00213698"/>
    <w:rsid w:val="00217DD1"/>
    <w:rsid w:val="002E17D2"/>
    <w:rsid w:val="002F4F67"/>
    <w:rsid w:val="0037493D"/>
    <w:rsid w:val="003A503F"/>
    <w:rsid w:val="003C4DEE"/>
    <w:rsid w:val="003E3840"/>
    <w:rsid w:val="00436A75"/>
    <w:rsid w:val="004C240E"/>
    <w:rsid w:val="00556534"/>
    <w:rsid w:val="005B6920"/>
    <w:rsid w:val="005C6BBF"/>
    <w:rsid w:val="005D455A"/>
    <w:rsid w:val="005E5E01"/>
    <w:rsid w:val="006224C1"/>
    <w:rsid w:val="006368BF"/>
    <w:rsid w:val="00640BC8"/>
    <w:rsid w:val="00654331"/>
    <w:rsid w:val="006635CC"/>
    <w:rsid w:val="007431AB"/>
    <w:rsid w:val="007668C6"/>
    <w:rsid w:val="007A41A9"/>
    <w:rsid w:val="007B6E63"/>
    <w:rsid w:val="007C1781"/>
    <w:rsid w:val="007F5632"/>
    <w:rsid w:val="008A599E"/>
    <w:rsid w:val="009542EB"/>
    <w:rsid w:val="00977FB9"/>
    <w:rsid w:val="0098736F"/>
    <w:rsid w:val="00996B11"/>
    <w:rsid w:val="009C7D45"/>
    <w:rsid w:val="009E1A9B"/>
    <w:rsid w:val="009F206C"/>
    <w:rsid w:val="009F5662"/>
    <w:rsid w:val="00A01C8C"/>
    <w:rsid w:val="00A44115"/>
    <w:rsid w:val="00A53B75"/>
    <w:rsid w:val="00A61743"/>
    <w:rsid w:val="00AD6688"/>
    <w:rsid w:val="00AD79C1"/>
    <w:rsid w:val="00AD7C55"/>
    <w:rsid w:val="00B036BC"/>
    <w:rsid w:val="00B075D3"/>
    <w:rsid w:val="00B74451"/>
    <w:rsid w:val="00C10CB5"/>
    <w:rsid w:val="00C15A1F"/>
    <w:rsid w:val="00C6604B"/>
    <w:rsid w:val="00C8176C"/>
    <w:rsid w:val="00C86D91"/>
    <w:rsid w:val="00CD093E"/>
    <w:rsid w:val="00D40D06"/>
    <w:rsid w:val="00D93574"/>
    <w:rsid w:val="00DA0003"/>
    <w:rsid w:val="00DE5B58"/>
    <w:rsid w:val="00E15D01"/>
    <w:rsid w:val="00E35CA9"/>
    <w:rsid w:val="00E55145"/>
    <w:rsid w:val="00EA44BC"/>
    <w:rsid w:val="00EB45F1"/>
    <w:rsid w:val="00EC3014"/>
    <w:rsid w:val="00F15201"/>
    <w:rsid w:val="00F3051B"/>
    <w:rsid w:val="00FB1782"/>
    <w:rsid w:val="00FD11A5"/>
    <w:rsid w:val="5BAB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09F2A5C"/>
  <w15:docId w15:val="{9E59FFEF-AF72-4529-BAE4-0BB4A2FC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pPr>
      <w:spacing w:after="160" w:line="259" w:lineRule="auto"/>
    </w:pPr>
    <w:rPr>
      <w:rFonts w:ascii="Calibri" w:eastAsia="Calibri" w:hAnsi="Calibri" w:cs="SimSun"/>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200" w:line="240" w:lineRule="auto"/>
    </w:pPr>
    <w:rPr>
      <w:rFonts w:ascii="Times New Roman" w:hAnsi="Times New Roman" w:cs="Times New Roman"/>
      <w:b/>
      <w:iCs/>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pPr>
      <w:tabs>
        <w:tab w:val="center" w:pos="4680"/>
        <w:tab w:val="right" w:pos="9360"/>
      </w:tabs>
      <w:spacing w:after="0" w:line="240" w:lineRule="auto"/>
    </w:pPr>
  </w:style>
  <w:style w:type="table" w:styleId="TableGrid">
    <w:name w:val="Table Grid"/>
    <w:basedOn w:val="TableNormal"/>
    <w:uiPriority w:val="59"/>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Pr>
      <w:rFonts w:ascii="Calibri" w:eastAsia="Calibri" w:hAnsi="Calibri" w:cs="SimSun"/>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EndnoteTextChar">
    <w:name w:val="Endnote Text Char"/>
    <w:basedOn w:val="DefaultParagraphFont"/>
    <w:link w:val="EndnoteText"/>
    <w:uiPriority w:val="99"/>
    <w:semiHidden/>
    <w:rPr>
      <w:rFonts w:ascii="Calibri" w:eastAsia="Calibri" w:hAnsi="Calibri" w:cs="SimSun"/>
      <w:sz w:val="20"/>
      <w:szCs w:val="20"/>
    </w:rPr>
  </w:style>
  <w:style w:type="paragraph" w:customStyle="1" w:styleId="Bibliography1">
    <w:name w:val="Bibliography1"/>
    <w:basedOn w:val="Normal"/>
    <w:next w:val="Normal"/>
    <w:uiPriority w:val="37"/>
    <w:unhideWhenUsed/>
    <w:pPr>
      <w:tabs>
        <w:tab w:val="left" w:pos="384"/>
      </w:tabs>
      <w:spacing w:after="240" w:line="240" w:lineRule="auto"/>
      <w:ind w:left="384" w:hanging="384"/>
    </w:pPr>
  </w:style>
  <w:style w:type="character" w:styleId="Hyperlink">
    <w:name w:val="Hyperlink"/>
    <w:basedOn w:val="DefaultParagraphFont"/>
    <w:uiPriority w:val="99"/>
    <w:unhideWhenUsed/>
    <w:rsid w:val="00A01C8C"/>
    <w:rPr>
      <w:color w:val="0563C1" w:themeColor="hyperlink"/>
      <w:u w:val="single"/>
    </w:rPr>
  </w:style>
  <w:style w:type="character" w:styleId="UnresolvedMention">
    <w:name w:val="Unresolved Mention"/>
    <w:basedOn w:val="DefaultParagraphFont"/>
    <w:uiPriority w:val="99"/>
    <w:semiHidden/>
    <w:unhideWhenUsed/>
    <w:rsid w:val="00A01C8C"/>
    <w:rPr>
      <w:color w:val="605E5C"/>
      <w:shd w:val="clear" w:color="auto" w:fill="E1DFDD"/>
    </w:rPr>
  </w:style>
  <w:style w:type="paragraph" w:styleId="Header">
    <w:name w:val="header"/>
    <w:basedOn w:val="Normal"/>
    <w:link w:val="HeaderChar"/>
    <w:uiPriority w:val="99"/>
    <w:unhideWhenUsed/>
    <w:rsid w:val="007C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781"/>
    <w:rPr>
      <w:rFonts w:ascii="Calibri" w:eastAsia="Calibri" w:hAnsi="Calibri" w:cs="SimSun"/>
      <w:sz w:val="22"/>
      <w:szCs w:val="22"/>
    </w:rPr>
  </w:style>
  <w:style w:type="character" w:styleId="CommentReference">
    <w:name w:val="annotation reference"/>
    <w:basedOn w:val="DefaultParagraphFont"/>
    <w:uiPriority w:val="99"/>
    <w:semiHidden/>
    <w:unhideWhenUsed/>
    <w:rsid w:val="00F15201"/>
    <w:rPr>
      <w:sz w:val="16"/>
      <w:szCs w:val="16"/>
    </w:rPr>
  </w:style>
  <w:style w:type="paragraph" w:styleId="CommentText">
    <w:name w:val="annotation text"/>
    <w:basedOn w:val="Normal"/>
    <w:link w:val="CommentTextChar"/>
    <w:uiPriority w:val="99"/>
    <w:unhideWhenUsed/>
    <w:rsid w:val="00F15201"/>
    <w:pPr>
      <w:spacing w:line="240" w:lineRule="auto"/>
    </w:pPr>
    <w:rPr>
      <w:sz w:val="20"/>
      <w:szCs w:val="20"/>
    </w:rPr>
  </w:style>
  <w:style w:type="character" w:customStyle="1" w:styleId="CommentTextChar">
    <w:name w:val="Comment Text Char"/>
    <w:basedOn w:val="DefaultParagraphFont"/>
    <w:link w:val="CommentText"/>
    <w:uiPriority w:val="99"/>
    <w:rsid w:val="00F15201"/>
    <w:rPr>
      <w:rFonts w:ascii="Calibri" w:eastAsia="Calibri" w:hAnsi="Calibri" w:cs="SimSun"/>
    </w:rPr>
  </w:style>
  <w:style w:type="paragraph" w:styleId="CommentSubject">
    <w:name w:val="annotation subject"/>
    <w:basedOn w:val="CommentText"/>
    <w:next w:val="CommentText"/>
    <w:link w:val="CommentSubjectChar"/>
    <w:uiPriority w:val="99"/>
    <w:semiHidden/>
    <w:unhideWhenUsed/>
    <w:rsid w:val="00F15201"/>
    <w:rPr>
      <w:b/>
      <w:bCs/>
    </w:rPr>
  </w:style>
  <w:style w:type="character" w:customStyle="1" w:styleId="CommentSubjectChar">
    <w:name w:val="Comment Subject Char"/>
    <w:basedOn w:val="CommentTextChar"/>
    <w:link w:val="CommentSubject"/>
    <w:uiPriority w:val="99"/>
    <w:semiHidden/>
    <w:rsid w:val="00F15201"/>
    <w:rPr>
      <w:rFonts w:ascii="Calibri" w:eastAsia="Calibri" w:hAnsi="Calibri" w:cs="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18" Type="http://schemas.openxmlformats.org/officeDocument/2006/relationships/footer" Target="footer3.xml" /><Relationship Id="rId26" Type="http://schemas.openxmlformats.org/officeDocument/2006/relationships/chart" Target="charts/chart8.xml" /><Relationship Id="rId3" Type="http://schemas.openxmlformats.org/officeDocument/2006/relationships/numbering" Target="numbering.xml" /><Relationship Id="rId21" Type="http://schemas.openxmlformats.org/officeDocument/2006/relationships/chart" Target="charts/chart3.xml" /><Relationship Id="rId7" Type="http://schemas.openxmlformats.org/officeDocument/2006/relationships/footnotes" Target="footnotes.xml" /><Relationship Id="rId12" Type="http://schemas.microsoft.com/office/2018/08/relationships/commentsExtensible" Target="commentsExtensible.xml" /><Relationship Id="rId17" Type="http://schemas.openxmlformats.org/officeDocument/2006/relationships/header" Target="header3.xml" /><Relationship Id="rId25" Type="http://schemas.openxmlformats.org/officeDocument/2006/relationships/chart" Target="charts/chart7.xml" /><Relationship Id="rId2" Type="http://schemas.openxmlformats.org/officeDocument/2006/relationships/customXml" Target="../customXml/item2.xml" /><Relationship Id="rId16" Type="http://schemas.openxmlformats.org/officeDocument/2006/relationships/footer" Target="footer2.xml" /><Relationship Id="rId20" Type="http://schemas.openxmlformats.org/officeDocument/2006/relationships/chart" Target="charts/chart2.xm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microsoft.com/office/2016/09/relationships/commentsIds" Target="commentsIds.xml" /><Relationship Id="rId24" Type="http://schemas.openxmlformats.org/officeDocument/2006/relationships/chart" Target="charts/chart6.xml" /><Relationship Id="rId5" Type="http://schemas.openxmlformats.org/officeDocument/2006/relationships/settings" Target="settings.xml" /><Relationship Id="rId15" Type="http://schemas.openxmlformats.org/officeDocument/2006/relationships/footer" Target="footer1.xml" /><Relationship Id="rId23" Type="http://schemas.openxmlformats.org/officeDocument/2006/relationships/chart" Target="charts/chart5.xml" /><Relationship Id="rId28" Type="http://schemas.microsoft.com/office/2011/relationships/people" Target="people.xml" /><Relationship Id="rId10" Type="http://schemas.microsoft.com/office/2011/relationships/commentsExtended" Target="commentsExtended.xml" /><Relationship Id="rId19" Type="http://schemas.openxmlformats.org/officeDocument/2006/relationships/chart" Target="charts/chart1.xml" /><Relationship Id="rId4" Type="http://schemas.openxmlformats.org/officeDocument/2006/relationships/styles" Target="styles.xml" /><Relationship Id="rId9" Type="http://schemas.openxmlformats.org/officeDocument/2006/relationships/comments" Target="comments.xml" /><Relationship Id="rId14" Type="http://schemas.openxmlformats.org/officeDocument/2006/relationships/header" Target="header2.xml" /><Relationship Id="rId22" Type="http://schemas.openxmlformats.org/officeDocument/2006/relationships/chart" Target="charts/chart4.xml" /><Relationship Id="rId27" Type="http://schemas.openxmlformats.org/officeDocument/2006/relationships/fontTable" Target="fontTable.xml"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 /><Relationship Id="rId2" Type="http://schemas.microsoft.com/office/2011/relationships/chartColorStyle" Target="colors6.xml" /><Relationship Id="rId1" Type="http://schemas.microsoft.com/office/2011/relationships/chartStyle" Target="style6.xml" /></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 /><Relationship Id="rId2" Type="http://schemas.microsoft.com/office/2011/relationships/chartColorStyle" Target="colors7.xml" /><Relationship Id="rId1" Type="http://schemas.microsoft.com/office/2011/relationships/chartStyle" Target="style7.xml" /></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 /><Relationship Id="rId2" Type="http://schemas.microsoft.com/office/2011/relationships/chartColorStyle" Target="colors8.xml" /><Relationship Id="rId1" Type="http://schemas.microsoft.com/office/2011/relationships/chartStyle" Target="style8.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FE-4CE2-8E20-021C5C3F49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FE-4CE2-8E20-021C5C3F4964}"/>
              </c:ext>
            </c:extLst>
          </c:dPt>
          <c:dLbls>
            <c:dLbl>
              <c:idx val="0"/>
              <c:tx>
                <c:rich>
                  <a:bodyPr/>
                  <a:lstStyle/>
                  <a:p>
                    <a:fld id="{0F8E190D-1EA0-445D-9786-9F52F41F4439}"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FE-4CE2-8E20-021C5C3F4964}"/>
                </c:ext>
              </c:extLst>
            </c:dLbl>
            <c:dLbl>
              <c:idx val="1"/>
              <c:layout>
                <c:manualLayout>
                  <c:x val="2.5113918051910201E-2"/>
                  <c:y val="-0.262488984905768"/>
                </c:manualLayout>
              </c:layout>
              <c:tx>
                <c:rich>
                  <a:bodyPr/>
                  <a:lstStyle/>
                  <a:p>
                    <a:fld id="{4D226632-131A-4954-9A84-8831DE65EEDE}"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FE-4CE2-8E20-021C5C3F4964}"/>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9.6</c:v>
                </c:pt>
                <c:pt idx="1">
                  <c:v>90.4</c:v>
                </c:pt>
              </c:numCache>
            </c:numRef>
          </c:val>
          <c:extLst>
            <c:ext xmlns:c16="http://schemas.microsoft.com/office/drawing/2014/chart" uri="{C3380CC4-5D6E-409C-BE32-E72D297353CC}">
              <c16:uniqueId val="{00000004-B2FE-4CE2-8E20-021C5C3F4964}"/>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1ca6b85-11b2-4940-8f78-09340c42ce44}"/>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type of infection</c:v>
                </c:pt>
              </c:strCache>
            </c:strRef>
          </c:tx>
          <c:spPr>
            <a:solidFill>
              <a:schemeClr val="accent1"/>
            </a:solidFill>
            <a:ln>
              <a:noFill/>
            </a:ln>
            <a:effectLst/>
          </c:spPr>
          <c:invertIfNegative val="0"/>
          <c:dLbls>
            <c:dLbl>
              <c:idx val="0"/>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09D-40E2-A2A2-C6510F7AA8A6}"/>
                </c:ext>
              </c:extLst>
            </c:dLbl>
            <c:dLbl>
              <c:idx val="1"/>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09D-40E2-A2A2-C6510F7AA8A6}"/>
                </c:ext>
              </c:extLst>
            </c:dLbl>
            <c:dLbl>
              <c:idx val="2"/>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09D-40E2-A2A2-C6510F7AA8A6}"/>
                </c:ext>
              </c:extLst>
            </c:dLbl>
            <c:dLbl>
              <c:idx val="3"/>
              <c:tx>
                <c:rich>
                  <a:bodyPr/>
                  <a:lstStyle/>
                  <a:p>
                    <a:r>
                      <a:rPr lang="en-US"/>
                      <a:t>56%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09D-40E2-A2A2-C6510F7AA8A6}"/>
                </c:ext>
              </c:extLst>
            </c:dLbl>
            <c:spPr>
              <a:noFill/>
              <a:ln>
                <a:noFill/>
              </a:ln>
              <a:effectLst/>
            </c:spPr>
            <c:txPr>
              <a:bodyPr rot="0" spcFirstLastPara="1" vertOverflow="ellipsis" vert="horz" wrap="square" lIns="38100" tIns="19050" rIns="38100" bIns="19050" anchor="ctr" anchorCtr="1">
                <a:spAutoFit/>
              </a:bodyPr>
              <a:lstStyle/>
              <a:p>
                <a:pPr>
                  <a:defRPr lang="en-US"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Tuberculosis</c:v>
                </c:pt>
                <c:pt idx="1">
                  <c:v>Skin rashes</c:v>
                </c:pt>
                <c:pt idx="2">
                  <c:v>Hepatitis </c:v>
                </c:pt>
                <c:pt idx="3">
                  <c:v>Others</c:v>
                </c:pt>
              </c:strCache>
            </c:strRef>
          </c:cat>
          <c:val>
            <c:numRef>
              <c:f>Sheet1!$B$2:$B$5</c:f>
              <c:numCache>
                <c:formatCode>General</c:formatCode>
                <c:ptCount val="4"/>
                <c:pt idx="0">
                  <c:v>2</c:v>
                </c:pt>
                <c:pt idx="1">
                  <c:v>7</c:v>
                </c:pt>
                <c:pt idx="2">
                  <c:v>2</c:v>
                </c:pt>
                <c:pt idx="3">
                  <c:v>14</c:v>
                </c:pt>
              </c:numCache>
            </c:numRef>
          </c:val>
          <c:extLst>
            <c:ext xmlns:c16="http://schemas.microsoft.com/office/drawing/2014/chart" uri="{C3380CC4-5D6E-409C-BE32-E72D297353CC}">
              <c16:uniqueId val="{00000004-909D-40E2-A2A2-C6510F7AA8A6}"/>
            </c:ext>
          </c:extLst>
        </c:ser>
        <c:dLbls>
          <c:showLegendKey val="0"/>
          <c:showVal val="0"/>
          <c:showCatName val="0"/>
          <c:showSerName val="0"/>
          <c:showPercent val="0"/>
          <c:showBubbleSize val="0"/>
        </c:dLbls>
        <c:gapWidth val="219"/>
        <c:overlap val="-27"/>
        <c:axId val="-1926211024"/>
        <c:axId val="-1926209936"/>
      </c:barChart>
      <c:catAx>
        <c:axId val="-192621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6209936"/>
        <c:crosses val="autoZero"/>
        <c:auto val="1"/>
        <c:lblAlgn val="ctr"/>
        <c:lblOffset val="100"/>
        <c:noMultiLvlLbl val="0"/>
      </c:catAx>
      <c:valAx>
        <c:axId val="-1926209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621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77fa2878-ca63-4170-bc8e-edd319da1c6c}"/>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3D-4806-80EF-429F0AA109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3D-4806-80EF-429F0AA10968}"/>
              </c:ext>
            </c:extLst>
          </c:dPt>
          <c:dLbls>
            <c:dLbl>
              <c:idx val="0"/>
              <c:tx>
                <c:rich>
                  <a:bodyPr/>
                  <a:lstStyle/>
                  <a:p>
                    <a:fld id="{97BD3B08-C50A-45B0-90A7-A799FA56CAC5}"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53D-4806-80EF-429F0AA10968}"/>
                </c:ext>
              </c:extLst>
            </c:dLbl>
            <c:dLbl>
              <c:idx val="1"/>
              <c:tx>
                <c:rich>
                  <a:bodyPr/>
                  <a:lstStyle/>
                  <a:p>
                    <a:fld id="{62150017-B881-4FF1-A54E-993B091D99B8}"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3D-4806-80EF-429F0AA10968}"/>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16</c:v>
                </c:pt>
                <c:pt idx="1">
                  <c:v>84</c:v>
                </c:pt>
              </c:numCache>
            </c:numRef>
          </c:val>
          <c:extLst>
            <c:ext xmlns:c16="http://schemas.microsoft.com/office/drawing/2014/chart" uri="{C3380CC4-5D6E-409C-BE32-E72D297353CC}">
              <c16:uniqueId val="{00000004-D53D-4806-80EF-429F0AA10968}"/>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110e16d-c6b2-420a-83ec-97784bd65fd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05-48DE-9D73-1C5F12164B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05-48DE-9D73-1C5F12164BFF}"/>
              </c:ext>
            </c:extLst>
          </c:dPt>
          <c:dLbls>
            <c:dLbl>
              <c:idx val="0"/>
              <c:tx>
                <c:rich>
                  <a:bodyPr/>
                  <a:lstStyle/>
                  <a:p>
                    <a:fld id="{B86C6EA5-5DE9-4B54-A815-E701B74ECCDB}"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305-48DE-9D73-1C5F12164BFF}"/>
                </c:ext>
              </c:extLst>
            </c:dLbl>
            <c:dLbl>
              <c:idx val="1"/>
              <c:tx>
                <c:rich>
                  <a:bodyPr/>
                  <a:lstStyle/>
                  <a:p>
                    <a:fld id="{355D912B-980A-4E16-A247-DE5A9EC81BD4}"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305-48DE-9D73-1C5F12164BFF}"/>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Self-medication</c:v>
                </c:pt>
                <c:pt idx="1">
                  <c:v>Medical attention</c:v>
                </c:pt>
              </c:strCache>
            </c:strRef>
          </c:cat>
          <c:val>
            <c:numRef>
              <c:f>Sheet1!$B$2:$B$3</c:f>
              <c:numCache>
                <c:formatCode>0.00%</c:formatCode>
                <c:ptCount val="2"/>
                <c:pt idx="0">
                  <c:v>0.20799999999999999</c:v>
                </c:pt>
                <c:pt idx="1">
                  <c:v>5.3999999999999999E-2</c:v>
                </c:pt>
              </c:numCache>
            </c:numRef>
          </c:val>
          <c:extLst>
            <c:ext xmlns:c16="http://schemas.microsoft.com/office/drawing/2014/chart" uri="{C3380CC4-5D6E-409C-BE32-E72D297353CC}">
              <c16:uniqueId val="{00000004-8305-48DE-9D73-1C5F12164BF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4484fc75-4715-4949-9290-6f40fe995361}"/>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4B-4638-8AC1-F96386D4FF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4B-4638-8AC1-F96386D4FF0D}"/>
              </c:ext>
            </c:extLst>
          </c:dPt>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0.75700000000000001</c:v>
                </c:pt>
                <c:pt idx="1">
                  <c:v>0.24299999999999999</c:v>
                </c:pt>
              </c:numCache>
            </c:numRef>
          </c:val>
          <c:extLst>
            <c:ext xmlns:c16="http://schemas.microsoft.com/office/drawing/2014/chart" uri="{C3380CC4-5D6E-409C-BE32-E72D297353CC}">
              <c16:uniqueId val="{00000004-144B-4638-8AC1-F96386D4FF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7df790bd-41ff-44bf-b7da-bc050ba2f918}"/>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Type of injury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Needle prick</c:v>
                </c:pt>
                <c:pt idx="1">
                  <c:v>Back pain</c:v>
                </c:pt>
                <c:pt idx="2">
                  <c:v>Leg pain</c:v>
                </c:pt>
                <c:pt idx="3">
                  <c:v>Others</c:v>
                </c:pt>
              </c:strCache>
            </c:strRef>
          </c:cat>
          <c:val>
            <c:numRef>
              <c:f>Sheet1!$B$2:$B$5</c:f>
              <c:numCache>
                <c:formatCode>General</c:formatCode>
                <c:ptCount val="4"/>
                <c:pt idx="0">
                  <c:v>5.8</c:v>
                </c:pt>
                <c:pt idx="1">
                  <c:v>12.7</c:v>
                </c:pt>
                <c:pt idx="2">
                  <c:v>19.3</c:v>
                </c:pt>
                <c:pt idx="3">
                  <c:v>40.200000000000003</c:v>
                </c:pt>
              </c:numCache>
            </c:numRef>
          </c:val>
          <c:extLst>
            <c:ext xmlns:c16="http://schemas.microsoft.com/office/drawing/2014/chart" uri="{C3380CC4-5D6E-409C-BE32-E72D297353CC}">
              <c16:uniqueId val="{00000000-669A-432F-AF81-B57020FD4C5E}"/>
            </c:ext>
          </c:extLst>
        </c:ser>
        <c:dLbls>
          <c:showLegendKey val="0"/>
          <c:showVal val="0"/>
          <c:showCatName val="0"/>
          <c:showSerName val="0"/>
          <c:showPercent val="0"/>
          <c:showBubbleSize val="0"/>
        </c:dLbls>
        <c:gapWidth val="219"/>
        <c:overlap val="-27"/>
        <c:axId val="-1920521792"/>
        <c:axId val="-1920524512"/>
      </c:barChart>
      <c:catAx>
        <c:axId val="-192052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920524512"/>
        <c:crosses val="autoZero"/>
        <c:auto val="1"/>
        <c:lblAlgn val="ctr"/>
        <c:lblOffset val="100"/>
        <c:noMultiLvlLbl val="0"/>
      </c:catAx>
      <c:valAx>
        <c:axId val="-1920524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052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86ed978a-ba8d-4edb-b35c-a9ce03666b6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6E-4C9B-AF2C-FBB9AE1E3E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6E-4C9B-AF2C-FBB9AE1E3EF3}"/>
              </c:ext>
            </c:extLst>
          </c:dPt>
          <c:dLbls>
            <c:dLbl>
              <c:idx val="0"/>
              <c:tx>
                <c:rich>
                  <a:bodyPr/>
                  <a:lstStyle/>
                  <a:p>
                    <a:fld id="{68EA244C-5EA4-4540-AE9F-815C427A13BB}"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F6E-4C9B-AF2C-FBB9AE1E3EF3}"/>
                </c:ext>
              </c:extLst>
            </c:dLbl>
            <c:dLbl>
              <c:idx val="1"/>
              <c:tx>
                <c:rich>
                  <a:bodyPr/>
                  <a:lstStyle/>
                  <a:p>
                    <a:r>
                      <a:rPr lang="en-US"/>
                      <a:t>73.1%</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F6E-4C9B-AF2C-FBB9AE1E3EF3}"/>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26.9</c:v>
                </c:pt>
                <c:pt idx="1">
                  <c:v>73.099999999999994</c:v>
                </c:pt>
              </c:numCache>
            </c:numRef>
          </c:val>
          <c:extLst>
            <c:ext xmlns:c16="http://schemas.microsoft.com/office/drawing/2014/chart" uri="{C3380CC4-5D6E-409C-BE32-E72D297353CC}">
              <c16:uniqueId val="{00000004-CF6E-4C9B-AF2C-FBB9AE1E3E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ada24e3b-2074-46b0-bf08-29479fb576a4}"/>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4A-40DB-BD24-DA9B0CDC4C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4A-40DB-BD24-DA9B0CDC4C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4A-40DB-BD24-DA9B0CDC4C38}"/>
              </c:ext>
            </c:extLst>
          </c:dPt>
          <c:dLbls>
            <c:dLbl>
              <c:idx val="0"/>
              <c:tx>
                <c:rich>
                  <a:bodyPr/>
                  <a:lstStyle/>
                  <a:p>
                    <a:fld id="{4CBFBCA2-D1DF-44AD-8B01-BEC8F8DC4900}"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74A-40DB-BD24-DA9B0CDC4C38}"/>
                </c:ext>
              </c:extLst>
            </c:dLbl>
            <c:dLbl>
              <c:idx val="1"/>
              <c:tx>
                <c:rich>
                  <a:bodyPr/>
                  <a:lstStyle/>
                  <a:p>
                    <a:fld id="{1F981A0F-1CBC-4FF7-A839-25B1E5AB64A4}"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74A-40DB-BD24-DA9B0CDC4C38}"/>
                </c:ext>
              </c:extLst>
            </c:dLbl>
            <c:dLbl>
              <c:idx val="2"/>
              <c:tx>
                <c:rich>
                  <a:bodyPr/>
                  <a:lstStyle/>
                  <a:p>
                    <a:fld id="{7DD2B119-16AE-4713-B8AC-DB709B9A990D}" type="VALUE">
                      <a:rPr lang="en-US"/>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74A-40DB-BD24-DA9B0CDC4C38}"/>
                </c:ext>
              </c:extLst>
            </c:dLbl>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c:v>
                </c:pt>
                <c:pt idx="2">
                  <c:v>Don’t know</c:v>
                </c:pt>
              </c:strCache>
            </c:strRef>
          </c:cat>
          <c:val>
            <c:numRef>
              <c:f>Sheet1!$B$2:$B$4</c:f>
              <c:numCache>
                <c:formatCode>General</c:formatCode>
                <c:ptCount val="3"/>
                <c:pt idx="0">
                  <c:v>92.3</c:v>
                </c:pt>
                <c:pt idx="1">
                  <c:v>9</c:v>
                </c:pt>
                <c:pt idx="2">
                  <c:v>11</c:v>
                </c:pt>
              </c:numCache>
            </c:numRef>
          </c:val>
          <c:extLst>
            <c:ext xmlns:c16="http://schemas.microsoft.com/office/drawing/2014/chart" uri="{C3380CC4-5D6E-409C-BE32-E72D297353CC}">
              <c16:uniqueId val="{00000006-374A-40DB-BD24-DA9B0CDC4C3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e82850e6-a3d3-48de-a443-cf53316f3945}"/>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4414136-78FD-4575-9439-9D0B391024F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9497</Words>
  <Characters>409497</Characters>
  <Application>Microsoft Office Word</Application>
  <DocSecurity>0</DocSecurity>
  <Lines>3412</Lines>
  <Paragraphs>836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4. Albert Opoku, Nursing and Midwifery Trai</vt:lpstr>
      <vt:lpstr/>
      <vt:lpstr>CHAPTER ONE</vt:lpstr>
      <vt:lpstr>INTRODUCTION</vt:lpstr>
      <vt:lpstr>1.1 Background of the Study</vt:lpstr>
    </vt:vector>
  </TitlesOfParts>
  <Company>HP</Company>
  <LinksUpToDate>false</LinksUpToDate>
  <CharactersWithSpaces>418158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Ferguson Ehimen</cp:lastModifiedBy>
  <cp:revision>2</cp:revision>
  <dcterms:created xsi:type="dcterms:W3CDTF">2025-07-14T13:14:00Z</dcterms:created>
  <dcterms:modified xsi:type="dcterms:W3CDTF">2025-07-14T13:14:00Z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80ee9a54-821e-4da0-b97c-e5e74bde9e54</vt:lpwstr>
  </property>
  <property fmtid="{D5CDD505-2E9C-101B-9397-08002B2CF9AE}" pid="3" name="ZOTERO_PREF_1">
    <vt:lpwstr>&lt;data data-version="3" zotero-version="6.0.36"&gt;&lt;session id="vN2fituk"/&gt;&lt;style id="http://www.zotero.org/styles/vancouver" locale="en-US" hasBibliography="1" bibliographyStyleHasBeenSet="1"/&gt;&lt;prefs&gt;&lt;pref name="fieldType" value="Field"/&gt;&lt;/prefs&gt;&lt;/data&gt;</vt:lpwstr>
  </property>
  <property fmtid="{D5CDD505-2E9C-101B-9397-08002B2CF9AE}" pid="4" name="KSOProductBuildVer">
    <vt:lpwstr>1033-12.2.0.21931</vt:lpwstr>
  </property>
  <property fmtid="{D5CDD505-2E9C-101B-9397-08002B2CF9AE}" pid="5" name="ICV">
    <vt:lpwstr>1768A0E4CCDC455991A7FB0880DBE55B_13</vt:lpwstr>
  </property>
</Properties>
</file>