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6796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26796" w:rsidRDefault="00602F7D" w:rsidP="00F325B3">
            <w:pPr>
              <w:pStyle w:val="Heading2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26796" w:rsidTr="002643B3">
        <w:trPr>
          <w:trHeight w:val="290"/>
        </w:trPr>
        <w:tc>
          <w:tcPr>
            <w:tcW w:w="1234" w:type="pct"/>
          </w:tcPr>
          <w:p w:rsidR="0000007A" w:rsidRPr="00426796" w:rsidRDefault="0000007A" w:rsidP="00F325B3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26796" w:rsidRDefault="009A15FA" w:rsidP="00F325B3">
            <w:pPr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5B661D" w:rsidRPr="004267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European Journal of Nutrition &amp; Food Safety</w:t>
              </w:r>
            </w:hyperlink>
          </w:p>
        </w:tc>
      </w:tr>
      <w:tr w:rsidR="0000007A" w:rsidRPr="00426796" w:rsidTr="002643B3">
        <w:trPr>
          <w:trHeight w:val="290"/>
        </w:trPr>
        <w:tc>
          <w:tcPr>
            <w:tcW w:w="1234" w:type="pct"/>
          </w:tcPr>
          <w:p w:rsidR="0000007A" w:rsidRPr="00426796" w:rsidRDefault="0000007A" w:rsidP="00F325B3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26796" w:rsidRDefault="00E36E30" w:rsidP="00F325B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Ms_EJNFS_137233</w:t>
            </w:r>
          </w:p>
        </w:tc>
      </w:tr>
      <w:tr w:rsidR="0000007A" w:rsidRPr="00426796" w:rsidTr="002643B3">
        <w:trPr>
          <w:trHeight w:val="650"/>
        </w:trPr>
        <w:tc>
          <w:tcPr>
            <w:tcW w:w="1234" w:type="pct"/>
          </w:tcPr>
          <w:p w:rsidR="0000007A" w:rsidRPr="00426796" w:rsidRDefault="0000007A" w:rsidP="00F325B3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26796" w:rsidRDefault="0057425C" w:rsidP="00F325B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Testing of a standardized extract of </w:t>
            </w:r>
            <w:proofErr w:type="spellStart"/>
            <w:r w:rsidRPr="00426796">
              <w:rPr>
                <w:rFonts w:ascii="Arial" w:hAnsi="Arial" w:cs="Arial"/>
                <w:b/>
                <w:sz w:val="20"/>
                <w:szCs w:val="20"/>
                <w:lang w:val="en-GB"/>
              </w:rPr>
              <w:t>Sceletium</w:t>
            </w:r>
            <w:proofErr w:type="spellEnd"/>
            <w:r w:rsidRPr="004267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796">
              <w:rPr>
                <w:rFonts w:ascii="Arial" w:hAnsi="Arial" w:cs="Arial"/>
                <w:b/>
                <w:sz w:val="20"/>
                <w:szCs w:val="20"/>
                <w:lang w:val="en-GB"/>
              </w:rPr>
              <w:t>tortuosum</w:t>
            </w:r>
            <w:proofErr w:type="spellEnd"/>
            <w:r w:rsidRPr="004267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26796">
              <w:rPr>
                <w:rFonts w:ascii="Arial" w:hAnsi="Arial" w:cs="Arial"/>
                <w:b/>
                <w:sz w:val="20"/>
                <w:szCs w:val="20"/>
                <w:lang w:val="en-GB"/>
              </w:rPr>
              <w:t>Zembrin</w:t>
            </w:r>
            <w:proofErr w:type="spellEnd"/>
            <w:r w:rsidRPr="00426796">
              <w:rPr>
                <w:rFonts w:ascii="Arial" w:hAnsi="Arial" w:cs="Arial"/>
                <w:b/>
                <w:sz w:val="20"/>
                <w:szCs w:val="20"/>
                <w:lang w:val="en-GB"/>
              </w:rPr>
              <w:t>®) according to OECD Genotoxicity Guidelines 471, 487 and 474</w:t>
            </w:r>
          </w:p>
        </w:tc>
      </w:tr>
      <w:tr w:rsidR="00CF0BBB" w:rsidRPr="00426796" w:rsidTr="002643B3">
        <w:trPr>
          <w:trHeight w:val="332"/>
        </w:trPr>
        <w:tc>
          <w:tcPr>
            <w:tcW w:w="1234" w:type="pct"/>
          </w:tcPr>
          <w:p w:rsidR="00CF0BBB" w:rsidRPr="00426796" w:rsidRDefault="00CF0BBB" w:rsidP="00F325B3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26796" w:rsidRDefault="0097750F" w:rsidP="00F325B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037D52" w:rsidRPr="00426796" w:rsidRDefault="00037D52" w:rsidP="00F325B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D235F" w:rsidRPr="0042679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42679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6796">
              <w:rPr>
                <w:rFonts w:ascii="Arial" w:hAnsi="Arial" w:cs="Arial"/>
                <w:lang w:val="en-GB"/>
              </w:rPr>
              <w:t xml:space="preserve"> Comments</w:t>
            </w:r>
          </w:p>
          <w:p w:rsidR="000D235F" w:rsidRPr="00426796" w:rsidRDefault="000D235F" w:rsidP="00F325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235F" w:rsidRPr="00426796">
        <w:tc>
          <w:tcPr>
            <w:tcW w:w="1265" w:type="pct"/>
            <w:noWrap/>
          </w:tcPr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lang w:val="en-GB"/>
              </w:rPr>
            </w:pPr>
            <w:r w:rsidRPr="00426796">
              <w:rPr>
                <w:rFonts w:ascii="Arial" w:hAnsi="Arial" w:cs="Arial"/>
                <w:lang w:val="en-GB"/>
              </w:rPr>
              <w:t>Reviewer’s comment</w:t>
            </w:r>
          </w:p>
          <w:p w:rsidR="00C63963" w:rsidRPr="00426796" w:rsidRDefault="00C63963" w:rsidP="00F325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79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C63963" w:rsidRPr="00426796" w:rsidRDefault="00C63963" w:rsidP="00F325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B3149" w:rsidRPr="00426796" w:rsidRDefault="004B3149" w:rsidP="00F325B3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2679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2679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426796">
        <w:trPr>
          <w:trHeight w:val="1264"/>
        </w:trPr>
        <w:tc>
          <w:tcPr>
            <w:tcW w:w="1265" w:type="pct"/>
            <w:noWrap/>
          </w:tcPr>
          <w:p w:rsidR="000D235F" w:rsidRPr="00426796" w:rsidRDefault="000D235F" w:rsidP="00F325B3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</w:t>
            </w:r>
            <w:r w:rsidR="00B40D8E"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3-4 sentences may be required for this part.</w:t>
            </w:r>
          </w:p>
          <w:p w:rsidR="000D235F" w:rsidRPr="00426796" w:rsidRDefault="000D235F" w:rsidP="00F325B3">
            <w:pPr>
              <w:ind w:left="36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D235F" w:rsidRPr="00426796" w:rsidRDefault="009B6129" w:rsidP="00F325B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showcases </w:t>
            </w:r>
            <w:proofErr w:type="spellStart"/>
            <w:r w:rsidR="007C5B04"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indispensible</w:t>
            </w:r>
            <w:proofErr w:type="spellEnd"/>
            <w:r w:rsidR="007C5B04"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safety data on </w:t>
            </w:r>
            <w:proofErr w:type="spellStart"/>
            <w:r w:rsidR="007C5B04" w:rsidRPr="00426796">
              <w:rPr>
                <w:rFonts w:ascii="Arial" w:hAnsi="Arial" w:cs="Arial"/>
                <w:b/>
                <w:sz w:val="20"/>
                <w:szCs w:val="20"/>
              </w:rPr>
              <w:t>Zembrin</w:t>
            </w:r>
            <w:proofErr w:type="spellEnd"/>
            <w:r w:rsidR="007C5B04" w:rsidRPr="00426796">
              <w:rPr>
                <w:rFonts w:ascii="Arial" w:hAnsi="Arial" w:cs="Arial"/>
                <w:b/>
                <w:sz w:val="20"/>
                <w:szCs w:val="20"/>
              </w:rPr>
              <w:t xml:space="preserve">®, a commercial extract of </w:t>
            </w:r>
            <w:proofErr w:type="spellStart"/>
            <w:r w:rsidR="007C5B04" w:rsidRPr="00426796">
              <w:rPr>
                <w:rFonts w:ascii="Arial" w:hAnsi="Arial" w:cs="Arial"/>
                <w:b/>
                <w:i/>
                <w:sz w:val="20"/>
                <w:szCs w:val="20"/>
              </w:rPr>
              <w:t>Sceletium</w:t>
            </w:r>
            <w:proofErr w:type="spellEnd"/>
            <w:r w:rsidR="007C5B04" w:rsidRPr="004267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C5B04" w:rsidRPr="00426796">
              <w:rPr>
                <w:rFonts w:ascii="Arial" w:hAnsi="Arial" w:cs="Arial"/>
                <w:b/>
                <w:i/>
                <w:sz w:val="20"/>
                <w:szCs w:val="20"/>
              </w:rPr>
              <w:t>tortuosum</w:t>
            </w:r>
            <w:proofErr w:type="spellEnd"/>
            <w:r w:rsidR="007C5B04" w:rsidRPr="00426796">
              <w:rPr>
                <w:rFonts w:ascii="Arial" w:hAnsi="Arial" w:cs="Arial"/>
                <w:b/>
                <w:sz w:val="20"/>
                <w:szCs w:val="20"/>
              </w:rPr>
              <w:t xml:space="preserve"> by employing 3 </w:t>
            </w:r>
            <w:proofErr w:type="spellStart"/>
            <w:r w:rsidR="007C5B04" w:rsidRPr="00426796">
              <w:rPr>
                <w:rFonts w:ascii="Arial" w:hAnsi="Arial" w:cs="Arial"/>
                <w:b/>
                <w:sz w:val="20"/>
                <w:szCs w:val="20"/>
              </w:rPr>
              <w:t>internatiomally</w:t>
            </w:r>
            <w:proofErr w:type="spellEnd"/>
            <w:r w:rsidR="007C5B04" w:rsidRPr="00426796">
              <w:rPr>
                <w:rFonts w:ascii="Arial" w:hAnsi="Arial" w:cs="Arial"/>
                <w:b/>
                <w:sz w:val="20"/>
                <w:szCs w:val="20"/>
              </w:rPr>
              <w:t xml:space="preserve"> acknowledged OECD genotoxicity tests.  This works is prompt and apropos to the present scenario of nutraceutical sector by its remarkable adoration in it. </w:t>
            </w:r>
            <w:r w:rsidR="009624B1" w:rsidRPr="00426796">
              <w:rPr>
                <w:rFonts w:ascii="Arial" w:hAnsi="Arial" w:cs="Arial"/>
                <w:b/>
                <w:sz w:val="20"/>
                <w:szCs w:val="20"/>
              </w:rPr>
              <w:t>These uncovering results act</w:t>
            </w:r>
            <w:r w:rsidR="007C5B04" w:rsidRPr="00426796">
              <w:rPr>
                <w:rFonts w:ascii="Arial" w:hAnsi="Arial" w:cs="Arial"/>
                <w:b/>
                <w:sz w:val="20"/>
                <w:szCs w:val="20"/>
              </w:rPr>
              <w:t xml:space="preserve"> as backing to its proper and safe use in scientific endeavor. </w:t>
            </w:r>
          </w:p>
        </w:tc>
        <w:tc>
          <w:tcPr>
            <w:tcW w:w="1523" w:type="pct"/>
          </w:tcPr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426796" w:rsidTr="00426796">
        <w:trPr>
          <w:trHeight w:val="395"/>
        </w:trPr>
        <w:tc>
          <w:tcPr>
            <w:tcW w:w="1265" w:type="pct"/>
            <w:noWrap/>
          </w:tcPr>
          <w:p w:rsidR="000D235F" w:rsidRPr="00426796" w:rsidRDefault="000D235F" w:rsidP="00F325B3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0D235F" w:rsidRPr="00426796" w:rsidRDefault="000D235F" w:rsidP="00F325B3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D235F" w:rsidRPr="00426796" w:rsidRDefault="009624B1" w:rsidP="00F325B3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need for title </w:t>
            </w:r>
            <w:proofErr w:type="gramStart"/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change</w:t>
            </w:r>
            <w:proofErr w:type="gramEnd"/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it is concise, crisp and aligns well with the content and primary objective of the manuscript.  </w:t>
            </w:r>
          </w:p>
        </w:tc>
        <w:tc>
          <w:tcPr>
            <w:tcW w:w="1523" w:type="pct"/>
          </w:tcPr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426796" w:rsidTr="00426796">
        <w:trPr>
          <w:trHeight w:val="1052"/>
        </w:trPr>
        <w:tc>
          <w:tcPr>
            <w:tcW w:w="1265" w:type="pct"/>
            <w:noWrap/>
          </w:tcPr>
          <w:p w:rsidR="000D235F" w:rsidRPr="00426796" w:rsidRDefault="000D235F" w:rsidP="00F325B3">
            <w:pPr>
              <w:pStyle w:val="Heading2"/>
              <w:ind w:left="360"/>
              <w:rPr>
                <w:rFonts w:ascii="Arial" w:hAnsi="Arial" w:cs="Arial"/>
                <w:lang w:val="en-GB"/>
              </w:rPr>
            </w:pPr>
            <w:r w:rsidRPr="0042679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D235F" w:rsidRPr="00426796" w:rsidRDefault="008B0F2B" w:rsidP="00F325B3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scientific manuscript is summarised in its wholeness in this abstract. For further enhancement of its </w:t>
            </w:r>
            <w:r w:rsidR="00E5006E"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lucidity, an inclusion of a precise note on the </w:t>
            </w:r>
            <w:r w:rsidR="00E5006E"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three-tiered testing master plan and why these results are worthy for safety evaluation has to be specified. </w:t>
            </w:r>
          </w:p>
        </w:tc>
        <w:tc>
          <w:tcPr>
            <w:tcW w:w="1523" w:type="pct"/>
          </w:tcPr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426796">
        <w:trPr>
          <w:trHeight w:val="704"/>
        </w:trPr>
        <w:tc>
          <w:tcPr>
            <w:tcW w:w="1265" w:type="pct"/>
            <w:noWrap/>
          </w:tcPr>
          <w:p w:rsidR="000D235F" w:rsidRPr="00426796" w:rsidRDefault="000D235F" w:rsidP="00F325B3">
            <w:pPr>
              <w:pStyle w:val="Heading2"/>
              <w:ind w:left="360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2679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0D235F" w:rsidRPr="00426796" w:rsidRDefault="00124523" w:rsidP="00F325B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>This paper is empirical, well-founded and upholds high scientific temper. The tests were conducted in concurrence with the OECD and Good Laboratory Practice methodology, and the outcomes were interpreted in con</w:t>
            </w:r>
            <w:r w:rsidR="00601446"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formance </w:t>
            </w:r>
            <w:r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>with</w:t>
            </w:r>
            <w:r w:rsidR="00601446"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standard</w:t>
            </w:r>
            <w:r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toxicological principles. The methodology and </w:t>
            </w:r>
            <w:r w:rsidR="00601446"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presentation are both meticulous</w:t>
            </w:r>
            <w:r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</w:t>
            </w:r>
            <w:r w:rsidR="00601446"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unambiguous. </w:t>
            </w:r>
          </w:p>
        </w:tc>
        <w:tc>
          <w:tcPr>
            <w:tcW w:w="1523" w:type="pct"/>
          </w:tcPr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426796">
        <w:trPr>
          <w:trHeight w:val="703"/>
        </w:trPr>
        <w:tc>
          <w:tcPr>
            <w:tcW w:w="1265" w:type="pct"/>
            <w:noWrap/>
          </w:tcPr>
          <w:p w:rsidR="000D235F" w:rsidRPr="00426796" w:rsidRDefault="000D235F" w:rsidP="00F325B3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0D235F" w:rsidRPr="00426796" w:rsidRDefault="00F325B3" w:rsidP="00F325B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manuscript has cited a sufficient number of references whose literature very well aligns and supports it entirely. Recent references are few in number. </w:t>
            </w:r>
          </w:p>
        </w:tc>
        <w:tc>
          <w:tcPr>
            <w:tcW w:w="1523" w:type="pct"/>
          </w:tcPr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426796">
        <w:trPr>
          <w:trHeight w:val="386"/>
        </w:trPr>
        <w:tc>
          <w:tcPr>
            <w:tcW w:w="1265" w:type="pct"/>
            <w:noWrap/>
          </w:tcPr>
          <w:p w:rsidR="000D235F" w:rsidRPr="00426796" w:rsidRDefault="000D235F" w:rsidP="00F325B3">
            <w:pPr>
              <w:pStyle w:val="Heading2"/>
              <w:ind w:left="360"/>
              <w:rPr>
                <w:rFonts w:ascii="Arial" w:hAnsi="Arial" w:cs="Arial"/>
                <w:bCs w:val="0"/>
                <w:lang w:val="en-GB"/>
              </w:rPr>
            </w:pPr>
            <w:r w:rsidRPr="0042679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0D235F" w:rsidRPr="00426796" w:rsidRDefault="000D235F" w:rsidP="00F325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D235F" w:rsidRPr="00426796" w:rsidRDefault="00F325B3" w:rsidP="00F325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This manuscript upholds a professional tone of language with actual grammar notes. </w:t>
            </w:r>
            <w:r w:rsidR="003E612F"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Even though the manuscript upholds good quality, b</w:t>
            </w:r>
            <w:r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>y carrying out a mi</w:t>
            </w:r>
            <w:r w:rsidR="003E612F"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nor proofreading the overall continuity of this paper can be enhanced.</w:t>
            </w:r>
            <w:r w:rsidRPr="004267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26796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523" w:type="pct"/>
          </w:tcPr>
          <w:p w:rsidR="000D235F" w:rsidRPr="00426796" w:rsidRDefault="000D235F" w:rsidP="00F325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235F" w:rsidRPr="00426796" w:rsidTr="00426796">
        <w:trPr>
          <w:trHeight w:val="575"/>
        </w:trPr>
        <w:tc>
          <w:tcPr>
            <w:tcW w:w="1265" w:type="pct"/>
            <w:noWrap/>
          </w:tcPr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679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="00B40D8E" w:rsidRPr="00426796">
              <w:rPr>
                <w:rFonts w:ascii="Arial" w:hAnsi="Arial" w:cs="Arial"/>
                <w:bCs w:val="0"/>
                <w:u w:val="single"/>
                <w:lang w:val="en-GB"/>
              </w:rPr>
              <w:t xml:space="preserve"> </w:t>
            </w:r>
            <w:r w:rsidRPr="0042679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0D235F" w:rsidRPr="00426796" w:rsidRDefault="000D235F" w:rsidP="00F325B3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0D235F" w:rsidRPr="00426796" w:rsidRDefault="004E2DC2" w:rsidP="00F325B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67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This well drafted manuscript acts as scientific gap filler by evaluating the toxicological profile of a plant extract by showcasing a multi test design. </w:t>
            </w:r>
          </w:p>
        </w:tc>
        <w:tc>
          <w:tcPr>
            <w:tcW w:w="1523" w:type="pct"/>
          </w:tcPr>
          <w:p w:rsidR="000D235F" w:rsidRPr="00426796" w:rsidRDefault="000D235F" w:rsidP="00F325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D235F" w:rsidRPr="00426796" w:rsidRDefault="000D235F" w:rsidP="00F325B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B1477" w:rsidRPr="00426796" w:rsidTr="004E5A7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477" w:rsidRPr="00426796" w:rsidRDefault="000B1477" w:rsidP="000B147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42679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2679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B1477" w:rsidRPr="00426796" w:rsidRDefault="000B1477" w:rsidP="000B147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B1477" w:rsidRPr="00426796" w:rsidTr="004E5A7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477" w:rsidRPr="00426796" w:rsidRDefault="000B1477" w:rsidP="000B14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477" w:rsidRPr="00426796" w:rsidRDefault="000B1477" w:rsidP="000B147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67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B1477" w:rsidRPr="00426796" w:rsidRDefault="000B1477" w:rsidP="000B147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2679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2679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0B1477" w:rsidRPr="00426796" w:rsidRDefault="000B1477" w:rsidP="000B147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B1477" w:rsidRPr="00426796" w:rsidTr="004E5A7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477" w:rsidRPr="00426796" w:rsidRDefault="000B1477" w:rsidP="000B147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679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B1477" w:rsidRPr="00426796" w:rsidRDefault="000B1477" w:rsidP="000B14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477" w:rsidRPr="00426796" w:rsidRDefault="000B1477" w:rsidP="000B147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67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67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67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B1477" w:rsidRPr="00426796" w:rsidRDefault="000B1477" w:rsidP="000B14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B1477" w:rsidRPr="00426796" w:rsidRDefault="000B1477" w:rsidP="000B14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B1477" w:rsidRPr="00426796" w:rsidRDefault="000B1477" w:rsidP="000B14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B1477" w:rsidRPr="00426796" w:rsidRDefault="000B1477" w:rsidP="000B14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0B1477" w:rsidRPr="00426796" w:rsidRDefault="000B1477" w:rsidP="000B1477">
      <w:pPr>
        <w:rPr>
          <w:rFonts w:ascii="Arial" w:hAnsi="Arial" w:cs="Arial"/>
          <w:sz w:val="20"/>
          <w:szCs w:val="20"/>
        </w:rPr>
      </w:pPr>
    </w:p>
    <w:p w:rsidR="00426796" w:rsidRPr="00426796" w:rsidRDefault="00426796" w:rsidP="0042679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26796">
        <w:rPr>
          <w:rFonts w:ascii="Arial" w:hAnsi="Arial" w:cs="Arial"/>
          <w:b/>
          <w:u w:val="single"/>
        </w:rPr>
        <w:t>Reviewer details:</w:t>
      </w:r>
    </w:p>
    <w:p w:rsidR="00426796" w:rsidRPr="00426796" w:rsidRDefault="00426796" w:rsidP="000B1477">
      <w:pPr>
        <w:rPr>
          <w:rFonts w:ascii="Arial" w:hAnsi="Arial" w:cs="Arial"/>
          <w:sz w:val="20"/>
          <w:szCs w:val="20"/>
        </w:rPr>
      </w:pPr>
    </w:p>
    <w:p w:rsidR="00426796" w:rsidRPr="00426796" w:rsidRDefault="00426796" w:rsidP="000B1477">
      <w:pPr>
        <w:rPr>
          <w:rFonts w:ascii="Arial" w:hAnsi="Arial" w:cs="Arial"/>
          <w:b/>
          <w:sz w:val="20"/>
          <w:szCs w:val="20"/>
        </w:rPr>
      </w:pPr>
      <w:bookmarkStart w:id="4" w:name="_Hlk202179938"/>
      <w:r w:rsidRPr="00426796">
        <w:rPr>
          <w:rFonts w:ascii="Arial" w:hAnsi="Arial" w:cs="Arial"/>
          <w:b/>
          <w:color w:val="000000"/>
          <w:sz w:val="20"/>
          <w:szCs w:val="20"/>
        </w:rPr>
        <w:t>Hiba Habeeb</w:t>
      </w:r>
      <w:r w:rsidRPr="0042679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26796">
        <w:rPr>
          <w:rFonts w:ascii="Arial" w:hAnsi="Arial" w:cs="Arial"/>
          <w:b/>
          <w:color w:val="000000"/>
          <w:sz w:val="20"/>
          <w:szCs w:val="20"/>
        </w:rPr>
        <w:t>University of Calicut</w:t>
      </w:r>
      <w:r w:rsidRPr="0042679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26796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5" w:name="_GoBack"/>
      <w:bookmarkEnd w:id="0"/>
      <w:bookmarkEnd w:id="1"/>
      <w:bookmarkEnd w:id="3"/>
      <w:bookmarkEnd w:id="4"/>
      <w:bookmarkEnd w:id="5"/>
    </w:p>
    <w:sectPr w:rsidR="00426796" w:rsidRPr="00426796" w:rsidSect="000B187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FA" w:rsidRPr="0000007A" w:rsidRDefault="009A15FA" w:rsidP="0099583E">
      <w:r>
        <w:separator/>
      </w:r>
    </w:p>
  </w:endnote>
  <w:endnote w:type="continuationSeparator" w:id="0">
    <w:p w:rsidR="009A15FA" w:rsidRPr="0000007A" w:rsidRDefault="009A15F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</w:t>
    </w:r>
    <w:proofErr w:type="spellStart"/>
    <w:r>
      <w:rPr>
        <w:sz w:val="16"/>
      </w:rPr>
      <w:t>PMApproved</w:t>
    </w:r>
    <w:proofErr w:type="spellEnd"/>
    <w:r>
      <w:rPr>
        <w:sz w:val="16"/>
      </w:rPr>
      <w:t xml:space="preserve"> by: MBM</w:t>
    </w:r>
    <w:r w:rsidR="00B62F41">
      <w:rPr>
        <w:sz w:val="16"/>
      </w:rPr>
      <w:tab/>
    </w:r>
    <w:r w:rsidR="00B62F41">
      <w:rPr>
        <w:sz w:val="16"/>
      </w:rPr>
      <w:tab/>
    </w:r>
    <w:r w:rsidR="00DA1FA3" w:rsidRPr="00DA1FA3">
      <w:rPr>
        <w:sz w:val="16"/>
      </w:rPr>
      <w:t xml:space="preserve">Version: </w:t>
    </w:r>
    <w:r w:rsidR="00B0624A">
      <w:rPr>
        <w:sz w:val="16"/>
      </w:rPr>
      <w:t>3</w:t>
    </w:r>
    <w:r w:rsidR="00DA1FA3" w:rsidRPr="00DA1FA3">
      <w:rPr>
        <w:sz w:val="16"/>
      </w:rPr>
      <w:t xml:space="preserve"> (0</w:t>
    </w:r>
    <w:r w:rsidR="00B0624A">
      <w:rPr>
        <w:sz w:val="16"/>
      </w:rPr>
      <w:t>7</w:t>
    </w:r>
    <w:r w:rsidR="00DA1FA3" w:rsidRPr="00DA1FA3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FA" w:rsidRPr="0000007A" w:rsidRDefault="009A15FA" w:rsidP="0099583E">
      <w:r>
        <w:separator/>
      </w:r>
    </w:p>
  </w:footnote>
  <w:footnote w:type="continuationSeparator" w:id="0">
    <w:p w:rsidR="009A15FA" w:rsidRPr="0000007A" w:rsidRDefault="009A15F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062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477"/>
    <w:rsid w:val="000B1875"/>
    <w:rsid w:val="000B4EE5"/>
    <w:rsid w:val="000B74A1"/>
    <w:rsid w:val="000B757E"/>
    <w:rsid w:val="000C0837"/>
    <w:rsid w:val="000C3B7E"/>
    <w:rsid w:val="000D235F"/>
    <w:rsid w:val="00100577"/>
    <w:rsid w:val="00101322"/>
    <w:rsid w:val="00124523"/>
    <w:rsid w:val="00136984"/>
    <w:rsid w:val="00144521"/>
    <w:rsid w:val="00150304"/>
    <w:rsid w:val="0015296D"/>
    <w:rsid w:val="0015459A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C307A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56DB"/>
    <w:rsid w:val="002B2C23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612F"/>
    <w:rsid w:val="003E746A"/>
    <w:rsid w:val="0042465A"/>
    <w:rsid w:val="00426796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3149"/>
    <w:rsid w:val="004B4CAD"/>
    <w:rsid w:val="004B4FDC"/>
    <w:rsid w:val="004C3DF1"/>
    <w:rsid w:val="004D2E36"/>
    <w:rsid w:val="004E2DC2"/>
    <w:rsid w:val="004F5CD5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63"/>
    <w:rsid w:val="00567DE0"/>
    <w:rsid w:val="005735A5"/>
    <w:rsid w:val="0057425C"/>
    <w:rsid w:val="005A5BE0"/>
    <w:rsid w:val="005A61BD"/>
    <w:rsid w:val="005B12E0"/>
    <w:rsid w:val="005B661D"/>
    <w:rsid w:val="005C25A0"/>
    <w:rsid w:val="005D230D"/>
    <w:rsid w:val="00601446"/>
    <w:rsid w:val="00602F7D"/>
    <w:rsid w:val="00605952"/>
    <w:rsid w:val="00620677"/>
    <w:rsid w:val="00624032"/>
    <w:rsid w:val="00645A56"/>
    <w:rsid w:val="006532DF"/>
    <w:rsid w:val="0065579D"/>
    <w:rsid w:val="00663792"/>
    <w:rsid w:val="006677F0"/>
    <w:rsid w:val="0067046C"/>
    <w:rsid w:val="00676845"/>
    <w:rsid w:val="00680547"/>
    <w:rsid w:val="0068446F"/>
    <w:rsid w:val="0069428E"/>
    <w:rsid w:val="00696CAD"/>
    <w:rsid w:val="006A2C06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10"/>
    <w:rsid w:val="0073538B"/>
    <w:rsid w:val="00741BD0"/>
    <w:rsid w:val="007426E6"/>
    <w:rsid w:val="00746370"/>
    <w:rsid w:val="00766889"/>
    <w:rsid w:val="00766A0D"/>
    <w:rsid w:val="00767F8C"/>
    <w:rsid w:val="00780B67"/>
    <w:rsid w:val="007A1DC2"/>
    <w:rsid w:val="007B1099"/>
    <w:rsid w:val="007B6E18"/>
    <w:rsid w:val="007C5B04"/>
    <w:rsid w:val="007D0246"/>
    <w:rsid w:val="007F5873"/>
    <w:rsid w:val="00806382"/>
    <w:rsid w:val="00807BD4"/>
    <w:rsid w:val="00815F94"/>
    <w:rsid w:val="0082130C"/>
    <w:rsid w:val="008224E2"/>
    <w:rsid w:val="008233C6"/>
    <w:rsid w:val="00825DC9"/>
    <w:rsid w:val="0082676D"/>
    <w:rsid w:val="00831055"/>
    <w:rsid w:val="008423BB"/>
    <w:rsid w:val="00846F1F"/>
    <w:rsid w:val="00856A5C"/>
    <w:rsid w:val="0087201B"/>
    <w:rsid w:val="00877F10"/>
    <w:rsid w:val="00882091"/>
    <w:rsid w:val="00887008"/>
    <w:rsid w:val="008913D5"/>
    <w:rsid w:val="00893E75"/>
    <w:rsid w:val="008B0F2B"/>
    <w:rsid w:val="008C24C5"/>
    <w:rsid w:val="008C2778"/>
    <w:rsid w:val="008C2BE6"/>
    <w:rsid w:val="008C2F62"/>
    <w:rsid w:val="008D020E"/>
    <w:rsid w:val="008D1117"/>
    <w:rsid w:val="008D15A4"/>
    <w:rsid w:val="008F36E4"/>
    <w:rsid w:val="00933C8B"/>
    <w:rsid w:val="009553EC"/>
    <w:rsid w:val="009624B1"/>
    <w:rsid w:val="0097330E"/>
    <w:rsid w:val="00974330"/>
    <w:rsid w:val="0097498C"/>
    <w:rsid w:val="0097750F"/>
    <w:rsid w:val="00982766"/>
    <w:rsid w:val="009852C4"/>
    <w:rsid w:val="00985F26"/>
    <w:rsid w:val="0099583E"/>
    <w:rsid w:val="009A0242"/>
    <w:rsid w:val="009A15FA"/>
    <w:rsid w:val="009A59ED"/>
    <w:rsid w:val="009B5AA8"/>
    <w:rsid w:val="009B6129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77E9"/>
    <w:rsid w:val="00A31AAC"/>
    <w:rsid w:val="00A32905"/>
    <w:rsid w:val="00A34A6F"/>
    <w:rsid w:val="00A36C95"/>
    <w:rsid w:val="00A37DE3"/>
    <w:rsid w:val="00A519D1"/>
    <w:rsid w:val="00A62EDA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2DD2"/>
    <w:rsid w:val="00AF3016"/>
    <w:rsid w:val="00AF55A0"/>
    <w:rsid w:val="00B03A45"/>
    <w:rsid w:val="00B0624A"/>
    <w:rsid w:val="00B2236C"/>
    <w:rsid w:val="00B22FE6"/>
    <w:rsid w:val="00B3033D"/>
    <w:rsid w:val="00B356AF"/>
    <w:rsid w:val="00B40D8E"/>
    <w:rsid w:val="00B55D11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3963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3360"/>
    <w:rsid w:val="00D8579C"/>
    <w:rsid w:val="00D90124"/>
    <w:rsid w:val="00D9392F"/>
    <w:rsid w:val="00DA1FA3"/>
    <w:rsid w:val="00DA41F5"/>
    <w:rsid w:val="00DB5B54"/>
    <w:rsid w:val="00DB7E1B"/>
    <w:rsid w:val="00DC1D81"/>
    <w:rsid w:val="00E36E30"/>
    <w:rsid w:val="00E451EA"/>
    <w:rsid w:val="00E5006E"/>
    <w:rsid w:val="00E5340E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5B3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4B69"/>
    <w:rsid w:val="00FC6387"/>
    <w:rsid w:val="00FC6802"/>
    <w:rsid w:val="00FD70A7"/>
    <w:rsid w:val="00FE7302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14262"/>
  <w15:docId w15:val="{AD93BBE8-DBC7-449F-B81D-B92F9822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2B2C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2C0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2679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ejnfs.com/index.php/EJN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7C57-F568-464D-9DC5-23616F45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https://journalejnfs.com/index.php/EJNFS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15</cp:revision>
  <dcterms:created xsi:type="dcterms:W3CDTF">2025-06-10T09:09:00Z</dcterms:created>
  <dcterms:modified xsi:type="dcterms:W3CDTF">2025-06-30T07:15:00Z</dcterms:modified>
</cp:coreProperties>
</file>