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7E638" w14:textId="77777777" w:rsidR="00750506" w:rsidRPr="00750506" w:rsidRDefault="00750506" w:rsidP="00750506">
      <w:pPr>
        <w:jc w:val="right"/>
        <w:rPr>
          <w:rFonts w:ascii="Arial" w:hAnsi="Arial" w:cs="Arial"/>
          <w:b/>
          <w:sz w:val="36"/>
          <w:szCs w:val="36"/>
        </w:rPr>
      </w:pPr>
      <w:r w:rsidRPr="00750506">
        <w:rPr>
          <w:rFonts w:ascii="Arial" w:hAnsi="Arial" w:cs="Arial"/>
          <w:b/>
          <w:bCs/>
          <w:iCs/>
          <w:sz w:val="36"/>
          <w:szCs w:val="36"/>
        </w:rPr>
        <w:t>Effects of Plant Growth Regulators, Media and Genotype on Callus Induction in Maize (</w:t>
      </w:r>
      <w:proofErr w:type="spellStart"/>
      <w:r w:rsidRPr="00750506">
        <w:rPr>
          <w:rFonts w:ascii="Arial" w:hAnsi="Arial" w:cs="Arial"/>
          <w:b/>
          <w:bCs/>
          <w:i/>
          <w:sz w:val="36"/>
          <w:szCs w:val="36"/>
        </w:rPr>
        <w:t>Zea</w:t>
      </w:r>
      <w:proofErr w:type="spellEnd"/>
      <w:r w:rsidRPr="00750506">
        <w:rPr>
          <w:rFonts w:ascii="Arial" w:hAnsi="Arial" w:cs="Arial"/>
          <w:b/>
          <w:bCs/>
          <w:i/>
          <w:sz w:val="36"/>
          <w:szCs w:val="36"/>
        </w:rPr>
        <w:t xml:space="preserve"> mays</w:t>
      </w:r>
      <w:r w:rsidRPr="00750506">
        <w:rPr>
          <w:rFonts w:ascii="Arial" w:hAnsi="Arial" w:cs="Arial"/>
          <w:b/>
          <w:bCs/>
          <w:iCs/>
          <w:sz w:val="36"/>
          <w:szCs w:val="36"/>
        </w:rPr>
        <w:t xml:space="preserve"> L.) Anther </w:t>
      </w:r>
      <w:commentRangeStart w:id="0"/>
      <w:r w:rsidRPr="00750506">
        <w:rPr>
          <w:rFonts w:ascii="Arial" w:hAnsi="Arial" w:cs="Arial"/>
          <w:b/>
          <w:bCs/>
          <w:iCs/>
          <w:sz w:val="36"/>
          <w:szCs w:val="36"/>
        </w:rPr>
        <w:t>Culture</w:t>
      </w:r>
      <w:commentRangeEnd w:id="0"/>
      <w:r w:rsidR="0078447E">
        <w:rPr>
          <w:rStyle w:val="CommentReference"/>
          <w:rFonts w:ascii="Times New Roman" w:hAnsi="Times New Roman"/>
          <w:lang w:val="nb-NO" w:eastAsia="nb-NO"/>
        </w:rPr>
        <w:commentReference w:id="0"/>
      </w:r>
    </w:p>
    <w:p w14:paraId="5D0FC091" w14:textId="77777777" w:rsidR="00A258C3" w:rsidRPr="00790ADA" w:rsidRDefault="00A258C3" w:rsidP="00750506">
      <w:pPr>
        <w:pStyle w:val="Author"/>
        <w:spacing w:line="240" w:lineRule="auto"/>
        <w:rPr>
          <w:rFonts w:ascii="Arial" w:hAnsi="Arial" w:cs="Arial"/>
          <w:sz w:val="36"/>
        </w:rPr>
      </w:pPr>
    </w:p>
    <w:p w14:paraId="5CF66038" w14:textId="77777777" w:rsidR="00FB259A" w:rsidRPr="00750506" w:rsidRDefault="00FB259A" w:rsidP="00750506">
      <w:pPr>
        <w:jc w:val="right"/>
        <w:rPr>
          <w:rFonts w:ascii="Arial" w:hAnsi="Arial" w:cs="Arial"/>
          <w:i/>
          <w:sz w:val="16"/>
          <w:szCs w:val="16"/>
        </w:rPr>
      </w:pPr>
    </w:p>
    <w:p w14:paraId="0C5615F5" w14:textId="0F085E09" w:rsidR="00633614" w:rsidRDefault="00633614" w:rsidP="00441B6F">
      <w:pPr>
        <w:pStyle w:val="Affiliation"/>
        <w:spacing w:after="0" w:line="240" w:lineRule="auto"/>
        <w:rPr>
          <w:rFonts w:ascii="Arial" w:hAnsi="Arial" w:cs="Arial"/>
          <w:i/>
        </w:rPr>
      </w:pPr>
    </w:p>
    <w:p w14:paraId="37A51BFA" w14:textId="77777777" w:rsidR="00B01FCD" w:rsidRPr="00FB3A86" w:rsidRDefault="00907112" w:rsidP="00441B6F">
      <w:pPr>
        <w:pStyle w:val="Copyright"/>
        <w:spacing w:after="0" w:line="240" w:lineRule="auto"/>
        <w:jc w:val="both"/>
        <w:rPr>
          <w:rFonts w:ascii="Arial" w:hAnsi="Arial" w:cs="Arial"/>
        </w:rPr>
        <w:sectPr w:rsidR="00B01FCD" w:rsidRPr="00FB3A86" w:rsidSect="008E774E">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E41A21" wp14:editId="13CB4D31">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FABDB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42F1D30" w14:textId="3BF05686"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2E7F8C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5AE5BC4" w14:textId="77777777" w:rsidTr="001E44FE">
        <w:tc>
          <w:tcPr>
            <w:tcW w:w="9576" w:type="dxa"/>
            <w:shd w:val="clear" w:color="auto" w:fill="F2F2F2"/>
          </w:tcPr>
          <w:p w14:paraId="5552A355" w14:textId="75B90958" w:rsidR="00750506" w:rsidRPr="007D0A87" w:rsidRDefault="00750506" w:rsidP="00750506">
            <w:pPr>
              <w:jc w:val="both"/>
              <w:rPr>
                <w:rFonts w:ascii="Arial" w:hAnsi="Arial" w:cs="Arial"/>
                <w:iCs/>
              </w:rPr>
            </w:pPr>
            <w:r w:rsidRPr="007D0A87">
              <w:rPr>
                <w:rFonts w:ascii="Arial" w:hAnsi="Arial" w:cs="Arial"/>
                <w:iCs/>
              </w:rPr>
              <w:t>Maize (</w:t>
            </w:r>
            <w:proofErr w:type="spellStart"/>
            <w:r w:rsidRPr="007D0A87">
              <w:rPr>
                <w:rFonts w:ascii="Arial" w:hAnsi="Arial" w:cs="Arial"/>
                <w:i/>
              </w:rPr>
              <w:t>Zea</w:t>
            </w:r>
            <w:proofErr w:type="spellEnd"/>
            <w:r w:rsidRPr="007D0A87">
              <w:rPr>
                <w:rFonts w:ascii="Arial" w:hAnsi="Arial" w:cs="Arial"/>
                <w:i/>
              </w:rPr>
              <w:t xml:space="preserve"> mays</w:t>
            </w:r>
            <w:r w:rsidRPr="007D0A87">
              <w:rPr>
                <w:rFonts w:ascii="Arial" w:hAnsi="Arial" w:cs="Arial"/>
                <w:iCs/>
              </w:rPr>
              <w:t xml:space="preserve"> L.) anther culture is a promising technique for the rapid production of doubled haploids, but its efficiency is limited by genotype dependency and low callus induction rates. This study aimed to evaluate the effects of plant growth regulators (PGRs), media composition, and genotype on callus induction in six maize genotypes commonly used in Myanmar's breeding programs.</w:t>
            </w:r>
            <w:r>
              <w:rPr>
                <w:rFonts w:ascii="Arial" w:hAnsi="Arial" w:cs="Arial"/>
                <w:iCs/>
              </w:rPr>
              <w:t xml:space="preserve"> </w:t>
            </w:r>
            <w:r w:rsidRPr="007D0A87">
              <w:rPr>
                <w:rFonts w:ascii="Arial" w:hAnsi="Arial" w:cs="Arial"/>
                <w:iCs/>
              </w:rPr>
              <w:t>The research employed an experimental approach utilizing Murashige and Skoog (MS) media supplemented with varying concentrations and combinations of 2,4-dichlorophenoxyacetic acid (2,4-D)</w:t>
            </w:r>
            <w:r w:rsidR="00AC6576">
              <w:rPr>
                <w:rFonts w:ascii="Arial" w:hAnsi="Arial" w:cs="Arial"/>
                <w:iCs/>
              </w:rPr>
              <w:t xml:space="preserve"> plus</w:t>
            </w:r>
            <w:r w:rsidRPr="007D0A87">
              <w:rPr>
                <w:rFonts w:ascii="Arial" w:hAnsi="Arial" w:cs="Arial"/>
                <w:iCs/>
              </w:rPr>
              <w:t xml:space="preserve"> kinetin</w:t>
            </w:r>
            <w:r w:rsidR="00AC6576">
              <w:rPr>
                <w:rFonts w:ascii="Arial" w:hAnsi="Arial" w:cs="Arial"/>
                <w:iCs/>
              </w:rPr>
              <w:t xml:space="preserve"> or</w:t>
            </w:r>
            <w:r w:rsidRPr="007D0A87">
              <w:rPr>
                <w:rFonts w:ascii="Arial" w:hAnsi="Arial" w:cs="Arial"/>
                <w:iCs/>
              </w:rPr>
              <w:t xml:space="preserve"> naphthaleneacetic acid (NAA), and 2,3,5-triiodobenzoic acid (TIBA)</w:t>
            </w:r>
            <w:r w:rsidR="00AC6576">
              <w:rPr>
                <w:rFonts w:ascii="Arial" w:hAnsi="Arial" w:cs="Arial"/>
                <w:iCs/>
              </w:rPr>
              <w:t xml:space="preserve"> alone</w:t>
            </w:r>
            <w:r w:rsidRPr="007D0A87">
              <w:rPr>
                <w:rFonts w:ascii="Arial" w:hAnsi="Arial" w:cs="Arial"/>
                <w:iCs/>
              </w:rPr>
              <w:t xml:space="preserve">. Callus formation was monitored over </w:t>
            </w:r>
            <w:r w:rsidR="00AC6576">
              <w:rPr>
                <w:rFonts w:ascii="Arial" w:hAnsi="Arial" w:cs="Arial"/>
                <w:iCs/>
              </w:rPr>
              <w:t>eight</w:t>
            </w:r>
            <w:r w:rsidRPr="007D0A87">
              <w:rPr>
                <w:rFonts w:ascii="Arial" w:hAnsi="Arial" w:cs="Arial"/>
                <w:iCs/>
              </w:rPr>
              <w:t xml:space="preserve"> weeks, and data were analyzed to assess the influence of PGRs and genotype on induction rates.</w:t>
            </w:r>
            <w:r>
              <w:rPr>
                <w:rFonts w:ascii="Arial" w:hAnsi="Arial" w:cs="Arial"/>
                <w:iCs/>
              </w:rPr>
              <w:t xml:space="preserve"> </w:t>
            </w:r>
            <w:r w:rsidRPr="007D0A87">
              <w:rPr>
                <w:rFonts w:ascii="Arial" w:hAnsi="Arial" w:cs="Arial"/>
                <w:iCs/>
              </w:rPr>
              <w:t xml:space="preserve">Significant differences were observed among genotypes and PGR treatments, with </w:t>
            </w:r>
            <w:proofErr w:type="spellStart"/>
            <w:r w:rsidRPr="007D0A87">
              <w:rPr>
                <w:rFonts w:ascii="Arial" w:hAnsi="Arial" w:cs="Arial"/>
                <w:iCs/>
              </w:rPr>
              <w:t>Yezin</w:t>
            </w:r>
            <w:proofErr w:type="spellEnd"/>
            <w:r w:rsidRPr="007D0A87">
              <w:rPr>
                <w:rFonts w:ascii="Arial" w:hAnsi="Arial" w:cs="Arial"/>
                <w:iCs/>
              </w:rPr>
              <w:t xml:space="preserve"> 14, C7, and D6 exhibiting the highest frequency of late uninucleate microspores and superior callus induction. The combination of 2,4-D (2.0 mg L</w:t>
            </w:r>
            <w:r w:rsidRPr="007D0A87">
              <w:rPr>
                <w:rFonts w:ascii="Cambria Math" w:hAnsi="Cambria Math" w:cs="Cambria Math"/>
                <w:iCs/>
              </w:rPr>
              <w:t>⁻</w:t>
            </w:r>
            <w:r w:rsidRPr="007D0A87">
              <w:rPr>
                <w:rFonts w:ascii="Arial" w:hAnsi="Arial" w:cs="Arial"/>
                <w:iCs/>
              </w:rPr>
              <w:t xml:space="preserve">¹) </w:t>
            </w:r>
            <w:r w:rsidR="00AC6576">
              <w:rPr>
                <w:rFonts w:ascii="Arial" w:hAnsi="Arial" w:cs="Arial"/>
                <w:iCs/>
              </w:rPr>
              <w:t>plus</w:t>
            </w:r>
            <w:r w:rsidRPr="007D0A87">
              <w:rPr>
                <w:rFonts w:ascii="Arial" w:hAnsi="Arial" w:cs="Arial"/>
                <w:iCs/>
              </w:rPr>
              <w:t xml:space="preserve"> kinetin (1.5 mg L</w:t>
            </w:r>
            <w:r w:rsidRPr="007D0A87">
              <w:rPr>
                <w:rFonts w:ascii="Cambria Math" w:hAnsi="Cambria Math" w:cs="Cambria Math"/>
                <w:iCs/>
              </w:rPr>
              <w:t>⁻</w:t>
            </w:r>
            <w:r w:rsidRPr="007D0A87">
              <w:rPr>
                <w:rFonts w:ascii="Arial" w:hAnsi="Arial" w:cs="Arial"/>
                <w:iCs/>
              </w:rPr>
              <w:t xml:space="preserve">¹) produced the highest callus induction rate of 19.44% in </w:t>
            </w:r>
            <w:proofErr w:type="spellStart"/>
            <w:r w:rsidRPr="007D0A87">
              <w:rPr>
                <w:rFonts w:ascii="Arial" w:hAnsi="Arial" w:cs="Arial"/>
                <w:iCs/>
              </w:rPr>
              <w:t>Yezin</w:t>
            </w:r>
            <w:proofErr w:type="spellEnd"/>
            <w:r w:rsidRPr="007D0A87">
              <w:rPr>
                <w:rFonts w:ascii="Arial" w:hAnsi="Arial" w:cs="Arial"/>
                <w:iCs/>
              </w:rPr>
              <w:t xml:space="preserve"> 14. TIBA, when used alone, also stimulated callus formation, although it often resulted in increased watery callus. Chi-square analysis confirmed that both genotype and PGR treatment significantly influenced callus induction efficiency (p &lt; 0.05).</w:t>
            </w:r>
            <w:r>
              <w:rPr>
                <w:rFonts w:ascii="Arial" w:hAnsi="Arial" w:cs="Arial"/>
                <w:iCs/>
              </w:rPr>
              <w:t xml:space="preserve"> </w:t>
            </w:r>
            <w:r w:rsidRPr="007D0A87">
              <w:rPr>
                <w:rFonts w:ascii="Arial" w:hAnsi="Arial" w:cs="Arial"/>
                <w:iCs/>
              </w:rPr>
              <w:t>These findings highlight the importance of optimizing genotype-specific protocols and the balance of hormones to enhance androgenesis in maize. The results provide valuable insights for improving doubled haploid production in Myanmar’s maize breeding programs, contributing to more efficient and cost-effective cultivar development.</w:t>
            </w:r>
          </w:p>
          <w:p w14:paraId="1C54A0ED" w14:textId="441E3135" w:rsidR="00505F06" w:rsidRPr="00BA1B01" w:rsidRDefault="00505F06" w:rsidP="00441B6F">
            <w:pPr>
              <w:pStyle w:val="Body"/>
              <w:spacing w:after="0"/>
              <w:rPr>
                <w:rFonts w:ascii="Arial" w:eastAsia="Calibri" w:hAnsi="Arial" w:cs="Arial"/>
                <w:szCs w:val="22"/>
              </w:rPr>
            </w:pPr>
          </w:p>
        </w:tc>
      </w:tr>
    </w:tbl>
    <w:p w14:paraId="3D036CD5" w14:textId="77777777" w:rsidR="00636EB2" w:rsidRDefault="00636EB2" w:rsidP="00441B6F">
      <w:pPr>
        <w:pStyle w:val="Body"/>
        <w:spacing w:after="0"/>
        <w:rPr>
          <w:rFonts w:ascii="Arial" w:hAnsi="Arial" w:cs="Arial"/>
          <w:i/>
        </w:rPr>
      </w:pPr>
    </w:p>
    <w:p w14:paraId="47730052" w14:textId="22800254" w:rsidR="00A24E7E" w:rsidRDefault="00A24E7E" w:rsidP="00750506">
      <w:pPr>
        <w:pStyle w:val="Body"/>
        <w:spacing w:after="0"/>
        <w:ind w:left="990" w:hanging="990"/>
        <w:rPr>
          <w:rFonts w:ascii="Arial" w:hAnsi="Arial" w:cs="Arial"/>
          <w:i/>
        </w:rPr>
      </w:pPr>
      <w:r>
        <w:rPr>
          <w:rFonts w:ascii="Arial" w:hAnsi="Arial" w:cs="Arial"/>
          <w:i/>
        </w:rPr>
        <w:t xml:space="preserve">Keywords: </w:t>
      </w:r>
      <w:commentRangeStart w:id="1"/>
      <w:r w:rsidR="00750506" w:rsidRPr="00750506">
        <w:rPr>
          <w:rFonts w:ascii="Arial" w:hAnsi="Arial" w:cs="Arial"/>
          <w:i/>
        </w:rPr>
        <w:t>Anther culture, Maize (</w:t>
      </w:r>
      <w:proofErr w:type="spellStart"/>
      <w:r w:rsidR="00750506" w:rsidRPr="00750506">
        <w:rPr>
          <w:rFonts w:ascii="Arial" w:hAnsi="Arial" w:cs="Arial"/>
          <w:i/>
        </w:rPr>
        <w:t>Zea</w:t>
      </w:r>
      <w:proofErr w:type="spellEnd"/>
      <w:r w:rsidR="00750506" w:rsidRPr="00750506">
        <w:rPr>
          <w:rFonts w:ascii="Arial" w:hAnsi="Arial" w:cs="Arial"/>
          <w:i/>
        </w:rPr>
        <w:t xml:space="preserve"> mays L.), Plant growth regulators (PGRs), Callus induction</w:t>
      </w:r>
      <w:commentRangeEnd w:id="1"/>
      <w:r w:rsidR="0078447E">
        <w:rPr>
          <w:rStyle w:val="CommentReference"/>
          <w:rFonts w:ascii="Times New Roman" w:hAnsi="Times New Roman"/>
          <w:lang w:val="nb-NO" w:eastAsia="nb-NO"/>
        </w:rPr>
        <w:commentReference w:id="1"/>
      </w:r>
    </w:p>
    <w:p w14:paraId="21E01492" w14:textId="77777777" w:rsidR="00790ADA" w:rsidRDefault="00790ADA" w:rsidP="00441B6F">
      <w:pPr>
        <w:pStyle w:val="Body"/>
        <w:spacing w:after="0"/>
        <w:rPr>
          <w:rFonts w:ascii="Arial" w:hAnsi="Arial" w:cs="Arial"/>
          <w:i/>
        </w:rPr>
      </w:pPr>
    </w:p>
    <w:p w14:paraId="430933AA" w14:textId="251ACFB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0FD6D9" w14:textId="77777777" w:rsidR="00790ADA" w:rsidRPr="00FB3A86" w:rsidRDefault="00790ADA" w:rsidP="00441B6F">
      <w:pPr>
        <w:pStyle w:val="AbstHead"/>
        <w:spacing w:after="0"/>
        <w:jc w:val="both"/>
        <w:rPr>
          <w:rFonts w:ascii="Arial" w:hAnsi="Arial" w:cs="Arial"/>
        </w:rPr>
      </w:pPr>
    </w:p>
    <w:p w14:paraId="39892EB1" w14:textId="77777777" w:rsidR="004E183F" w:rsidRPr="00796592" w:rsidRDefault="004E183F" w:rsidP="004E183F">
      <w:pPr>
        <w:spacing w:after="160" w:line="278" w:lineRule="auto"/>
        <w:ind w:firstLine="720"/>
        <w:jc w:val="both"/>
        <w:rPr>
          <w:rFonts w:ascii="Arial" w:hAnsi="Arial" w:cs="Arial"/>
          <w:iCs/>
        </w:rPr>
      </w:pPr>
      <w:r w:rsidRPr="00796592">
        <w:rPr>
          <w:rFonts w:ascii="Arial" w:hAnsi="Arial" w:cs="Arial"/>
          <w:iCs/>
        </w:rPr>
        <w:t>Maize (</w:t>
      </w:r>
      <w:proofErr w:type="spellStart"/>
      <w:r w:rsidRPr="00796592">
        <w:rPr>
          <w:rFonts w:ascii="Arial" w:hAnsi="Arial" w:cs="Arial"/>
          <w:i/>
          <w:iCs/>
        </w:rPr>
        <w:t>Zea</w:t>
      </w:r>
      <w:proofErr w:type="spellEnd"/>
      <w:r w:rsidRPr="00796592">
        <w:rPr>
          <w:rFonts w:ascii="Arial" w:hAnsi="Arial" w:cs="Arial"/>
          <w:i/>
          <w:iCs/>
        </w:rPr>
        <w:t xml:space="preserve"> mays </w:t>
      </w:r>
      <w:r w:rsidRPr="00796592">
        <w:rPr>
          <w:rFonts w:ascii="Arial" w:hAnsi="Arial" w:cs="Arial"/>
          <w:iCs/>
        </w:rPr>
        <w:t>L.), domesticated from wild teosinte (</w:t>
      </w:r>
      <w:proofErr w:type="spellStart"/>
      <w:r w:rsidRPr="00796592">
        <w:rPr>
          <w:rFonts w:ascii="Arial" w:hAnsi="Arial" w:cs="Arial"/>
          <w:i/>
          <w:iCs/>
        </w:rPr>
        <w:t>Zea</w:t>
      </w:r>
      <w:proofErr w:type="spellEnd"/>
      <w:r w:rsidRPr="00796592">
        <w:rPr>
          <w:rFonts w:ascii="Arial" w:hAnsi="Arial" w:cs="Arial"/>
          <w:i/>
          <w:iCs/>
        </w:rPr>
        <w:t xml:space="preserve"> mays </w:t>
      </w:r>
      <w:r w:rsidRPr="00796592">
        <w:rPr>
          <w:rFonts w:ascii="Arial" w:hAnsi="Arial" w:cs="Arial"/>
          <w:iCs/>
        </w:rPr>
        <w:t xml:space="preserve">ssp. </w:t>
      </w:r>
      <w:proofErr w:type="spellStart"/>
      <w:r w:rsidRPr="00796592">
        <w:rPr>
          <w:rFonts w:ascii="Arial" w:hAnsi="Arial" w:cs="Arial"/>
          <w:i/>
          <w:iCs/>
        </w:rPr>
        <w:t>mexicana</w:t>
      </w:r>
      <w:proofErr w:type="spellEnd"/>
      <w:r w:rsidRPr="00796592">
        <w:rPr>
          <w:rFonts w:ascii="Arial" w:hAnsi="Arial" w:cs="Arial"/>
          <w:i/>
          <w:iCs/>
        </w:rPr>
        <w:t xml:space="preserve"> </w:t>
      </w:r>
      <w:r w:rsidRPr="00796592">
        <w:rPr>
          <w:rFonts w:ascii="Arial" w:hAnsi="Arial" w:cs="Arial"/>
          <w:iCs/>
        </w:rPr>
        <w:t>) in the Mexican highlands (Yan et al., 2011), has become the third most important cereal crop globally after rice and wheat, with extensive use in food, feed, biofuel, and industrial applications (Tripathy et al., 2020). It holds particular significance in Myanmar, where it ranks second in agricultural value, contributing approximately 9% of annual crop production, yet exhibits substantial regional yield variability.</w:t>
      </w:r>
    </w:p>
    <w:p w14:paraId="5ED101AF" w14:textId="77777777" w:rsidR="004E183F" w:rsidRPr="00796592" w:rsidRDefault="004E183F" w:rsidP="004E183F">
      <w:pPr>
        <w:spacing w:after="160" w:line="278" w:lineRule="auto"/>
        <w:ind w:firstLine="720"/>
        <w:jc w:val="both"/>
        <w:rPr>
          <w:rFonts w:ascii="Arial" w:hAnsi="Arial" w:cs="Arial"/>
          <w:iCs/>
        </w:rPr>
      </w:pPr>
      <w:proofErr w:type="spellStart"/>
      <w:r w:rsidRPr="00796592">
        <w:rPr>
          <w:rFonts w:ascii="Arial" w:hAnsi="Arial" w:cs="Arial"/>
          <w:iCs/>
        </w:rPr>
        <w:t>Anther</w:t>
      </w:r>
      <w:proofErr w:type="spellEnd"/>
      <w:r w:rsidRPr="00796592">
        <w:rPr>
          <w:rFonts w:ascii="Arial" w:hAnsi="Arial" w:cs="Arial"/>
          <w:iCs/>
        </w:rPr>
        <w:t xml:space="preserve"> culture-based haploid induction offers a promising alternative to conventional inbreeding methods in maize breeding programs, significantly reducing time and labor requirements (Lanto et al., 2023; </w:t>
      </w:r>
      <w:proofErr w:type="spellStart"/>
      <w:r w:rsidRPr="00796592">
        <w:rPr>
          <w:rFonts w:ascii="Arial" w:hAnsi="Arial" w:cs="Arial"/>
          <w:iCs/>
        </w:rPr>
        <w:t>Matova</w:t>
      </w:r>
      <w:proofErr w:type="spellEnd"/>
      <w:r w:rsidRPr="00796592">
        <w:rPr>
          <w:rFonts w:ascii="Arial" w:hAnsi="Arial" w:cs="Arial"/>
          <w:iCs/>
        </w:rPr>
        <w:t xml:space="preserve"> et al., 2023). However, its application remains limited by low and inconsistent callus induction rates, particularly in elite genotypes (</w:t>
      </w:r>
      <w:commentRangeStart w:id="2"/>
      <w:proofErr w:type="spellStart"/>
      <w:r w:rsidRPr="00796592">
        <w:rPr>
          <w:rFonts w:ascii="Arial" w:hAnsi="Arial" w:cs="Arial"/>
          <w:iCs/>
        </w:rPr>
        <w:t>Srichuay</w:t>
      </w:r>
      <w:commentRangeEnd w:id="2"/>
      <w:proofErr w:type="spellEnd"/>
      <w:r w:rsidR="0078447E">
        <w:rPr>
          <w:rStyle w:val="CommentReference"/>
          <w:rFonts w:ascii="Times New Roman" w:hAnsi="Times New Roman"/>
          <w:lang w:val="nb-NO" w:eastAsia="nb-NO"/>
        </w:rPr>
        <w:commentReference w:id="2"/>
      </w:r>
      <w:r w:rsidRPr="00796592">
        <w:rPr>
          <w:rFonts w:ascii="Arial" w:hAnsi="Arial" w:cs="Arial"/>
          <w:iCs/>
        </w:rPr>
        <w:t xml:space="preserve"> et al., 2004; Goralski et al., 2005). Key factors influencing androgenesis include </w:t>
      </w:r>
      <w:r w:rsidRPr="00796592">
        <w:rPr>
          <w:rFonts w:ascii="Arial" w:hAnsi="Arial" w:cs="Arial"/>
          <w:iCs/>
        </w:rPr>
        <w:lastRenderedPageBreak/>
        <w:t>microspore developmental stage, environmental conditions, culture media composition, and genotype (</w:t>
      </w:r>
      <w:proofErr w:type="spellStart"/>
      <w:r w:rsidRPr="00796592">
        <w:rPr>
          <w:rFonts w:ascii="Arial" w:hAnsi="Arial" w:cs="Arial"/>
          <w:iCs/>
        </w:rPr>
        <w:t>Kahrizi</w:t>
      </w:r>
      <w:proofErr w:type="spellEnd"/>
      <w:r w:rsidRPr="00796592">
        <w:rPr>
          <w:rFonts w:ascii="Arial" w:hAnsi="Arial" w:cs="Arial"/>
          <w:iCs/>
        </w:rPr>
        <w:t xml:space="preserve"> et al., 2000).</w:t>
      </w:r>
    </w:p>
    <w:p w14:paraId="133A780F" w14:textId="04206760" w:rsidR="004E183F" w:rsidRPr="00796592" w:rsidRDefault="004E183F" w:rsidP="004E183F">
      <w:pPr>
        <w:spacing w:after="160" w:line="278" w:lineRule="auto"/>
        <w:ind w:firstLine="720"/>
        <w:jc w:val="both"/>
        <w:rPr>
          <w:rFonts w:ascii="Arial" w:hAnsi="Arial" w:cs="Arial"/>
          <w:iCs/>
        </w:rPr>
      </w:pPr>
      <w:r w:rsidRPr="00796592">
        <w:rPr>
          <w:rFonts w:ascii="Arial" w:hAnsi="Arial" w:cs="Arial"/>
          <w:iCs/>
        </w:rPr>
        <w:t xml:space="preserve">Plant growth regulators (PGRs) play </w:t>
      </w:r>
      <w:proofErr w:type="spellStart"/>
      <w:proofErr w:type="gramStart"/>
      <w:r w:rsidRPr="00796592">
        <w:rPr>
          <w:rFonts w:ascii="Arial" w:hAnsi="Arial" w:cs="Arial"/>
          <w:iCs/>
        </w:rPr>
        <w:t>a</w:t>
      </w:r>
      <w:proofErr w:type="spellEnd"/>
      <w:proofErr w:type="gramEnd"/>
      <w:r w:rsidRPr="00796592">
        <w:rPr>
          <w:rFonts w:ascii="Arial" w:hAnsi="Arial" w:cs="Arial"/>
          <w:iCs/>
        </w:rPr>
        <w:t xml:space="preserve"> </w:t>
      </w:r>
      <w:r w:rsidR="008C2136">
        <w:rPr>
          <w:rFonts w:ascii="Arial" w:hAnsi="Arial" w:cs="Arial"/>
          <w:iCs/>
        </w:rPr>
        <w:t>important</w:t>
      </w:r>
      <w:r w:rsidRPr="00796592">
        <w:rPr>
          <w:rFonts w:ascii="Arial" w:hAnsi="Arial" w:cs="Arial"/>
          <w:iCs/>
        </w:rPr>
        <w:t xml:space="preserve"> role in determining microspore developmental fate during </w:t>
      </w:r>
      <w:proofErr w:type="spellStart"/>
      <w:r w:rsidRPr="00796592">
        <w:rPr>
          <w:rFonts w:ascii="Arial" w:hAnsi="Arial" w:cs="Arial"/>
          <w:iCs/>
        </w:rPr>
        <w:t>anther</w:t>
      </w:r>
      <w:proofErr w:type="spellEnd"/>
      <w:r w:rsidRPr="00796592">
        <w:rPr>
          <w:rFonts w:ascii="Arial" w:hAnsi="Arial" w:cs="Arial"/>
          <w:iCs/>
        </w:rPr>
        <w:t xml:space="preserve"> culture. The auxin 2,4-dichlorophenoxyacetic acid (2,4-D) is essential for initiating </w:t>
      </w:r>
      <w:proofErr w:type="spellStart"/>
      <w:r w:rsidRPr="00796592">
        <w:rPr>
          <w:rFonts w:ascii="Arial" w:hAnsi="Arial" w:cs="Arial"/>
          <w:iCs/>
        </w:rPr>
        <w:t>sporophytic</w:t>
      </w:r>
      <w:proofErr w:type="spellEnd"/>
      <w:r w:rsidRPr="00796592">
        <w:rPr>
          <w:rFonts w:ascii="Arial" w:hAnsi="Arial" w:cs="Arial"/>
          <w:iCs/>
        </w:rPr>
        <w:t xml:space="preserve"> development and callus formation (Rosaura et al., 1998). Combinations of 2,4-D with </w:t>
      </w:r>
      <w:proofErr w:type="spellStart"/>
      <w:r w:rsidRPr="00796592">
        <w:rPr>
          <w:rFonts w:ascii="Arial" w:hAnsi="Arial" w:cs="Arial"/>
          <w:iCs/>
        </w:rPr>
        <w:t>cytokinins</w:t>
      </w:r>
      <w:proofErr w:type="spellEnd"/>
      <w:r w:rsidRPr="00796592">
        <w:rPr>
          <w:rFonts w:ascii="Arial" w:hAnsi="Arial" w:cs="Arial"/>
          <w:iCs/>
        </w:rPr>
        <w:t xml:space="preserve"> such as kinetin or auxins like naphthaleneacetic acid (NAA) have shown synergistic effects on embryoid quality, though optimal concentrations vary widely across genotypes. Additionally, 2,3,5-triiodobenzoic acid (TIBA), an auxin transport inhibitor, has been reported to enhance callus induction frequency by modulating auxin distribution, increasing efficiency by 15–40% in responsive genotypes (</w:t>
      </w:r>
      <w:proofErr w:type="spellStart"/>
      <w:r w:rsidRPr="00796592">
        <w:rPr>
          <w:rFonts w:ascii="Arial" w:hAnsi="Arial" w:cs="Arial"/>
          <w:iCs/>
        </w:rPr>
        <w:t>Spitkó</w:t>
      </w:r>
      <w:proofErr w:type="spellEnd"/>
      <w:r w:rsidRPr="00796592">
        <w:rPr>
          <w:rFonts w:ascii="Arial" w:hAnsi="Arial" w:cs="Arial"/>
          <w:iCs/>
        </w:rPr>
        <w:t xml:space="preserve"> et al., 2006).</w:t>
      </w:r>
    </w:p>
    <w:p w14:paraId="451C96FD" w14:textId="77777777" w:rsidR="004E183F" w:rsidRPr="00796592" w:rsidRDefault="004E183F" w:rsidP="004E183F">
      <w:pPr>
        <w:spacing w:after="160" w:line="278" w:lineRule="auto"/>
        <w:ind w:firstLine="720"/>
        <w:jc w:val="both"/>
        <w:rPr>
          <w:rFonts w:ascii="Arial" w:hAnsi="Arial" w:cs="Arial"/>
          <w:iCs/>
        </w:rPr>
      </w:pPr>
      <w:r w:rsidRPr="00796592">
        <w:rPr>
          <w:rFonts w:ascii="Arial" w:hAnsi="Arial" w:cs="Arial"/>
          <w:iCs/>
        </w:rPr>
        <w:t>Genotype-specific responses further complicate protocol standardization. While dent corn shows moderate androgenic response under optimized auxin–cytokinin ratios, flint maize generally performs better on N6 medium. In contrast, waxy and flour maize are recalcitrant, often requiring higher auxin concentrations (Hosseini et al., 2014). Sweet corn and popcorn exhibit particularly low embryogenesis rates (&lt;5%) on standard Murashige and Skoog (MS) medium, necessitating tailored adjustments in growth regulator combinations and sugar content (Hosseini et al., 2014). These findings underscore the lack of a universal protocol and highlight the need for genotype-specific optimization.</w:t>
      </w:r>
    </w:p>
    <w:p w14:paraId="74D942F2" w14:textId="77777777" w:rsidR="004E183F" w:rsidRPr="00796592" w:rsidRDefault="004E183F" w:rsidP="004E183F">
      <w:pPr>
        <w:spacing w:after="160" w:line="278" w:lineRule="auto"/>
        <w:ind w:firstLine="720"/>
        <w:jc w:val="both"/>
        <w:rPr>
          <w:rFonts w:ascii="Arial" w:hAnsi="Arial" w:cs="Arial"/>
          <w:iCs/>
        </w:rPr>
      </w:pPr>
      <w:r w:rsidRPr="00796592">
        <w:rPr>
          <w:rFonts w:ascii="Arial" w:hAnsi="Arial" w:cs="Arial"/>
          <w:iCs/>
        </w:rPr>
        <w:t>Despite global advances, there remains a critical gap in adapting anther culture protocols to regionally adapted germplasm, particularly in resource-constrained settings such as Myanmar. Current protocols predominantly target commercial hybrids and do not account for local genetic diversity or cost-effective media components. This limits the potential for developing locally adapted hybrids through efficient doubled haploid technology.</w:t>
      </w:r>
    </w:p>
    <w:p w14:paraId="7D6F4428" w14:textId="76268E34" w:rsidR="00790ADA" w:rsidRPr="00FB3A86" w:rsidRDefault="004E183F" w:rsidP="0009251F">
      <w:pPr>
        <w:pStyle w:val="Body"/>
        <w:spacing w:after="120"/>
        <w:ind w:firstLine="720"/>
        <w:rPr>
          <w:rFonts w:ascii="Arial" w:hAnsi="Arial" w:cs="Arial"/>
        </w:rPr>
      </w:pPr>
      <w:r w:rsidRPr="00796592">
        <w:rPr>
          <w:rFonts w:ascii="Arial" w:hAnsi="Arial" w:cs="Arial"/>
          <w:iCs/>
        </w:rPr>
        <w:t>To address this gap, the present study was designed with the following objectives:</w:t>
      </w:r>
      <w:r w:rsidRPr="00796592">
        <w:rPr>
          <w:rFonts w:ascii="Arial" w:hAnsi="Arial" w:cs="Arial"/>
          <w:iCs/>
        </w:rPr>
        <w:br/>
        <w:t>(1) To assess the effects of varying concentrations and combinations of 2,4-D with kinetin or NAA, and TIBA alone on callus induction in selected maize genotypes using MS medium.</w:t>
      </w:r>
      <w:r w:rsidRPr="00796592">
        <w:rPr>
          <w:rFonts w:ascii="Arial" w:hAnsi="Arial" w:cs="Arial"/>
          <w:iCs/>
        </w:rPr>
        <w:br/>
        <w:t>(2) To evaluate genotypic variation in androgenic response among inbred maize lines</w:t>
      </w:r>
      <w:r>
        <w:rPr>
          <w:rFonts w:ascii="Arial" w:hAnsi="Arial" w:cs="Arial"/>
          <w:iCs/>
        </w:rPr>
        <w:t>.</w:t>
      </w:r>
    </w:p>
    <w:p w14:paraId="1D6B2977" w14:textId="2BB75154" w:rsidR="00790ADA" w:rsidRPr="00FB3A86" w:rsidRDefault="00902823" w:rsidP="004E183F">
      <w:pPr>
        <w:pStyle w:val="AbstHead"/>
        <w:spacing w:after="120"/>
        <w:jc w:val="both"/>
        <w:rPr>
          <w:rFonts w:ascii="Arial" w:hAnsi="Arial" w:cs="Arial"/>
        </w:rPr>
      </w:pPr>
      <w:r>
        <w:rPr>
          <w:rFonts w:ascii="Arial" w:hAnsi="Arial" w:cs="Arial"/>
        </w:rPr>
        <w:t>2. material and method</w:t>
      </w:r>
      <w:r w:rsidR="00000F8F">
        <w:rPr>
          <w:rFonts w:ascii="Arial" w:hAnsi="Arial" w:cs="Arial"/>
        </w:rPr>
        <w:t xml:space="preserve">s </w:t>
      </w:r>
    </w:p>
    <w:p w14:paraId="6385D846" w14:textId="77777777" w:rsidR="004E183F" w:rsidRPr="00CD7234" w:rsidRDefault="004E183F" w:rsidP="004E183F">
      <w:pPr>
        <w:spacing w:after="120"/>
        <w:ind w:firstLine="720"/>
        <w:jc w:val="both"/>
        <w:rPr>
          <w:rFonts w:ascii="Arial" w:hAnsi="Arial" w:cs="Arial"/>
          <w:iCs/>
        </w:rPr>
      </w:pPr>
      <w:r w:rsidRPr="00CD7234">
        <w:rPr>
          <w:rFonts w:ascii="Arial" w:hAnsi="Arial" w:cs="Arial"/>
          <w:iCs/>
        </w:rPr>
        <w:t xml:space="preserve">The experiments were carried out in the Department of Agricultural Biotechnology, </w:t>
      </w:r>
      <w:proofErr w:type="spellStart"/>
      <w:r w:rsidRPr="00CD7234">
        <w:rPr>
          <w:rFonts w:ascii="Arial" w:hAnsi="Arial" w:cs="Arial"/>
          <w:iCs/>
        </w:rPr>
        <w:t>Yezin</w:t>
      </w:r>
      <w:proofErr w:type="spellEnd"/>
      <w:r w:rsidRPr="00CD7234">
        <w:rPr>
          <w:rFonts w:ascii="Arial" w:hAnsi="Arial" w:cs="Arial"/>
          <w:iCs/>
        </w:rPr>
        <w:t xml:space="preserve"> Agricultural University (19°50′08″N, 96°16′42″E), Myanmar, from February to December 2024. The experimental design included two factors: Factor A consisted of six levels of plant growth regulators, and Factor B comprised six maize genotypes (Table 1). The selected maize hybrids and inbred lines represent commonly cultivated or locally significant varieties in Myanmar and are considered suitable for breeding and genetic studies.</w:t>
      </w:r>
    </w:p>
    <w:p w14:paraId="20C6DC1F" w14:textId="77777777" w:rsidR="004E183F" w:rsidRPr="004E183F" w:rsidRDefault="004E183F" w:rsidP="004E183F">
      <w:pPr>
        <w:spacing w:after="120"/>
        <w:jc w:val="both"/>
        <w:rPr>
          <w:rFonts w:ascii="Arial" w:hAnsi="Arial" w:cs="Arial"/>
          <w:b/>
          <w:bCs/>
          <w:iCs/>
          <w:sz w:val="22"/>
          <w:szCs w:val="22"/>
        </w:rPr>
      </w:pPr>
      <w:r w:rsidRPr="004E183F">
        <w:rPr>
          <w:rFonts w:ascii="Arial" w:hAnsi="Arial" w:cs="Arial"/>
          <w:b/>
          <w:bCs/>
          <w:iCs/>
          <w:sz w:val="22"/>
          <w:szCs w:val="22"/>
        </w:rPr>
        <w:t>2.1 Tassel Collection and Anther Incubation</w:t>
      </w:r>
    </w:p>
    <w:p w14:paraId="07F7559A" w14:textId="77777777" w:rsidR="004E183F" w:rsidRPr="00CD7234" w:rsidRDefault="004E183F" w:rsidP="004E183F">
      <w:pPr>
        <w:ind w:firstLine="720"/>
        <w:jc w:val="both"/>
        <w:rPr>
          <w:rFonts w:ascii="Arial" w:hAnsi="Arial" w:cs="Arial"/>
          <w:iCs/>
        </w:rPr>
      </w:pPr>
      <w:r w:rsidRPr="00CD7234">
        <w:rPr>
          <w:rFonts w:ascii="Arial" w:hAnsi="Arial" w:cs="Arial"/>
          <w:iCs/>
        </w:rPr>
        <w:t xml:space="preserve">Tassels containing anthers at the uninucleate microspore stage were collected from donor plants before emergence from the leaf whorl. The developmental stage of the microspores was confirmed using acetocarmine squash staining. Immediately after collection, tassels were wrapped in aluminum foil and stored in a low-temperature incubator at 5–7 °C for one week, following the protocol of </w:t>
      </w:r>
      <w:commentRangeStart w:id="3"/>
      <w:r w:rsidRPr="00CD7234">
        <w:rPr>
          <w:rFonts w:ascii="Arial" w:hAnsi="Arial" w:cs="Arial"/>
          <w:iCs/>
        </w:rPr>
        <w:t>Barnabas</w:t>
      </w:r>
      <w:commentRangeEnd w:id="3"/>
      <w:r w:rsidR="0078447E">
        <w:rPr>
          <w:rStyle w:val="CommentReference"/>
          <w:rFonts w:ascii="Times New Roman" w:hAnsi="Times New Roman"/>
          <w:lang w:val="nb-NO" w:eastAsia="nb-NO"/>
        </w:rPr>
        <w:commentReference w:id="3"/>
      </w:r>
      <w:r w:rsidRPr="00CD7234">
        <w:rPr>
          <w:rFonts w:ascii="Arial" w:hAnsi="Arial" w:cs="Arial"/>
          <w:iCs/>
        </w:rPr>
        <w:t xml:space="preserve"> et al. (2003).</w:t>
      </w:r>
    </w:p>
    <w:p w14:paraId="369B9B3C" w14:textId="77777777" w:rsidR="004E183F" w:rsidRPr="00CD7234" w:rsidRDefault="004E183F" w:rsidP="004E183F">
      <w:pPr>
        <w:spacing w:after="120"/>
        <w:ind w:firstLine="720"/>
        <w:jc w:val="both"/>
        <w:rPr>
          <w:rFonts w:ascii="Arial" w:hAnsi="Arial" w:cs="Arial"/>
          <w:iCs/>
        </w:rPr>
      </w:pPr>
      <w:r w:rsidRPr="00CD7234">
        <w:rPr>
          <w:rFonts w:ascii="Arial" w:hAnsi="Arial" w:cs="Arial"/>
          <w:iCs/>
        </w:rPr>
        <w:t xml:space="preserve">For surface sterilization, tassel fragments were immersed in 2% (w/v) sodium hypochlorite solution for 10 minutes and subsequently rinsed three times with sterile distilled </w:t>
      </w:r>
      <w:r w:rsidRPr="00CD7234">
        <w:rPr>
          <w:rFonts w:ascii="Arial" w:hAnsi="Arial" w:cs="Arial"/>
          <w:iCs/>
        </w:rPr>
        <w:lastRenderedPageBreak/>
        <w:t>water. Under aseptic conditions, anthers were carefully dissected and transferred into 100 mL glass tubes containing various induction media. These cultures were incubated in the dark at a constant temperature of 28 °C until callus formation was observed.</w:t>
      </w:r>
    </w:p>
    <w:p w14:paraId="0A9F1FAC" w14:textId="77777777" w:rsidR="004E183F" w:rsidRPr="00CD7234" w:rsidRDefault="004E183F" w:rsidP="004E183F">
      <w:pPr>
        <w:spacing w:after="120"/>
        <w:ind w:firstLine="720"/>
        <w:jc w:val="both"/>
        <w:rPr>
          <w:rFonts w:ascii="Arial" w:hAnsi="Arial" w:cs="Arial"/>
          <w:iCs/>
        </w:rPr>
      </w:pPr>
      <w:r w:rsidRPr="00CD7234">
        <w:rPr>
          <w:rFonts w:ascii="Arial" w:hAnsi="Arial" w:cs="Arial"/>
          <w:iCs/>
        </w:rPr>
        <w:t xml:space="preserve">The basal induction medium was based on </w:t>
      </w:r>
      <w:commentRangeStart w:id="4"/>
      <w:proofErr w:type="spellStart"/>
      <w:r w:rsidRPr="00CD7234">
        <w:rPr>
          <w:rFonts w:ascii="Arial" w:hAnsi="Arial" w:cs="Arial"/>
          <w:iCs/>
        </w:rPr>
        <w:t>Murashige</w:t>
      </w:r>
      <w:commentRangeEnd w:id="4"/>
      <w:proofErr w:type="spellEnd"/>
      <w:r w:rsidR="0078447E">
        <w:rPr>
          <w:rStyle w:val="CommentReference"/>
          <w:rFonts w:ascii="Times New Roman" w:hAnsi="Times New Roman"/>
          <w:lang w:val="nb-NO" w:eastAsia="nb-NO"/>
        </w:rPr>
        <w:commentReference w:id="4"/>
      </w:r>
      <w:r w:rsidRPr="00CD7234">
        <w:rPr>
          <w:rFonts w:ascii="Arial" w:hAnsi="Arial" w:cs="Arial"/>
          <w:iCs/>
        </w:rPr>
        <w:t xml:space="preserve"> and Skoog (1962), supplemented with 500 mg/L casein hydrolysate, 30 g/L sucrose, and 8.0 g/L agar. The pH was adjusted to 5.8 prior to autoclaving, and activated charcoal was omitted from the formulation (Genovesi and Collins, 1982).</w:t>
      </w:r>
    </w:p>
    <w:p w14:paraId="158EB8EB" w14:textId="77777777" w:rsidR="004E183F" w:rsidRPr="004E183F" w:rsidRDefault="004E183F" w:rsidP="004E183F">
      <w:pPr>
        <w:spacing w:after="120"/>
        <w:jc w:val="both"/>
        <w:rPr>
          <w:rFonts w:ascii="Arial" w:hAnsi="Arial" w:cs="Arial"/>
          <w:b/>
          <w:bCs/>
          <w:iCs/>
          <w:sz w:val="22"/>
          <w:szCs w:val="22"/>
        </w:rPr>
      </w:pPr>
      <w:r w:rsidRPr="004E183F">
        <w:rPr>
          <w:rFonts w:ascii="Arial" w:hAnsi="Arial" w:cs="Arial"/>
          <w:b/>
          <w:bCs/>
          <w:iCs/>
          <w:sz w:val="22"/>
          <w:szCs w:val="22"/>
        </w:rPr>
        <w:t>2.2 Experimental Design and Data Analysis</w:t>
      </w:r>
    </w:p>
    <w:p w14:paraId="1F58C206" w14:textId="6C3FD1AE" w:rsidR="004E183F" w:rsidRPr="00CD7234" w:rsidRDefault="004E183F" w:rsidP="004E183F">
      <w:pPr>
        <w:spacing w:after="120"/>
        <w:ind w:firstLine="720"/>
        <w:jc w:val="both"/>
        <w:rPr>
          <w:rFonts w:ascii="Arial" w:hAnsi="Arial" w:cs="Arial"/>
          <w:iCs/>
        </w:rPr>
      </w:pPr>
      <w:r w:rsidRPr="00CD7234">
        <w:rPr>
          <w:rFonts w:ascii="Arial" w:hAnsi="Arial" w:cs="Arial"/>
          <w:iCs/>
        </w:rPr>
        <w:t xml:space="preserve">A completely randomized design (CRD) was employed, with three biological replicates per treatment. The following parameters were recorded: microspore developmental stage, number of </w:t>
      </w:r>
      <w:proofErr w:type="spellStart"/>
      <w:r w:rsidRPr="00CD7234">
        <w:rPr>
          <w:rFonts w:ascii="Arial" w:hAnsi="Arial" w:cs="Arial"/>
          <w:iCs/>
        </w:rPr>
        <w:t>calli</w:t>
      </w:r>
      <w:proofErr w:type="spellEnd"/>
      <w:r w:rsidRPr="00CD7234">
        <w:rPr>
          <w:rFonts w:ascii="Arial" w:hAnsi="Arial" w:cs="Arial"/>
          <w:iCs/>
        </w:rPr>
        <w:t xml:space="preserve"> formed,</w:t>
      </w:r>
      <w:r w:rsidR="00AC6576">
        <w:rPr>
          <w:rFonts w:ascii="Arial" w:hAnsi="Arial" w:cs="Arial"/>
          <w:iCs/>
        </w:rPr>
        <w:t xml:space="preserve"> type of callus</w:t>
      </w:r>
      <w:r w:rsidRPr="00CD7234">
        <w:rPr>
          <w:rFonts w:ascii="Arial" w:hAnsi="Arial" w:cs="Arial"/>
          <w:iCs/>
        </w:rPr>
        <w:t xml:space="preserve"> and callus induction percentage (%).</w:t>
      </w:r>
      <w:r>
        <w:rPr>
          <w:rFonts w:ascii="Arial" w:hAnsi="Arial" w:cs="Arial"/>
          <w:iCs/>
        </w:rPr>
        <w:t xml:space="preserve"> </w:t>
      </w:r>
      <w:r w:rsidRPr="00CD7234">
        <w:rPr>
          <w:rFonts w:ascii="Arial" w:hAnsi="Arial" w:cs="Arial"/>
          <w:iCs/>
        </w:rPr>
        <w:t xml:space="preserve">Data analysis was conducted using Python (Version 3.12.0). The </w:t>
      </w:r>
      <w:proofErr w:type="gramStart"/>
      <w:r w:rsidRPr="00CD7234">
        <w:rPr>
          <w:rFonts w:ascii="Arial" w:hAnsi="Arial" w:cs="Arial"/>
          <w:iCs/>
        </w:rPr>
        <w:t>pandas</w:t>
      </w:r>
      <w:proofErr w:type="gramEnd"/>
      <w:r w:rsidRPr="00CD7234">
        <w:rPr>
          <w:rFonts w:ascii="Arial" w:hAnsi="Arial" w:cs="Arial"/>
          <w:iCs/>
        </w:rPr>
        <w:t xml:space="preserve"> library was utilized for data manipulation, </w:t>
      </w:r>
      <w:proofErr w:type="spellStart"/>
      <w:r w:rsidRPr="00CD7234">
        <w:rPr>
          <w:rFonts w:ascii="Arial" w:hAnsi="Arial" w:cs="Arial"/>
          <w:iCs/>
        </w:rPr>
        <w:t>numpy</w:t>
      </w:r>
      <w:proofErr w:type="spellEnd"/>
      <w:r w:rsidRPr="00CD7234">
        <w:rPr>
          <w:rFonts w:ascii="Arial" w:hAnsi="Arial" w:cs="Arial"/>
          <w:iCs/>
        </w:rPr>
        <w:t xml:space="preserve"> for numerical computations, and </w:t>
      </w:r>
      <w:proofErr w:type="spellStart"/>
      <w:r w:rsidRPr="00CD7234">
        <w:rPr>
          <w:rFonts w:ascii="Arial" w:hAnsi="Arial" w:cs="Arial"/>
          <w:iCs/>
        </w:rPr>
        <w:t>matplotlib.pyplot</w:t>
      </w:r>
      <w:proofErr w:type="spellEnd"/>
      <w:r w:rsidRPr="00CD7234">
        <w:rPr>
          <w:rFonts w:ascii="Arial" w:hAnsi="Arial" w:cs="Arial"/>
          <w:iCs/>
        </w:rPr>
        <w:t xml:space="preserve"> and </w:t>
      </w:r>
      <w:proofErr w:type="spellStart"/>
      <w:r w:rsidRPr="00CD7234">
        <w:rPr>
          <w:rFonts w:ascii="Arial" w:hAnsi="Arial" w:cs="Arial"/>
          <w:iCs/>
        </w:rPr>
        <w:t>seaborn</w:t>
      </w:r>
      <w:proofErr w:type="spellEnd"/>
      <w:r w:rsidRPr="00CD7234">
        <w:rPr>
          <w:rFonts w:ascii="Arial" w:hAnsi="Arial" w:cs="Arial"/>
          <w:iCs/>
        </w:rPr>
        <w:t xml:space="preserve"> for data visualization. Descriptive statistics, including means and percentages of callus formation, were calculated for each treatment combination and genotype across the four-week observation period. Standard error of the mean (SEM) was also computed to assess variability among replicates.</w:t>
      </w:r>
    </w:p>
    <w:p w14:paraId="2B1831EE" w14:textId="77777777" w:rsidR="004E183F" w:rsidRDefault="004E183F" w:rsidP="004E183F">
      <w:pPr>
        <w:spacing w:after="120"/>
        <w:jc w:val="both"/>
        <w:rPr>
          <w:rFonts w:ascii="Arial" w:hAnsi="Arial" w:cs="Arial"/>
          <w:b/>
          <w:bCs/>
          <w:iCs/>
        </w:rPr>
      </w:pPr>
      <w:r w:rsidRPr="00CD7234">
        <w:rPr>
          <w:rFonts w:ascii="Arial" w:hAnsi="Arial" w:cs="Arial"/>
          <w:b/>
          <w:bCs/>
          <w:iCs/>
        </w:rPr>
        <w:t>Table 1</w:t>
      </w:r>
      <w:r>
        <w:rPr>
          <w:rFonts w:ascii="Arial" w:hAnsi="Arial" w:cs="Arial"/>
          <w:b/>
          <w:bCs/>
          <w:iCs/>
        </w:rPr>
        <w:t>.</w:t>
      </w:r>
      <w:r w:rsidRPr="00CD7234">
        <w:rPr>
          <w:rFonts w:ascii="Arial" w:hAnsi="Arial" w:cs="Arial"/>
          <w:b/>
          <w:bCs/>
          <w:iCs/>
        </w:rPr>
        <w:t xml:space="preserve"> Six selected maize genotypes used in the experiment</w:t>
      </w:r>
    </w:p>
    <w:tbl>
      <w:tblPr>
        <w:tblStyle w:val="TableGrid"/>
        <w:tblW w:w="0" w:type="auto"/>
        <w:jc w:val="center"/>
        <w:tblLook w:val="04A0" w:firstRow="1" w:lastRow="0" w:firstColumn="1" w:lastColumn="0" w:noHBand="0" w:noVBand="1"/>
      </w:tblPr>
      <w:tblGrid>
        <w:gridCol w:w="895"/>
        <w:gridCol w:w="1890"/>
        <w:gridCol w:w="2520"/>
        <w:gridCol w:w="1800"/>
      </w:tblGrid>
      <w:tr w:rsidR="004E183F" w:rsidRPr="00CD7234" w14:paraId="36A71DBD" w14:textId="77777777" w:rsidTr="00AA2F1E">
        <w:trPr>
          <w:trHeight w:val="432"/>
          <w:jc w:val="center"/>
        </w:trPr>
        <w:tc>
          <w:tcPr>
            <w:tcW w:w="895" w:type="dxa"/>
            <w:vAlign w:val="center"/>
          </w:tcPr>
          <w:p w14:paraId="5A403174" w14:textId="77777777" w:rsidR="004E183F" w:rsidRPr="00CD7234" w:rsidRDefault="004E183F" w:rsidP="004E183F">
            <w:pPr>
              <w:spacing w:line="278" w:lineRule="auto"/>
              <w:jc w:val="center"/>
              <w:rPr>
                <w:rFonts w:ascii="Arial" w:hAnsi="Arial" w:cs="Arial"/>
                <w:b/>
                <w:bCs/>
                <w:iCs/>
                <w:sz w:val="20"/>
                <w:szCs w:val="20"/>
              </w:rPr>
            </w:pPr>
            <w:r w:rsidRPr="00CD7234">
              <w:rPr>
                <w:rFonts w:ascii="Arial" w:hAnsi="Arial" w:cs="Arial"/>
                <w:b/>
                <w:bCs/>
                <w:iCs/>
                <w:sz w:val="20"/>
                <w:szCs w:val="20"/>
              </w:rPr>
              <w:t>No</w:t>
            </w:r>
            <w:r>
              <w:rPr>
                <w:rFonts w:ascii="Arial" w:hAnsi="Arial" w:cs="Arial"/>
                <w:b/>
                <w:bCs/>
                <w:iCs/>
                <w:sz w:val="20"/>
                <w:szCs w:val="20"/>
              </w:rPr>
              <w:t>.</w:t>
            </w:r>
          </w:p>
        </w:tc>
        <w:tc>
          <w:tcPr>
            <w:tcW w:w="1890" w:type="dxa"/>
            <w:vAlign w:val="center"/>
          </w:tcPr>
          <w:p w14:paraId="6BB61F9B" w14:textId="77777777" w:rsidR="004E183F" w:rsidRPr="00CD7234" w:rsidRDefault="004E183F" w:rsidP="004E183F">
            <w:pPr>
              <w:spacing w:line="278" w:lineRule="auto"/>
              <w:jc w:val="center"/>
              <w:rPr>
                <w:rFonts w:ascii="Arial" w:hAnsi="Arial" w:cs="Arial"/>
                <w:b/>
                <w:bCs/>
                <w:iCs/>
                <w:sz w:val="20"/>
                <w:szCs w:val="20"/>
              </w:rPr>
            </w:pPr>
            <w:r w:rsidRPr="00CD7234">
              <w:rPr>
                <w:rFonts w:ascii="Arial" w:hAnsi="Arial" w:cs="Arial"/>
                <w:b/>
                <w:bCs/>
                <w:iCs/>
                <w:sz w:val="20"/>
                <w:szCs w:val="20"/>
              </w:rPr>
              <w:t>Genotypes</w:t>
            </w:r>
          </w:p>
        </w:tc>
        <w:tc>
          <w:tcPr>
            <w:tcW w:w="2520" w:type="dxa"/>
            <w:vAlign w:val="center"/>
          </w:tcPr>
          <w:p w14:paraId="44E76FCD" w14:textId="77777777" w:rsidR="004E183F" w:rsidRPr="00CD7234" w:rsidRDefault="004E183F" w:rsidP="004E183F">
            <w:pPr>
              <w:spacing w:line="278" w:lineRule="auto"/>
              <w:jc w:val="center"/>
              <w:rPr>
                <w:rFonts w:ascii="Arial" w:hAnsi="Arial" w:cs="Arial"/>
                <w:b/>
                <w:bCs/>
                <w:iCs/>
                <w:sz w:val="20"/>
                <w:szCs w:val="20"/>
              </w:rPr>
            </w:pPr>
            <w:r w:rsidRPr="00CD7234">
              <w:rPr>
                <w:rFonts w:ascii="Arial" w:hAnsi="Arial" w:cs="Arial"/>
                <w:b/>
                <w:bCs/>
                <w:iCs/>
                <w:sz w:val="20"/>
                <w:szCs w:val="20"/>
              </w:rPr>
              <w:t>Types</w:t>
            </w:r>
          </w:p>
        </w:tc>
        <w:tc>
          <w:tcPr>
            <w:tcW w:w="1800" w:type="dxa"/>
            <w:vAlign w:val="center"/>
          </w:tcPr>
          <w:p w14:paraId="7DB8D3ED" w14:textId="77777777" w:rsidR="004E183F" w:rsidRPr="00CD7234" w:rsidRDefault="004E183F" w:rsidP="004E183F">
            <w:pPr>
              <w:spacing w:line="278" w:lineRule="auto"/>
              <w:jc w:val="center"/>
              <w:rPr>
                <w:rFonts w:ascii="Arial" w:hAnsi="Arial" w:cs="Arial"/>
                <w:b/>
                <w:bCs/>
                <w:iCs/>
                <w:sz w:val="20"/>
                <w:szCs w:val="20"/>
              </w:rPr>
            </w:pPr>
            <w:r w:rsidRPr="00CD7234">
              <w:rPr>
                <w:rFonts w:ascii="Arial" w:hAnsi="Arial" w:cs="Arial"/>
                <w:b/>
                <w:bCs/>
                <w:iCs/>
                <w:sz w:val="20"/>
                <w:szCs w:val="20"/>
              </w:rPr>
              <w:t>Lifespan</w:t>
            </w:r>
          </w:p>
        </w:tc>
      </w:tr>
      <w:tr w:rsidR="004E183F" w:rsidRPr="00CD7234" w14:paraId="12360EF8" w14:textId="77777777" w:rsidTr="00AA2F1E">
        <w:trPr>
          <w:trHeight w:val="432"/>
          <w:jc w:val="center"/>
        </w:trPr>
        <w:tc>
          <w:tcPr>
            <w:tcW w:w="895" w:type="dxa"/>
            <w:vAlign w:val="center"/>
          </w:tcPr>
          <w:p w14:paraId="442CB234"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w:t>
            </w:r>
          </w:p>
        </w:tc>
        <w:tc>
          <w:tcPr>
            <w:tcW w:w="1890" w:type="dxa"/>
            <w:vAlign w:val="center"/>
          </w:tcPr>
          <w:p w14:paraId="01BD46DE" w14:textId="77777777" w:rsidR="004E183F" w:rsidRPr="00CD7234" w:rsidRDefault="004E183F" w:rsidP="004E183F">
            <w:pPr>
              <w:spacing w:line="278" w:lineRule="auto"/>
              <w:jc w:val="center"/>
              <w:rPr>
                <w:rFonts w:ascii="Arial" w:hAnsi="Arial" w:cs="Arial"/>
                <w:iCs/>
                <w:sz w:val="20"/>
                <w:szCs w:val="20"/>
              </w:rPr>
            </w:pPr>
            <w:proofErr w:type="spellStart"/>
            <w:r w:rsidRPr="00CD7234">
              <w:rPr>
                <w:rFonts w:ascii="Arial" w:hAnsi="Arial" w:cs="Arial"/>
                <w:iCs/>
                <w:sz w:val="20"/>
                <w:szCs w:val="20"/>
              </w:rPr>
              <w:t>Yezin</w:t>
            </w:r>
            <w:proofErr w:type="spellEnd"/>
            <w:r w:rsidRPr="00CD7234">
              <w:rPr>
                <w:rFonts w:ascii="Arial" w:hAnsi="Arial" w:cs="Arial"/>
                <w:iCs/>
                <w:sz w:val="20"/>
                <w:szCs w:val="20"/>
              </w:rPr>
              <w:t xml:space="preserve"> 10</w:t>
            </w:r>
          </w:p>
        </w:tc>
        <w:tc>
          <w:tcPr>
            <w:tcW w:w="2520" w:type="dxa"/>
            <w:vAlign w:val="center"/>
          </w:tcPr>
          <w:p w14:paraId="55545B2F"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Hybrid</w:t>
            </w:r>
          </w:p>
        </w:tc>
        <w:tc>
          <w:tcPr>
            <w:tcW w:w="1800" w:type="dxa"/>
            <w:vAlign w:val="center"/>
          </w:tcPr>
          <w:p w14:paraId="203AFE2F"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100 -110</w:t>
            </w:r>
          </w:p>
        </w:tc>
      </w:tr>
      <w:tr w:rsidR="004E183F" w:rsidRPr="00CD7234" w14:paraId="19120B8A" w14:textId="77777777" w:rsidTr="00AA2F1E">
        <w:trPr>
          <w:trHeight w:val="432"/>
          <w:jc w:val="center"/>
        </w:trPr>
        <w:tc>
          <w:tcPr>
            <w:tcW w:w="895" w:type="dxa"/>
            <w:vAlign w:val="center"/>
          </w:tcPr>
          <w:p w14:paraId="3EE8F4EB"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2</w:t>
            </w:r>
          </w:p>
        </w:tc>
        <w:tc>
          <w:tcPr>
            <w:tcW w:w="1890" w:type="dxa"/>
            <w:vAlign w:val="center"/>
          </w:tcPr>
          <w:p w14:paraId="0A08B763" w14:textId="77777777" w:rsidR="004E183F" w:rsidRPr="00CD7234" w:rsidRDefault="004E183F" w:rsidP="004E183F">
            <w:pPr>
              <w:spacing w:line="278" w:lineRule="auto"/>
              <w:jc w:val="center"/>
              <w:rPr>
                <w:rFonts w:ascii="Arial" w:hAnsi="Arial" w:cs="Arial"/>
                <w:iCs/>
                <w:sz w:val="20"/>
                <w:szCs w:val="20"/>
              </w:rPr>
            </w:pPr>
            <w:proofErr w:type="spellStart"/>
            <w:r w:rsidRPr="00CD7234">
              <w:rPr>
                <w:rFonts w:ascii="Arial" w:hAnsi="Arial" w:cs="Arial"/>
                <w:iCs/>
                <w:sz w:val="20"/>
                <w:szCs w:val="20"/>
              </w:rPr>
              <w:t>Yezin</w:t>
            </w:r>
            <w:proofErr w:type="spellEnd"/>
            <w:r w:rsidRPr="00CD7234">
              <w:rPr>
                <w:rFonts w:ascii="Arial" w:hAnsi="Arial" w:cs="Arial"/>
                <w:iCs/>
                <w:sz w:val="20"/>
                <w:szCs w:val="20"/>
              </w:rPr>
              <w:t xml:space="preserve"> 14</w:t>
            </w:r>
          </w:p>
        </w:tc>
        <w:tc>
          <w:tcPr>
            <w:tcW w:w="2520" w:type="dxa"/>
            <w:vAlign w:val="center"/>
          </w:tcPr>
          <w:p w14:paraId="0B70068B"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Hybrid</w:t>
            </w:r>
          </w:p>
        </w:tc>
        <w:tc>
          <w:tcPr>
            <w:tcW w:w="1800" w:type="dxa"/>
            <w:vAlign w:val="center"/>
          </w:tcPr>
          <w:p w14:paraId="63B7B11A"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115-120</w:t>
            </w:r>
          </w:p>
        </w:tc>
      </w:tr>
      <w:tr w:rsidR="004E183F" w:rsidRPr="00CD7234" w14:paraId="62B65385" w14:textId="77777777" w:rsidTr="00AA2F1E">
        <w:trPr>
          <w:trHeight w:val="432"/>
          <w:jc w:val="center"/>
        </w:trPr>
        <w:tc>
          <w:tcPr>
            <w:tcW w:w="895" w:type="dxa"/>
            <w:vAlign w:val="center"/>
          </w:tcPr>
          <w:p w14:paraId="64515F7C"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3</w:t>
            </w:r>
          </w:p>
        </w:tc>
        <w:tc>
          <w:tcPr>
            <w:tcW w:w="1890" w:type="dxa"/>
            <w:vAlign w:val="center"/>
          </w:tcPr>
          <w:p w14:paraId="20C8F449"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C2</w:t>
            </w:r>
          </w:p>
        </w:tc>
        <w:tc>
          <w:tcPr>
            <w:tcW w:w="2520" w:type="dxa"/>
            <w:vAlign w:val="center"/>
          </w:tcPr>
          <w:p w14:paraId="58505EFF"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Inbred</w:t>
            </w:r>
          </w:p>
        </w:tc>
        <w:tc>
          <w:tcPr>
            <w:tcW w:w="1800" w:type="dxa"/>
            <w:vAlign w:val="center"/>
          </w:tcPr>
          <w:p w14:paraId="1E594B9C"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100-120</w:t>
            </w:r>
          </w:p>
        </w:tc>
      </w:tr>
      <w:tr w:rsidR="004E183F" w:rsidRPr="00CD7234" w14:paraId="390A25B8" w14:textId="77777777" w:rsidTr="00AA2F1E">
        <w:trPr>
          <w:trHeight w:val="432"/>
          <w:jc w:val="center"/>
        </w:trPr>
        <w:tc>
          <w:tcPr>
            <w:tcW w:w="895" w:type="dxa"/>
            <w:vAlign w:val="center"/>
          </w:tcPr>
          <w:p w14:paraId="07AF09D5"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4</w:t>
            </w:r>
          </w:p>
        </w:tc>
        <w:tc>
          <w:tcPr>
            <w:tcW w:w="1890" w:type="dxa"/>
            <w:vAlign w:val="center"/>
          </w:tcPr>
          <w:p w14:paraId="6118F529"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C7</w:t>
            </w:r>
          </w:p>
        </w:tc>
        <w:tc>
          <w:tcPr>
            <w:tcW w:w="2520" w:type="dxa"/>
            <w:vAlign w:val="center"/>
          </w:tcPr>
          <w:p w14:paraId="15821C5C"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Inbred</w:t>
            </w:r>
          </w:p>
        </w:tc>
        <w:tc>
          <w:tcPr>
            <w:tcW w:w="1800" w:type="dxa"/>
            <w:vAlign w:val="center"/>
          </w:tcPr>
          <w:p w14:paraId="3B86AF91"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100-120</w:t>
            </w:r>
          </w:p>
        </w:tc>
      </w:tr>
      <w:tr w:rsidR="004E183F" w:rsidRPr="00CD7234" w14:paraId="36E93474" w14:textId="77777777" w:rsidTr="00AA2F1E">
        <w:trPr>
          <w:trHeight w:val="432"/>
          <w:jc w:val="center"/>
        </w:trPr>
        <w:tc>
          <w:tcPr>
            <w:tcW w:w="895" w:type="dxa"/>
            <w:vAlign w:val="center"/>
          </w:tcPr>
          <w:p w14:paraId="5555C7BA"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5</w:t>
            </w:r>
          </w:p>
        </w:tc>
        <w:tc>
          <w:tcPr>
            <w:tcW w:w="1890" w:type="dxa"/>
            <w:vAlign w:val="center"/>
          </w:tcPr>
          <w:p w14:paraId="56DC1A23"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D6</w:t>
            </w:r>
          </w:p>
        </w:tc>
        <w:tc>
          <w:tcPr>
            <w:tcW w:w="2520" w:type="dxa"/>
            <w:vAlign w:val="center"/>
          </w:tcPr>
          <w:p w14:paraId="54E39C50"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Inbred</w:t>
            </w:r>
          </w:p>
        </w:tc>
        <w:tc>
          <w:tcPr>
            <w:tcW w:w="1800" w:type="dxa"/>
            <w:vAlign w:val="center"/>
          </w:tcPr>
          <w:p w14:paraId="3AF07C9C"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100-120</w:t>
            </w:r>
          </w:p>
        </w:tc>
      </w:tr>
      <w:tr w:rsidR="004E183F" w:rsidRPr="00CD7234" w14:paraId="0ADF73D5" w14:textId="77777777" w:rsidTr="00AA2F1E">
        <w:trPr>
          <w:trHeight w:val="432"/>
          <w:jc w:val="center"/>
        </w:trPr>
        <w:tc>
          <w:tcPr>
            <w:tcW w:w="895" w:type="dxa"/>
            <w:vAlign w:val="center"/>
          </w:tcPr>
          <w:p w14:paraId="2B8E206E"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6</w:t>
            </w:r>
          </w:p>
        </w:tc>
        <w:tc>
          <w:tcPr>
            <w:tcW w:w="1890" w:type="dxa"/>
            <w:vAlign w:val="center"/>
          </w:tcPr>
          <w:p w14:paraId="067EF115"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D15</w:t>
            </w:r>
          </w:p>
        </w:tc>
        <w:tc>
          <w:tcPr>
            <w:tcW w:w="2520" w:type="dxa"/>
            <w:vAlign w:val="center"/>
          </w:tcPr>
          <w:p w14:paraId="4EF3734B"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Inbred</w:t>
            </w:r>
          </w:p>
        </w:tc>
        <w:tc>
          <w:tcPr>
            <w:tcW w:w="1800" w:type="dxa"/>
            <w:vAlign w:val="center"/>
          </w:tcPr>
          <w:p w14:paraId="6C9AD4B7" w14:textId="77777777" w:rsidR="004E183F" w:rsidRPr="00CD7234" w:rsidRDefault="004E183F" w:rsidP="004E183F">
            <w:pPr>
              <w:spacing w:line="278" w:lineRule="auto"/>
              <w:jc w:val="center"/>
              <w:rPr>
                <w:rFonts w:ascii="Arial" w:hAnsi="Arial" w:cs="Arial"/>
                <w:iCs/>
                <w:sz w:val="20"/>
                <w:szCs w:val="20"/>
              </w:rPr>
            </w:pPr>
            <w:r w:rsidRPr="00CD7234">
              <w:rPr>
                <w:rFonts w:ascii="Arial" w:hAnsi="Arial" w:cs="Arial"/>
                <w:iCs/>
                <w:sz w:val="20"/>
                <w:szCs w:val="20"/>
              </w:rPr>
              <w:t>100-120</w:t>
            </w:r>
          </w:p>
        </w:tc>
      </w:tr>
    </w:tbl>
    <w:p w14:paraId="396B75E4" w14:textId="77777777" w:rsidR="004E183F" w:rsidRPr="00CD7234" w:rsidRDefault="004E183F" w:rsidP="004E183F">
      <w:pPr>
        <w:jc w:val="both"/>
        <w:rPr>
          <w:rFonts w:ascii="Arial" w:hAnsi="Arial" w:cs="Arial"/>
          <w:iCs/>
        </w:rPr>
      </w:pPr>
    </w:p>
    <w:p w14:paraId="6A96788D" w14:textId="77777777" w:rsidR="004E183F" w:rsidRDefault="004E183F" w:rsidP="004E183F">
      <w:pPr>
        <w:spacing w:after="120"/>
        <w:jc w:val="both"/>
        <w:rPr>
          <w:rFonts w:ascii="Arial" w:hAnsi="Arial" w:cs="Arial"/>
          <w:b/>
          <w:bCs/>
          <w:iCs/>
        </w:rPr>
      </w:pPr>
      <w:r w:rsidRPr="00796592">
        <w:rPr>
          <w:rFonts w:ascii="Arial" w:hAnsi="Arial" w:cs="Arial"/>
          <w:b/>
          <w:bCs/>
          <w:iCs/>
        </w:rPr>
        <w:t xml:space="preserve">Table </w:t>
      </w:r>
      <w:r>
        <w:rPr>
          <w:rFonts w:ascii="Arial" w:hAnsi="Arial" w:cs="Arial"/>
          <w:b/>
          <w:bCs/>
          <w:iCs/>
        </w:rPr>
        <w:t>2.</w:t>
      </w:r>
      <w:r w:rsidRPr="00796592">
        <w:rPr>
          <w:rFonts w:ascii="Arial" w:hAnsi="Arial" w:cs="Arial"/>
          <w:b/>
          <w:bCs/>
          <w:iCs/>
        </w:rPr>
        <w:t xml:space="preserve"> PGRs used in experiment</w:t>
      </w:r>
    </w:p>
    <w:tbl>
      <w:tblPr>
        <w:tblW w:w="6120" w:type="dxa"/>
        <w:jc w:val="center"/>
        <w:tblLook w:val="04A0" w:firstRow="1" w:lastRow="0" w:firstColumn="1" w:lastColumn="0" w:noHBand="0" w:noVBand="1"/>
      </w:tblPr>
      <w:tblGrid>
        <w:gridCol w:w="539"/>
        <w:gridCol w:w="2889"/>
        <w:gridCol w:w="2692"/>
      </w:tblGrid>
      <w:tr w:rsidR="004E183F" w:rsidRPr="00796592" w14:paraId="3FEC02BB" w14:textId="77777777" w:rsidTr="00AA2F1E">
        <w:trPr>
          <w:trHeight w:val="432"/>
          <w:jc w:val="center"/>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9BB96D" w14:textId="77777777" w:rsidR="004E183F" w:rsidRPr="00796592" w:rsidRDefault="004E183F" w:rsidP="004E183F">
            <w:pPr>
              <w:jc w:val="center"/>
              <w:rPr>
                <w:rFonts w:ascii="Arial" w:hAnsi="Arial" w:cs="Arial"/>
                <w:b/>
                <w:bCs/>
                <w:color w:val="000000"/>
              </w:rPr>
            </w:pPr>
            <w:r w:rsidRPr="00796592">
              <w:rPr>
                <w:rFonts w:ascii="Arial" w:hAnsi="Arial" w:cs="Arial"/>
                <w:b/>
                <w:bCs/>
                <w:color w:val="000000"/>
              </w:rPr>
              <w:t>No.</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14:paraId="56255C45" w14:textId="77777777" w:rsidR="004E183F" w:rsidRPr="00796592" w:rsidRDefault="004E183F" w:rsidP="004E183F">
            <w:pPr>
              <w:jc w:val="center"/>
              <w:rPr>
                <w:rFonts w:ascii="Arial" w:hAnsi="Arial" w:cs="Arial"/>
                <w:b/>
                <w:bCs/>
                <w:color w:val="000000"/>
              </w:rPr>
            </w:pPr>
            <w:r w:rsidRPr="00796592">
              <w:rPr>
                <w:rFonts w:ascii="Arial" w:hAnsi="Arial" w:cs="Arial"/>
                <w:b/>
                <w:bCs/>
                <w:color w:val="000000"/>
              </w:rPr>
              <w:t xml:space="preserve">Plant growth regulators </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14:paraId="72519C74" w14:textId="77777777" w:rsidR="004E183F" w:rsidRPr="00796592" w:rsidRDefault="004E183F" w:rsidP="004E183F">
            <w:pPr>
              <w:jc w:val="center"/>
              <w:rPr>
                <w:rFonts w:ascii="Arial" w:hAnsi="Arial" w:cs="Arial"/>
                <w:b/>
                <w:bCs/>
                <w:color w:val="000000"/>
              </w:rPr>
            </w:pPr>
            <w:r w:rsidRPr="00796592">
              <w:rPr>
                <w:rFonts w:ascii="Arial" w:hAnsi="Arial" w:cs="Arial"/>
                <w:b/>
                <w:bCs/>
                <w:color w:val="000000"/>
              </w:rPr>
              <w:t xml:space="preserve">Concentration </w:t>
            </w:r>
            <w:r>
              <w:rPr>
                <w:rFonts w:ascii="Arial" w:hAnsi="Arial" w:cs="Arial"/>
                <w:b/>
                <w:bCs/>
                <w:color w:val="000000"/>
              </w:rPr>
              <w:t>(</w:t>
            </w:r>
            <w:r w:rsidRPr="00796592">
              <w:rPr>
                <w:rFonts w:ascii="Arial" w:hAnsi="Arial" w:cs="Arial"/>
                <w:b/>
                <w:bCs/>
                <w:color w:val="000000"/>
              </w:rPr>
              <w:t>mg</w:t>
            </w:r>
            <w:r w:rsidRPr="00796592">
              <w:rPr>
                <w:rFonts w:ascii="Arial" w:hAnsi="Arial" w:cs="Arial"/>
                <w:b/>
                <w:bCs/>
                <w:color w:val="000000"/>
                <w:vertAlign w:val="superscript"/>
              </w:rPr>
              <w:t>-1</w:t>
            </w:r>
            <w:r>
              <w:rPr>
                <w:rFonts w:ascii="Arial" w:hAnsi="Arial" w:cs="Arial"/>
                <w:b/>
                <w:bCs/>
                <w:color w:val="000000"/>
              </w:rPr>
              <w:t>)</w:t>
            </w:r>
          </w:p>
        </w:tc>
      </w:tr>
      <w:tr w:rsidR="004E183F" w:rsidRPr="00796592" w14:paraId="7D6F066B"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5C318BAF" w14:textId="77777777" w:rsidR="004E183F" w:rsidRPr="00796592" w:rsidRDefault="004E183F" w:rsidP="004E183F">
            <w:pPr>
              <w:jc w:val="center"/>
              <w:rPr>
                <w:rFonts w:ascii="Arial" w:hAnsi="Arial" w:cs="Arial"/>
                <w:color w:val="000000"/>
              </w:rPr>
            </w:pPr>
            <w:r w:rsidRPr="00796592">
              <w:rPr>
                <w:rFonts w:ascii="Arial" w:hAnsi="Arial" w:cs="Arial"/>
                <w:color w:val="000000"/>
              </w:rPr>
              <w:t>A.</w:t>
            </w:r>
          </w:p>
        </w:tc>
        <w:tc>
          <w:tcPr>
            <w:tcW w:w="2900" w:type="dxa"/>
            <w:tcBorders>
              <w:top w:val="nil"/>
              <w:left w:val="nil"/>
              <w:bottom w:val="single" w:sz="8" w:space="0" w:color="auto"/>
              <w:right w:val="single" w:sz="8" w:space="0" w:color="auto"/>
            </w:tcBorders>
            <w:shd w:val="clear" w:color="auto" w:fill="auto"/>
            <w:vAlign w:val="center"/>
            <w:hideMark/>
          </w:tcPr>
          <w:p w14:paraId="73C8AAE9" w14:textId="77777777" w:rsidR="004E183F" w:rsidRPr="00796592" w:rsidRDefault="004E183F" w:rsidP="004E183F">
            <w:pPr>
              <w:jc w:val="center"/>
              <w:rPr>
                <w:rFonts w:ascii="Arial" w:hAnsi="Arial" w:cs="Arial"/>
                <w:color w:val="000000"/>
              </w:rPr>
            </w:pPr>
            <w:r w:rsidRPr="00796592">
              <w:rPr>
                <w:rFonts w:ascii="Arial" w:hAnsi="Arial" w:cs="Arial"/>
                <w:color w:val="000000"/>
              </w:rPr>
              <w:t xml:space="preserve">2,4-D + Kinetin  </w:t>
            </w:r>
          </w:p>
        </w:tc>
        <w:tc>
          <w:tcPr>
            <w:tcW w:w="2700" w:type="dxa"/>
            <w:tcBorders>
              <w:top w:val="nil"/>
              <w:left w:val="nil"/>
              <w:bottom w:val="single" w:sz="8" w:space="0" w:color="auto"/>
              <w:right w:val="single" w:sz="8" w:space="0" w:color="auto"/>
            </w:tcBorders>
            <w:shd w:val="clear" w:color="auto" w:fill="auto"/>
            <w:vAlign w:val="center"/>
            <w:hideMark/>
          </w:tcPr>
          <w:p w14:paraId="7451B3E3" w14:textId="77777777" w:rsidR="004E183F" w:rsidRPr="00796592" w:rsidRDefault="004E183F" w:rsidP="004E183F">
            <w:pPr>
              <w:jc w:val="center"/>
              <w:rPr>
                <w:rFonts w:ascii="Arial" w:hAnsi="Arial" w:cs="Arial"/>
                <w:color w:val="000000"/>
              </w:rPr>
            </w:pPr>
            <w:r w:rsidRPr="00796592">
              <w:rPr>
                <w:rFonts w:ascii="Arial" w:hAnsi="Arial" w:cs="Arial"/>
                <w:color w:val="000000"/>
              </w:rPr>
              <w:t>2.0 + 1.5</w:t>
            </w:r>
          </w:p>
        </w:tc>
      </w:tr>
      <w:tr w:rsidR="004E183F" w:rsidRPr="00796592" w14:paraId="2A267892"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275639EC" w14:textId="77777777" w:rsidR="004E183F" w:rsidRPr="00796592" w:rsidRDefault="004E183F" w:rsidP="004E183F">
            <w:pPr>
              <w:jc w:val="center"/>
              <w:rPr>
                <w:rFonts w:ascii="Arial" w:hAnsi="Arial" w:cs="Arial"/>
                <w:color w:val="000000"/>
              </w:rPr>
            </w:pPr>
            <w:r w:rsidRPr="00796592">
              <w:rPr>
                <w:rFonts w:ascii="Arial" w:hAnsi="Arial" w:cs="Arial"/>
                <w:color w:val="000000"/>
              </w:rPr>
              <w:t>B.</w:t>
            </w:r>
          </w:p>
        </w:tc>
        <w:tc>
          <w:tcPr>
            <w:tcW w:w="2900" w:type="dxa"/>
            <w:tcBorders>
              <w:top w:val="nil"/>
              <w:left w:val="nil"/>
              <w:bottom w:val="single" w:sz="8" w:space="0" w:color="auto"/>
              <w:right w:val="single" w:sz="8" w:space="0" w:color="auto"/>
            </w:tcBorders>
            <w:shd w:val="clear" w:color="auto" w:fill="auto"/>
            <w:vAlign w:val="center"/>
            <w:hideMark/>
          </w:tcPr>
          <w:p w14:paraId="31F8E0BC" w14:textId="77777777" w:rsidR="004E183F" w:rsidRPr="00796592" w:rsidRDefault="004E183F" w:rsidP="004E183F">
            <w:pPr>
              <w:jc w:val="center"/>
              <w:rPr>
                <w:rFonts w:ascii="Arial" w:hAnsi="Arial" w:cs="Arial"/>
                <w:color w:val="000000"/>
              </w:rPr>
            </w:pPr>
            <w:r w:rsidRPr="00796592">
              <w:rPr>
                <w:rFonts w:ascii="Arial" w:hAnsi="Arial" w:cs="Arial"/>
                <w:color w:val="000000"/>
              </w:rPr>
              <w:t xml:space="preserve">2,4-D + NAA </w:t>
            </w:r>
          </w:p>
        </w:tc>
        <w:tc>
          <w:tcPr>
            <w:tcW w:w="2700" w:type="dxa"/>
            <w:tcBorders>
              <w:top w:val="nil"/>
              <w:left w:val="nil"/>
              <w:bottom w:val="single" w:sz="8" w:space="0" w:color="auto"/>
              <w:right w:val="single" w:sz="8" w:space="0" w:color="auto"/>
            </w:tcBorders>
            <w:shd w:val="clear" w:color="auto" w:fill="auto"/>
            <w:vAlign w:val="center"/>
            <w:hideMark/>
          </w:tcPr>
          <w:p w14:paraId="33D26982" w14:textId="77777777" w:rsidR="004E183F" w:rsidRPr="00796592" w:rsidRDefault="004E183F" w:rsidP="004E183F">
            <w:pPr>
              <w:jc w:val="center"/>
              <w:rPr>
                <w:rFonts w:ascii="Arial" w:hAnsi="Arial" w:cs="Arial"/>
                <w:color w:val="000000"/>
              </w:rPr>
            </w:pPr>
            <w:r w:rsidRPr="00796592">
              <w:rPr>
                <w:rFonts w:ascii="Arial" w:hAnsi="Arial" w:cs="Arial"/>
                <w:color w:val="000000"/>
              </w:rPr>
              <w:t>2.0 + 2.0</w:t>
            </w:r>
          </w:p>
        </w:tc>
      </w:tr>
      <w:tr w:rsidR="004E183F" w:rsidRPr="00796592" w14:paraId="62E9FA32"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20EC3270" w14:textId="77777777" w:rsidR="004E183F" w:rsidRPr="00796592" w:rsidRDefault="004E183F" w:rsidP="004E183F">
            <w:pPr>
              <w:jc w:val="center"/>
              <w:rPr>
                <w:rFonts w:ascii="Arial" w:hAnsi="Arial" w:cs="Arial"/>
                <w:color w:val="000000"/>
              </w:rPr>
            </w:pPr>
            <w:r w:rsidRPr="00796592">
              <w:rPr>
                <w:rFonts w:ascii="Arial" w:hAnsi="Arial" w:cs="Arial"/>
                <w:color w:val="000000"/>
              </w:rPr>
              <w:t>C.</w:t>
            </w:r>
          </w:p>
        </w:tc>
        <w:tc>
          <w:tcPr>
            <w:tcW w:w="2900" w:type="dxa"/>
            <w:tcBorders>
              <w:top w:val="nil"/>
              <w:left w:val="nil"/>
              <w:bottom w:val="single" w:sz="8" w:space="0" w:color="auto"/>
              <w:right w:val="single" w:sz="8" w:space="0" w:color="auto"/>
            </w:tcBorders>
            <w:shd w:val="clear" w:color="auto" w:fill="auto"/>
            <w:vAlign w:val="center"/>
            <w:hideMark/>
          </w:tcPr>
          <w:p w14:paraId="2057AB69" w14:textId="77777777" w:rsidR="004E183F" w:rsidRPr="00796592" w:rsidRDefault="004E183F" w:rsidP="004E183F">
            <w:pPr>
              <w:jc w:val="center"/>
              <w:rPr>
                <w:rFonts w:ascii="Arial" w:hAnsi="Arial" w:cs="Arial"/>
                <w:color w:val="000000"/>
              </w:rPr>
            </w:pPr>
            <w:r w:rsidRPr="00796592">
              <w:rPr>
                <w:rFonts w:ascii="Arial" w:hAnsi="Arial" w:cs="Arial"/>
                <w:color w:val="000000"/>
              </w:rPr>
              <w:t>2,4-D + Kinetin</w:t>
            </w:r>
          </w:p>
        </w:tc>
        <w:tc>
          <w:tcPr>
            <w:tcW w:w="2700" w:type="dxa"/>
            <w:tcBorders>
              <w:top w:val="nil"/>
              <w:left w:val="nil"/>
              <w:bottom w:val="single" w:sz="8" w:space="0" w:color="auto"/>
              <w:right w:val="single" w:sz="8" w:space="0" w:color="auto"/>
            </w:tcBorders>
            <w:shd w:val="clear" w:color="auto" w:fill="auto"/>
            <w:vAlign w:val="center"/>
            <w:hideMark/>
          </w:tcPr>
          <w:p w14:paraId="5E57A1E0" w14:textId="77777777" w:rsidR="004E183F" w:rsidRPr="00796592" w:rsidRDefault="004E183F" w:rsidP="004E183F">
            <w:pPr>
              <w:jc w:val="center"/>
              <w:rPr>
                <w:rFonts w:ascii="Arial" w:hAnsi="Arial" w:cs="Arial"/>
                <w:color w:val="000000"/>
              </w:rPr>
            </w:pPr>
            <w:r w:rsidRPr="00796592">
              <w:rPr>
                <w:rFonts w:ascii="Arial" w:hAnsi="Arial" w:cs="Arial"/>
                <w:color w:val="000000"/>
              </w:rPr>
              <w:t>2.5 + 1.5</w:t>
            </w:r>
          </w:p>
        </w:tc>
      </w:tr>
      <w:tr w:rsidR="004E183F" w:rsidRPr="00796592" w14:paraId="7EE2ED28"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4530389D" w14:textId="77777777" w:rsidR="004E183F" w:rsidRPr="00796592" w:rsidRDefault="004E183F" w:rsidP="004E183F">
            <w:pPr>
              <w:jc w:val="center"/>
              <w:rPr>
                <w:rFonts w:ascii="Arial" w:hAnsi="Arial" w:cs="Arial"/>
                <w:color w:val="000000"/>
              </w:rPr>
            </w:pPr>
            <w:r w:rsidRPr="00796592">
              <w:rPr>
                <w:rFonts w:ascii="Arial" w:hAnsi="Arial" w:cs="Arial"/>
                <w:color w:val="000000"/>
              </w:rPr>
              <w:t>D.</w:t>
            </w:r>
          </w:p>
        </w:tc>
        <w:tc>
          <w:tcPr>
            <w:tcW w:w="2900" w:type="dxa"/>
            <w:tcBorders>
              <w:top w:val="nil"/>
              <w:left w:val="nil"/>
              <w:bottom w:val="single" w:sz="8" w:space="0" w:color="auto"/>
              <w:right w:val="single" w:sz="8" w:space="0" w:color="auto"/>
            </w:tcBorders>
            <w:shd w:val="clear" w:color="auto" w:fill="auto"/>
            <w:vAlign w:val="center"/>
            <w:hideMark/>
          </w:tcPr>
          <w:p w14:paraId="65F8C0D1" w14:textId="77777777" w:rsidR="004E183F" w:rsidRPr="00796592" w:rsidRDefault="004E183F" w:rsidP="004E183F">
            <w:pPr>
              <w:jc w:val="center"/>
              <w:rPr>
                <w:rFonts w:ascii="Arial" w:hAnsi="Arial" w:cs="Arial"/>
                <w:color w:val="000000"/>
              </w:rPr>
            </w:pPr>
            <w:r w:rsidRPr="00796592">
              <w:rPr>
                <w:rFonts w:ascii="Arial" w:hAnsi="Arial" w:cs="Arial"/>
                <w:color w:val="000000"/>
              </w:rPr>
              <w:t xml:space="preserve">TIBA </w:t>
            </w:r>
          </w:p>
        </w:tc>
        <w:tc>
          <w:tcPr>
            <w:tcW w:w="2700" w:type="dxa"/>
            <w:tcBorders>
              <w:top w:val="nil"/>
              <w:left w:val="nil"/>
              <w:bottom w:val="single" w:sz="8" w:space="0" w:color="auto"/>
              <w:right w:val="single" w:sz="8" w:space="0" w:color="auto"/>
            </w:tcBorders>
            <w:shd w:val="clear" w:color="auto" w:fill="auto"/>
            <w:vAlign w:val="center"/>
            <w:hideMark/>
          </w:tcPr>
          <w:p w14:paraId="1309ED57" w14:textId="77777777" w:rsidR="004E183F" w:rsidRPr="00796592" w:rsidRDefault="004E183F" w:rsidP="004E183F">
            <w:pPr>
              <w:jc w:val="center"/>
              <w:rPr>
                <w:rFonts w:ascii="Arial" w:hAnsi="Arial" w:cs="Arial"/>
                <w:color w:val="000000"/>
              </w:rPr>
            </w:pPr>
            <w:r w:rsidRPr="00796592">
              <w:rPr>
                <w:rFonts w:ascii="Arial" w:hAnsi="Arial" w:cs="Arial"/>
                <w:color w:val="000000"/>
              </w:rPr>
              <w:t>0.05</w:t>
            </w:r>
          </w:p>
        </w:tc>
      </w:tr>
      <w:tr w:rsidR="004E183F" w:rsidRPr="00796592" w14:paraId="16D77A47"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62B10D77" w14:textId="77777777" w:rsidR="004E183F" w:rsidRPr="00796592" w:rsidRDefault="004E183F" w:rsidP="004E183F">
            <w:pPr>
              <w:jc w:val="center"/>
              <w:rPr>
                <w:rFonts w:ascii="Arial" w:hAnsi="Arial" w:cs="Arial"/>
                <w:color w:val="000000"/>
              </w:rPr>
            </w:pPr>
            <w:r w:rsidRPr="00796592">
              <w:rPr>
                <w:rFonts w:ascii="Arial" w:hAnsi="Arial" w:cs="Arial"/>
                <w:color w:val="000000"/>
              </w:rPr>
              <w:t>E.</w:t>
            </w:r>
          </w:p>
        </w:tc>
        <w:tc>
          <w:tcPr>
            <w:tcW w:w="2900" w:type="dxa"/>
            <w:tcBorders>
              <w:top w:val="nil"/>
              <w:left w:val="nil"/>
              <w:bottom w:val="single" w:sz="8" w:space="0" w:color="auto"/>
              <w:right w:val="single" w:sz="8" w:space="0" w:color="auto"/>
            </w:tcBorders>
            <w:shd w:val="clear" w:color="auto" w:fill="auto"/>
            <w:vAlign w:val="center"/>
            <w:hideMark/>
          </w:tcPr>
          <w:p w14:paraId="3D5E8AD6" w14:textId="77777777" w:rsidR="004E183F" w:rsidRPr="00796592" w:rsidRDefault="004E183F" w:rsidP="004E183F">
            <w:pPr>
              <w:jc w:val="center"/>
              <w:rPr>
                <w:rFonts w:ascii="Arial" w:hAnsi="Arial" w:cs="Arial"/>
                <w:color w:val="000000"/>
              </w:rPr>
            </w:pPr>
            <w:commentRangeStart w:id="5"/>
            <w:r w:rsidRPr="00796592">
              <w:rPr>
                <w:rFonts w:ascii="Arial" w:hAnsi="Arial" w:cs="Arial"/>
                <w:color w:val="000000"/>
              </w:rPr>
              <w:t>TIBA</w:t>
            </w:r>
            <w:commentRangeEnd w:id="5"/>
            <w:r w:rsidR="0078447E">
              <w:rPr>
                <w:rStyle w:val="CommentReference"/>
                <w:rFonts w:ascii="Times New Roman" w:hAnsi="Times New Roman"/>
                <w:lang w:val="nb-NO" w:eastAsia="nb-NO"/>
              </w:rPr>
              <w:commentReference w:id="5"/>
            </w:r>
          </w:p>
        </w:tc>
        <w:tc>
          <w:tcPr>
            <w:tcW w:w="2700" w:type="dxa"/>
            <w:tcBorders>
              <w:top w:val="nil"/>
              <w:left w:val="nil"/>
              <w:bottom w:val="single" w:sz="8" w:space="0" w:color="auto"/>
              <w:right w:val="single" w:sz="8" w:space="0" w:color="auto"/>
            </w:tcBorders>
            <w:shd w:val="clear" w:color="auto" w:fill="auto"/>
            <w:vAlign w:val="center"/>
            <w:hideMark/>
          </w:tcPr>
          <w:p w14:paraId="6F011033" w14:textId="77777777" w:rsidR="004E183F" w:rsidRPr="00796592" w:rsidRDefault="004E183F" w:rsidP="004E183F">
            <w:pPr>
              <w:jc w:val="center"/>
              <w:rPr>
                <w:rFonts w:ascii="Arial" w:hAnsi="Arial" w:cs="Arial"/>
                <w:color w:val="000000"/>
              </w:rPr>
            </w:pPr>
            <w:r w:rsidRPr="00796592">
              <w:rPr>
                <w:rFonts w:ascii="Arial" w:hAnsi="Arial" w:cs="Arial"/>
                <w:color w:val="000000"/>
              </w:rPr>
              <w:t>0.1</w:t>
            </w:r>
          </w:p>
        </w:tc>
      </w:tr>
      <w:tr w:rsidR="004E183F" w:rsidRPr="00796592" w14:paraId="60DC69F3" w14:textId="77777777" w:rsidTr="00AA2F1E">
        <w:trPr>
          <w:trHeight w:val="432"/>
          <w:jc w:val="center"/>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637AB21C" w14:textId="77777777" w:rsidR="004E183F" w:rsidRPr="00796592" w:rsidRDefault="004E183F" w:rsidP="004E183F">
            <w:pPr>
              <w:jc w:val="center"/>
              <w:rPr>
                <w:rFonts w:ascii="Arial" w:hAnsi="Arial" w:cs="Arial"/>
                <w:color w:val="000000"/>
              </w:rPr>
            </w:pPr>
            <w:r w:rsidRPr="00796592">
              <w:rPr>
                <w:rFonts w:ascii="Arial" w:hAnsi="Arial" w:cs="Arial"/>
                <w:color w:val="000000"/>
              </w:rPr>
              <w:t>F.</w:t>
            </w:r>
          </w:p>
        </w:tc>
        <w:tc>
          <w:tcPr>
            <w:tcW w:w="2900" w:type="dxa"/>
            <w:tcBorders>
              <w:top w:val="nil"/>
              <w:left w:val="nil"/>
              <w:bottom w:val="single" w:sz="8" w:space="0" w:color="auto"/>
              <w:right w:val="single" w:sz="8" w:space="0" w:color="auto"/>
            </w:tcBorders>
            <w:shd w:val="clear" w:color="auto" w:fill="auto"/>
            <w:vAlign w:val="center"/>
            <w:hideMark/>
          </w:tcPr>
          <w:p w14:paraId="750FBE7A" w14:textId="77777777" w:rsidR="004E183F" w:rsidRPr="00796592" w:rsidRDefault="004E183F" w:rsidP="004E183F">
            <w:pPr>
              <w:jc w:val="center"/>
              <w:rPr>
                <w:rFonts w:ascii="Arial" w:hAnsi="Arial" w:cs="Arial"/>
                <w:color w:val="000000"/>
              </w:rPr>
            </w:pPr>
            <w:r w:rsidRPr="00796592">
              <w:rPr>
                <w:rFonts w:ascii="Arial" w:hAnsi="Arial" w:cs="Arial"/>
                <w:color w:val="000000"/>
              </w:rPr>
              <w:t>TIBA</w:t>
            </w:r>
          </w:p>
        </w:tc>
        <w:tc>
          <w:tcPr>
            <w:tcW w:w="2700" w:type="dxa"/>
            <w:tcBorders>
              <w:top w:val="nil"/>
              <w:left w:val="nil"/>
              <w:bottom w:val="single" w:sz="8" w:space="0" w:color="auto"/>
              <w:right w:val="single" w:sz="8" w:space="0" w:color="auto"/>
            </w:tcBorders>
            <w:shd w:val="clear" w:color="auto" w:fill="auto"/>
            <w:vAlign w:val="center"/>
            <w:hideMark/>
          </w:tcPr>
          <w:p w14:paraId="780B3425" w14:textId="77777777" w:rsidR="004E183F" w:rsidRPr="00796592" w:rsidRDefault="004E183F" w:rsidP="004E183F">
            <w:pPr>
              <w:jc w:val="center"/>
              <w:rPr>
                <w:rFonts w:ascii="Arial" w:hAnsi="Arial" w:cs="Arial"/>
                <w:color w:val="000000"/>
              </w:rPr>
            </w:pPr>
            <w:r w:rsidRPr="00796592">
              <w:rPr>
                <w:rFonts w:ascii="Arial" w:hAnsi="Arial" w:cs="Arial"/>
                <w:color w:val="000000"/>
              </w:rPr>
              <w:t>0.15</w:t>
            </w:r>
          </w:p>
        </w:tc>
      </w:tr>
    </w:tbl>
    <w:p w14:paraId="02D96885" w14:textId="77777777" w:rsidR="004E183F" w:rsidRDefault="004E183F" w:rsidP="004E183F">
      <w:pPr>
        <w:jc w:val="both"/>
        <w:rPr>
          <w:rFonts w:ascii="Arial" w:hAnsi="Arial" w:cs="Arial"/>
          <w:iCs/>
        </w:rPr>
      </w:pPr>
    </w:p>
    <w:p w14:paraId="56A30E04" w14:textId="77777777" w:rsidR="00902823" w:rsidRDefault="00000F8F" w:rsidP="00997E1A">
      <w:pPr>
        <w:pStyle w:val="Head1"/>
        <w:spacing w:after="12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4985D7D" w14:textId="0B50E5A2" w:rsidR="00997E1A" w:rsidRDefault="00997E1A" w:rsidP="00997E1A">
      <w:pPr>
        <w:pStyle w:val="Head1"/>
        <w:spacing w:before="120" w:after="120"/>
        <w:rPr>
          <w:rFonts w:ascii="Arial" w:hAnsi="Arial" w:cs="Arial"/>
          <w:bCs/>
          <w:iCs/>
          <w:caps w:val="0"/>
        </w:rPr>
      </w:pPr>
      <w:r w:rsidRPr="004E183F">
        <w:rPr>
          <w:rFonts w:ascii="Arial" w:hAnsi="Arial" w:cs="Arial"/>
          <w:bCs/>
          <w:iCs/>
          <w:caps w:val="0"/>
        </w:rPr>
        <w:t xml:space="preserve">3.1 </w:t>
      </w:r>
      <w:r>
        <w:rPr>
          <w:rFonts w:ascii="Arial" w:hAnsi="Arial" w:cs="Arial"/>
          <w:bCs/>
          <w:iCs/>
          <w:caps w:val="0"/>
        </w:rPr>
        <w:t>D</w:t>
      </w:r>
      <w:r w:rsidRPr="004E183F">
        <w:rPr>
          <w:rFonts w:ascii="Arial" w:hAnsi="Arial" w:cs="Arial"/>
          <w:bCs/>
          <w:iCs/>
          <w:caps w:val="0"/>
        </w:rPr>
        <w:t xml:space="preserve">etermination of </w:t>
      </w:r>
      <w:r>
        <w:rPr>
          <w:rFonts w:ascii="Arial" w:hAnsi="Arial" w:cs="Arial"/>
          <w:bCs/>
          <w:iCs/>
          <w:caps w:val="0"/>
        </w:rPr>
        <w:t>M</w:t>
      </w:r>
      <w:r w:rsidRPr="004E183F">
        <w:rPr>
          <w:rFonts w:ascii="Arial" w:hAnsi="Arial" w:cs="Arial"/>
          <w:bCs/>
          <w:iCs/>
          <w:caps w:val="0"/>
        </w:rPr>
        <w:t xml:space="preserve">icrospore </w:t>
      </w:r>
      <w:r>
        <w:rPr>
          <w:rFonts w:ascii="Arial" w:hAnsi="Arial" w:cs="Arial"/>
          <w:bCs/>
          <w:iCs/>
          <w:caps w:val="0"/>
        </w:rPr>
        <w:t>D</w:t>
      </w:r>
      <w:r w:rsidRPr="004E183F">
        <w:rPr>
          <w:rFonts w:ascii="Arial" w:hAnsi="Arial" w:cs="Arial"/>
          <w:bCs/>
          <w:iCs/>
          <w:caps w:val="0"/>
        </w:rPr>
        <w:t xml:space="preserve">evelopmental </w:t>
      </w:r>
      <w:r>
        <w:rPr>
          <w:rFonts w:ascii="Arial" w:hAnsi="Arial" w:cs="Arial"/>
          <w:bCs/>
          <w:iCs/>
          <w:caps w:val="0"/>
        </w:rPr>
        <w:t>S</w:t>
      </w:r>
      <w:r w:rsidRPr="004E183F">
        <w:rPr>
          <w:rFonts w:ascii="Arial" w:hAnsi="Arial" w:cs="Arial"/>
          <w:bCs/>
          <w:iCs/>
          <w:caps w:val="0"/>
        </w:rPr>
        <w:t>tages</w:t>
      </w:r>
    </w:p>
    <w:p w14:paraId="0AB091AC" w14:textId="674248BB" w:rsidR="00A91804" w:rsidRDefault="00A91804" w:rsidP="00997E1A">
      <w:pPr>
        <w:pStyle w:val="Head1"/>
        <w:spacing w:before="120" w:after="120"/>
        <w:rPr>
          <w:rFonts w:ascii="Arial" w:hAnsi="Arial" w:cs="Arial"/>
          <w:bCs/>
          <w:iCs/>
          <w:caps w:val="0"/>
        </w:rPr>
      </w:pPr>
      <w:r>
        <w:rPr>
          <w:rFonts w:ascii="Arial" w:hAnsi="Arial" w:cs="Arial"/>
          <w:noProof/>
        </w:rPr>
        <w:drawing>
          <wp:anchor distT="0" distB="0" distL="114300" distR="114300" simplePos="0" relativeHeight="251661824" behindDoc="0" locked="0" layoutInCell="1" allowOverlap="1" wp14:anchorId="74ED127C" wp14:editId="45EB161C">
            <wp:simplePos x="0" y="0"/>
            <wp:positionH relativeFrom="column">
              <wp:posOffset>0</wp:posOffset>
            </wp:positionH>
            <wp:positionV relativeFrom="paragraph">
              <wp:posOffset>236855</wp:posOffset>
            </wp:positionV>
            <wp:extent cx="4550410" cy="3035300"/>
            <wp:effectExtent l="0" t="0" r="2540" b="0"/>
            <wp:wrapTopAndBottom/>
            <wp:docPr id="1509528850"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28850" name="Picture 1" descr="A graph of different colored bar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0410" cy="3035300"/>
                    </a:xfrm>
                    <a:prstGeom prst="rect">
                      <a:avLst/>
                    </a:prstGeom>
                    <a:noFill/>
                  </pic:spPr>
                </pic:pic>
              </a:graphicData>
            </a:graphic>
            <wp14:sizeRelH relativeFrom="margin">
              <wp14:pctWidth>0</wp14:pctWidth>
            </wp14:sizeRelH>
            <wp14:sizeRelV relativeFrom="margin">
              <wp14:pctHeight>0</wp14:pctHeight>
            </wp14:sizeRelV>
          </wp:anchor>
        </w:drawing>
      </w:r>
    </w:p>
    <w:p w14:paraId="58C9F28F" w14:textId="53A37A39" w:rsidR="00A91804" w:rsidRPr="00A91804" w:rsidRDefault="00A91804" w:rsidP="00A91804">
      <w:pPr>
        <w:spacing w:after="120"/>
        <w:jc w:val="both"/>
        <w:rPr>
          <w:rFonts w:ascii="Arial" w:hAnsi="Arial" w:cs="Arial"/>
          <w:b/>
          <w:bCs/>
          <w:iCs/>
        </w:rPr>
      </w:pPr>
      <w:r w:rsidRPr="00F05C10">
        <w:rPr>
          <w:rFonts w:ascii="Arial" w:hAnsi="Arial" w:cs="Arial"/>
          <w:b/>
          <w:bCs/>
          <w:iCs/>
        </w:rPr>
        <w:t xml:space="preserve">Figure 1. Genotypic Differences in Microspore Development Stages </w:t>
      </w:r>
    </w:p>
    <w:p w14:paraId="28AC0C9B" w14:textId="1DFB9D30" w:rsidR="004E183F" w:rsidRPr="004E183F" w:rsidRDefault="00997E1A" w:rsidP="00997E1A">
      <w:pPr>
        <w:pStyle w:val="Head1"/>
        <w:spacing w:before="120" w:after="120"/>
        <w:rPr>
          <w:rFonts w:ascii="Arial" w:hAnsi="Arial" w:cs="Arial"/>
          <w:bCs/>
          <w:iCs/>
          <w:caps w:val="0"/>
        </w:rPr>
      </w:pPr>
      <w:r w:rsidRPr="00997E1A">
        <w:rPr>
          <w:rFonts w:ascii="Arial" w:hAnsi="Arial" w:cs="Arial"/>
          <w:bCs/>
          <w:iCs/>
          <w:caps w:val="0"/>
        </w:rPr>
        <w:t xml:space="preserve">3.1.1 </w:t>
      </w:r>
      <w:r>
        <w:rPr>
          <w:rFonts w:ascii="Arial" w:hAnsi="Arial" w:cs="Arial"/>
          <w:bCs/>
          <w:iCs/>
          <w:caps w:val="0"/>
        </w:rPr>
        <w:t>M</w:t>
      </w:r>
      <w:r w:rsidRPr="00997E1A">
        <w:rPr>
          <w:rFonts w:ascii="Arial" w:hAnsi="Arial" w:cs="Arial"/>
          <w:bCs/>
          <w:iCs/>
          <w:caps w:val="0"/>
        </w:rPr>
        <w:t xml:space="preserve">icrospore </w:t>
      </w:r>
      <w:r>
        <w:rPr>
          <w:rFonts w:ascii="Arial" w:hAnsi="Arial" w:cs="Arial"/>
          <w:bCs/>
          <w:iCs/>
          <w:caps w:val="0"/>
        </w:rPr>
        <w:t>D</w:t>
      </w:r>
      <w:r w:rsidRPr="00997E1A">
        <w:rPr>
          <w:rFonts w:ascii="Arial" w:hAnsi="Arial" w:cs="Arial"/>
          <w:bCs/>
          <w:iCs/>
          <w:caps w:val="0"/>
        </w:rPr>
        <w:t xml:space="preserve">evelopmental </w:t>
      </w:r>
      <w:r>
        <w:rPr>
          <w:rFonts w:ascii="Arial" w:hAnsi="Arial" w:cs="Arial"/>
          <w:bCs/>
          <w:iCs/>
          <w:caps w:val="0"/>
        </w:rPr>
        <w:t>S</w:t>
      </w:r>
      <w:r w:rsidRPr="00997E1A">
        <w:rPr>
          <w:rFonts w:ascii="Arial" w:hAnsi="Arial" w:cs="Arial"/>
          <w:bCs/>
          <w:iCs/>
          <w:caps w:val="0"/>
        </w:rPr>
        <w:t xml:space="preserve">tage </w:t>
      </w:r>
      <w:r>
        <w:rPr>
          <w:rFonts w:ascii="Arial" w:hAnsi="Arial" w:cs="Arial"/>
          <w:bCs/>
          <w:iCs/>
          <w:caps w:val="0"/>
        </w:rPr>
        <w:t>D</w:t>
      </w:r>
      <w:r w:rsidRPr="00997E1A">
        <w:rPr>
          <w:rFonts w:ascii="Arial" w:hAnsi="Arial" w:cs="Arial"/>
          <w:bCs/>
          <w:iCs/>
          <w:caps w:val="0"/>
        </w:rPr>
        <w:t xml:space="preserve">istribution </w:t>
      </w:r>
      <w:r>
        <w:rPr>
          <w:rFonts w:ascii="Arial" w:hAnsi="Arial" w:cs="Arial"/>
          <w:bCs/>
          <w:iCs/>
          <w:caps w:val="0"/>
        </w:rPr>
        <w:t>A</w:t>
      </w:r>
      <w:r w:rsidRPr="00997E1A">
        <w:rPr>
          <w:rFonts w:ascii="Arial" w:hAnsi="Arial" w:cs="Arial"/>
          <w:bCs/>
          <w:iCs/>
          <w:caps w:val="0"/>
        </w:rPr>
        <w:t xml:space="preserve">mong </w:t>
      </w:r>
      <w:r>
        <w:rPr>
          <w:rFonts w:ascii="Arial" w:hAnsi="Arial" w:cs="Arial"/>
          <w:bCs/>
          <w:iCs/>
          <w:caps w:val="0"/>
        </w:rPr>
        <w:t>G</w:t>
      </w:r>
      <w:r w:rsidRPr="00997E1A">
        <w:rPr>
          <w:rFonts w:ascii="Arial" w:hAnsi="Arial" w:cs="Arial"/>
          <w:bCs/>
          <w:iCs/>
          <w:caps w:val="0"/>
        </w:rPr>
        <w:t>enotypes</w:t>
      </w:r>
    </w:p>
    <w:p w14:paraId="3463B2BF" w14:textId="77777777" w:rsidR="004E183F" w:rsidRPr="00F05C10" w:rsidRDefault="004E183F" w:rsidP="004E183F">
      <w:pPr>
        <w:spacing w:after="160" w:line="278" w:lineRule="auto"/>
        <w:ind w:firstLine="720"/>
        <w:jc w:val="both"/>
        <w:rPr>
          <w:rFonts w:ascii="Arial" w:hAnsi="Arial" w:cs="Arial"/>
          <w:iCs/>
        </w:rPr>
      </w:pPr>
      <w:r w:rsidRPr="00F05C10">
        <w:rPr>
          <w:rFonts w:ascii="Arial" w:hAnsi="Arial" w:cs="Arial"/>
          <w:iCs/>
        </w:rPr>
        <w:t>Microscopic examination revealed significant variation in microspore developmental stages among the evaluated maize genotypes (Figure</w:t>
      </w:r>
      <w:r>
        <w:rPr>
          <w:rFonts w:ascii="Arial" w:hAnsi="Arial" w:cs="Arial"/>
          <w:iCs/>
        </w:rPr>
        <w:t xml:space="preserve"> </w:t>
      </w:r>
      <w:r w:rsidRPr="00F05C10">
        <w:rPr>
          <w:rFonts w:ascii="Arial" w:hAnsi="Arial" w:cs="Arial"/>
          <w:iCs/>
        </w:rPr>
        <w:t xml:space="preserve">1). For example, genotypes C7, D6, and </w:t>
      </w:r>
      <w:proofErr w:type="spellStart"/>
      <w:r w:rsidRPr="00F05C10">
        <w:rPr>
          <w:rFonts w:ascii="Arial" w:hAnsi="Arial" w:cs="Arial"/>
          <w:iCs/>
        </w:rPr>
        <w:t>Yezin</w:t>
      </w:r>
      <w:proofErr w:type="spellEnd"/>
      <w:r w:rsidRPr="00F05C10">
        <w:rPr>
          <w:rFonts w:ascii="Arial" w:hAnsi="Arial" w:cs="Arial"/>
          <w:iCs/>
        </w:rPr>
        <w:t xml:space="preserve"> 10 exhibited a predominance of 'late uninucleate' microspores, with mean values </w:t>
      </w:r>
      <w:commentRangeStart w:id="6"/>
      <w:r w:rsidRPr="00F05C10">
        <w:rPr>
          <w:rFonts w:ascii="Arial" w:hAnsi="Arial" w:cs="Arial"/>
          <w:iCs/>
        </w:rPr>
        <w:t>of 5.33, 4.96, and 6.61</w:t>
      </w:r>
      <w:commentRangeEnd w:id="6"/>
      <w:r w:rsidR="00D902DC">
        <w:rPr>
          <w:rStyle w:val="CommentReference"/>
          <w:rFonts w:ascii="Times New Roman" w:hAnsi="Times New Roman"/>
          <w:lang w:val="nb-NO" w:eastAsia="nb-NO"/>
        </w:rPr>
        <w:commentReference w:id="6"/>
      </w:r>
      <w:r w:rsidRPr="00F05C10">
        <w:rPr>
          <w:rFonts w:ascii="Arial" w:hAnsi="Arial" w:cs="Arial"/>
          <w:iCs/>
        </w:rPr>
        <w:t>, respectively. This stage is generally considered optimal or highly responsive for inducing embryogenesis in maize and other cereals (</w:t>
      </w:r>
      <w:commentRangeStart w:id="7"/>
      <w:proofErr w:type="spellStart"/>
      <w:r w:rsidRPr="00F05C10">
        <w:rPr>
          <w:rFonts w:ascii="Arial" w:hAnsi="Arial" w:cs="Arial"/>
          <w:iCs/>
        </w:rPr>
        <w:t>Jähne</w:t>
      </w:r>
      <w:commentRangeEnd w:id="7"/>
      <w:proofErr w:type="spellEnd"/>
      <w:r w:rsidR="00D902DC">
        <w:rPr>
          <w:rStyle w:val="CommentReference"/>
          <w:rFonts w:ascii="Times New Roman" w:hAnsi="Times New Roman"/>
          <w:lang w:val="nb-NO" w:eastAsia="nb-NO"/>
        </w:rPr>
        <w:commentReference w:id="7"/>
      </w:r>
      <w:r w:rsidRPr="00F05C10">
        <w:rPr>
          <w:rFonts w:ascii="Arial" w:hAnsi="Arial" w:cs="Arial"/>
          <w:iCs/>
        </w:rPr>
        <w:t xml:space="preserve"> &amp; </w:t>
      </w:r>
      <w:proofErr w:type="spellStart"/>
      <w:r w:rsidRPr="00F05C10">
        <w:rPr>
          <w:rFonts w:ascii="Arial" w:hAnsi="Arial" w:cs="Arial"/>
          <w:iCs/>
        </w:rPr>
        <w:t>Lörz</w:t>
      </w:r>
      <w:proofErr w:type="spellEnd"/>
      <w:r w:rsidRPr="00F05C10">
        <w:rPr>
          <w:rFonts w:ascii="Arial" w:hAnsi="Arial" w:cs="Arial"/>
          <w:iCs/>
        </w:rPr>
        <w:t xml:space="preserve">, 1995; </w:t>
      </w:r>
      <w:proofErr w:type="spellStart"/>
      <w:r w:rsidRPr="00F05C10">
        <w:rPr>
          <w:rFonts w:ascii="Arial" w:hAnsi="Arial" w:cs="Arial"/>
          <w:iCs/>
        </w:rPr>
        <w:t>Testillano</w:t>
      </w:r>
      <w:proofErr w:type="spellEnd"/>
      <w:r w:rsidRPr="00F05C10">
        <w:rPr>
          <w:rFonts w:ascii="Arial" w:hAnsi="Arial" w:cs="Arial"/>
          <w:iCs/>
        </w:rPr>
        <w:t xml:space="preserve"> et al., 2002), as microspores at this stage possess the necessary cellular machinery and plasticity to alter their developmental pathway.</w:t>
      </w:r>
    </w:p>
    <w:p w14:paraId="6FCD1B5B" w14:textId="77777777" w:rsidR="004E183F" w:rsidRPr="00F05C10" w:rsidRDefault="004E183F" w:rsidP="004E183F">
      <w:pPr>
        <w:spacing w:after="160" w:line="278" w:lineRule="auto"/>
        <w:ind w:firstLine="720"/>
        <w:jc w:val="both"/>
        <w:rPr>
          <w:rFonts w:ascii="Arial" w:hAnsi="Arial" w:cs="Arial"/>
          <w:iCs/>
        </w:rPr>
      </w:pPr>
      <w:r w:rsidRPr="00F05C10">
        <w:rPr>
          <w:rFonts w:ascii="Arial" w:hAnsi="Arial" w:cs="Arial"/>
          <w:iCs/>
        </w:rPr>
        <w:t xml:space="preserve">Among these, genotype </w:t>
      </w:r>
      <w:proofErr w:type="spellStart"/>
      <w:r w:rsidRPr="00F05C10">
        <w:rPr>
          <w:rFonts w:ascii="Arial" w:hAnsi="Arial" w:cs="Arial"/>
          <w:iCs/>
        </w:rPr>
        <w:t>Yezin</w:t>
      </w:r>
      <w:proofErr w:type="spellEnd"/>
      <w:r w:rsidRPr="00F05C10">
        <w:rPr>
          <w:rFonts w:ascii="Arial" w:hAnsi="Arial" w:cs="Arial"/>
          <w:iCs/>
        </w:rPr>
        <w:t xml:space="preserve"> 10 showed the highest retention of microspores at the late uninucleate stage (6.61), followed by C7 (5.33) and D6 (4.96). In contrast, genotype C2 had the lowest proportion of late uninucleate microspores (3.30), suggesting potentially reduced responsiveness to androgenic induction. On the other hand, genotypes D15, </w:t>
      </w:r>
      <w:commentRangeStart w:id="8"/>
      <w:r w:rsidRPr="00F05C10">
        <w:rPr>
          <w:rFonts w:ascii="Arial" w:hAnsi="Arial" w:cs="Arial"/>
          <w:iCs/>
        </w:rPr>
        <w:t>PAC999</w:t>
      </w:r>
      <w:commentRangeEnd w:id="8"/>
      <w:r w:rsidR="00D902DC">
        <w:rPr>
          <w:rStyle w:val="CommentReference"/>
          <w:rFonts w:ascii="Times New Roman" w:hAnsi="Times New Roman"/>
          <w:lang w:val="nb-NO" w:eastAsia="nb-NO"/>
        </w:rPr>
        <w:commentReference w:id="8"/>
      </w:r>
      <w:r w:rsidRPr="00F05C10">
        <w:rPr>
          <w:rFonts w:ascii="Arial" w:hAnsi="Arial" w:cs="Arial"/>
          <w:iCs/>
        </w:rPr>
        <w:t xml:space="preserve">, and </w:t>
      </w:r>
      <w:proofErr w:type="spellStart"/>
      <w:r w:rsidRPr="00F05C10">
        <w:rPr>
          <w:rFonts w:ascii="Arial" w:hAnsi="Arial" w:cs="Arial"/>
          <w:iCs/>
        </w:rPr>
        <w:t>Yezin</w:t>
      </w:r>
      <w:proofErr w:type="spellEnd"/>
      <w:r w:rsidRPr="00F05C10">
        <w:rPr>
          <w:rFonts w:ascii="Arial" w:hAnsi="Arial" w:cs="Arial"/>
          <w:iCs/>
        </w:rPr>
        <w:t xml:space="preserve"> 14 displayed a more balanced distribution across early uninucleate, late </w:t>
      </w:r>
      <w:proofErr w:type="gramStart"/>
      <w:r w:rsidRPr="00F05C10">
        <w:rPr>
          <w:rFonts w:ascii="Arial" w:hAnsi="Arial" w:cs="Arial"/>
          <w:iCs/>
        </w:rPr>
        <w:t>uninucleate,</w:t>
      </w:r>
      <w:proofErr w:type="gramEnd"/>
      <w:r w:rsidRPr="00F05C10">
        <w:rPr>
          <w:rFonts w:ascii="Arial" w:hAnsi="Arial" w:cs="Arial"/>
          <w:iCs/>
        </w:rPr>
        <w:t xml:space="preserve"> and binucleate stages, indicating a less synchronized and more asynchronous pattern of microspore development.</w:t>
      </w:r>
    </w:p>
    <w:p w14:paraId="2A9F6753" w14:textId="2AF25E79" w:rsidR="004E183F" w:rsidRDefault="004E183F" w:rsidP="004E183F">
      <w:pPr>
        <w:ind w:firstLine="720"/>
        <w:jc w:val="both"/>
        <w:rPr>
          <w:rFonts w:ascii="Arial" w:hAnsi="Arial" w:cs="Arial"/>
          <w:iCs/>
        </w:rPr>
      </w:pPr>
      <w:r w:rsidRPr="00F05C10">
        <w:rPr>
          <w:rFonts w:ascii="Arial" w:hAnsi="Arial" w:cs="Arial"/>
          <w:iCs/>
        </w:rPr>
        <w:t xml:space="preserve">Genotype C7 exhibited an exceptionally uniform distribution between the early (5.37) and late (5.33) uninucleate stages, with a relatively low proportion of binucleate microspores (2.22), making it a promising candidate for in vitro </w:t>
      </w:r>
      <w:proofErr w:type="spellStart"/>
      <w:r w:rsidRPr="00F05C10">
        <w:rPr>
          <w:rFonts w:ascii="Arial" w:hAnsi="Arial" w:cs="Arial"/>
          <w:iCs/>
        </w:rPr>
        <w:t>androgenesis</w:t>
      </w:r>
      <w:proofErr w:type="spellEnd"/>
      <w:r w:rsidRPr="00F05C10">
        <w:rPr>
          <w:rFonts w:ascii="Arial" w:hAnsi="Arial" w:cs="Arial"/>
          <w:iCs/>
        </w:rPr>
        <w:t xml:space="preserve"> (</w:t>
      </w:r>
      <w:proofErr w:type="spellStart"/>
      <w:r w:rsidRPr="00F05C10">
        <w:rPr>
          <w:rFonts w:ascii="Arial" w:hAnsi="Arial" w:cs="Arial"/>
          <w:iCs/>
        </w:rPr>
        <w:t>Żur</w:t>
      </w:r>
      <w:proofErr w:type="spellEnd"/>
      <w:r w:rsidRPr="00F05C10">
        <w:rPr>
          <w:rFonts w:ascii="Arial" w:hAnsi="Arial" w:cs="Arial"/>
          <w:iCs/>
        </w:rPr>
        <w:t xml:space="preserve"> et al., 2015).</w:t>
      </w:r>
    </w:p>
    <w:p w14:paraId="404B98F8" w14:textId="77777777" w:rsidR="004E183F" w:rsidRPr="00F05C10" w:rsidRDefault="004E183F" w:rsidP="004E183F">
      <w:pPr>
        <w:spacing w:after="160" w:line="278" w:lineRule="auto"/>
        <w:ind w:firstLine="720"/>
        <w:jc w:val="both"/>
        <w:rPr>
          <w:rFonts w:ascii="Arial" w:hAnsi="Arial" w:cs="Arial"/>
          <w:iCs/>
        </w:rPr>
      </w:pPr>
    </w:p>
    <w:p w14:paraId="686D77B2" w14:textId="21EFA950" w:rsidR="00C21AA0" w:rsidRDefault="00C21AA0" w:rsidP="00C21AA0">
      <w:pPr>
        <w:rPr>
          <w:rFonts w:ascii="Arial" w:hAnsi="Arial" w:cs="Arial"/>
          <w:b/>
          <w:bCs/>
          <w:iCs/>
        </w:rPr>
        <w:sectPr w:rsidR="00C21AA0" w:rsidSect="008E774E">
          <w:type w:val="continuous"/>
          <w:pgSz w:w="12240" w:h="15840"/>
          <w:pgMar w:top="1440" w:right="2016" w:bottom="2016" w:left="2016" w:header="720" w:footer="1123" w:gutter="0"/>
          <w:cols w:space="720"/>
          <w:docGrid w:linePitch="272"/>
        </w:sectPr>
      </w:pPr>
      <w:r>
        <w:rPr>
          <w:rFonts w:ascii="Arial" w:hAnsi="Arial" w:cs="Arial"/>
          <w:b/>
          <w:bCs/>
          <w:iCs/>
        </w:rPr>
        <w:br w:type="page"/>
      </w:r>
    </w:p>
    <w:p w14:paraId="5512C48D" w14:textId="77777777" w:rsidR="00997E1A" w:rsidRPr="00997E1A" w:rsidRDefault="004E183F" w:rsidP="00997E1A">
      <w:pPr>
        <w:spacing w:after="160" w:line="278" w:lineRule="auto"/>
        <w:jc w:val="both"/>
        <w:rPr>
          <w:rFonts w:ascii="Arial" w:hAnsi="Arial" w:cs="Arial"/>
          <w:b/>
          <w:bCs/>
          <w:iCs/>
          <w:sz w:val="22"/>
          <w:szCs w:val="22"/>
        </w:rPr>
      </w:pPr>
      <w:commentRangeStart w:id="9"/>
      <w:r w:rsidRPr="00F05C10">
        <w:rPr>
          <w:rFonts w:ascii="Arial" w:hAnsi="Arial" w:cs="Arial"/>
          <w:b/>
          <w:bCs/>
          <w:iCs/>
          <w:sz w:val="22"/>
          <w:szCs w:val="22"/>
        </w:rPr>
        <w:lastRenderedPageBreak/>
        <w:t xml:space="preserve">3.1.2 </w:t>
      </w:r>
      <w:commentRangeEnd w:id="9"/>
      <w:r w:rsidR="00613746">
        <w:rPr>
          <w:rStyle w:val="CommentReference"/>
          <w:rFonts w:ascii="Times New Roman" w:hAnsi="Times New Roman"/>
          <w:rtl/>
          <w:lang w:val="nb-NO" w:eastAsia="nb-NO"/>
        </w:rPr>
        <w:commentReference w:id="9"/>
      </w:r>
      <w:r w:rsidRPr="00F05C10">
        <w:rPr>
          <w:rFonts w:ascii="Arial" w:hAnsi="Arial" w:cs="Arial"/>
          <w:b/>
          <w:bCs/>
          <w:iCs/>
          <w:sz w:val="22"/>
          <w:szCs w:val="22"/>
        </w:rPr>
        <w:t>Callus Formation Rates in Response to Plant Growth Regulators</w:t>
      </w:r>
    </w:p>
    <w:p w14:paraId="00EB08BB" w14:textId="69469D70" w:rsidR="004E183F" w:rsidRPr="00F05C10" w:rsidRDefault="004E183F" w:rsidP="00997E1A">
      <w:pPr>
        <w:spacing w:after="160" w:line="278" w:lineRule="auto"/>
        <w:jc w:val="both"/>
        <w:rPr>
          <w:rFonts w:ascii="Arial" w:hAnsi="Arial" w:cs="Arial"/>
          <w:iCs/>
        </w:rPr>
      </w:pPr>
      <w:r w:rsidRPr="00F05C10">
        <w:rPr>
          <w:rFonts w:ascii="Arial" w:hAnsi="Arial" w:cs="Arial"/>
          <w:iCs/>
        </w:rPr>
        <w:t>Callus induction was evaluated across six maize genotypes (</w:t>
      </w:r>
      <w:proofErr w:type="spellStart"/>
      <w:r w:rsidRPr="00F05C10">
        <w:rPr>
          <w:rFonts w:ascii="Arial" w:hAnsi="Arial" w:cs="Arial"/>
          <w:iCs/>
        </w:rPr>
        <w:t>Yezin</w:t>
      </w:r>
      <w:proofErr w:type="spellEnd"/>
      <w:r w:rsidRPr="00F05C10">
        <w:rPr>
          <w:rFonts w:ascii="Arial" w:hAnsi="Arial" w:cs="Arial"/>
          <w:iCs/>
        </w:rPr>
        <w:t xml:space="preserve"> 14, </w:t>
      </w:r>
      <w:proofErr w:type="spellStart"/>
      <w:r w:rsidRPr="00F05C10">
        <w:rPr>
          <w:rFonts w:ascii="Arial" w:hAnsi="Arial" w:cs="Arial"/>
          <w:iCs/>
        </w:rPr>
        <w:t>Yezin</w:t>
      </w:r>
      <w:proofErr w:type="spellEnd"/>
      <w:r w:rsidRPr="00F05C10">
        <w:rPr>
          <w:rFonts w:ascii="Arial" w:hAnsi="Arial" w:cs="Arial"/>
          <w:iCs/>
        </w:rPr>
        <w:t xml:space="preserve"> 10, C7, C2, D6, and D15) cultured on media supplemented with varying plant growth regulator (PGR) combinations. The effects of genotype and PGRs on callus formation were monitored over four weeks, with observations recorded weekly.</w:t>
      </w:r>
      <w:r>
        <w:rPr>
          <w:rFonts w:ascii="Arial" w:hAnsi="Arial" w:cs="Arial"/>
          <w:iCs/>
        </w:rPr>
        <w:t xml:space="preserve"> </w:t>
      </w:r>
      <w:r w:rsidRPr="00F05C10">
        <w:rPr>
          <w:rFonts w:ascii="Arial" w:hAnsi="Arial" w:cs="Arial"/>
          <w:iCs/>
        </w:rPr>
        <w:t>Initial callus formation began during Week 1 across all genotypes and treatments (Fig</w:t>
      </w:r>
      <w:r>
        <w:rPr>
          <w:rFonts w:ascii="Arial" w:hAnsi="Arial" w:cs="Arial"/>
          <w:iCs/>
        </w:rPr>
        <w:t xml:space="preserve">ure </w:t>
      </w:r>
      <w:r w:rsidRPr="00F05C10">
        <w:rPr>
          <w:rFonts w:ascii="Arial" w:hAnsi="Arial" w:cs="Arial"/>
          <w:iCs/>
        </w:rPr>
        <w:t xml:space="preserve">2). The highest callus induction rate (0.12%) was observed in </w:t>
      </w:r>
      <w:proofErr w:type="spellStart"/>
      <w:r w:rsidRPr="00F05C10">
        <w:rPr>
          <w:rFonts w:ascii="Arial" w:hAnsi="Arial" w:cs="Arial"/>
          <w:iCs/>
        </w:rPr>
        <w:t>Yezin</w:t>
      </w:r>
      <w:proofErr w:type="spellEnd"/>
      <w:r w:rsidRPr="00F05C10">
        <w:rPr>
          <w:rFonts w:ascii="Arial" w:hAnsi="Arial" w:cs="Arial"/>
          <w:iCs/>
        </w:rPr>
        <w:t xml:space="preserve"> 14 treated with 0.1 mg L</w:t>
      </w:r>
      <w:r w:rsidRPr="00F05C10">
        <w:rPr>
          <w:rFonts w:ascii="Cambria Math" w:hAnsi="Cambria Math" w:cs="Cambria Math"/>
          <w:iCs/>
        </w:rPr>
        <w:t>⁻</w:t>
      </w:r>
      <w:r w:rsidRPr="00F05C10">
        <w:rPr>
          <w:rFonts w:ascii="Arial" w:hAnsi="Arial" w:cs="Arial"/>
          <w:iCs/>
        </w:rPr>
        <w:t>¹ 2,3,5-triiodobenzoic acid (TIBA), followed by a 0.06% rate under 2.0 mg L</w:t>
      </w:r>
      <w:r w:rsidRPr="00F05C10">
        <w:rPr>
          <w:rFonts w:ascii="Cambria Math" w:hAnsi="Cambria Math" w:cs="Cambria Math"/>
          <w:iCs/>
        </w:rPr>
        <w:t>⁻</w:t>
      </w:r>
      <w:r w:rsidRPr="00F05C10">
        <w:rPr>
          <w:rFonts w:ascii="Arial" w:hAnsi="Arial" w:cs="Arial"/>
          <w:iCs/>
        </w:rPr>
        <w:t>¹ 2,4-dichlorophenoxyacetic acid (2,4-D) and 1.5 mg L</w:t>
      </w:r>
      <w:r w:rsidRPr="00F05C10">
        <w:rPr>
          <w:rFonts w:ascii="Cambria Math" w:hAnsi="Cambria Math" w:cs="Cambria Math"/>
          <w:iCs/>
        </w:rPr>
        <w:t>⁻</w:t>
      </w:r>
      <w:r w:rsidRPr="00F05C10">
        <w:rPr>
          <w:rFonts w:ascii="Arial" w:hAnsi="Arial" w:cs="Arial"/>
          <w:iCs/>
        </w:rPr>
        <w:t>¹ kinetin. Genotype D6 also exhibited a stable 0.06% callus formation rate under the same auxin–cytokinin combination, indicating consistent responsiveness. Notably, visible callus initiation occurred as early as the first week, suggesting rapid cellular reprogramming.</w:t>
      </w:r>
    </w:p>
    <w:p w14:paraId="53BAA00F" w14:textId="23E80FF9" w:rsidR="004E183F" w:rsidRPr="00F05C10" w:rsidRDefault="004E183F" w:rsidP="004E183F">
      <w:pPr>
        <w:spacing w:after="160" w:line="278" w:lineRule="auto"/>
        <w:ind w:firstLine="720"/>
        <w:jc w:val="both"/>
        <w:rPr>
          <w:rFonts w:ascii="Arial" w:hAnsi="Arial" w:cs="Arial"/>
          <w:iCs/>
        </w:rPr>
      </w:pPr>
      <w:r w:rsidRPr="00D902DC">
        <w:rPr>
          <w:rFonts w:ascii="Arial" w:hAnsi="Arial" w:cs="Arial"/>
          <w:iCs/>
          <w:highlight w:val="yellow"/>
        </w:rPr>
        <w:t>By Week 2</w:t>
      </w:r>
      <w:r w:rsidRPr="00F05C10">
        <w:rPr>
          <w:rFonts w:ascii="Arial" w:hAnsi="Arial" w:cs="Arial"/>
          <w:iCs/>
        </w:rPr>
        <w:t xml:space="preserve">, </w:t>
      </w:r>
      <w:proofErr w:type="spellStart"/>
      <w:r w:rsidRPr="00F05C10">
        <w:rPr>
          <w:rFonts w:ascii="Arial" w:hAnsi="Arial" w:cs="Arial"/>
          <w:iCs/>
        </w:rPr>
        <w:t>Yezin</w:t>
      </w:r>
      <w:proofErr w:type="spellEnd"/>
      <w:r w:rsidRPr="00F05C10">
        <w:rPr>
          <w:rFonts w:ascii="Arial" w:hAnsi="Arial" w:cs="Arial"/>
          <w:iCs/>
        </w:rPr>
        <w:t xml:space="preserve"> 14 achieved the highest callus formation rate (0.14%), followed by D6 (0.11%) and C7 (0.09%) under TIBA (0.1 mg L</w:t>
      </w:r>
      <w:r w:rsidRPr="00F05C10">
        <w:rPr>
          <w:rFonts w:ascii="Cambria Math" w:hAnsi="Cambria Math" w:cs="Cambria Math"/>
          <w:iCs/>
        </w:rPr>
        <w:t>⁻</w:t>
      </w:r>
      <w:r w:rsidRPr="00F05C10">
        <w:rPr>
          <w:rFonts w:ascii="Arial" w:hAnsi="Arial" w:cs="Arial"/>
          <w:iCs/>
        </w:rPr>
        <w:t>¹) or 2,4-D plus kinetin treatments. These findings corroborate previous reports that optimal auxin–cytokinin balance, particularly with potent auxins like 2,4-D, is essential for dedifferentiation and proliferation in cereal anther cultures (</w:t>
      </w:r>
      <w:proofErr w:type="spellStart"/>
      <w:r w:rsidRPr="00F05C10">
        <w:rPr>
          <w:rFonts w:ascii="Arial" w:hAnsi="Arial" w:cs="Arial"/>
          <w:iCs/>
        </w:rPr>
        <w:t>Indrianto</w:t>
      </w:r>
      <w:proofErr w:type="spellEnd"/>
      <w:r w:rsidRPr="00F05C10">
        <w:rPr>
          <w:rFonts w:ascii="Arial" w:hAnsi="Arial" w:cs="Arial"/>
          <w:iCs/>
        </w:rPr>
        <w:t xml:space="preserve"> et al., 2001; Soriano et al., 2007). Comparable responses to TIBA alone and 2,4-D plus kinetin suggest </w:t>
      </w:r>
      <w:proofErr w:type="spellStart"/>
      <w:r w:rsidRPr="00F05C10">
        <w:rPr>
          <w:rFonts w:ascii="Arial" w:hAnsi="Arial" w:cs="Arial"/>
          <w:iCs/>
        </w:rPr>
        <w:t>Yezin</w:t>
      </w:r>
      <w:proofErr w:type="spellEnd"/>
      <w:r w:rsidRPr="00F05C10">
        <w:rPr>
          <w:rFonts w:ascii="Arial" w:hAnsi="Arial" w:cs="Arial"/>
          <w:iCs/>
        </w:rPr>
        <w:t xml:space="preserve"> 14 exhibits robust </w:t>
      </w:r>
      <w:proofErr w:type="spellStart"/>
      <w:r w:rsidRPr="00F05C10">
        <w:rPr>
          <w:rFonts w:ascii="Arial" w:hAnsi="Arial" w:cs="Arial"/>
          <w:iCs/>
        </w:rPr>
        <w:t>callogenic</w:t>
      </w:r>
      <w:proofErr w:type="spellEnd"/>
      <w:r w:rsidRPr="00F05C10">
        <w:rPr>
          <w:rFonts w:ascii="Arial" w:hAnsi="Arial" w:cs="Arial"/>
          <w:iCs/>
        </w:rPr>
        <w:t xml:space="preserve"> potential under both auxin-dominant and balanced hormonal conditions (Fig</w:t>
      </w:r>
      <w:r w:rsidRPr="00997E1A">
        <w:rPr>
          <w:rFonts w:ascii="Arial" w:hAnsi="Arial" w:cs="Arial"/>
          <w:iCs/>
        </w:rPr>
        <w:t xml:space="preserve">ure </w:t>
      </w:r>
      <w:r w:rsidRPr="00F05C10">
        <w:rPr>
          <w:rFonts w:ascii="Arial" w:hAnsi="Arial" w:cs="Arial"/>
          <w:iCs/>
        </w:rPr>
        <w:t xml:space="preserve">2). By Week 4, </w:t>
      </w:r>
      <w:proofErr w:type="spellStart"/>
      <w:r w:rsidRPr="00F05C10">
        <w:rPr>
          <w:rFonts w:ascii="Arial" w:hAnsi="Arial" w:cs="Arial"/>
          <w:iCs/>
        </w:rPr>
        <w:t>Yezin</w:t>
      </w:r>
      <w:proofErr w:type="spellEnd"/>
      <w:r w:rsidRPr="00F05C10">
        <w:rPr>
          <w:rFonts w:ascii="Arial" w:hAnsi="Arial" w:cs="Arial"/>
          <w:iCs/>
        </w:rPr>
        <w:t xml:space="preserve"> 14’s callus formation stabilized at 0.18% under previously identified optimal PGR regimes.</w:t>
      </w:r>
    </w:p>
    <w:p w14:paraId="399B4D25" w14:textId="77777777" w:rsidR="004E183F" w:rsidRPr="00F05C10" w:rsidRDefault="004E183F" w:rsidP="004E183F">
      <w:pPr>
        <w:spacing w:after="160" w:line="278" w:lineRule="auto"/>
        <w:ind w:firstLine="720"/>
        <w:jc w:val="both"/>
        <w:rPr>
          <w:rFonts w:ascii="Arial" w:hAnsi="Arial" w:cs="Arial"/>
          <w:iCs/>
        </w:rPr>
      </w:pPr>
      <w:r w:rsidRPr="00F05C10">
        <w:rPr>
          <w:rFonts w:ascii="Arial" w:hAnsi="Arial" w:cs="Arial"/>
          <w:iCs/>
        </w:rPr>
        <w:t>In contrast, genotype C2 showed near-zero callus induction, potentially due to lower cell totipotency or altered endogenous hormone sensitivity (Liu et al., 2017). This genotype-dependent variability aligns with literature emphasizing the strong influence of genetic background on maize haploid tissue culture success (Henry et al., 2023).</w:t>
      </w:r>
      <w:r>
        <w:rPr>
          <w:rFonts w:ascii="Arial" w:hAnsi="Arial" w:cs="Arial"/>
          <w:iCs/>
        </w:rPr>
        <w:t xml:space="preserve"> </w:t>
      </w:r>
      <w:r w:rsidRPr="00F05C10">
        <w:rPr>
          <w:rFonts w:ascii="Arial" w:hAnsi="Arial" w:cs="Arial"/>
          <w:iCs/>
        </w:rPr>
        <w:t>Rapid callus initiation within the first week reflects the combined impact of genotype, medium composition, PGRs, and pretreatment stressors—factors known to modulate embryogenesis speed and efficiency (</w:t>
      </w:r>
      <w:commentRangeStart w:id="10"/>
      <w:proofErr w:type="spellStart"/>
      <w:r w:rsidRPr="00F05C10">
        <w:rPr>
          <w:rFonts w:ascii="Arial" w:hAnsi="Arial" w:cs="Arial"/>
          <w:iCs/>
        </w:rPr>
        <w:t>Murashige</w:t>
      </w:r>
      <w:proofErr w:type="spellEnd"/>
      <w:r w:rsidRPr="00F05C10">
        <w:rPr>
          <w:rFonts w:ascii="Arial" w:hAnsi="Arial" w:cs="Arial"/>
          <w:iCs/>
        </w:rPr>
        <w:t xml:space="preserve"> &amp; Skoog, </w:t>
      </w:r>
      <w:commentRangeEnd w:id="10"/>
      <w:r w:rsidR="00D902DC">
        <w:rPr>
          <w:rStyle w:val="CommentReference"/>
          <w:rFonts w:ascii="Times New Roman" w:hAnsi="Times New Roman"/>
          <w:lang w:val="nb-NO" w:eastAsia="nb-NO"/>
        </w:rPr>
        <w:commentReference w:id="10"/>
      </w:r>
      <w:r w:rsidRPr="00F05C10">
        <w:rPr>
          <w:rFonts w:ascii="Arial" w:hAnsi="Arial" w:cs="Arial"/>
          <w:iCs/>
        </w:rPr>
        <w:t xml:space="preserve">1962; </w:t>
      </w:r>
      <w:proofErr w:type="spellStart"/>
      <w:r w:rsidRPr="00F05C10">
        <w:rPr>
          <w:rFonts w:ascii="Arial" w:hAnsi="Arial" w:cs="Arial"/>
          <w:iCs/>
        </w:rPr>
        <w:t>Fehér</w:t>
      </w:r>
      <w:proofErr w:type="spellEnd"/>
      <w:r w:rsidRPr="00F05C10">
        <w:rPr>
          <w:rFonts w:ascii="Arial" w:hAnsi="Arial" w:cs="Arial"/>
          <w:iCs/>
        </w:rPr>
        <w:t xml:space="preserve">, 2015). Early callus development in </w:t>
      </w:r>
      <w:proofErr w:type="spellStart"/>
      <w:r w:rsidRPr="00F05C10">
        <w:rPr>
          <w:rFonts w:ascii="Arial" w:hAnsi="Arial" w:cs="Arial"/>
          <w:iCs/>
        </w:rPr>
        <w:t>Yezin</w:t>
      </w:r>
      <w:proofErr w:type="spellEnd"/>
      <w:r w:rsidRPr="00F05C10">
        <w:rPr>
          <w:rFonts w:ascii="Arial" w:hAnsi="Arial" w:cs="Arial"/>
          <w:iCs/>
        </w:rPr>
        <w:t xml:space="preserve"> 14 under 2,4-D and kinetin (0.06% by Week 1) indicates efficient microspore reprogramming and totipotent activation, consistent with evidence linking hormonal signaling and stress-induced pathways to androgenic competence (Fehér, 2015; </w:t>
      </w:r>
      <w:r w:rsidRPr="00D902DC">
        <w:rPr>
          <w:rFonts w:ascii="Arial" w:hAnsi="Arial" w:cs="Arial"/>
          <w:iCs/>
          <w:highlight w:val="red"/>
        </w:rPr>
        <w:t>Pulido</w:t>
      </w:r>
      <w:r w:rsidRPr="00F05C10">
        <w:rPr>
          <w:rFonts w:ascii="Arial" w:hAnsi="Arial" w:cs="Arial"/>
          <w:iCs/>
        </w:rPr>
        <w:t xml:space="preserve"> et al., 2009; Sharma et al., 2021; Gu et al., 2020). The sustained response of </w:t>
      </w:r>
      <w:proofErr w:type="spellStart"/>
      <w:r w:rsidRPr="00F05C10">
        <w:rPr>
          <w:rFonts w:ascii="Arial" w:hAnsi="Arial" w:cs="Arial"/>
          <w:iCs/>
        </w:rPr>
        <w:t>Yezin</w:t>
      </w:r>
      <w:proofErr w:type="spellEnd"/>
      <w:r w:rsidRPr="00F05C10">
        <w:rPr>
          <w:rFonts w:ascii="Arial" w:hAnsi="Arial" w:cs="Arial"/>
          <w:iCs/>
        </w:rPr>
        <w:t xml:space="preserve"> 14 to auxin-based treatments supports its inherent embryogenic capacity, as reported in prior studies (Smith et al., 2018).</w:t>
      </w:r>
    </w:p>
    <w:p w14:paraId="15EB66C0" w14:textId="372F0B5C" w:rsidR="004E183F" w:rsidRPr="00F05C10" w:rsidRDefault="004E183F" w:rsidP="004E183F">
      <w:pPr>
        <w:spacing w:after="160" w:line="278" w:lineRule="auto"/>
        <w:ind w:firstLine="720"/>
        <w:jc w:val="both"/>
        <w:rPr>
          <w:rFonts w:ascii="Arial" w:hAnsi="Arial" w:cs="Arial"/>
          <w:iCs/>
        </w:rPr>
      </w:pPr>
      <w:r w:rsidRPr="00F05C10">
        <w:rPr>
          <w:rFonts w:ascii="Arial" w:hAnsi="Arial" w:cs="Arial"/>
          <w:iCs/>
        </w:rPr>
        <w:t xml:space="preserve">From Weeks 2 to 4, </w:t>
      </w:r>
      <w:proofErr w:type="spellStart"/>
      <w:r w:rsidRPr="00F05C10">
        <w:rPr>
          <w:rFonts w:ascii="Arial" w:hAnsi="Arial" w:cs="Arial"/>
          <w:iCs/>
        </w:rPr>
        <w:t>Yezin</w:t>
      </w:r>
      <w:proofErr w:type="spellEnd"/>
      <w:r w:rsidRPr="00F05C10">
        <w:rPr>
          <w:rFonts w:ascii="Arial" w:hAnsi="Arial" w:cs="Arial"/>
          <w:iCs/>
        </w:rPr>
        <w:t xml:space="preserve"> 14 consistently demonstrated high responsiveness to auxin–cytokinin combinations, particularly those containing 2,4-D or TIBA. Similarly, D6 maintained low but reproducible callus formation rates, underscoring its reliable androgenic potential and regenerative competence (Bhowmik, 2011; Soriano et al., 2007).</w:t>
      </w:r>
      <w:r>
        <w:rPr>
          <w:rFonts w:ascii="Arial" w:hAnsi="Arial" w:cs="Arial"/>
          <w:iCs/>
        </w:rPr>
        <w:t xml:space="preserve"> </w:t>
      </w:r>
      <w:r w:rsidRPr="00F05C10">
        <w:rPr>
          <w:rFonts w:ascii="Arial" w:hAnsi="Arial" w:cs="Arial"/>
          <w:iCs/>
        </w:rPr>
        <w:t xml:space="preserve">Conversely, genotypes C2 and </w:t>
      </w:r>
      <w:proofErr w:type="spellStart"/>
      <w:r w:rsidRPr="00F05C10">
        <w:rPr>
          <w:rFonts w:ascii="Arial" w:hAnsi="Arial" w:cs="Arial"/>
          <w:iCs/>
        </w:rPr>
        <w:t>Yezin</w:t>
      </w:r>
      <w:proofErr w:type="spellEnd"/>
      <w:r w:rsidRPr="00F05C10">
        <w:rPr>
          <w:rFonts w:ascii="Arial" w:hAnsi="Arial" w:cs="Arial"/>
          <w:iCs/>
        </w:rPr>
        <w:t xml:space="preserve"> 10 exhibited consistently low callus induction, regardless of treatment, reinforcing the genotype-specific nature of androgenesis (Hu &amp; Kasha, 1997; </w:t>
      </w:r>
      <w:proofErr w:type="spellStart"/>
      <w:r w:rsidRPr="00F05C10">
        <w:rPr>
          <w:rFonts w:ascii="Arial" w:hAnsi="Arial" w:cs="Arial"/>
          <w:iCs/>
        </w:rPr>
        <w:t>Prigge</w:t>
      </w:r>
      <w:proofErr w:type="spellEnd"/>
      <w:r w:rsidRPr="00F05C10">
        <w:rPr>
          <w:rFonts w:ascii="Arial" w:hAnsi="Arial" w:cs="Arial"/>
          <w:iCs/>
        </w:rPr>
        <w:t xml:space="preserve"> &amp; </w:t>
      </w:r>
      <w:proofErr w:type="spellStart"/>
      <w:r w:rsidRPr="00F05C10">
        <w:rPr>
          <w:rFonts w:ascii="Arial" w:hAnsi="Arial" w:cs="Arial"/>
          <w:iCs/>
        </w:rPr>
        <w:t>Melchinger</w:t>
      </w:r>
      <w:proofErr w:type="spellEnd"/>
      <w:r w:rsidRPr="00F05C10">
        <w:rPr>
          <w:rFonts w:ascii="Arial" w:hAnsi="Arial" w:cs="Arial"/>
          <w:iCs/>
        </w:rPr>
        <w:t>, 2012). Reduced responsiveness may stem from poor microspore viability, delayed signal transduction, or impaired metabolic reprogramming (</w:t>
      </w:r>
      <w:proofErr w:type="spellStart"/>
      <w:r w:rsidRPr="00F05C10">
        <w:rPr>
          <w:rFonts w:ascii="Arial" w:hAnsi="Arial" w:cs="Arial"/>
          <w:iCs/>
        </w:rPr>
        <w:t>Testillano</w:t>
      </w:r>
      <w:proofErr w:type="spellEnd"/>
      <w:r w:rsidRPr="00F05C10">
        <w:rPr>
          <w:rFonts w:ascii="Arial" w:hAnsi="Arial" w:cs="Arial"/>
          <w:iCs/>
        </w:rPr>
        <w:t xml:space="preserve"> et al., 2000). These results </w:t>
      </w:r>
      <w:r w:rsidR="004A29AA">
        <w:rPr>
          <w:rFonts w:ascii="Arial" w:hAnsi="Arial" w:cs="Arial"/>
          <w:iCs/>
        </w:rPr>
        <w:t>of</w:t>
      </w:r>
      <w:r w:rsidRPr="00F05C10">
        <w:rPr>
          <w:rFonts w:ascii="Arial" w:hAnsi="Arial" w:cs="Arial"/>
          <w:iCs/>
        </w:rPr>
        <w:t xml:space="preserve"> earlier findings highlighting the critical role of auxin–cytokinin balance in cereal anther culture systems (</w:t>
      </w:r>
      <w:proofErr w:type="spellStart"/>
      <w:r w:rsidRPr="00F05C10">
        <w:rPr>
          <w:rFonts w:ascii="Arial" w:hAnsi="Arial" w:cs="Arial"/>
          <w:iCs/>
        </w:rPr>
        <w:t>Indrianto</w:t>
      </w:r>
      <w:proofErr w:type="spellEnd"/>
      <w:r w:rsidRPr="00F05C10">
        <w:rPr>
          <w:rFonts w:ascii="Arial" w:hAnsi="Arial" w:cs="Arial"/>
          <w:iCs/>
        </w:rPr>
        <w:t xml:space="preserve"> et al., 2001; Soriano et al., 2007).</w:t>
      </w:r>
    </w:p>
    <w:p w14:paraId="02D19338" w14:textId="21326756" w:rsidR="004E183F" w:rsidRDefault="004E183F" w:rsidP="00613746">
      <w:pPr>
        <w:ind w:firstLine="720"/>
        <w:jc w:val="both"/>
        <w:rPr>
          <w:rFonts w:ascii="Arial" w:hAnsi="Arial" w:cs="Arial"/>
          <w:iCs/>
        </w:rPr>
      </w:pPr>
      <w:r w:rsidRPr="00F05C10">
        <w:rPr>
          <w:rFonts w:ascii="Arial" w:hAnsi="Arial" w:cs="Arial"/>
          <w:iCs/>
        </w:rPr>
        <w:lastRenderedPageBreak/>
        <w:t xml:space="preserve">The early onset of callus formation in responsive genotypes suggests a swift physiological shift post-culture, likely triggered by stress pre-treatments, nutrient availability, and optimal PGR exposure. Such early responses are advantageous for shortening culture duration and minimizing </w:t>
      </w:r>
      <w:proofErr w:type="spellStart"/>
      <w:r w:rsidRPr="00F05C10">
        <w:rPr>
          <w:rFonts w:ascii="Arial" w:hAnsi="Arial" w:cs="Arial"/>
          <w:iCs/>
        </w:rPr>
        <w:t>somaclonal</w:t>
      </w:r>
      <w:proofErr w:type="spellEnd"/>
      <w:r w:rsidRPr="00F05C10">
        <w:rPr>
          <w:rFonts w:ascii="Arial" w:hAnsi="Arial" w:cs="Arial"/>
          <w:iCs/>
        </w:rPr>
        <w:t xml:space="preserve"> variation—key considerations for improving doubled haploid production efficiency (</w:t>
      </w:r>
      <w:proofErr w:type="spellStart"/>
      <w:r w:rsidRPr="00F05C10">
        <w:rPr>
          <w:rFonts w:ascii="Arial" w:hAnsi="Arial" w:cs="Arial"/>
          <w:iCs/>
        </w:rPr>
        <w:t>Touraev</w:t>
      </w:r>
      <w:proofErr w:type="spellEnd"/>
      <w:r w:rsidRPr="00F05C10">
        <w:rPr>
          <w:rFonts w:ascii="Arial" w:hAnsi="Arial" w:cs="Arial"/>
          <w:iCs/>
        </w:rPr>
        <w:t xml:space="preserve"> et al., 1996; </w:t>
      </w:r>
      <w:r w:rsidR="00613746">
        <w:rPr>
          <w:rFonts w:ascii="Arial" w:hAnsi="Arial" w:cs="Arial"/>
          <w:iCs/>
        </w:rPr>
        <w:t xml:space="preserve">not </w:t>
      </w:r>
      <w:commentRangeStart w:id="11"/>
      <w:r w:rsidR="00613746">
        <w:rPr>
          <w:rFonts w:ascii="Arial" w:hAnsi="Arial" w:cs="Arial"/>
          <w:iCs/>
        </w:rPr>
        <w:t>found</w:t>
      </w:r>
      <w:r w:rsidRPr="00F05C10">
        <w:rPr>
          <w:rFonts w:ascii="Arial" w:hAnsi="Arial" w:cs="Arial"/>
          <w:iCs/>
        </w:rPr>
        <w:t xml:space="preserve"> e</w:t>
      </w:r>
      <w:commentRangeEnd w:id="11"/>
      <w:r w:rsidR="00613746">
        <w:rPr>
          <w:rStyle w:val="CommentReference"/>
          <w:rFonts w:ascii="Times New Roman" w:hAnsi="Times New Roman"/>
          <w:lang w:val="nb-NO" w:eastAsia="nb-NO"/>
        </w:rPr>
        <w:commentReference w:id="11"/>
      </w:r>
      <w:r w:rsidRPr="00F05C10">
        <w:rPr>
          <w:rFonts w:ascii="Arial" w:hAnsi="Arial" w:cs="Arial"/>
          <w:iCs/>
        </w:rPr>
        <w:t>t al., 2007).</w:t>
      </w:r>
    </w:p>
    <w:p w14:paraId="3D09790D" w14:textId="77777777" w:rsidR="004E183F" w:rsidRDefault="004E183F" w:rsidP="004E183F">
      <w:pPr>
        <w:ind w:firstLine="720"/>
        <w:jc w:val="both"/>
        <w:rPr>
          <w:rFonts w:ascii="Arial" w:hAnsi="Arial" w:cs="Arial"/>
          <w:iCs/>
        </w:rPr>
      </w:pPr>
    </w:p>
    <w:p w14:paraId="2F75B9EC" w14:textId="77777777" w:rsidR="004E183F" w:rsidRPr="00F05C10" w:rsidRDefault="004E183F" w:rsidP="004E183F">
      <w:pPr>
        <w:spacing w:after="160" w:line="278" w:lineRule="auto"/>
        <w:jc w:val="both"/>
        <w:rPr>
          <w:rFonts w:ascii="Arial" w:hAnsi="Arial" w:cs="Arial"/>
          <w:iCs/>
        </w:rPr>
      </w:pPr>
      <w:r>
        <w:rPr>
          <w:rFonts w:ascii="Arial" w:hAnsi="Arial" w:cs="Arial"/>
          <w:noProof/>
        </w:rPr>
        <w:drawing>
          <wp:inline distT="0" distB="0" distL="0" distR="0" wp14:anchorId="419C6BBF" wp14:editId="28DE5D9F">
            <wp:extent cx="5210175" cy="2097241"/>
            <wp:effectExtent l="0" t="0" r="0" b="0"/>
            <wp:docPr id="1204763692" name="Picture 2" descr="A comparison of a plant growth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63692" name="Picture 2" descr="A comparison of a plant growth graph&#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2097241"/>
                    </a:xfrm>
                    <a:prstGeom prst="rect">
                      <a:avLst/>
                    </a:prstGeom>
                    <a:noFill/>
                  </pic:spPr>
                </pic:pic>
              </a:graphicData>
            </a:graphic>
          </wp:inline>
        </w:drawing>
      </w:r>
    </w:p>
    <w:p w14:paraId="526A672E" w14:textId="77777777" w:rsidR="004E183F" w:rsidRPr="00F05C10" w:rsidRDefault="004E183F" w:rsidP="004E183F">
      <w:pPr>
        <w:spacing w:line="278" w:lineRule="auto"/>
        <w:jc w:val="both"/>
        <w:rPr>
          <w:rFonts w:ascii="Arial" w:hAnsi="Arial" w:cs="Arial"/>
          <w:iCs/>
        </w:rPr>
      </w:pPr>
      <w:r>
        <w:rPr>
          <w:rFonts w:ascii="Arial" w:hAnsi="Arial" w:cs="Arial"/>
          <w:noProof/>
        </w:rPr>
        <w:drawing>
          <wp:inline distT="0" distB="0" distL="0" distR="0" wp14:anchorId="75BA716E" wp14:editId="0C9E6C8B">
            <wp:extent cx="5175885" cy="2103120"/>
            <wp:effectExtent l="0" t="0" r="5715" b="0"/>
            <wp:docPr id="532954095" name="Picture 3" descr="A comparison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54095" name="Picture 3" descr="A comparison of a diagram&#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5885" cy="2103120"/>
                    </a:xfrm>
                    <a:prstGeom prst="rect">
                      <a:avLst/>
                    </a:prstGeom>
                    <a:noFill/>
                  </pic:spPr>
                </pic:pic>
              </a:graphicData>
            </a:graphic>
          </wp:inline>
        </w:drawing>
      </w:r>
    </w:p>
    <w:p w14:paraId="57051E62" w14:textId="77777777" w:rsidR="004E183F" w:rsidRDefault="004E183F" w:rsidP="00997E1A">
      <w:pPr>
        <w:spacing w:before="120" w:after="120"/>
        <w:ind w:left="900" w:hanging="900"/>
        <w:jc w:val="both"/>
        <w:rPr>
          <w:rFonts w:ascii="Arial" w:hAnsi="Arial" w:cs="Arial"/>
          <w:b/>
          <w:bCs/>
          <w:iCs/>
        </w:rPr>
      </w:pPr>
      <w:r w:rsidRPr="008E0B17">
        <w:rPr>
          <w:rFonts w:ascii="Arial" w:hAnsi="Arial" w:cs="Arial"/>
          <w:b/>
          <w:bCs/>
          <w:iCs/>
        </w:rPr>
        <w:t xml:space="preserve">Figure </w:t>
      </w:r>
      <w:r>
        <w:rPr>
          <w:rFonts w:ascii="Arial" w:hAnsi="Arial" w:cs="Arial"/>
          <w:b/>
          <w:bCs/>
          <w:iCs/>
        </w:rPr>
        <w:t>2</w:t>
      </w:r>
      <w:r w:rsidRPr="008E0B17">
        <w:rPr>
          <w:rFonts w:ascii="Arial" w:hAnsi="Arial" w:cs="Arial"/>
          <w:b/>
          <w:bCs/>
          <w:iCs/>
        </w:rPr>
        <w:t xml:space="preserve">. Influence of plant growth regulator combinations on callus formation rates in six maize genotypes during four weeks of </w:t>
      </w:r>
      <w:proofErr w:type="spellStart"/>
      <w:r w:rsidRPr="008E0B17">
        <w:rPr>
          <w:rFonts w:ascii="Arial" w:hAnsi="Arial" w:cs="Arial"/>
          <w:b/>
          <w:bCs/>
          <w:iCs/>
        </w:rPr>
        <w:t>anther</w:t>
      </w:r>
      <w:proofErr w:type="spellEnd"/>
      <w:r w:rsidRPr="008E0B17">
        <w:rPr>
          <w:rFonts w:ascii="Arial" w:hAnsi="Arial" w:cs="Arial"/>
          <w:b/>
          <w:bCs/>
          <w:iCs/>
        </w:rPr>
        <w:t xml:space="preserve"> culture in experiment </w:t>
      </w:r>
    </w:p>
    <w:p w14:paraId="7A6B8B29" w14:textId="77777777" w:rsidR="004E183F" w:rsidRPr="008E0B17" w:rsidRDefault="004E183F" w:rsidP="004E183F">
      <w:pPr>
        <w:spacing w:after="160" w:line="278" w:lineRule="auto"/>
        <w:ind w:left="900" w:hanging="900"/>
        <w:jc w:val="both"/>
        <w:rPr>
          <w:rFonts w:ascii="Arial" w:hAnsi="Arial" w:cs="Arial"/>
          <w:b/>
          <w:bCs/>
          <w:iCs/>
          <w:sz w:val="22"/>
          <w:szCs w:val="22"/>
        </w:rPr>
      </w:pPr>
      <w:r w:rsidRPr="008E0B17">
        <w:rPr>
          <w:rFonts w:ascii="Arial" w:hAnsi="Arial" w:cs="Arial"/>
          <w:b/>
          <w:bCs/>
          <w:iCs/>
          <w:sz w:val="22"/>
          <w:szCs w:val="22"/>
        </w:rPr>
        <w:t>3.1.3 Callus Formation Rates: Effects of Genotype and Culture Medium</w:t>
      </w:r>
    </w:p>
    <w:p w14:paraId="0AC6A3E0" w14:textId="77777777" w:rsidR="004E183F" w:rsidRPr="008E0B17" w:rsidRDefault="004E183F" w:rsidP="004E183F">
      <w:pPr>
        <w:spacing w:after="160" w:line="278" w:lineRule="auto"/>
        <w:ind w:firstLine="720"/>
        <w:jc w:val="both"/>
        <w:rPr>
          <w:rFonts w:ascii="Arial" w:hAnsi="Arial" w:cs="Arial"/>
          <w:iCs/>
        </w:rPr>
      </w:pPr>
      <w:r w:rsidRPr="008E0B17">
        <w:rPr>
          <w:rFonts w:ascii="Arial" w:hAnsi="Arial" w:cs="Arial"/>
          <w:iCs/>
        </w:rPr>
        <w:t xml:space="preserve">Chi-square (χ²) analysis revealed statistically significant associations (p &lt; 0.05) between callus formation and both genotype and culture medium across all four weeks of observation (Table </w:t>
      </w:r>
      <w:r>
        <w:rPr>
          <w:rFonts w:ascii="Arial" w:hAnsi="Arial" w:cs="Arial"/>
          <w:iCs/>
        </w:rPr>
        <w:t>3</w:t>
      </w:r>
      <w:r w:rsidRPr="008E0B17">
        <w:rPr>
          <w:rFonts w:ascii="Arial" w:hAnsi="Arial" w:cs="Arial"/>
          <w:iCs/>
        </w:rPr>
        <w:t>). In Week 1, genotype (χ² = 16.087, p = 0.0029) and plant growth regulator (PGR) composition (χ² = 22.805, p = 0.0004) significantly influenced callus induction, with PGRs showing a stronger effect. These effects intensified over time: genotype χ² values increased to 30.583 (Week 2), 29.088 (Week 3), and 28.988 (Week 4) (all p &lt; 0.0001), indicating a progressively pronounced genotypic influence. Similarly, PGR effects remained highly significant throughout, with χ² values rising from 26.168 (Week 2) to 30.989 (Week 4) (all p &lt; 0.0001).</w:t>
      </w:r>
    </w:p>
    <w:p w14:paraId="01898525" w14:textId="77777777" w:rsidR="004E183F" w:rsidRDefault="004E183F" w:rsidP="00997E1A">
      <w:pPr>
        <w:spacing w:after="120"/>
        <w:ind w:firstLine="720"/>
        <w:jc w:val="both"/>
        <w:rPr>
          <w:rFonts w:ascii="Arial" w:hAnsi="Arial" w:cs="Arial"/>
          <w:iCs/>
        </w:rPr>
      </w:pPr>
      <w:r w:rsidRPr="008E0B17">
        <w:rPr>
          <w:rFonts w:ascii="Arial" w:hAnsi="Arial" w:cs="Arial"/>
          <w:iCs/>
        </w:rPr>
        <w:lastRenderedPageBreak/>
        <w:t>These findings underline the critical and sustained roles of genotype selection and culture medium optimization in determining callus induction efficiency. The results are consistent with previous studies emphasizing the genetic and environmental determinants of tissue culture success in cereals (Ali et al., 2021) and highlight the importance of synergistically tailoring both factors to enhance anther culture outcomes.</w:t>
      </w:r>
    </w:p>
    <w:p w14:paraId="13C59BD5" w14:textId="77777777" w:rsidR="004E183F" w:rsidRDefault="004E183F" w:rsidP="00997E1A">
      <w:pPr>
        <w:spacing w:after="120"/>
        <w:ind w:left="810" w:hanging="810"/>
        <w:jc w:val="both"/>
        <w:rPr>
          <w:rFonts w:ascii="Arial" w:hAnsi="Arial" w:cs="Arial"/>
          <w:b/>
          <w:bCs/>
          <w:iCs/>
        </w:rPr>
      </w:pPr>
      <w:r w:rsidRPr="008E0B17">
        <w:rPr>
          <w:rFonts w:ascii="Arial" w:hAnsi="Arial" w:cs="Arial"/>
          <w:b/>
          <w:bCs/>
          <w:iCs/>
        </w:rPr>
        <w:t xml:space="preserve">Table 3. </w:t>
      </w:r>
      <w:r>
        <w:rPr>
          <w:rFonts w:ascii="Arial" w:hAnsi="Arial" w:cs="Arial"/>
          <w:b/>
          <w:bCs/>
          <w:iCs/>
        </w:rPr>
        <w:t>E</w:t>
      </w:r>
      <w:r w:rsidRPr="008E0B17">
        <w:rPr>
          <w:rFonts w:ascii="Arial" w:hAnsi="Arial" w:cs="Arial"/>
          <w:b/>
          <w:bCs/>
          <w:iCs/>
        </w:rPr>
        <w:t>ffects of genotype and culture medium on callus formation rates in maize anther culture: chi-square test results (weeks 1-</w:t>
      </w:r>
      <w:r>
        <w:rPr>
          <w:rFonts w:ascii="Arial" w:hAnsi="Arial" w:cs="Arial"/>
          <w:b/>
          <w:bCs/>
          <w:iCs/>
        </w:rPr>
        <w:t xml:space="preserve"> </w:t>
      </w:r>
      <w:r w:rsidRPr="008E0B17">
        <w:rPr>
          <w:rFonts w:ascii="Arial" w:hAnsi="Arial" w:cs="Arial"/>
          <w:b/>
          <w:bCs/>
          <w:iCs/>
        </w:rPr>
        <w:t xml:space="preserve">4) in experiment </w:t>
      </w:r>
    </w:p>
    <w:tbl>
      <w:tblPr>
        <w:tblW w:w="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tblGrid>
      <w:tr w:rsidR="004E183F" w:rsidRPr="008E0B17" w14:paraId="6F726AC6" w14:textId="77777777" w:rsidTr="00AA2F1E">
        <w:trPr>
          <w:trHeight w:val="432"/>
          <w:jc w:val="center"/>
        </w:trPr>
        <w:tc>
          <w:tcPr>
            <w:tcW w:w="1540" w:type="dxa"/>
            <w:shd w:val="clear" w:color="auto" w:fill="auto"/>
            <w:vAlign w:val="center"/>
            <w:hideMark/>
          </w:tcPr>
          <w:p w14:paraId="1EF8077C" w14:textId="77777777" w:rsidR="004E183F" w:rsidRPr="008E0B17" w:rsidRDefault="004E183F" w:rsidP="00AA2F1E">
            <w:pPr>
              <w:jc w:val="center"/>
              <w:rPr>
                <w:rFonts w:ascii="Arial" w:hAnsi="Arial" w:cs="Arial"/>
                <w:b/>
                <w:bCs/>
                <w:color w:val="404040"/>
              </w:rPr>
            </w:pPr>
            <w:r w:rsidRPr="008E0B17">
              <w:rPr>
                <w:rFonts w:ascii="Arial" w:hAnsi="Arial" w:cs="Arial"/>
                <w:b/>
                <w:bCs/>
                <w:color w:val="404040"/>
              </w:rPr>
              <w:t>Week</w:t>
            </w:r>
          </w:p>
        </w:tc>
        <w:tc>
          <w:tcPr>
            <w:tcW w:w="1540" w:type="dxa"/>
            <w:shd w:val="clear" w:color="auto" w:fill="auto"/>
            <w:vAlign w:val="center"/>
            <w:hideMark/>
          </w:tcPr>
          <w:p w14:paraId="2C43DB81" w14:textId="77777777" w:rsidR="004E183F" w:rsidRPr="008E0B17" w:rsidRDefault="004E183F" w:rsidP="00AA2F1E">
            <w:pPr>
              <w:jc w:val="center"/>
              <w:rPr>
                <w:rFonts w:ascii="Arial" w:hAnsi="Arial" w:cs="Arial"/>
                <w:b/>
                <w:bCs/>
                <w:color w:val="404040"/>
              </w:rPr>
            </w:pPr>
            <w:r w:rsidRPr="008E0B17">
              <w:rPr>
                <w:rFonts w:ascii="Arial" w:hAnsi="Arial" w:cs="Arial"/>
                <w:b/>
                <w:bCs/>
                <w:color w:val="404040"/>
              </w:rPr>
              <w:t>Factor</w:t>
            </w:r>
          </w:p>
        </w:tc>
        <w:tc>
          <w:tcPr>
            <w:tcW w:w="1540" w:type="dxa"/>
            <w:shd w:val="clear" w:color="auto" w:fill="auto"/>
            <w:vAlign w:val="center"/>
            <w:hideMark/>
          </w:tcPr>
          <w:p w14:paraId="4248AF94" w14:textId="77777777" w:rsidR="004E183F" w:rsidRPr="008E0B17" w:rsidRDefault="004E183F" w:rsidP="00AA2F1E">
            <w:pPr>
              <w:jc w:val="center"/>
              <w:rPr>
                <w:rFonts w:ascii="Arial" w:hAnsi="Arial" w:cs="Arial"/>
                <w:b/>
                <w:bCs/>
                <w:color w:val="404040"/>
              </w:rPr>
            </w:pPr>
            <w:r w:rsidRPr="008E0B17">
              <w:rPr>
                <w:rFonts w:ascii="Arial" w:hAnsi="Arial" w:cs="Arial"/>
                <w:b/>
                <w:bCs/>
                <w:color w:val="404040"/>
                <w:lang w:val="el-GR"/>
              </w:rPr>
              <w:t>χ² Value</w:t>
            </w:r>
          </w:p>
        </w:tc>
        <w:tc>
          <w:tcPr>
            <w:tcW w:w="1540" w:type="dxa"/>
            <w:shd w:val="clear" w:color="auto" w:fill="auto"/>
            <w:vAlign w:val="center"/>
            <w:hideMark/>
          </w:tcPr>
          <w:p w14:paraId="79849C70" w14:textId="77777777" w:rsidR="004E183F" w:rsidRPr="008E0B17" w:rsidRDefault="004E183F" w:rsidP="00AA2F1E">
            <w:pPr>
              <w:jc w:val="center"/>
              <w:rPr>
                <w:rFonts w:ascii="Arial" w:hAnsi="Arial" w:cs="Arial"/>
                <w:b/>
                <w:bCs/>
                <w:color w:val="404040"/>
              </w:rPr>
            </w:pPr>
            <w:r w:rsidRPr="008E0B17">
              <w:rPr>
                <w:rFonts w:ascii="Arial" w:hAnsi="Arial" w:cs="Arial"/>
                <w:b/>
                <w:bCs/>
                <w:color w:val="404040"/>
              </w:rPr>
              <w:t>p-value*</w:t>
            </w:r>
          </w:p>
        </w:tc>
      </w:tr>
      <w:tr w:rsidR="004E183F" w:rsidRPr="008E0B17" w14:paraId="4480A3EB" w14:textId="77777777" w:rsidTr="00AA2F1E">
        <w:trPr>
          <w:trHeight w:val="432"/>
          <w:jc w:val="center"/>
        </w:trPr>
        <w:tc>
          <w:tcPr>
            <w:tcW w:w="1540" w:type="dxa"/>
            <w:vMerge w:val="restart"/>
            <w:shd w:val="clear" w:color="auto" w:fill="auto"/>
            <w:vAlign w:val="center"/>
            <w:hideMark/>
          </w:tcPr>
          <w:p w14:paraId="137711F6" w14:textId="77777777" w:rsidR="004E183F" w:rsidRPr="008E0B17" w:rsidRDefault="004E183F" w:rsidP="00AA2F1E">
            <w:pPr>
              <w:jc w:val="center"/>
              <w:rPr>
                <w:rFonts w:ascii="Arial" w:hAnsi="Arial" w:cs="Arial"/>
                <w:color w:val="000000"/>
              </w:rPr>
            </w:pPr>
            <w:r w:rsidRPr="008E0B17">
              <w:rPr>
                <w:rFonts w:ascii="Arial" w:hAnsi="Arial" w:cs="Arial"/>
                <w:color w:val="000000"/>
              </w:rPr>
              <w:t>1</w:t>
            </w:r>
          </w:p>
        </w:tc>
        <w:tc>
          <w:tcPr>
            <w:tcW w:w="1540" w:type="dxa"/>
            <w:shd w:val="clear" w:color="auto" w:fill="auto"/>
            <w:vAlign w:val="center"/>
            <w:hideMark/>
          </w:tcPr>
          <w:p w14:paraId="59F8D0B9" w14:textId="77777777" w:rsidR="004E183F" w:rsidRPr="008E0B17" w:rsidRDefault="004E183F" w:rsidP="00AA2F1E">
            <w:pPr>
              <w:jc w:val="center"/>
              <w:rPr>
                <w:rFonts w:ascii="Arial" w:hAnsi="Arial" w:cs="Arial"/>
                <w:color w:val="000000"/>
              </w:rPr>
            </w:pPr>
            <w:r w:rsidRPr="008E0B17">
              <w:rPr>
                <w:rFonts w:ascii="Arial" w:hAnsi="Arial" w:cs="Arial"/>
                <w:color w:val="000000"/>
              </w:rPr>
              <w:t>Genotype</w:t>
            </w:r>
          </w:p>
        </w:tc>
        <w:tc>
          <w:tcPr>
            <w:tcW w:w="1540" w:type="dxa"/>
            <w:shd w:val="clear" w:color="auto" w:fill="auto"/>
            <w:vAlign w:val="center"/>
            <w:hideMark/>
          </w:tcPr>
          <w:p w14:paraId="396C388D" w14:textId="77777777" w:rsidR="004E183F" w:rsidRPr="008E0B17" w:rsidRDefault="004E183F" w:rsidP="00AA2F1E">
            <w:pPr>
              <w:jc w:val="center"/>
              <w:rPr>
                <w:rFonts w:ascii="Arial" w:hAnsi="Arial" w:cs="Arial"/>
                <w:color w:val="000000"/>
              </w:rPr>
            </w:pPr>
            <w:r w:rsidRPr="008E0B17">
              <w:rPr>
                <w:rFonts w:ascii="Arial" w:hAnsi="Arial" w:cs="Arial"/>
                <w:color w:val="000000"/>
              </w:rPr>
              <w:t>16.087</w:t>
            </w:r>
          </w:p>
        </w:tc>
        <w:tc>
          <w:tcPr>
            <w:tcW w:w="1540" w:type="dxa"/>
            <w:shd w:val="clear" w:color="auto" w:fill="auto"/>
            <w:vAlign w:val="center"/>
            <w:hideMark/>
          </w:tcPr>
          <w:p w14:paraId="07C24FEB" w14:textId="77777777" w:rsidR="004E183F" w:rsidRPr="008E0B17" w:rsidRDefault="004E183F" w:rsidP="00AA2F1E">
            <w:pPr>
              <w:jc w:val="center"/>
              <w:rPr>
                <w:rFonts w:ascii="Arial" w:hAnsi="Arial" w:cs="Arial"/>
                <w:color w:val="000000"/>
              </w:rPr>
            </w:pPr>
            <w:r w:rsidRPr="008E0B17">
              <w:rPr>
                <w:rFonts w:ascii="Arial" w:hAnsi="Arial" w:cs="Arial"/>
                <w:color w:val="000000"/>
              </w:rPr>
              <w:t>0.0029</w:t>
            </w:r>
          </w:p>
        </w:tc>
      </w:tr>
      <w:tr w:rsidR="004E183F" w:rsidRPr="008E0B17" w14:paraId="07357E45" w14:textId="77777777" w:rsidTr="00AA2F1E">
        <w:trPr>
          <w:trHeight w:val="432"/>
          <w:jc w:val="center"/>
        </w:trPr>
        <w:tc>
          <w:tcPr>
            <w:tcW w:w="1540" w:type="dxa"/>
            <w:vMerge/>
            <w:vAlign w:val="center"/>
            <w:hideMark/>
          </w:tcPr>
          <w:p w14:paraId="161D3508" w14:textId="77777777" w:rsidR="004E183F" w:rsidRPr="008E0B17" w:rsidRDefault="004E183F" w:rsidP="00AA2F1E">
            <w:pPr>
              <w:rPr>
                <w:rFonts w:ascii="Arial" w:hAnsi="Arial" w:cs="Arial"/>
                <w:color w:val="000000"/>
              </w:rPr>
            </w:pPr>
          </w:p>
        </w:tc>
        <w:tc>
          <w:tcPr>
            <w:tcW w:w="1540" w:type="dxa"/>
            <w:shd w:val="clear" w:color="auto" w:fill="auto"/>
            <w:vAlign w:val="center"/>
            <w:hideMark/>
          </w:tcPr>
          <w:p w14:paraId="79883265" w14:textId="77777777" w:rsidR="004E183F" w:rsidRPr="008E0B17" w:rsidRDefault="004E183F" w:rsidP="00AA2F1E">
            <w:pPr>
              <w:jc w:val="center"/>
              <w:rPr>
                <w:rFonts w:ascii="Arial" w:hAnsi="Arial" w:cs="Arial"/>
                <w:color w:val="000000"/>
              </w:rPr>
            </w:pPr>
            <w:r w:rsidRPr="008E0B17">
              <w:rPr>
                <w:rFonts w:ascii="Arial" w:hAnsi="Arial" w:cs="Arial"/>
                <w:color w:val="000000"/>
              </w:rPr>
              <w:t>PGRs</w:t>
            </w:r>
          </w:p>
        </w:tc>
        <w:tc>
          <w:tcPr>
            <w:tcW w:w="1540" w:type="dxa"/>
            <w:shd w:val="clear" w:color="auto" w:fill="auto"/>
            <w:vAlign w:val="center"/>
            <w:hideMark/>
          </w:tcPr>
          <w:p w14:paraId="79023942" w14:textId="77777777" w:rsidR="004E183F" w:rsidRPr="008E0B17" w:rsidRDefault="004E183F" w:rsidP="00AA2F1E">
            <w:pPr>
              <w:jc w:val="center"/>
              <w:rPr>
                <w:rFonts w:ascii="Arial" w:hAnsi="Arial" w:cs="Arial"/>
                <w:color w:val="000000"/>
              </w:rPr>
            </w:pPr>
            <w:r w:rsidRPr="008E0B17">
              <w:rPr>
                <w:rFonts w:ascii="Arial" w:hAnsi="Arial" w:cs="Arial"/>
                <w:color w:val="000000"/>
              </w:rPr>
              <w:t>22.805</w:t>
            </w:r>
          </w:p>
        </w:tc>
        <w:tc>
          <w:tcPr>
            <w:tcW w:w="1540" w:type="dxa"/>
            <w:shd w:val="clear" w:color="auto" w:fill="auto"/>
            <w:vAlign w:val="center"/>
            <w:hideMark/>
          </w:tcPr>
          <w:p w14:paraId="655BA0D2" w14:textId="77777777" w:rsidR="004E183F" w:rsidRPr="008E0B17" w:rsidRDefault="004E183F" w:rsidP="00AA2F1E">
            <w:pPr>
              <w:jc w:val="center"/>
              <w:rPr>
                <w:rFonts w:ascii="Arial" w:hAnsi="Arial" w:cs="Arial"/>
                <w:color w:val="000000"/>
              </w:rPr>
            </w:pPr>
            <w:r w:rsidRPr="008E0B17">
              <w:rPr>
                <w:rFonts w:ascii="Arial" w:hAnsi="Arial" w:cs="Arial"/>
                <w:color w:val="000000"/>
              </w:rPr>
              <w:t>0.0004</w:t>
            </w:r>
          </w:p>
        </w:tc>
      </w:tr>
      <w:tr w:rsidR="004E183F" w:rsidRPr="008E0B17" w14:paraId="0DCB307A" w14:textId="77777777" w:rsidTr="00AA2F1E">
        <w:trPr>
          <w:trHeight w:val="432"/>
          <w:jc w:val="center"/>
        </w:trPr>
        <w:tc>
          <w:tcPr>
            <w:tcW w:w="1540" w:type="dxa"/>
            <w:vMerge w:val="restart"/>
            <w:shd w:val="clear" w:color="auto" w:fill="auto"/>
            <w:vAlign w:val="center"/>
            <w:hideMark/>
          </w:tcPr>
          <w:p w14:paraId="2A39D8B6" w14:textId="77777777" w:rsidR="004E183F" w:rsidRPr="008E0B17" w:rsidRDefault="004E183F" w:rsidP="00AA2F1E">
            <w:pPr>
              <w:jc w:val="center"/>
              <w:rPr>
                <w:rFonts w:ascii="Arial" w:hAnsi="Arial" w:cs="Arial"/>
                <w:color w:val="000000"/>
              </w:rPr>
            </w:pPr>
            <w:r w:rsidRPr="008E0B17">
              <w:rPr>
                <w:rFonts w:ascii="Arial" w:hAnsi="Arial" w:cs="Arial"/>
                <w:color w:val="000000"/>
              </w:rPr>
              <w:t>2</w:t>
            </w:r>
          </w:p>
        </w:tc>
        <w:tc>
          <w:tcPr>
            <w:tcW w:w="1540" w:type="dxa"/>
            <w:shd w:val="clear" w:color="auto" w:fill="auto"/>
            <w:vAlign w:val="center"/>
            <w:hideMark/>
          </w:tcPr>
          <w:p w14:paraId="083B8813" w14:textId="77777777" w:rsidR="004E183F" w:rsidRPr="008E0B17" w:rsidRDefault="004E183F" w:rsidP="00AA2F1E">
            <w:pPr>
              <w:jc w:val="center"/>
              <w:rPr>
                <w:rFonts w:ascii="Arial" w:hAnsi="Arial" w:cs="Arial"/>
                <w:color w:val="000000"/>
              </w:rPr>
            </w:pPr>
            <w:r w:rsidRPr="008E0B17">
              <w:rPr>
                <w:rFonts w:ascii="Arial" w:hAnsi="Arial" w:cs="Arial"/>
                <w:color w:val="000000"/>
              </w:rPr>
              <w:t>Genotype</w:t>
            </w:r>
          </w:p>
        </w:tc>
        <w:tc>
          <w:tcPr>
            <w:tcW w:w="1540" w:type="dxa"/>
            <w:shd w:val="clear" w:color="auto" w:fill="auto"/>
            <w:vAlign w:val="center"/>
            <w:hideMark/>
          </w:tcPr>
          <w:p w14:paraId="6EDFFF17" w14:textId="77777777" w:rsidR="004E183F" w:rsidRPr="008E0B17" w:rsidRDefault="004E183F" w:rsidP="00AA2F1E">
            <w:pPr>
              <w:jc w:val="center"/>
              <w:rPr>
                <w:rFonts w:ascii="Arial" w:hAnsi="Arial" w:cs="Arial"/>
                <w:color w:val="000000"/>
              </w:rPr>
            </w:pPr>
            <w:r w:rsidRPr="008E0B17">
              <w:rPr>
                <w:rFonts w:ascii="Arial" w:hAnsi="Arial" w:cs="Arial"/>
                <w:color w:val="000000"/>
              </w:rPr>
              <w:t>30.583</w:t>
            </w:r>
          </w:p>
        </w:tc>
        <w:tc>
          <w:tcPr>
            <w:tcW w:w="1540" w:type="dxa"/>
            <w:shd w:val="clear" w:color="auto" w:fill="auto"/>
            <w:vAlign w:val="center"/>
            <w:hideMark/>
          </w:tcPr>
          <w:p w14:paraId="224A0C6B"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r w:rsidR="004E183F" w:rsidRPr="008E0B17" w14:paraId="7E610345" w14:textId="77777777" w:rsidTr="00AA2F1E">
        <w:trPr>
          <w:trHeight w:val="432"/>
          <w:jc w:val="center"/>
        </w:trPr>
        <w:tc>
          <w:tcPr>
            <w:tcW w:w="1540" w:type="dxa"/>
            <w:vMerge/>
            <w:vAlign w:val="center"/>
            <w:hideMark/>
          </w:tcPr>
          <w:p w14:paraId="470F765C" w14:textId="77777777" w:rsidR="004E183F" w:rsidRPr="008E0B17" w:rsidRDefault="004E183F" w:rsidP="00AA2F1E">
            <w:pPr>
              <w:rPr>
                <w:rFonts w:ascii="Arial" w:hAnsi="Arial" w:cs="Arial"/>
                <w:color w:val="000000"/>
              </w:rPr>
            </w:pPr>
          </w:p>
        </w:tc>
        <w:tc>
          <w:tcPr>
            <w:tcW w:w="1540" w:type="dxa"/>
            <w:shd w:val="clear" w:color="auto" w:fill="auto"/>
            <w:vAlign w:val="center"/>
            <w:hideMark/>
          </w:tcPr>
          <w:p w14:paraId="373C908C" w14:textId="77777777" w:rsidR="004E183F" w:rsidRPr="008E0B17" w:rsidRDefault="004E183F" w:rsidP="00AA2F1E">
            <w:pPr>
              <w:jc w:val="center"/>
              <w:rPr>
                <w:rFonts w:ascii="Arial" w:hAnsi="Arial" w:cs="Arial"/>
                <w:color w:val="000000"/>
              </w:rPr>
            </w:pPr>
            <w:r w:rsidRPr="008E0B17">
              <w:rPr>
                <w:rFonts w:ascii="Arial" w:hAnsi="Arial" w:cs="Arial"/>
                <w:color w:val="000000"/>
              </w:rPr>
              <w:t>PGRs</w:t>
            </w:r>
          </w:p>
        </w:tc>
        <w:tc>
          <w:tcPr>
            <w:tcW w:w="1540" w:type="dxa"/>
            <w:shd w:val="clear" w:color="auto" w:fill="auto"/>
            <w:vAlign w:val="center"/>
            <w:hideMark/>
          </w:tcPr>
          <w:p w14:paraId="29821EA2" w14:textId="77777777" w:rsidR="004E183F" w:rsidRPr="008E0B17" w:rsidRDefault="004E183F" w:rsidP="00AA2F1E">
            <w:pPr>
              <w:jc w:val="center"/>
              <w:rPr>
                <w:rFonts w:ascii="Arial" w:hAnsi="Arial" w:cs="Arial"/>
                <w:color w:val="000000"/>
              </w:rPr>
            </w:pPr>
            <w:r w:rsidRPr="008E0B17">
              <w:rPr>
                <w:rFonts w:ascii="Arial" w:hAnsi="Arial" w:cs="Arial"/>
                <w:color w:val="000000"/>
              </w:rPr>
              <w:t>26.168</w:t>
            </w:r>
          </w:p>
        </w:tc>
        <w:tc>
          <w:tcPr>
            <w:tcW w:w="1540" w:type="dxa"/>
            <w:shd w:val="clear" w:color="auto" w:fill="auto"/>
            <w:vAlign w:val="center"/>
            <w:hideMark/>
          </w:tcPr>
          <w:p w14:paraId="7FDDE32C" w14:textId="77777777" w:rsidR="004E183F" w:rsidRPr="008E0B17" w:rsidRDefault="004E183F" w:rsidP="00AA2F1E">
            <w:pPr>
              <w:jc w:val="center"/>
              <w:rPr>
                <w:rFonts w:ascii="Arial" w:hAnsi="Arial" w:cs="Arial"/>
                <w:color w:val="000000"/>
              </w:rPr>
            </w:pPr>
            <w:r w:rsidRPr="008E0B17">
              <w:rPr>
                <w:rFonts w:ascii="Arial" w:hAnsi="Arial" w:cs="Arial"/>
                <w:color w:val="000000"/>
              </w:rPr>
              <w:t>0.0001</w:t>
            </w:r>
          </w:p>
        </w:tc>
      </w:tr>
      <w:tr w:rsidR="004E183F" w:rsidRPr="008E0B17" w14:paraId="21105049" w14:textId="77777777" w:rsidTr="00AA2F1E">
        <w:trPr>
          <w:trHeight w:val="432"/>
          <w:jc w:val="center"/>
        </w:trPr>
        <w:tc>
          <w:tcPr>
            <w:tcW w:w="1540" w:type="dxa"/>
            <w:vMerge w:val="restart"/>
            <w:shd w:val="clear" w:color="auto" w:fill="auto"/>
            <w:vAlign w:val="center"/>
            <w:hideMark/>
          </w:tcPr>
          <w:p w14:paraId="6AC76AAB" w14:textId="77777777" w:rsidR="004E183F" w:rsidRPr="008E0B17" w:rsidRDefault="004E183F" w:rsidP="00AA2F1E">
            <w:pPr>
              <w:jc w:val="center"/>
              <w:rPr>
                <w:rFonts w:ascii="Arial" w:hAnsi="Arial" w:cs="Arial"/>
                <w:color w:val="000000"/>
              </w:rPr>
            </w:pPr>
            <w:r w:rsidRPr="008E0B17">
              <w:rPr>
                <w:rFonts w:ascii="Arial" w:hAnsi="Arial" w:cs="Arial"/>
                <w:color w:val="000000"/>
              </w:rPr>
              <w:t>3</w:t>
            </w:r>
          </w:p>
        </w:tc>
        <w:tc>
          <w:tcPr>
            <w:tcW w:w="1540" w:type="dxa"/>
            <w:shd w:val="clear" w:color="auto" w:fill="auto"/>
            <w:vAlign w:val="center"/>
            <w:hideMark/>
          </w:tcPr>
          <w:p w14:paraId="7F542504" w14:textId="77777777" w:rsidR="004E183F" w:rsidRPr="008E0B17" w:rsidRDefault="004E183F" w:rsidP="00AA2F1E">
            <w:pPr>
              <w:jc w:val="center"/>
              <w:rPr>
                <w:rFonts w:ascii="Arial" w:hAnsi="Arial" w:cs="Arial"/>
                <w:color w:val="000000"/>
              </w:rPr>
            </w:pPr>
            <w:r w:rsidRPr="008E0B17">
              <w:rPr>
                <w:rFonts w:ascii="Arial" w:hAnsi="Arial" w:cs="Arial"/>
                <w:color w:val="000000"/>
              </w:rPr>
              <w:t>Genotype</w:t>
            </w:r>
          </w:p>
        </w:tc>
        <w:tc>
          <w:tcPr>
            <w:tcW w:w="1540" w:type="dxa"/>
            <w:shd w:val="clear" w:color="auto" w:fill="auto"/>
            <w:vAlign w:val="center"/>
            <w:hideMark/>
          </w:tcPr>
          <w:p w14:paraId="5A1D173E" w14:textId="77777777" w:rsidR="004E183F" w:rsidRPr="008E0B17" w:rsidRDefault="004E183F" w:rsidP="00AA2F1E">
            <w:pPr>
              <w:jc w:val="center"/>
              <w:rPr>
                <w:rFonts w:ascii="Arial" w:hAnsi="Arial" w:cs="Arial"/>
                <w:color w:val="000000"/>
              </w:rPr>
            </w:pPr>
            <w:r w:rsidRPr="008E0B17">
              <w:rPr>
                <w:rFonts w:ascii="Arial" w:hAnsi="Arial" w:cs="Arial"/>
                <w:color w:val="000000"/>
              </w:rPr>
              <w:t>29.088</w:t>
            </w:r>
          </w:p>
        </w:tc>
        <w:tc>
          <w:tcPr>
            <w:tcW w:w="1540" w:type="dxa"/>
            <w:shd w:val="clear" w:color="auto" w:fill="auto"/>
            <w:vAlign w:val="center"/>
            <w:hideMark/>
          </w:tcPr>
          <w:p w14:paraId="29118B0E"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r w:rsidR="004E183F" w:rsidRPr="008E0B17" w14:paraId="2DFA206D" w14:textId="77777777" w:rsidTr="00AA2F1E">
        <w:trPr>
          <w:trHeight w:val="432"/>
          <w:jc w:val="center"/>
        </w:trPr>
        <w:tc>
          <w:tcPr>
            <w:tcW w:w="1540" w:type="dxa"/>
            <w:vMerge/>
            <w:vAlign w:val="center"/>
            <w:hideMark/>
          </w:tcPr>
          <w:p w14:paraId="09E4BCD7" w14:textId="77777777" w:rsidR="004E183F" w:rsidRPr="008E0B17" w:rsidRDefault="004E183F" w:rsidP="00AA2F1E">
            <w:pPr>
              <w:rPr>
                <w:rFonts w:ascii="Arial" w:hAnsi="Arial" w:cs="Arial"/>
                <w:color w:val="000000"/>
              </w:rPr>
            </w:pPr>
          </w:p>
        </w:tc>
        <w:tc>
          <w:tcPr>
            <w:tcW w:w="1540" w:type="dxa"/>
            <w:shd w:val="clear" w:color="auto" w:fill="auto"/>
            <w:vAlign w:val="center"/>
            <w:hideMark/>
          </w:tcPr>
          <w:p w14:paraId="272D400D" w14:textId="77777777" w:rsidR="004E183F" w:rsidRPr="008E0B17" w:rsidRDefault="004E183F" w:rsidP="00AA2F1E">
            <w:pPr>
              <w:jc w:val="center"/>
              <w:rPr>
                <w:rFonts w:ascii="Arial" w:hAnsi="Arial" w:cs="Arial"/>
                <w:color w:val="000000"/>
              </w:rPr>
            </w:pPr>
            <w:r w:rsidRPr="008E0B17">
              <w:rPr>
                <w:rFonts w:ascii="Arial" w:hAnsi="Arial" w:cs="Arial"/>
                <w:color w:val="000000"/>
              </w:rPr>
              <w:t>PGRs</w:t>
            </w:r>
          </w:p>
        </w:tc>
        <w:tc>
          <w:tcPr>
            <w:tcW w:w="1540" w:type="dxa"/>
            <w:shd w:val="clear" w:color="auto" w:fill="auto"/>
            <w:vAlign w:val="center"/>
            <w:hideMark/>
          </w:tcPr>
          <w:p w14:paraId="0DFEF231" w14:textId="77777777" w:rsidR="004E183F" w:rsidRPr="008E0B17" w:rsidRDefault="004E183F" w:rsidP="00AA2F1E">
            <w:pPr>
              <w:jc w:val="center"/>
              <w:rPr>
                <w:rFonts w:ascii="Arial" w:hAnsi="Arial" w:cs="Arial"/>
                <w:color w:val="000000"/>
              </w:rPr>
            </w:pPr>
            <w:r w:rsidRPr="008E0B17">
              <w:rPr>
                <w:rFonts w:ascii="Arial" w:hAnsi="Arial" w:cs="Arial"/>
                <w:color w:val="000000"/>
              </w:rPr>
              <w:t>27.5</w:t>
            </w:r>
          </w:p>
        </w:tc>
        <w:tc>
          <w:tcPr>
            <w:tcW w:w="1540" w:type="dxa"/>
            <w:shd w:val="clear" w:color="auto" w:fill="auto"/>
            <w:vAlign w:val="center"/>
            <w:hideMark/>
          </w:tcPr>
          <w:p w14:paraId="089DEF83"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r w:rsidR="004E183F" w:rsidRPr="008E0B17" w14:paraId="45754A2D" w14:textId="77777777" w:rsidTr="00AA2F1E">
        <w:trPr>
          <w:trHeight w:val="432"/>
          <w:jc w:val="center"/>
        </w:trPr>
        <w:tc>
          <w:tcPr>
            <w:tcW w:w="1540" w:type="dxa"/>
            <w:vMerge w:val="restart"/>
            <w:shd w:val="clear" w:color="auto" w:fill="auto"/>
            <w:vAlign w:val="center"/>
            <w:hideMark/>
          </w:tcPr>
          <w:p w14:paraId="6FBAB309" w14:textId="77777777" w:rsidR="004E183F" w:rsidRPr="008E0B17" w:rsidRDefault="004E183F" w:rsidP="00AA2F1E">
            <w:pPr>
              <w:jc w:val="center"/>
              <w:rPr>
                <w:rFonts w:ascii="Arial" w:hAnsi="Arial" w:cs="Arial"/>
                <w:color w:val="000000"/>
              </w:rPr>
            </w:pPr>
            <w:r w:rsidRPr="008E0B17">
              <w:rPr>
                <w:rFonts w:ascii="Arial" w:hAnsi="Arial" w:cs="Arial"/>
                <w:color w:val="000000"/>
              </w:rPr>
              <w:t>4</w:t>
            </w:r>
          </w:p>
        </w:tc>
        <w:tc>
          <w:tcPr>
            <w:tcW w:w="1540" w:type="dxa"/>
            <w:shd w:val="clear" w:color="auto" w:fill="auto"/>
            <w:vAlign w:val="center"/>
            <w:hideMark/>
          </w:tcPr>
          <w:p w14:paraId="68735E5F" w14:textId="77777777" w:rsidR="004E183F" w:rsidRPr="008E0B17" w:rsidRDefault="004E183F" w:rsidP="00AA2F1E">
            <w:pPr>
              <w:jc w:val="center"/>
              <w:rPr>
                <w:rFonts w:ascii="Arial" w:hAnsi="Arial" w:cs="Arial"/>
                <w:color w:val="000000"/>
              </w:rPr>
            </w:pPr>
            <w:r w:rsidRPr="008E0B17">
              <w:rPr>
                <w:rFonts w:ascii="Arial" w:hAnsi="Arial" w:cs="Arial"/>
                <w:color w:val="000000"/>
              </w:rPr>
              <w:t>Genotype</w:t>
            </w:r>
          </w:p>
        </w:tc>
        <w:tc>
          <w:tcPr>
            <w:tcW w:w="1540" w:type="dxa"/>
            <w:shd w:val="clear" w:color="auto" w:fill="auto"/>
            <w:vAlign w:val="center"/>
            <w:hideMark/>
          </w:tcPr>
          <w:p w14:paraId="2CF85754" w14:textId="77777777" w:rsidR="004E183F" w:rsidRPr="008E0B17" w:rsidRDefault="004E183F" w:rsidP="00AA2F1E">
            <w:pPr>
              <w:jc w:val="center"/>
              <w:rPr>
                <w:rFonts w:ascii="Arial" w:hAnsi="Arial" w:cs="Arial"/>
                <w:color w:val="000000"/>
              </w:rPr>
            </w:pPr>
            <w:r w:rsidRPr="008E0B17">
              <w:rPr>
                <w:rFonts w:ascii="Arial" w:hAnsi="Arial" w:cs="Arial"/>
                <w:color w:val="000000"/>
              </w:rPr>
              <w:t>28.988</w:t>
            </w:r>
          </w:p>
        </w:tc>
        <w:tc>
          <w:tcPr>
            <w:tcW w:w="1540" w:type="dxa"/>
            <w:shd w:val="clear" w:color="auto" w:fill="auto"/>
            <w:vAlign w:val="center"/>
            <w:hideMark/>
          </w:tcPr>
          <w:p w14:paraId="4E3AEBCF"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r w:rsidR="004E183F" w:rsidRPr="008E0B17" w14:paraId="49F8132E" w14:textId="77777777" w:rsidTr="00AA2F1E">
        <w:trPr>
          <w:trHeight w:val="432"/>
          <w:jc w:val="center"/>
        </w:trPr>
        <w:tc>
          <w:tcPr>
            <w:tcW w:w="1540" w:type="dxa"/>
            <w:vMerge/>
            <w:vAlign w:val="center"/>
            <w:hideMark/>
          </w:tcPr>
          <w:p w14:paraId="3FAB825B" w14:textId="77777777" w:rsidR="004E183F" w:rsidRPr="008E0B17" w:rsidRDefault="004E183F" w:rsidP="00AA2F1E">
            <w:pPr>
              <w:rPr>
                <w:rFonts w:ascii="Arial" w:hAnsi="Arial" w:cs="Arial"/>
                <w:color w:val="000000"/>
              </w:rPr>
            </w:pPr>
          </w:p>
        </w:tc>
        <w:tc>
          <w:tcPr>
            <w:tcW w:w="1540" w:type="dxa"/>
            <w:shd w:val="clear" w:color="auto" w:fill="auto"/>
            <w:vAlign w:val="center"/>
            <w:hideMark/>
          </w:tcPr>
          <w:p w14:paraId="31B4A704" w14:textId="77777777" w:rsidR="004E183F" w:rsidRPr="008E0B17" w:rsidRDefault="004E183F" w:rsidP="00AA2F1E">
            <w:pPr>
              <w:jc w:val="center"/>
              <w:rPr>
                <w:rFonts w:ascii="Arial" w:hAnsi="Arial" w:cs="Arial"/>
                <w:color w:val="000000"/>
              </w:rPr>
            </w:pPr>
            <w:r w:rsidRPr="008E0B17">
              <w:rPr>
                <w:rFonts w:ascii="Arial" w:hAnsi="Arial" w:cs="Arial"/>
                <w:color w:val="000000"/>
              </w:rPr>
              <w:t>PGRs</w:t>
            </w:r>
          </w:p>
        </w:tc>
        <w:tc>
          <w:tcPr>
            <w:tcW w:w="1540" w:type="dxa"/>
            <w:shd w:val="clear" w:color="auto" w:fill="auto"/>
            <w:vAlign w:val="center"/>
            <w:hideMark/>
          </w:tcPr>
          <w:p w14:paraId="7A7802A4" w14:textId="77777777" w:rsidR="004E183F" w:rsidRPr="008E0B17" w:rsidRDefault="004E183F" w:rsidP="00AA2F1E">
            <w:pPr>
              <w:jc w:val="center"/>
              <w:rPr>
                <w:rFonts w:ascii="Arial" w:hAnsi="Arial" w:cs="Arial"/>
                <w:color w:val="000000"/>
              </w:rPr>
            </w:pPr>
            <w:r w:rsidRPr="008E0B17">
              <w:rPr>
                <w:rFonts w:ascii="Arial" w:hAnsi="Arial" w:cs="Arial"/>
                <w:color w:val="000000"/>
              </w:rPr>
              <w:t>30.989</w:t>
            </w:r>
          </w:p>
        </w:tc>
        <w:tc>
          <w:tcPr>
            <w:tcW w:w="1540" w:type="dxa"/>
            <w:shd w:val="clear" w:color="auto" w:fill="auto"/>
            <w:vAlign w:val="center"/>
            <w:hideMark/>
          </w:tcPr>
          <w:p w14:paraId="690A44A3" w14:textId="77777777" w:rsidR="004E183F" w:rsidRPr="008E0B17" w:rsidRDefault="004E183F" w:rsidP="00AA2F1E">
            <w:pPr>
              <w:jc w:val="center"/>
              <w:rPr>
                <w:rFonts w:ascii="Arial" w:hAnsi="Arial" w:cs="Arial"/>
                <w:color w:val="000000"/>
              </w:rPr>
            </w:pPr>
            <w:r w:rsidRPr="008E0B17">
              <w:rPr>
                <w:rFonts w:ascii="Arial" w:hAnsi="Arial" w:cs="Arial"/>
                <w:color w:val="000000"/>
              </w:rPr>
              <w:t>&lt;0.0001</w:t>
            </w:r>
          </w:p>
        </w:tc>
      </w:tr>
    </w:tbl>
    <w:p w14:paraId="4D04B01D" w14:textId="77777777" w:rsidR="004E183F" w:rsidRPr="008E0B17" w:rsidRDefault="004E183F" w:rsidP="00997E1A">
      <w:pPr>
        <w:spacing w:after="120" w:line="278" w:lineRule="auto"/>
        <w:ind w:left="810" w:hanging="810"/>
        <w:jc w:val="both"/>
        <w:rPr>
          <w:rFonts w:ascii="Arial" w:hAnsi="Arial" w:cs="Arial"/>
          <w:b/>
          <w:bCs/>
          <w:iCs/>
        </w:rPr>
      </w:pPr>
      <w:r w:rsidRPr="008E0B17">
        <w:rPr>
          <w:rFonts w:ascii="Arial" w:hAnsi="Arial" w:cs="Arial"/>
          <w:b/>
          <w:bCs/>
          <w:iCs/>
        </w:rPr>
        <w:t>*Note: All tests used α = 0.05.</w:t>
      </w:r>
    </w:p>
    <w:p w14:paraId="47E531A9" w14:textId="77777777" w:rsidR="004E183F" w:rsidRPr="006814F3" w:rsidRDefault="004E183F" w:rsidP="00997E1A">
      <w:pPr>
        <w:spacing w:after="160" w:line="278" w:lineRule="auto"/>
        <w:ind w:left="450" w:hanging="450"/>
        <w:jc w:val="both"/>
        <w:rPr>
          <w:rFonts w:ascii="Arial" w:hAnsi="Arial" w:cs="Arial"/>
          <w:b/>
          <w:bCs/>
          <w:iCs/>
          <w:sz w:val="24"/>
          <w:szCs w:val="24"/>
        </w:rPr>
      </w:pPr>
      <w:r w:rsidRPr="006814F3">
        <w:rPr>
          <w:rFonts w:ascii="Arial" w:hAnsi="Arial" w:cs="Arial"/>
          <w:b/>
          <w:bCs/>
          <w:iCs/>
          <w:sz w:val="24"/>
          <w:szCs w:val="24"/>
        </w:rPr>
        <w:t>3.2 Effect of Plant Growth Regulators and Genotype on Callus Induction in Maize Anther Culture</w:t>
      </w:r>
    </w:p>
    <w:p w14:paraId="3EAEF42A" w14:textId="77777777" w:rsidR="004E183F" w:rsidRPr="006814F3" w:rsidRDefault="004E183F" w:rsidP="004E183F">
      <w:pPr>
        <w:spacing w:after="160" w:line="278" w:lineRule="auto"/>
        <w:ind w:left="810" w:hanging="810"/>
        <w:jc w:val="both"/>
        <w:rPr>
          <w:rFonts w:ascii="Arial" w:hAnsi="Arial" w:cs="Arial"/>
          <w:b/>
          <w:bCs/>
          <w:iCs/>
          <w:sz w:val="22"/>
          <w:szCs w:val="22"/>
        </w:rPr>
      </w:pPr>
      <w:r w:rsidRPr="006814F3">
        <w:rPr>
          <w:rFonts w:ascii="Arial" w:hAnsi="Arial" w:cs="Arial"/>
          <w:b/>
          <w:bCs/>
          <w:iCs/>
          <w:sz w:val="22"/>
          <w:szCs w:val="22"/>
        </w:rPr>
        <w:t>3.2.1 Callus Formation in Response to PGR Treatments</w:t>
      </w:r>
    </w:p>
    <w:p w14:paraId="58D9CBF1"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 xml:space="preserve">Significant variation in callus induction rates was observed across genotypes and plant growth regulator (PGR) treatments. The highest callus induction rate (19.44%) was recorded in </w:t>
      </w:r>
      <w:proofErr w:type="spellStart"/>
      <w:r w:rsidRPr="006814F3">
        <w:rPr>
          <w:rFonts w:ascii="Arial" w:hAnsi="Arial" w:cs="Arial"/>
          <w:iCs/>
        </w:rPr>
        <w:t>Yezin</w:t>
      </w:r>
      <w:proofErr w:type="spellEnd"/>
      <w:r w:rsidRPr="006814F3">
        <w:rPr>
          <w:rFonts w:ascii="Arial" w:hAnsi="Arial" w:cs="Arial"/>
          <w:iCs/>
        </w:rPr>
        <w:t xml:space="preserve"> 14 when cultured on medium supplemented with 2,4-D (2.5 mg L</w:t>
      </w:r>
      <w:r w:rsidRPr="006814F3">
        <w:rPr>
          <w:rFonts w:ascii="Cambria Math" w:hAnsi="Cambria Math" w:cs="Cambria Math"/>
          <w:iCs/>
        </w:rPr>
        <w:t>⁻</w:t>
      </w:r>
      <w:r w:rsidRPr="006814F3">
        <w:rPr>
          <w:rFonts w:ascii="Arial" w:hAnsi="Arial" w:cs="Arial"/>
          <w:iCs/>
        </w:rPr>
        <w:t>¹) and kinetin (1.5 mg L</w:t>
      </w:r>
      <w:r w:rsidRPr="006814F3">
        <w:rPr>
          <w:rFonts w:ascii="Cambria Math" w:hAnsi="Cambria Math" w:cs="Cambria Math"/>
          <w:iCs/>
        </w:rPr>
        <w:t>⁻</w:t>
      </w:r>
      <w:r w:rsidRPr="006814F3">
        <w:rPr>
          <w:rFonts w:ascii="Arial" w:hAnsi="Arial" w:cs="Arial"/>
          <w:iCs/>
        </w:rPr>
        <w:t>¹), followed by 2,4-D (2.0 mg L</w:t>
      </w:r>
      <w:r w:rsidRPr="006814F3">
        <w:rPr>
          <w:rFonts w:ascii="Cambria Math" w:hAnsi="Cambria Math" w:cs="Cambria Math"/>
          <w:iCs/>
        </w:rPr>
        <w:t>⁻</w:t>
      </w:r>
      <w:r w:rsidRPr="006814F3">
        <w:rPr>
          <w:rFonts w:ascii="Arial" w:hAnsi="Arial" w:cs="Arial"/>
          <w:iCs/>
        </w:rPr>
        <w:t>¹) + kinetin (1.5 mg L</w:t>
      </w:r>
      <w:r w:rsidRPr="006814F3">
        <w:rPr>
          <w:rFonts w:ascii="Cambria Math" w:hAnsi="Cambria Math" w:cs="Cambria Math"/>
          <w:iCs/>
        </w:rPr>
        <w:t>⁻</w:t>
      </w:r>
      <w:r w:rsidRPr="006814F3">
        <w:rPr>
          <w:rFonts w:ascii="Arial" w:hAnsi="Arial" w:cs="Arial"/>
          <w:iCs/>
        </w:rPr>
        <w:t>¹) (13.44%) and TIBA (0.1 mg L</w:t>
      </w:r>
      <w:r w:rsidRPr="006814F3">
        <w:rPr>
          <w:rFonts w:ascii="Cambria Math" w:hAnsi="Cambria Math" w:cs="Cambria Math"/>
          <w:iCs/>
        </w:rPr>
        <w:t>⁻</w:t>
      </w:r>
      <w:r w:rsidRPr="006814F3">
        <w:rPr>
          <w:rFonts w:ascii="Arial" w:hAnsi="Arial" w:cs="Arial"/>
          <w:iCs/>
        </w:rPr>
        <w:t>¹) (15.83%), indicating broad hormonal responsiveness in this genotype. C7 exhibited a maximum response (12.71%) under the same 2,4-D (2.5 mg L</w:t>
      </w:r>
      <w:r w:rsidRPr="006814F3">
        <w:rPr>
          <w:rFonts w:ascii="Cambria Math" w:hAnsi="Cambria Math" w:cs="Cambria Math"/>
          <w:iCs/>
        </w:rPr>
        <w:t>⁻</w:t>
      </w:r>
      <w:r w:rsidRPr="006814F3">
        <w:rPr>
          <w:rFonts w:ascii="Arial" w:hAnsi="Arial" w:cs="Arial"/>
          <w:iCs/>
        </w:rPr>
        <w:t>¹) + kinetin combination, with moderate responses under 2,4-D (2.0 mg L</w:t>
      </w:r>
      <w:r w:rsidRPr="006814F3">
        <w:rPr>
          <w:rFonts w:ascii="Cambria Math" w:hAnsi="Cambria Math" w:cs="Cambria Math"/>
          <w:iCs/>
        </w:rPr>
        <w:t>⁻</w:t>
      </w:r>
      <w:r w:rsidRPr="006814F3">
        <w:rPr>
          <w:rFonts w:ascii="Arial" w:hAnsi="Arial" w:cs="Arial"/>
          <w:iCs/>
        </w:rPr>
        <w:t>¹) + kinetin (9.63%) and 2,4-D (2.0 mg L</w:t>
      </w:r>
      <w:r w:rsidRPr="006814F3">
        <w:rPr>
          <w:rFonts w:ascii="Cambria Math" w:hAnsi="Cambria Math" w:cs="Cambria Math"/>
          <w:iCs/>
        </w:rPr>
        <w:t>⁻</w:t>
      </w:r>
      <w:r w:rsidRPr="006814F3">
        <w:rPr>
          <w:rFonts w:ascii="Arial" w:hAnsi="Arial" w:cs="Arial"/>
          <w:iCs/>
        </w:rPr>
        <w:t>¹) + NAA (1.5 mg L</w:t>
      </w:r>
      <w:r w:rsidRPr="006814F3">
        <w:rPr>
          <w:rFonts w:ascii="Cambria Math" w:hAnsi="Cambria Math" w:cs="Cambria Math"/>
          <w:iCs/>
        </w:rPr>
        <w:t>⁻</w:t>
      </w:r>
      <w:r w:rsidRPr="006814F3">
        <w:rPr>
          <w:rFonts w:ascii="Arial" w:hAnsi="Arial" w:cs="Arial"/>
          <w:iCs/>
        </w:rPr>
        <w:t>¹) (9.38%). D6, generally less responsive, unexpectedly showed a high induction rate (15.44%) under 2,4-D (2.5 mg L</w:t>
      </w:r>
      <w:r w:rsidRPr="006814F3">
        <w:rPr>
          <w:rFonts w:ascii="Cambria Math" w:hAnsi="Cambria Math" w:cs="Cambria Math"/>
          <w:iCs/>
        </w:rPr>
        <w:t>⁻</w:t>
      </w:r>
      <w:r w:rsidRPr="006814F3">
        <w:rPr>
          <w:rFonts w:ascii="Arial" w:hAnsi="Arial" w:cs="Arial"/>
          <w:iCs/>
        </w:rPr>
        <w:t>¹) + kinetin, while other PGR combinations yielded minimal responses (&lt;2%).</w:t>
      </w:r>
    </w:p>
    <w:p w14:paraId="3671D0D7"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 xml:space="preserve">In contrast, </w:t>
      </w:r>
      <w:proofErr w:type="spellStart"/>
      <w:r w:rsidRPr="006814F3">
        <w:rPr>
          <w:rFonts w:ascii="Arial" w:hAnsi="Arial" w:cs="Arial"/>
          <w:iCs/>
        </w:rPr>
        <w:t>Yezin</w:t>
      </w:r>
      <w:proofErr w:type="spellEnd"/>
      <w:r w:rsidRPr="006814F3">
        <w:rPr>
          <w:rFonts w:ascii="Arial" w:hAnsi="Arial" w:cs="Arial"/>
          <w:iCs/>
        </w:rPr>
        <w:t xml:space="preserve"> 10 and C2 exhibited lower overall callus formation, peaking at 7.16% and 6.72%, respectively, under 2,4-D (2.5 mg L</w:t>
      </w:r>
      <w:r w:rsidRPr="006814F3">
        <w:rPr>
          <w:rFonts w:ascii="Cambria Math" w:hAnsi="Cambria Math" w:cs="Cambria Math"/>
          <w:iCs/>
        </w:rPr>
        <w:t>⁻</w:t>
      </w:r>
      <w:r w:rsidRPr="006814F3">
        <w:rPr>
          <w:rFonts w:ascii="Arial" w:hAnsi="Arial" w:cs="Arial"/>
          <w:iCs/>
        </w:rPr>
        <w:t>¹) + kinetin and TIBA (0.15 mg L</w:t>
      </w:r>
      <w:r w:rsidRPr="006814F3">
        <w:rPr>
          <w:rFonts w:ascii="Cambria Math" w:hAnsi="Cambria Math" w:cs="Cambria Math"/>
          <w:iCs/>
        </w:rPr>
        <w:t>⁻</w:t>
      </w:r>
      <w:r w:rsidRPr="006814F3">
        <w:rPr>
          <w:rFonts w:ascii="Arial" w:hAnsi="Arial" w:cs="Arial"/>
          <w:iCs/>
        </w:rPr>
        <w:t>¹). Low concentrations of TIBA (e.g., 0.05 mg L</w:t>
      </w:r>
      <w:r w:rsidRPr="006814F3">
        <w:rPr>
          <w:rFonts w:ascii="Cambria Math" w:hAnsi="Cambria Math" w:cs="Cambria Math"/>
          <w:iCs/>
        </w:rPr>
        <w:t>⁻</w:t>
      </w:r>
      <w:r w:rsidRPr="006814F3">
        <w:rPr>
          <w:rFonts w:ascii="Arial" w:hAnsi="Arial" w:cs="Arial"/>
          <w:iCs/>
        </w:rPr>
        <w:t>¹) and imbalanced auxin-cytokinin ratios consistently resulted in poor callus induction (&lt;2%) across multiple genotypes.</w:t>
      </w:r>
    </w:p>
    <w:p w14:paraId="47659E59" w14:textId="64C14004"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The combination of 2,4-D (2.5 mg L</w:t>
      </w:r>
      <w:r w:rsidRPr="006814F3">
        <w:rPr>
          <w:rFonts w:ascii="Cambria Math" w:hAnsi="Cambria Math" w:cs="Cambria Math"/>
          <w:iCs/>
        </w:rPr>
        <w:t>⁻</w:t>
      </w:r>
      <w:r w:rsidRPr="006814F3">
        <w:rPr>
          <w:rFonts w:ascii="Arial" w:hAnsi="Arial" w:cs="Arial"/>
          <w:iCs/>
        </w:rPr>
        <w:t>¹) and kinetin (1.5 mg L</w:t>
      </w:r>
      <w:r w:rsidRPr="006814F3">
        <w:rPr>
          <w:rFonts w:ascii="Cambria Math" w:hAnsi="Cambria Math" w:cs="Cambria Math"/>
          <w:iCs/>
        </w:rPr>
        <w:t>⁻</w:t>
      </w:r>
      <w:r w:rsidRPr="006814F3">
        <w:rPr>
          <w:rFonts w:ascii="Arial" w:hAnsi="Arial" w:cs="Arial"/>
          <w:iCs/>
        </w:rPr>
        <w:t xml:space="preserve">¹) emerged as the most effective treatment, inducing high callus frequencies in </w:t>
      </w:r>
      <w:proofErr w:type="spellStart"/>
      <w:r w:rsidRPr="006814F3">
        <w:rPr>
          <w:rFonts w:ascii="Arial" w:hAnsi="Arial" w:cs="Arial"/>
          <w:iCs/>
        </w:rPr>
        <w:t>Yezin</w:t>
      </w:r>
      <w:proofErr w:type="spellEnd"/>
      <w:r w:rsidRPr="006814F3">
        <w:rPr>
          <w:rFonts w:ascii="Arial" w:hAnsi="Arial" w:cs="Arial"/>
          <w:iCs/>
        </w:rPr>
        <w:t xml:space="preserve"> 14, C7, and D6. This finding underscores the critical role of genotype in determining optimal culture conditions. Among </w:t>
      </w:r>
      <w:r w:rsidRPr="006814F3">
        <w:rPr>
          <w:rFonts w:ascii="Arial" w:hAnsi="Arial" w:cs="Arial"/>
          <w:iCs/>
        </w:rPr>
        <w:lastRenderedPageBreak/>
        <w:t xml:space="preserve">the tested lines, </w:t>
      </w:r>
      <w:proofErr w:type="spellStart"/>
      <w:r w:rsidRPr="006814F3">
        <w:rPr>
          <w:rFonts w:ascii="Arial" w:hAnsi="Arial" w:cs="Arial"/>
          <w:iCs/>
        </w:rPr>
        <w:t>Yezin</w:t>
      </w:r>
      <w:proofErr w:type="spellEnd"/>
      <w:r w:rsidRPr="006814F3">
        <w:rPr>
          <w:rFonts w:ascii="Arial" w:hAnsi="Arial" w:cs="Arial"/>
          <w:iCs/>
        </w:rPr>
        <w:t xml:space="preserve"> 14 demonstrated superior responsiveness, making it a promising candidate for future studies aimed at identifying quantitative trait loci (QTLs) associated with anther </w:t>
      </w:r>
      <w:proofErr w:type="spellStart"/>
      <w:r w:rsidRPr="006814F3">
        <w:rPr>
          <w:rFonts w:ascii="Arial" w:hAnsi="Arial" w:cs="Arial"/>
          <w:iCs/>
        </w:rPr>
        <w:t>culturability</w:t>
      </w:r>
      <w:proofErr w:type="spellEnd"/>
      <w:r w:rsidRPr="006814F3">
        <w:rPr>
          <w:rFonts w:ascii="Arial" w:hAnsi="Arial" w:cs="Arial"/>
          <w:iCs/>
        </w:rPr>
        <w:t>—an essential component in doubled haploid breeding programs (</w:t>
      </w:r>
      <w:commentRangeStart w:id="12"/>
      <w:r w:rsidRPr="006814F3">
        <w:rPr>
          <w:rFonts w:ascii="Arial" w:hAnsi="Arial" w:cs="Arial"/>
          <w:iCs/>
        </w:rPr>
        <w:t xml:space="preserve">Chaudhary </w:t>
      </w:r>
      <w:commentRangeEnd w:id="12"/>
      <w:r w:rsidR="00613746">
        <w:rPr>
          <w:rStyle w:val="CommentReference"/>
          <w:rFonts w:ascii="Times New Roman" w:hAnsi="Times New Roman"/>
          <w:lang w:val="nb-NO" w:eastAsia="nb-NO"/>
        </w:rPr>
        <w:commentReference w:id="12"/>
      </w:r>
      <w:r w:rsidRPr="006814F3">
        <w:rPr>
          <w:rFonts w:ascii="Arial" w:hAnsi="Arial" w:cs="Arial"/>
          <w:iCs/>
        </w:rPr>
        <w:t>et al., 2019).</w:t>
      </w:r>
    </w:p>
    <w:p w14:paraId="207898CC"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The efficacy of 2</w:t>
      </w:r>
      <w:proofErr w:type="gramStart"/>
      <w:r w:rsidRPr="006814F3">
        <w:rPr>
          <w:rFonts w:ascii="Arial" w:hAnsi="Arial" w:cs="Arial"/>
          <w:iCs/>
        </w:rPr>
        <w:t>,4</w:t>
      </w:r>
      <w:proofErr w:type="gramEnd"/>
      <w:r w:rsidRPr="006814F3">
        <w:rPr>
          <w:rFonts w:ascii="Arial" w:hAnsi="Arial" w:cs="Arial"/>
          <w:iCs/>
        </w:rPr>
        <w:t xml:space="preserve">-D in combination with kinetin aligns with established principles in plant tissue culture, where a balanced auxin–cytokinin ratio is crucial for initiating cell division and callus formation (Gaspar et al., 1996; </w:t>
      </w:r>
      <w:commentRangeStart w:id="13"/>
      <w:r w:rsidRPr="006814F3">
        <w:rPr>
          <w:rFonts w:ascii="Arial" w:hAnsi="Arial" w:cs="Arial"/>
          <w:iCs/>
        </w:rPr>
        <w:t>Wang</w:t>
      </w:r>
      <w:commentRangeEnd w:id="13"/>
      <w:r w:rsidR="00613746">
        <w:rPr>
          <w:rStyle w:val="CommentReference"/>
          <w:rFonts w:ascii="Times New Roman" w:hAnsi="Times New Roman"/>
          <w:lang w:val="nb-NO" w:eastAsia="nb-NO"/>
        </w:rPr>
        <w:commentReference w:id="13"/>
      </w:r>
      <w:r w:rsidRPr="006814F3">
        <w:rPr>
          <w:rFonts w:ascii="Arial" w:hAnsi="Arial" w:cs="Arial"/>
          <w:iCs/>
        </w:rPr>
        <w:t xml:space="preserve"> et al., 2011). As a synthetic auxin, 2,4-D is widely recognized for its stability and potent stimulatory effect on cell proliferation (Hassan et al., 2001). In contrast, TIBA—used alone—showed limited effectiveness, suggesting that auxin transport inhibition alone cannot substitute for exogenous auxin and cytokinin supply. While TIBA may modulate endogenous auxin distribution (</w:t>
      </w:r>
      <w:commentRangeStart w:id="14"/>
      <w:r w:rsidRPr="006814F3">
        <w:rPr>
          <w:rFonts w:ascii="Arial" w:hAnsi="Arial" w:cs="Arial"/>
          <w:iCs/>
        </w:rPr>
        <w:t>Thomas</w:t>
      </w:r>
      <w:commentRangeEnd w:id="14"/>
      <w:r w:rsidR="00613746">
        <w:rPr>
          <w:rStyle w:val="CommentReference"/>
          <w:rFonts w:ascii="Times New Roman" w:hAnsi="Times New Roman"/>
          <w:lang w:val="nb-NO" w:eastAsia="nb-NO"/>
        </w:rPr>
        <w:commentReference w:id="14"/>
      </w:r>
      <w:r w:rsidRPr="006814F3">
        <w:rPr>
          <w:rFonts w:ascii="Arial" w:hAnsi="Arial" w:cs="Arial"/>
          <w:iCs/>
        </w:rPr>
        <w:t xml:space="preserve">, 1978, </w:t>
      </w:r>
      <w:commentRangeStart w:id="15"/>
      <w:r w:rsidRPr="006814F3">
        <w:rPr>
          <w:rFonts w:ascii="Arial" w:hAnsi="Arial" w:cs="Arial"/>
          <w:iCs/>
        </w:rPr>
        <w:t xml:space="preserve">citing </w:t>
      </w:r>
      <w:proofErr w:type="spellStart"/>
      <w:r w:rsidRPr="006814F3">
        <w:rPr>
          <w:rFonts w:ascii="Arial" w:hAnsi="Arial" w:cs="Arial"/>
          <w:iCs/>
        </w:rPr>
        <w:t>Genovesi</w:t>
      </w:r>
      <w:commentRangeEnd w:id="15"/>
      <w:proofErr w:type="spellEnd"/>
      <w:r w:rsidR="00613746">
        <w:rPr>
          <w:rStyle w:val="CommentReference"/>
          <w:rFonts w:ascii="Times New Roman" w:hAnsi="Times New Roman"/>
          <w:lang w:val="nb-NO" w:eastAsia="nb-NO"/>
        </w:rPr>
        <w:commentReference w:id="15"/>
      </w:r>
      <w:r w:rsidRPr="006814F3">
        <w:rPr>
          <w:rFonts w:ascii="Arial" w:hAnsi="Arial" w:cs="Arial"/>
          <w:iCs/>
        </w:rPr>
        <w:t>, 1990), its inconsistent performance across genotypes highlights the need for precise optimization in specific genetic backgrounds.</w:t>
      </w:r>
    </w:p>
    <w:p w14:paraId="3A90C0D5" w14:textId="6E383B76" w:rsidR="004E183F" w:rsidRDefault="004E183F" w:rsidP="004E183F">
      <w:pPr>
        <w:ind w:firstLine="720"/>
        <w:jc w:val="both"/>
        <w:rPr>
          <w:rFonts w:ascii="Arial" w:hAnsi="Arial" w:cs="Arial"/>
          <w:iCs/>
        </w:rPr>
      </w:pPr>
      <w:r w:rsidRPr="006814F3">
        <w:rPr>
          <w:rFonts w:ascii="Arial" w:hAnsi="Arial" w:cs="Arial"/>
          <w:iCs/>
        </w:rPr>
        <w:t xml:space="preserve">In summary, these results highlight the pivotal influence of both PGR composition and genotype on callus induction in maize anther culture. The consistent superiority of 2,4-D and kinetin combinations supports their use as standard regulators for optimizing androgenesis protocols, particularly in highly responsive genotypes such as </w:t>
      </w:r>
      <w:proofErr w:type="spellStart"/>
      <w:r w:rsidRPr="006814F3">
        <w:rPr>
          <w:rFonts w:ascii="Arial" w:hAnsi="Arial" w:cs="Arial"/>
          <w:iCs/>
        </w:rPr>
        <w:t>Yezin</w:t>
      </w:r>
      <w:proofErr w:type="spellEnd"/>
      <w:r w:rsidRPr="006814F3">
        <w:rPr>
          <w:rFonts w:ascii="Arial" w:hAnsi="Arial" w:cs="Arial"/>
          <w:iCs/>
        </w:rPr>
        <w:t xml:space="preserve"> 14</w:t>
      </w:r>
      <w:r>
        <w:rPr>
          <w:rFonts w:ascii="Arial" w:hAnsi="Arial" w:cs="Arial"/>
          <w:iCs/>
        </w:rPr>
        <w:t>.</w:t>
      </w:r>
    </w:p>
    <w:p w14:paraId="3D024C9B" w14:textId="7E4E1DFE" w:rsidR="004E183F" w:rsidRDefault="00327870" w:rsidP="004E183F">
      <w:pPr>
        <w:ind w:firstLine="720"/>
        <w:jc w:val="both"/>
        <w:rPr>
          <w:rFonts w:ascii="Arial" w:hAnsi="Arial" w:cs="Arial"/>
          <w:iCs/>
        </w:rPr>
      </w:pPr>
      <w:r>
        <w:rPr>
          <w:noProof/>
        </w:rPr>
        <w:drawing>
          <wp:anchor distT="0" distB="0" distL="114300" distR="114300" simplePos="0" relativeHeight="251659776" behindDoc="0" locked="0" layoutInCell="1" allowOverlap="1" wp14:anchorId="34B6D368" wp14:editId="4D4E01B2">
            <wp:simplePos x="0" y="0"/>
            <wp:positionH relativeFrom="column">
              <wp:posOffset>111912</wp:posOffset>
            </wp:positionH>
            <wp:positionV relativeFrom="page">
              <wp:posOffset>4189863</wp:posOffset>
            </wp:positionV>
            <wp:extent cx="5008245" cy="2485390"/>
            <wp:effectExtent l="0" t="0" r="1905" b="0"/>
            <wp:wrapTopAndBottom/>
            <wp:docPr id="415353867" name="Picture 2" descr="A graph of a number of people&#10;&#10;AI-generated content may be incorrect.">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D938D6-335C-8684-43A7-6F299B626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53867" name="Picture 2" descr="A graph of a number of people&#10;&#10;AI-generated content may be incorrect.">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D938D6-335C-8684-43A7-6F299B626819}"/>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008245" cy="2485390"/>
                    </a:xfrm>
                    <a:prstGeom prst="rect">
                      <a:avLst/>
                    </a:prstGeom>
                  </pic:spPr>
                </pic:pic>
              </a:graphicData>
            </a:graphic>
            <wp14:sizeRelH relativeFrom="margin">
              <wp14:pctWidth>0</wp14:pctWidth>
            </wp14:sizeRelH>
            <wp14:sizeRelV relativeFrom="margin">
              <wp14:pctHeight>0</wp14:pctHeight>
            </wp14:sizeRelV>
          </wp:anchor>
        </w:drawing>
      </w:r>
    </w:p>
    <w:p w14:paraId="4819897E" w14:textId="77777777" w:rsidR="004E183F" w:rsidRDefault="004E183F" w:rsidP="004E183F">
      <w:pPr>
        <w:ind w:firstLine="720"/>
        <w:jc w:val="both"/>
        <w:rPr>
          <w:rFonts w:ascii="Arial" w:hAnsi="Arial" w:cs="Arial"/>
          <w:iCs/>
        </w:rPr>
      </w:pPr>
    </w:p>
    <w:p w14:paraId="0BF17081" w14:textId="77777777" w:rsidR="004E183F" w:rsidRDefault="004E183F" w:rsidP="004E183F">
      <w:pPr>
        <w:ind w:firstLine="720"/>
        <w:jc w:val="both"/>
        <w:rPr>
          <w:rFonts w:ascii="Arial" w:hAnsi="Arial" w:cs="Arial"/>
          <w:iCs/>
        </w:rPr>
      </w:pPr>
    </w:p>
    <w:p w14:paraId="4531A79E" w14:textId="77777777" w:rsidR="004E183F" w:rsidRDefault="004E183F" w:rsidP="004E183F">
      <w:pPr>
        <w:ind w:firstLine="720"/>
        <w:jc w:val="both"/>
        <w:rPr>
          <w:rFonts w:ascii="Arial" w:hAnsi="Arial" w:cs="Arial"/>
          <w:iCs/>
        </w:rPr>
      </w:pPr>
    </w:p>
    <w:p w14:paraId="778D818E" w14:textId="7D7F7AC8" w:rsidR="004E183F" w:rsidRPr="004E183F" w:rsidRDefault="004E183F" w:rsidP="004E183F">
      <w:pPr>
        <w:spacing w:after="120"/>
        <w:ind w:left="990" w:hanging="990"/>
        <w:jc w:val="both"/>
        <w:rPr>
          <w:rFonts w:ascii="Arial" w:hAnsi="Arial" w:cs="Arial"/>
          <w:iCs/>
        </w:rPr>
      </w:pPr>
      <w:commentRangeStart w:id="16"/>
      <w:proofErr w:type="gramStart"/>
      <w:r>
        <w:rPr>
          <w:rFonts w:ascii="Arial" w:hAnsi="Arial" w:cs="Arial"/>
          <w:b/>
          <w:bCs/>
          <w:iCs/>
        </w:rPr>
        <w:t>F</w:t>
      </w:r>
      <w:r w:rsidRPr="006814F3">
        <w:rPr>
          <w:rFonts w:ascii="Arial" w:hAnsi="Arial" w:cs="Arial"/>
          <w:b/>
          <w:bCs/>
          <w:iCs/>
        </w:rPr>
        <w:t>igure</w:t>
      </w:r>
      <w:commentRangeEnd w:id="16"/>
      <w:r w:rsidR="00613746">
        <w:rPr>
          <w:rStyle w:val="CommentReference"/>
          <w:rFonts w:ascii="Times New Roman" w:hAnsi="Times New Roman"/>
          <w:lang w:val="nb-NO" w:eastAsia="nb-NO"/>
        </w:rPr>
        <w:commentReference w:id="16"/>
      </w:r>
      <w:r w:rsidRPr="006814F3">
        <w:rPr>
          <w:rFonts w:ascii="Arial" w:hAnsi="Arial" w:cs="Arial"/>
          <w:b/>
          <w:bCs/>
          <w:iCs/>
        </w:rPr>
        <w:t xml:space="preserve"> </w:t>
      </w:r>
      <w:r>
        <w:rPr>
          <w:rFonts w:ascii="Arial" w:hAnsi="Arial" w:cs="Arial"/>
          <w:b/>
          <w:bCs/>
          <w:iCs/>
        </w:rPr>
        <w:t>3</w:t>
      </w:r>
      <w:r w:rsidRPr="006814F3">
        <w:rPr>
          <w:rFonts w:ascii="Arial" w:hAnsi="Arial" w:cs="Arial"/>
          <w:b/>
          <w:bCs/>
          <w:iCs/>
        </w:rPr>
        <w:t>.</w:t>
      </w:r>
      <w:proofErr w:type="gramEnd"/>
      <w:r w:rsidRPr="006814F3">
        <w:rPr>
          <w:rFonts w:ascii="Arial" w:hAnsi="Arial" w:cs="Arial"/>
          <w:b/>
          <w:bCs/>
          <w:iCs/>
        </w:rPr>
        <w:t xml:space="preserve"> </w:t>
      </w:r>
      <w:r>
        <w:rPr>
          <w:rFonts w:ascii="Arial" w:hAnsi="Arial" w:cs="Arial"/>
          <w:b/>
          <w:bCs/>
          <w:iCs/>
        </w:rPr>
        <w:t>I</w:t>
      </w:r>
      <w:r w:rsidRPr="006814F3">
        <w:rPr>
          <w:rFonts w:ascii="Arial" w:hAnsi="Arial" w:cs="Arial"/>
          <w:b/>
          <w:bCs/>
          <w:iCs/>
        </w:rPr>
        <w:t xml:space="preserve">nfluence of genotype and plant growth regulator combinations on callus formation percentage in experiment </w:t>
      </w:r>
    </w:p>
    <w:p w14:paraId="0AB00E8A" w14:textId="4418AB4F" w:rsidR="004E183F" w:rsidRPr="006814F3" w:rsidRDefault="00997E1A" w:rsidP="00997E1A">
      <w:pPr>
        <w:spacing w:after="160" w:line="278" w:lineRule="auto"/>
        <w:ind w:left="540" w:hanging="540"/>
        <w:jc w:val="both"/>
        <w:rPr>
          <w:rFonts w:ascii="Arial" w:hAnsi="Arial" w:cs="Arial"/>
          <w:b/>
          <w:bCs/>
          <w:iCs/>
          <w:sz w:val="24"/>
          <w:szCs w:val="24"/>
        </w:rPr>
      </w:pPr>
      <w:r w:rsidRPr="00997E1A">
        <w:rPr>
          <w:rFonts w:ascii="Arial" w:hAnsi="Arial" w:cs="Arial"/>
          <w:b/>
          <w:bCs/>
          <w:iCs/>
          <w:sz w:val="24"/>
          <w:szCs w:val="24"/>
        </w:rPr>
        <w:t xml:space="preserve">3.3 Genotypic </w:t>
      </w:r>
      <w:r>
        <w:rPr>
          <w:rFonts w:ascii="Arial" w:hAnsi="Arial" w:cs="Arial"/>
          <w:b/>
          <w:bCs/>
          <w:iCs/>
          <w:sz w:val="24"/>
          <w:szCs w:val="24"/>
        </w:rPr>
        <w:t>V</w:t>
      </w:r>
      <w:r w:rsidRPr="00997E1A">
        <w:rPr>
          <w:rFonts w:ascii="Arial" w:hAnsi="Arial" w:cs="Arial"/>
          <w:b/>
          <w:bCs/>
          <w:iCs/>
          <w:sz w:val="24"/>
          <w:szCs w:val="24"/>
        </w:rPr>
        <w:t xml:space="preserve">ariation and </w:t>
      </w:r>
      <w:r>
        <w:rPr>
          <w:rFonts w:ascii="Arial" w:hAnsi="Arial" w:cs="Arial"/>
          <w:b/>
          <w:bCs/>
          <w:iCs/>
          <w:sz w:val="24"/>
          <w:szCs w:val="24"/>
        </w:rPr>
        <w:t>P</w:t>
      </w:r>
      <w:r w:rsidRPr="00997E1A">
        <w:rPr>
          <w:rFonts w:ascii="Arial" w:hAnsi="Arial" w:cs="Arial"/>
          <w:b/>
          <w:bCs/>
          <w:iCs/>
          <w:sz w:val="24"/>
          <w:szCs w:val="24"/>
        </w:rPr>
        <w:t xml:space="preserve">lant </w:t>
      </w:r>
      <w:r>
        <w:rPr>
          <w:rFonts w:ascii="Arial" w:hAnsi="Arial" w:cs="Arial"/>
          <w:b/>
          <w:bCs/>
          <w:iCs/>
          <w:sz w:val="24"/>
          <w:szCs w:val="24"/>
        </w:rPr>
        <w:t>G</w:t>
      </w:r>
      <w:r w:rsidRPr="00997E1A">
        <w:rPr>
          <w:rFonts w:ascii="Arial" w:hAnsi="Arial" w:cs="Arial"/>
          <w:b/>
          <w:bCs/>
          <w:iCs/>
          <w:sz w:val="24"/>
          <w:szCs w:val="24"/>
        </w:rPr>
        <w:t xml:space="preserve">rowth </w:t>
      </w:r>
      <w:r>
        <w:rPr>
          <w:rFonts w:ascii="Arial" w:hAnsi="Arial" w:cs="Arial"/>
          <w:b/>
          <w:bCs/>
          <w:iCs/>
          <w:sz w:val="24"/>
          <w:szCs w:val="24"/>
        </w:rPr>
        <w:t>R</w:t>
      </w:r>
      <w:r w:rsidRPr="00997E1A">
        <w:rPr>
          <w:rFonts w:ascii="Arial" w:hAnsi="Arial" w:cs="Arial"/>
          <w:b/>
          <w:bCs/>
          <w:iCs/>
          <w:sz w:val="24"/>
          <w:szCs w:val="24"/>
        </w:rPr>
        <w:t xml:space="preserve">egulator </w:t>
      </w:r>
      <w:r>
        <w:rPr>
          <w:rFonts w:ascii="Arial" w:hAnsi="Arial" w:cs="Arial"/>
          <w:b/>
          <w:bCs/>
          <w:iCs/>
          <w:sz w:val="24"/>
          <w:szCs w:val="24"/>
        </w:rPr>
        <w:t>E</w:t>
      </w:r>
      <w:r w:rsidRPr="00997E1A">
        <w:rPr>
          <w:rFonts w:ascii="Arial" w:hAnsi="Arial" w:cs="Arial"/>
          <w:b/>
          <w:bCs/>
          <w:iCs/>
          <w:sz w:val="24"/>
          <w:szCs w:val="24"/>
        </w:rPr>
        <w:t xml:space="preserve">ffects on </w:t>
      </w:r>
      <w:r>
        <w:rPr>
          <w:rFonts w:ascii="Arial" w:hAnsi="Arial" w:cs="Arial"/>
          <w:b/>
          <w:bCs/>
          <w:iCs/>
          <w:sz w:val="24"/>
          <w:szCs w:val="24"/>
        </w:rPr>
        <w:t>N</w:t>
      </w:r>
      <w:r w:rsidRPr="00997E1A">
        <w:rPr>
          <w:rFonts w:ascii="Arial" w:hAnsi="Arial" w:cs="Arial"/>
          <w:b/>
          <w:bCs/>
          <w:iCs/>
          <w:sz w:val="24"/>
          <w:szCs w:val="24"/>
        </w:rPr>
        <w:t xml:space="preserve">on-responsiveness in </w:t>
      </w:r>
      <w:r>
        <w:rPr>
          <w:rFonts w:ascii="Arial" w:hAnsi="Arial" w:cs="Arial"/>
          <w:b/>
          <w:bCs/>
          <w:iCs/>
          <w:sz w:val="24"/>
          <w:szCs w:val="24"/>
        </w:rPr>
        <w:t>M</w:t>
      </w:r>
      <w:r w:rsidRPr="00997E1A">
        <w:rPr>
          <w:rFonts w:ascii="Arial" w:hAnsi="Arial" w:cs="Arial"/>
          <w:b/>
          <w:bCs/>
          <w:iCs/>
          <w:sz w:val="24"/>
          <w:szCs w:val="24"/>
        </w:rPr>
        <w:t xml:space="preserve">aize </w:t>
      </w:r>
      <w:r>
        <w:rPr>
          <w:rFonts w:ascii="Arial" w:hAnsi="Arial" w:cs="Arial"/>
          <w:b/>
          <w:bCs/>
          <w:iCs/>
          <w:sz w:val="24"/>
          <w:szCs w:val="24"/>
        </w:rPr>
        <w:t>A</w:t>
      </w:r>
      <w:r w:rsidRPr="00997E1A">
        <w:rPr>
          <w:rFonts w:ascii="Arial" w:hAnsi="Arial" w:cs="Arial"/>
          <w:b/>
          <w:bCs/>
          <w:iCs/>
          <w:sz w:val="24"/>
          <w:szCs w:val="24"/>
        </w:rPr>
        <w:t xml:space="preserve">nther in vitro </w:t>
      </w:r>
      <w:r>
        <w:rPr>
          <w:rFonts w:ascii="Arial" w:hAnsi="Arial" w:cs="Arial"/>
          <w:b/>
          <w:bCs/>
          <w:iCs/>
          <w:sz w:val="24"/>
          <w:szCs w:val="24"/>
        </w:rPr>
        <w:t>C</w:t>
      </w:r>
      <w:r w:rsidRPr="00997E1A">
        <w:rPr>
          <w:rFonts w:ascii="Arial" w:hAnsi="Arial" w:cs="Arial"/>
          <w:b/>
          <w:bCs/>
          <w:iCs/>
          <w:sz w:val="24"/>
          <w:szCs w:val="24"/>
        </w:rPr>
        <w:t>ulture</w:t>
      </w:r>
    </w:p>
    <w:p w14:paraId="1F2A719E" w14:textId="77777777" w:rsidR="004E183F" w:rsidRPr="006814F3" w:rsidRDefault="004E183F" w:rsidP="004E183F">
      <w:pPr>
        <w:spacing w:after="160" w:line="278" w:lineRule="auto"/>
        <w:ind w:firstLine="360"/>
        <w:jc w:val="both"/>
        <w:rPr>
          <w:rFonts w:ascii="Arial" w:hAnsi="Arial" w:cs="Arial"/>
          <w:iCs/>
        </w:rPr>
      </w:pPr>
      <w:r w:rsidRPr="006814F3">
        <w:rPr>
          <w:rFonts w:ascii="Arial" w:hAnsi="Arial" w:cs="Arial"/>
          <w:iCs/>
        </w:rPr>
        <w:t>Across all treatments and genotypes, the majority of anthers exhibited a "No Response" phenotype, underscoring the inherent recalcitrance of maize to in vitro androgenesis. Among plant growth regulator (PGR) treatments, TIBA at 0.1 mg L</w:t>
      </w:r>
      <w:r w:rsidRPr="006814F3">
        <w:rPr>
          <w:rFonts w:ascii="Cambria Math" w:hAnsi="Cambria Math" w:cs="Cambria Math"/>
          <w:iCs/>
        </w:rPr>
        <w:t>⁻</w:t>
      </w:r>
      <w:r w:rsidRPr="006814F3">
        <w:rPr>
          <w:rFonts w:ascii="Arial" w:hAnsi="Arial" w:cs="Arial"/>
          <w:iCs/>
        </w:rPr>
        <w:t>¹ elicited the highest frequency of non-responsive anthers (n = 393), followed by the combination of 2,4-D (2.0 mg L</w:t>
      </w:r>
      <w:r w:rsidRPr="006814F3">
        <w:rPr>
          <w:rFonts w:ascii="Cambria Math" w:hAnsi="Cambria Math" w:cs="Cambria Math"/>
          <w:iCs/>
        </w:rPr>
        <w:t>⁻</w:t>
      </w:r>
      <w:r w:rsidRPr="006814F3">
        <w:rPr>
          <w:rFonts w:ascii="Arial" w:hAnsi="Arial" w:cs="Arial"/>
          <w:iCs/>
        </w:rPr>
        <w:t xml:space="preserve">¹) and </w:t>
      </w:r>
      <w:r w:rsidRPr="006814F3">
        <w:rPr>
          <w:rFonts w:ascii="Arial" w:hAnsi="Arial" w:cs="Arial"/>
          <w:iCs/>
        </w:rPr>
        <w:lastRenderedPageBreak/>
        <w:t>NAA (2.0 mg L</w:t>
      </w:r>
      <w:r w:rsidRPr="006814F3">
        <w:rPr>
          <w:rFonts w:ascii="Cambria Math" w:hAnsi="Cambria Math" w:cs="Cambria Math"/>
          <w:iCs/>
        </w:rPr>
        <w:t>⁻</w:t>
      </w:r>
      <w:r w:rsidRPr="006814F3">
        <w:rPr>
          <w:rFonts w:ascii="Arial" w:hAnsi="Arial" w:cs="Arial"/>
          <w:iCs/>
        </w:rPr>
        <w:t>¹) (n = 344), and TIBA at 0.15 mg L</w:t>
      </w:r>
      <w:r w:rsidRPr="006814F3">
        <w:rPr>
          <w:rFonts w:ascii="Cambria Math" w:hAnsi="Cambria Math" w:cs="Cambria Math"/>
          <w:iCs/>
        </w:rPr>
        <w:t>⁻</w:t>
      </w:r>
      <w:r w:rsidRPr="006814F3">
        <w:rPr>
          <w:rFonts w:ascii="Arial" w:hAnsi="Arial" w:cs="Arial"/>
          <w:iCs/>
        </w:rPr>
        <w:t xml:space="preserve">¹ (n = 350). Genotypes C2, C7, and </w:t>
      </w:r>
      <w:proofErr w:type="spellStart"/>
      <w:r w:rsidRPr="006814F3">
        <w:rPr>
          <w:rFonts w:ascii="Arial" w:hAnsi="Arial" w:cs="Arial"/>
          <w:iCs/>
        </w:rPr>
        <w:t>Yezin</w:t>
      </w:r>
      <w:proofErr w:type="spellEnd"/>
      <w:r w:rsidRPr="006814F3">
        <w:rPr>
          <w:rFonts w:ascii="Arial" w:hAnsi="Arial" w:cs="Arial"/>
          <w:iCs/>
        </w:rPr>
        <w:t xml:space="preserve"> 10 displayed the highest proportions of non-responsiveness, indicating limited androgenic potential. Conversely, </w:t>
      </w:r>
      <w:proofErr w:type="spellStart"/>
      <w:r w:rsidRPr="006814F3">
        <w:rPr>
          <w:rFonts w:ascii="Arial" w:hAnsi="Arial" w:cs="Arial"/>
          <w:iCs/>
        </w:rPr>
        <w:t>Yezin</w:t>
      </w:r>
      <w:proofErr w:type="spellEnd"/>
      <w:r w:rsidRPr="006814F3">
        <w:rPr>
          <w:rFonts w:ascii="Arial" w:hAnsi="Arial" w:cs="Arial"/>
          <w:iCs/>
        </w:rPr>
        <w:t xml:space="preserve"> 14 consistently showed the lowest incidence of non-response, suggesting superior responsiveness and a favorable genetic background for callus induction.</w:t>
      </w:r>
    </w:p>
    <w:p w14:paraId="3A5577B1" w14:textId="77777777" w:rsidR="004E183F" w:rsidRPr="006814F3" w:rsidRDefault="004E183F" w:rsidP="004E183F">
      <w:pPr>
        <w:spacing w:after="160" w:line="278" w:lineRule="auto"/>
        <w:ind w:left="540" w:hanging="540"/>
        <w:jc w:val="both"/>
        <w:rPr>
          <w:rFonts w:ascii="Arial" w:hAnsi="Arial" w:cs="Arial"/>
          <w:b/>
          <w:bCs/>
          <w:iCs/>
          <w:sz w:val="22"/>
          <w:szCs w:val="22"/>
        </w:rPr>
      </w:pPr>
      <w:r w:rsidRPr="006814F3">
        <w:rPr>
          <w:rFonts w:ascii="Arial" w:hAnsi="Arial" w:cs="Arial"/>
          <w:b/>
          <w:bCs/>
          <w:iCs/>
          <w:sz w:val="22"/>
          <w:szCs w:val="22"/>
        </w:rPr>
        <w:t>3.3.1 Effect of Plant Growth Regulators and Genotypic Variation on Normal Callus Formation</w:t>
      </w:r>
    </w:p>
    <w:p w14:paraId="7BDD8B1A" w14:textId="3C327552" w:rsidR="004E183F" w:rsidRPr="006814F3" w:rsidRDefault="004E183F" w:rsidP="004E183F">
      <w:pPr>
        <w:spacing w:after="160" w:line="278" w:lineRule="auto"/>
        <w:ind w:firstLine="540"/>
        <w:jc w:val="both"/>
        <w:rPr>
          <w:rFonts w:ascii="Arial" w:hAnsi="Arial" w:cs="Arial"/>
          <w:iCs/>
        </w:rPr>
      </w:pPr>
      <w:r w:rsidRPr="006814F3">
        <w:rPr>
          <w:rFonts w:ascii="Arial" w:hAnsi="Arial" w:cs="Arial"/>
          <w:iCs/>
        </w:rPr>
        <w:t>TIBA at 0.1 mg L</w:t>
      </w:r>
      <w:r w:rsidRPr="006814F3">
        <w:rPr>
          <w:rFonts w:ascii="Cambria Math" w:hAnsi="Cambria Math" w:cs="Cambria Math"/>
          <w:iCs/>
        </w:rPr>
        <w:t>⁻</w:t>
      </w:r>
      <w:r w:rsidRPr="006814F3">
        <w:rPr>
          <w:rFonts w:ascii="Arial" w:hAnsi="Arial" w:cs="Arial"/>
          <w:iCs/>
        </w:rPr>
        <w:t>¹ was the most effective PGR for inducing normal callus formation, yielding 57 responsive anthers. Other treatments</w:t>
      </w:r>
      <w:r>
        <w:rPr>
          <w:rFonts w:ascii="Arial" w:hAnsi="Arial" w:cs="Arial"/>
          <w:iCs/>
        </w:rPr>
        <w:t xml:space="preserve"> </w:t>
      </w:r>
      <w:r w:rsidRPr="006814F3">
        <w:rPr>
          <w:rFonts w:ascii="Arial" w:hAnsi="Arial" w:cs="Arial"/>
          <w:iCs/>
        </w:rPr>
        <w:t>including 2,4-D (2.0 mg L</w:t>
      </w:r>
      <w:r w:rsidRPr="006814F3">
        <w:rPr>
          <w:rFonts w:ascii="Cambria Math" w:hAnsi="Cambria Math" w:cs="Cambria Math"/>
          <w:iCs/>
        </w:rPr>
        <w:t>⁻</w:t>
      </w:r>
      <w:r w:rsidRPr="006814F3">
        <w:rPr>
          <w:rFonts w:ascii="Arial" w:hAnsi="Arial" w:cs="Arial"/>
          <w:iCs/>
        </w:rPr>
        <w:t xml:space="preserve">¹) </w:t>
      </w:r>
      <w:r w:rsidR="004A29AA">
        <w:rPr>
          <w:rFonts w:ascii="Arial" w:hAnsi="Arial" w:cs="Arial"/>
          <w:iCs/>
        </w:rPr>
        <w:t>plus</w:t>
      </w:r>
      <w:r w:rsidRPr="006814F3">
        <w:rPr>
          <w:rFonts w:ascii="Arial" w:hAnsi="Arial" w:cs="Arial"/>
          <w:iCs/>
        </w:rPr>
        <w:t xml:space="preserve"> kinetin (1.5 mg L</w:t>
      </w:r>
      <w:r w:rsidRPr="006814F3">
        <w:rPr>
          <w:rFonts w:ascii="Cambria Math" w:hAnsi="Cambria Math" w:cs="Cambria Math"/>
          <w:iCs/>
        </w:rPr>
        <w:t>⁻</w:t>
      </w:r>
      <w:r w:rsidRPr="006814F3">
        <w:rPr>
          <w:rFonts w:ascii="Arial" w:hAnsi="Arial" w:cs="Arial"/>
          <w:iCs/>
        </w:rPr>
        <w:t>¹) and TIBA at 0.05 mg L</w:t>
      </w:r>
      <w:r w:rsidRPr="006814F3">
        <w:rPr>
          <w:rFonts w:ascii="Cambria Math" w:hAnsi="Cambria Math" w:cs="Cambria Math"/>
          <w:iCs/>
        </w:rPr>
        <w:t>⁻</w:t>
      </w:r>
      <w:r w:rsidRPr="006814F3">
        <w:rPr>
          <w:rFonts w:ascii="Arial" w:hAnsi="Arial" w:cs="Arial"/>
          <w:iCs/>
        </w:rPr>
        <w:t>¹</w:t>
      </w:r>
      <w:r>
        <w:rPr>
          <w:rFonts w:ascii="Arial" w:hAnsi="Arial" w:cs="Arial"/>
          <w:iCs/>
        </w:rPr>
        <w:t xml:space="preserve"> </w:t>
      </w:r>
      <w:r w:rsidRPr="006814F3">
        <w:rPr>
          <w:rFonts w:ascii="Arial" w:hAnsi="Arial" w:cs="Arial"/>
          <w:iCs/>
        </w:rPr>
        <w:t xml:space="preserve">produced 35 and 27 normal </w:t>
      </w:r>
      <w:proofErr w:type="spellStart"/>
      <w:r w:rsidRPr="006814F3">
        <w:rPr>
          <w:rFonts w:ascii="Arial" w:hAnsi="Arial" w:cs="Arial"/>
          <w:iCs/>
        </w:rPr>
        <w:t>calli</w:t>
      </w:r>
      <w:proofErr w:type="spellEnd"/>
      <w:r w:rsidRPr="006814F3">
        <w:rPr>
          <w:rFonts w:ascii="Arial" w:hAnsi="Arial" w:cs="Arial"/>
          <w:iCs/>
        </w:rPr>
        <w:t xml:space="preserve">, respectively. Among genotypes, C7 generated the highest number of normal </w:t>
      </w:r>
      <w:proofErr w:type="spellStart"/>
      <w:r w:rsidRPr="006814F3">
        <w:rPr>
          <w:rFonts w:ascii="Arial" w:hAnsi="Arial" w:cs="Arial"/>
          <w:iCs/>
        </w:rPr>
        <w:t>calli</w:t>
      </w:r>
      <w:proofErr w:type="spellEnd"/>
      <w:r w:rsidRPr="006814F3">
        <w:rPr>
          <w:rFonts w:ascii="Arial" w:hAnsi="Arial" w:cs="Arial"/>
          <w:iCs/>
        </w:rPr>
        <w:t xml:space="preserve"> (~49 out of 500 anthers), followed by D6 (41) and </w:t>
      </w:r>
      <w:proofErr w:type="spellStart"/>
      <w:r w:rsidRPr="006814F3">
        <w:rPr>
          <w:rFonts w:ascii="Arial" w:hAnsi="Arial" w:cs="Arial"/>
          <w:iCs/>
        </w:rPr>
        <w:t>Yezin</w:t>
      </w:r>
      <w:proofErr w:type="spellEnd"/>
      <w:r w:rsidRPr="006814F3">
        <w:rPr>
          <w:rFonts w:ascii="Arial" w:hAnsi="Arial" w:cs="Arial"/>
          <w:iCs/>
        </w:rPr>
        <w:t xml:space="preserve"> 14 (37 out of 350), highlighting their relatively strong regeneration capacity. In contrast, C2 and </w:t>
      </w:r>
      <w:proofErr w:type="spellStart"/>
      <w:r w:rsidRPr="006814F3">
        <w:rPr>
          <w:rFonts w:ascii="Arial" w:hAnsi="Arial" w:cs="Arial"/>
          <w:iCs/>
        </w:rPr>
        <w:t>Yezin</w:t>
      </w:r>
      <w:proofErr w:type="spellEnd"/>
      <w:r w:rsidRPr="006814F3">
        <w:rPr>
          <w:rFonts w:ascii="Arial" w:hAnsi="Arial" w:cs="Arial"/>
          <w:iCs/>
        </w:rPr>
        <w:t xml:space="preserve"> 10 produced minimal normal callus, confirming their poor androgenic response.</w:t>
      </w:r>
    </w:p>
    <w:p w14:paraId="7D2E616C" w14:textId="77777777" w:rsidR="004E183F" w:rsidRPr="006814F3" w:rsidRDefault="004E183F" w:rsidP="004E183F">
      <w:pPr>
        <w:spacing w:after="160" w:line="278" w:lineRule="auto"/>
        <w:jc w:val="both"/>
        <w:rPr>
          <w:rFonts w:ascii="Arial" w:hAnsi="Arial" w:cs="Arial"/>
          <w:b/>
          <w:bCs/>
          <w:iCs/>
          <w:sz w:val="22"/>
          <w:szCs w:val="22"/>
        </w:rPr>
      </w:pPr>
      <w:r w:rsidRPr="006814F3">
        <w:rPr>
          <w:rFonts w:ascii="Arial" w:hAnsi="Arial" w:cs="Arial"/>
          <w:b/>
          <w:bCs/>
          <w:iCs/>
          <w:sz w:val="22"/>
          <w:szCs w:val="22"/>
        </w:rPr>
        <w:t>3.3.2 Influence of PGRs and Genotypic Variation on Watery Callus Formation</w:t>
      </w:r>
    </w:p>
    <w:p w14:paraId="775C6B89"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Watery callus formation was predominantly observed in TIBA-supplemented media, with TIBA at 0.1 mg L</w:t>
      </w:r>
      <w:r w:rsidRPr="006814F3">
        <w:rPr>
          <w:rFonts w:ascii="Cambria Math" w:hAnsi="Cambria Math" w:cs="Cambria Math"/>
          <w:iCs/>
        </w:rPr>
        <w:t>⁻</w:t>
      </w:r>
      <w:r w:rsidRPr="006814F3">
        <w:rPr>
          <w:rFonts w:ascii="Arial" w:hAnsi="Arial" w:cs="Arial"/>
          <w:iCs/>
        </w:rPr>
        <w:t>¹ producing the highest incidence (n = 25), followed by TIBA at 0.15 mg L</w:t>
      </w:r>
      <w:r w:rsidRPr="006814F3">
        <w:rPr>
          <w:rFonts w:ascii="Cambria Math" w:hAnsi="Cambria Math" w:cs="Cambria Math"/>
          <w:iCs/>
        </w:rPr>
        <w:t>⁻</w:t>
      </w:r>
      <w:r w:rsidRPr="006814F3">
        <w:rPr>
          <w:rFonts w:ascii="Arial" w:hAnsi="Arial" w:cs="Arial"/>
          <w:iCs/>
        </w:rPr>
        <w:t>¹ (n = 19) and 0.05 mg L</w:t>
      </w:r>
      <w:r w:rsidRPr="006814F3">
        <w:rPr>
          <w:rFonts w:ascii="Cambria Math" w:hAnsi="Cambria Math" w:cs="Cambria Math"/>
          <w:iCs/>
        </w:rPr>
        <w:t>⁻</w:t>
      </w:r>
      <w:r w:rsidRPr="006814F3">
        <w:rPr>
          <w:rFonts w:ascii="Arial" w:hAnsi="Arial" w:cs="Arial"/>
          <w:iCs/>
        </w:rPr>
        <w:t xml:space="preserve">¹ (n = 17). Treatments combining 2,4-D with either kinetin or NAA resulted in fewer watery </w:t>
      </w:r>
      <w:proofErr w:type="spellStart"/>
      <w:r w:rsidRPr="006814F3">
        <w:rPr>
          <w:rFonts w:ascii="Arial" w:hAnsi="Arial" w:cs="Arial"/>
          <w:iCs/>
        </w:rPr>
        <w:t>calli</w:t>
      </w:r>
      <w:proofErr w:type="spellEnd"/>
      <w:r w:rsidRPr="006814F3">
        <w:rPr>
          <w:rFonts w:ascii="Arial" w:hAnsi="Arial" w:cs="Arial"/>
          <w:iCs/>
        </w:rPr>
        <w:t xml:space="preserve">, suggesting greater morphological stability. </w:t>
      </w:r>
      <w:proofErr w:type="spellStart"/>
      <w:r w:rsidRPr="006814F3">
        <w:rPr>
          <w:rFonts w:ascii="Arial" w:hAnsi="Arial" w:cs="Arial"/>
          <w:iCs/>
        </w:rPr>
        <w:t>Yezin</w:t>
      </w:r>
      <w:proofErr w:type="spellEnd"/>
      <w:r w:rsidRPr="006814F3">
        <w:rPr>
          <w:rFonts w:ascii="Arial" w:hAnsi="Arial" w:cs="Arial"/>
          <w:iCs/>
        </w:rPr>
        <w:t xml:space="preserve"> 10 and </w:t>
      </w:r>
      <w:proofErr w:type="spellStart"/>
      <w:r w:rsidRPr="006814F3">
        <w:rPr>
          <w:rFonts w:ascii="Arial" w:hAnsi="Arial" w:cs="Arial"/>
          <w:iCs/>
        </w:rPr>
        <w:t>Yezin</w:t>
      </w:r>
      <w:proofErr w:type="spellEnd"/>
      <w:r w:rsidRPr="006814F3">
        <w:rPr>
          <w:rFonts w:ascii="Arial" w:hAnsi="Arial" w:cs="Arial"/>
          <w:iCs/>
        </w:rPr>
        <w:t xml:space="preserve"> 14 exhibited the highest frequencies of watery callus, indicating a propensity for aberrant development despite their overall responsiveness. In contrast, C2, C7, and D6 produced minimal watery callus, reflecting a lower tendency toward cellular dysfunction. Given that watery callus is often associated with poor regenerative capacity, its prevalence</w:t>
      </w:r>
      <w:r>
        <w:rPr>
          <w:rFonts w:ascii="Arial" w:hAnsi="Arial" w:cs="Arial"/>
          <w:iCs/>
        </w:rPr>
        <w:t xml:space="preserve"> </w:t>
      </w:r>
      <w:r w:rsidRPr="006814F3">
        <w:rPr>
          <w:rFonts w:ascii="Arial" w:hAnsi="Arial" w:cs="Arial"/>
          <w:iCs/>
        </w:rPr>
        <w:t>even among high-performing genotypes</w:t>
      </w:r>
      <w:r>
        <w:rPr>
          <w:rFonts w:ascii="Arial" w:hAnsi="Arial" w:cs="Arial"/>
          <w:iCs/>
        </w:rPr>
        <w:t xml:space="preserve"> </w:t>
      </w:r>
      <w:r w:rsidRPr="006814F3">
        <w:rPr>
          <w:rFonts w:ascii="Arial" w:hAnsi="Arial" w:cs="Arial"/>
          <w:iCs/>
        </w:rPr>
        <w:t>highlights the need for optimization to enhance callus quality.</w:t>
      </w:r>
    </w:p>
    <w:p w14:paraId="2F9657FD" w14:textId="77777777" w:rsidR="004E183F" w:rsidRPr="006814F3" w:rsidRDefault="004E183F" w:rsidP="004E183F">
      <w:pPr>
        <w:spacing w:after="160" w:line="278" w:lineRule="auto"/>
        <w:jc w:val="both"/>
        <w:rPr>
          <w:rFonts w:ascii="Arial" w:hAnsi="Arial" w:cs="Arial"/>
          <w:b/>
          <w:bCs/>
          <w:iCs/>
          <w:sz w:val="22"/>
          <w:szCs w:val="22"/>
        </w:rPr>
      </w:pPr>
      <w:r w:rsidRPr="006814F3">
        <w:rPr>
          <w:rFonts w:ascii="Arial" w:hAnsi="Arial" w:cs="Arial"/>
          <w:b/>
          <w:bCs/>
          <w:iCs/>
          <w:sz w:val="22"/>
          <w:szCs w:val="22"/>
        </w:rPr>
        <w:t>Synthesis and Implications</w:t>
      </w:r>
    </w:p>
    <w:p w14:paraId="35BA4A12" w14:textId="1324BED3"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 xml:space="preserve">These findings underline the critical interplay between genotype and culture medium in determining both the success and morphological integrity of callus induction in maize anther culture. Pronounced genotypic differences, particularly in the proportion of non-responsive anthers, align with previous reports emphasizing the genetic basis of in vitro responsiveness in maize. </w:t>
      </w:r>
    </w:p>
    <w:p w14:paraId="46B8611E"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t xml:space="preserve">Among tested genotypes, </w:t>
      </w:r>
      <w:proofErr w:type="spellStart"/>
      <w:r w:rsidRPr="006814F3">
        <w:rPr>
          <w:rFonts w:ascii="Arial" w:hAnsi="Arial" w:cs="Arial"/>
          <w:iCs/>
        </w:rPr>
        <w:t>Yezin</w:t>
      </w:r>
      <w:proofErr w:type="spellEnd"/>
      <w:r w:rsidRPr="006814F3">
        <w:rPr>
          <w:rFonts w:ascii="Arial" w:hAnsi="Arial" w:cs="Arial"/>
          <w:iCs/>
        </w:rPr>
        <w:t xml:space="preserve"> 14 demonstrated the highest responsiveness, with significantly fewer non-responsive anthers, suggesting efficient microspore reprogramming and callus initiation. This makes it a promising candidate for DH breeding programs. Notably, genotypes such as C7 and D6, though less frequently responsive, produced a disproportionately high proportion of morphologically normal </w:t>
      </w:r>
      <w:proofErr w:type="spellStart"/>
      <w:r w:rsidRPr="006814F3">
        <w:rPr>
          <w:rFonts w:ascii="Arial" w:hAnsi="Arial" w:cs="Arial"/>
          <w:iCs/>
        </w:rPr>
        <w:t>calli</w:t>
      </w:r>
      <w:proofErr w:type="spellEnd"/>
      <w:r w:rsidRPr="006814F3">
        <w:rPr>
          <w:rFonts w:ascii="Arial" w:hAnsi="Arial" w:cs="Arial"/>
          <w:iCs/>
        </w:rPr>
        <w:t xml:space="preserve"> with minimal watery formations. These results imply that, although callus induction rates are low in these genotypes, successful induction tends to yield higher-quality callus with improved regenerative potential. Thus, C7 and D6 may remain viable candidates if induction protocols are optimized through tailored media formulations or pretreatment strategies.</w:t>
      </w:r>
    </w:p>
    <w:p w14:paraId="2A7287CD" w14:textId="77777777" w:rsidR="004E183F" w:rsidRPr="006814F3" w:rsidRDefault="004E183F" w:rsidP="004E183F">
      <w:pPr>
        <w:spacing w:after="160" w:line="278" w:lineRule="auto"/>
        <w:ind w:firstLine="720"/>
        <w:jc w:val="both"/>
        <w:rPr>
          <w:rFonts w:ascii="Arial" w:hAnsi="Arial" w:cs="Arial"/>
          <w:iCs/>
        </w:rPr>
      </w:pPr>
      <w:r w:rsidRPr="006814F3">
        <w:rPr>
          <w:rFonts w:ascii="Arial" w:hAnsi="Arial" w:cs="Arial"/>
          <w:iCs/>
        </w:rPr>
        <w:lastRenderedPageBreak/>
        <w:t xml:space="preserve">The variability in callus morphology across genotypes underlines the complex interaction between genetic makeup and culture conditions. While callus induction frequency is crucial, callus quality—particularly the absence of watery phenotypes—is equally vital for successful regeneration. Future studies should focus on fine-tuning hormonal concentrations and refining culture techniques to minimize watery callus formation, especially in highly responsive genotypes like </w:t>
      </w:r>
      <w:proofErr w:type="spellStart"/>
      <w:r w:rsidRPr="006814F3">
        <w:rPr>
          <w:rFonts w:ascii="Arial" w:hAnsi="Arial" w:cs="Arial"/>
          <w:iCs/>
        </w:rPr>
        <w:t>Yezin</w:t>
      </w:r>
      <w:proofErr w:type="spellEnd"/>
      <w:r w:rsidRPr="006814F3">
        <w:rPr>
          <w:rFonts w:ascii="Arial" w:hAnsi="Arial" w:cs="Arial"/>
          <w:iCs/>
        </w:rPr>
        <w:t xml:space="preserve"> 14, thereby enhancing their utility in androgenesis-based breeding pipelines.</w:t>
      </w:r>
    </w:p>
    <w:p w14:paraId="06D09D64" w14:textId="0E656376" w:rsidR="004E183F" w:rsidRDefault="004E183F" w:rsidP="004E183F">
      <w:pPr>
        <w:spacing w:after="120"/>
        <w:ind w:firstLine="720"/>
        <w:jc w:val="both"/>
        <w:rPr>
          <w:rFonts w:ascii="Arial" w:hAnsi="Arial" w:cs="Arial"/>
          <w:iCs/>
        </w:rPr>
      </w:pPr>
      <w:r w:rsidRPr="006814F3">
        <w:rPr>
          <w:rFonts w:ascii="Arial" w:hAnsi="Arial" w:cs="Arial"/>
          <w:iCs/>
        </w:rPr>
        <w:t xml:space="preserve">Statistical analyses revealed a highly significant dependence of callus development on both genotype and PGR treatment (P &lt; 0.0001), reinforcing the importance of genotype-specific optimization in </w:t>
      </w:r>
      <w:proofErr w:type="spellStart"/>
      <w:r w:rsidRPr="006814F3">
        <w:rPr>
          <w:rFonts w:ascii="Arial" w:hAnsi="Arial" w:cs="Arial"/>
          <w:iCs/>
        </w:rPr>
        <w:t>anther</w:t>
      </w:r>
      <w:proofErr w:type="spellEnd"/>
      <w:r w:rsidRPr="006814F3">
        <w:rPr>
          <w:rFonts w:ascii="Arial" w:hAnsi="Arial" w:cs="Arial"/>
          <w:iCs/>
        </w:rPr>
        <w:t xml:space="preserve"> culture systems.</w:t>
      </w:r>
    </w:p>
    <w:p w14:paraId="0C32B79C" w14:textId="77777777" w:rsidR="004E183F" w:rsidRDefault="004E183F" w:rsidP="00997E1A">
      <w:pPr>
        <w:spacing w:after="120"/>
        <w:ind w:left="810" w:hanging="810"/>
        <w:jc w:val="both"/>
        <w:rPr>
          <w:rFonts w:ascii="Arial" w:hAnsi="Arial" w:cs="Arial"/>
          <w:b/>
          <w:bCs/>
          <w:iCs/>
        </w:rPr>
      </w:pPr>
      <w:r w:rsidRPr="006814F3">
        <w:rPr>
          <w:rFonts w:ascii="Arial" w:hAnsi="Arial" w:cs="Arial"/>
          <w:b/>
          <w:bCs/>
          <w:iCs/>
        </w:rPr>
        <w:t>Table 4. Distribution of Callus Types in Maize Anther Culture Across Different Media, Plant Growth Regulators, and Genotypes; Chi-squared Statistic = 65.84, P &lt; 0.0001</w:t>
      </w:r>
    </w:p>
    <w:tbl>
      <w:tblPr>
        <w:tblW w:w="8217" w:type="dxa"/>
        <w:jc w:val="center"/>
        <w:tblLook w:val="04A0" w:firstRow="1" w:lastRow="0" w:firstColumn="1" w:lastColumn="0" w:noHBand="0" w:noVBand="1"/>
      </w:tblPr>
      <w:tblGrid>
        <w:gridCol w:w="1139"/>
        <w:gridCol w:w="3888"/>
        <w:gridCol w:w="1172"/>
        <w:gridCol w:w="1010"/>
        <w:gridCol w:w="591"/>
        <w:gridCol w:w="417"/>
      </w:tblGrid>
      <w:tr w:rsidR="004E183F" w:rsidRPr="00CE2383" w14:paraId="0CAB51C4" w14:textId="77777777" w:rsidTr="00AA2F1E">
        <w:trPr>
          <w:trHeight w:val="720"/>
          <w:jc w:val="center"/>
        </w:trPr>
        <w:tc>
          <w:tcPr>
            <w:tcW w:w="1139" w:type="dxa"/>
            <w:tcBorders>
              <w:top w:val="single" w:sz="8" w:space="0" w:color="7F7F7F"/>
              <w:left w:val="nil"/>
              <w:bottom w:val="single" w:sz="8" w:space="0" w:color="7F7F7F"/>
              <w:right w:val="nil"/>
            </w:tcBorders>
            <w:shd w:val="clear" w:color="auto" w:fill="auto"/>
            <w:vAlign w:val="center"/>
            <w:hideMark/>
          </w:tcPr>
          <w:p w14:paraId="10BA8A95"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Factor Type</w:t>
            </w:r>
          </w:p>
        </w:tc>
        <w:tc>
          <w:tcPr>
            <w:tcW w:w="3888" w:type="dxa"/>
            <w:tcBorders>
              <w:top w:val="single" w:sz="8" w:space="0" w:color="7F7F7F"/>
              <w:left w:val="nil"/>
              <w:bottom w:val="single" w:sz="8" w:space="0" w:color="7F7F7F"/>
              <w:right w:val="nil"/>
            </w:tcBorders>
            <w:shd w:val="clear" w:color="auto" w:fill="auto"/>
            <w:vAlign w:val="center"/>
            <w:hideMark/>
          </w:tcPr>
          <w:p w14:paraId="5F631E5D"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Factor Level</w:t>
            </w:r>
          </w:p>
        </w:tc>
        <w:tc>
          <w:tcPr>
            <w:tcW w:w="1172" w:type="dxa"/>
            <w:tcBorders>
              <w:top w:val="single" w:sz="8" w:space="0" w:color="7F7F7F"/>
              <w:left w:val="nil"/>
              <w:bottom w:val="single" w:sz="8" w:space="0" w:color="7F7F7F"/>
              <w:right w:val="nil"/>
            </w:tcBorders>
            <w:shd w:val="clear" w:color="auto" w:fill="auto"/>
            <w:vAlign w:val="center"/>
            <w:hideMark/>
          </w:tcPr>
          <w:p w14:paraId="7890C460"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No Response</w:t>
            </w:r>
          </w:p>
        </w:tc>
        <w:tc>
          <w:tcPr>
            <w:tcW w:w="1010" w:type="dxa"/>
            <w:tcBorders>
              <w:top w:val="single" w:sz="8" w:space="0" w:color="7F7F7F"/>
              <w:left w:val="nil"/>
              <w:bottom w:val="single" w:sz="8" w:space="0" w:color="7F7F7F"/>
              <w:right w:val="nil"/>
            </w:tcBorders>
            <w:shd w:val="clear" w:color="auto" w:fill="auto"/>
            <w:vAlign w:val="center"/>
            <w:hideMark/>
          </w:tcPr>
          <w:p w14:paraId="64CA9AF9"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Normal Callus</w:t>
            </w:r>
          </w:p>
        </w:tc>
        <w:tc>
          <w:tcPr>
            <w:tcW w:w="1008" w:type="dxa"/>
            <w:gridSpan w:val="2"/>
            <w:tcBorders>
              <w:top w:val="single" w:sz="8" w:space="0" w:color="7F7F7F"/>
              <w:left w:val="nil"/>
              <w:bottom w:val="single" w:sz="8" w:space="0" w:color="7F7F7F"/>
              <w:right w:val="nil"/>
            </w:tcBorders>
            <w:shd w:val="clear" w:color="auto" w:fill="auto"/>
            <w:vAlign w:val="center"/>
            <w:hideMark/>
          </w:tcPr>
          <w:p w14:paraId="4BA82549" w14:textId="77777777" w:rsidR="004E183F" w:rsidRPr="00CE2383" w:rsidRDefault="004E183F" w:rsidP="00AA2F1E">
            <w:pPr>
              <w:jc w:val="center"/>
              <w:rPr>
                <w:rFonts w:ascii="Arial" w:hAnsi="Arial" w:cs="Arial"/>
                <w:b/>
                <w:bCs/>
                <w:color w:val="000000"/>
              </w:rPr>
            </w:pPr>
            <w:r w:rsidRPr="00CE2383">
              <w:rPr>
                <w:rFonts w:ascii="Arial" w:hAnsi="Arial" w:cs="Arial"/>
                <w:b/>
                <w:bCs/>
                <w:color w:val="000000"/>
              </w:rPr>
              <w:t>Watery Callus</w:t>
            </w:r>
          </w:p>
        </w:tc>
      </w:tr>
      <w:tr w:rsidR="004E183F" w:rsidRPr="00CE2383" w14:paraId="70D4C227" w14:textId="77777777" w:rsidTr="00AA2F1E">
        <w:trPr>
          <w:trHeight w:val="255"/>
          <w:jc w:val="center"/>
        </w:trPr>
        <w:tc>
          <w:tcPr>
            <w:tcW w:w="1139" w:type="dxa"/>
            <w:vMerge w:val="restart"/>
            <w:tcBorders>
              <w:top w:val="nil"/>
              <w:left w:val="nil"/>
              <w:bottom w:val="single" w:sz="8" w:space="0" w:color="7F7F7F"/>
              <w:right w:val="nil"/>
            </w:tcBorders>
            <w:shd w:val="clear" w:color="auto" w:fill="auto"/>
            <w:vAlign w:val="center"/>
            <w:hideMark/>
          </w:tcPr>
          <w:p w14:paraId="236C836D" w14:textId="77777777" w:rsidR="004E183F" w:rsidRPr="00CE2383" w:rsidRDefault="004E183F" w:rsidP="00AA2F1E">
            <w:pPr>
              <w:rPr>
                <w:rFonts w:ascii="Arial" w:hAnsi="Arial" w:cs="Arial"/>
                <w:b/>
                <w:bCs/>
                <w:color w:val="000000"/>
              </w:rPr>
            </w:pPr>
            <w:r w:rsidRPr="00CE2383">
              <w:rPr>
                <w:rFonts w:ascii="Arial" w:hAnsi="Arial" w:cs="Arial"/>
                <w:b/>
                <w:bCs/>
                <w:color w:val="000000"/>
              </w:rPr>
              <w:t>PGRs</w:t>
            </w:r>
          </w:p>
        </w:tc>
        <w:tc>
          <w:tcPr>
            <w:tcW w:w="3888" w:type="dxa"/>
            <w:tcBorders>
              <w:top w:val="nil"/>
              <w:left w:val="nil"/>
              <w:bottom w:val="nil"/>
              <w:right w:val="nil"/>
            </w:tcBorders>
            <w:shd w:val="clear" w:color="auto" w:fill="auto"/>
            <w:vAlign w:val="center"/>
            <w:hideMark/>
          </w:tcPr>
          <w:p w14:paraId="14FAC16B" w14:textId="77777777" w:rsidR="004E183F" w:rsidRPr="00CE2383" w:rsidRDefault="004E183F" w:rsidP="00AA2F1E">
            <w:pPr>
              <w:rPr>
                <w:rFonts w:ascii="Arial" w:hAnsi="Arial" w:cs="Arial"/>
                <w:color w:val="000000"/>
              </w:rPr>
            </w:pPr>
            <w:r w:rsidRPr="00CE2383">
              <w:rPr>
                <w:rFonts w:ascii="Arial" w:hAnsi="Arial" w:cs="Arial"/>
                <w:color w:val="000000"/>
              </w:rPr>
              <w:t>2,4-D (2.0 mg L</w:t>
            </w:r>
            <w:r w:rsidRPr="00CE2383">
              <w:rPr>
                <w:rFonts w:ascii="Cambria Math" w:hAnsi="Cambria Math" w:cs="Cambria Math"/>
                <w:color w:val="000000"/>
              </w:rPr>
              <w:t>⁻</w:t>
            </w:r>
            <w:r w:rsidRPr="00CE2383">
              <w:rPr>
                <w:rFonts w:ascii="Arial" w:hAnsi="Arial" w:cs="Arial"/>
                <w:color w:val="000000"/>
              </w:rPr>
              <w:t>¹) + Kinetin (1.5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72DAF105" w14:textId="77777777" w:rsidR="004E183F" w:rsidRPr="00CE2383" w:rsidRDefault="004E183F" w:rsidP="00AA2F1E">
            <w:pPr>
              <w:jc w:val="center"/>
              <w:rPr>
                <w:rFonts w:ascii="Arial" w:hAnsi="Arial" w:cs="Arial"/>
                <w:color w:val="000000"/>
              </w:rPr>
            </w:pPr>
            <w:r w:rsidRPr="00CE2383">
              <w:rPr>
                <w:rFonts w:ascii="Arial" w:hAnsi="Arial" w:cs="Arial"/>
                <w:color w:val="000000"/>
              </w:rPr>
              <w:t>326</w:t>
            </w:r>
          </w:p>
        </w:tc>
        <w:tc>
          <w:tcPr>
            <w:tcW w:w="1010" w:type="dxa"/>
            <w:tcBorders>
              <w:top w:val="nil"/>
              <w:left w:val="nil"/>
              <w:bottom w:val="nil"/>
              <w:right w:val="nil"/>
            </w:tcBorders>
            <w:shd w:val="clear" w:color="auto" w:fill="auto"/>
            <w:vAlign w:val="center"/>
            <w:hideMark/>
          </w:tcPr>
          <w:p w14:paraId="545D5423" w14:textId="77777777" w:rsidR="004E183F" w:rsidRPr="00CE2383" w:rsidRDefault="004E183F" w:rsidP="00AA2F1E">
            <w:pPr>
              <w:jc w:val="center"/>
              <w:rPr>
                <w:rFonts w:ascii="Arial" w:hAnsi="Arial" w:cs="Arial"/>
                <w:color w:val="000000"/>
              </w:rPr>
            </w:pPr>
            <w:r w:rsidRPr="00CE2383">
              <w:rPr>
                <w:rFonts w:ascii="Arial" w:hAnsi="Arial" w:cs="Arial"/>
                <w:color w:val="000000"/>
              </w:rPr>
              <w:t>35</w:t>
            </w:r>
          </w:p>
        </w:tc>
        <w:tc>
          <w:tcPr>
            <w:tcW w:w="1008" w:type="dxa"/>
            <w:gridSpan w:val="2"/>
            <w:tcBorders>
              <w:top w:val="nil"/>
              <w:left w:val="nil"/>
              <w:bottom w:val="nil"/>
              <w:right w:val="nil"/>
            </w:tcBorders>
            <w:shd w:val="clear" w:color="auto" w:fill="auto"/>
            <w:vAlign w:val="center"/>
            <w:hideMark/>
          </w:tcPr>
          <w:p w14:paraId="1B719E5B" w14:textId="77777777" w:rsidR="004E183F" w:rsidRPr="00CE2383" w:rsidRDefault="004E183F" w:rsidP="00AA2F1E">
            <w:pPr>
              <w:jc w:val="center"/>
              <w:rPr>
                <w:rFonts w:ascii="Arial" w:hAnsi="Arial" w:cs="Arial"/>
                <w:color w:val="000000"/>
              </w:rPr>
            </w:pPr>
            <w:r w:rsidRPr="00CE2383">
              <w:rPr>
                <w:rFonts w:ascii="Arial" w:hAnsi="Arial" w:cs="Arial"/>
                <w:color w:val="000000"/>
              </w:rPr>
              <w:t>4</w:t>
            </w:r>
          </w:p>
        </w:tc>
      </w:tr>
      <w:tr w:rsidR="004E183F" w:rsidRPr="00CE2383" w14:paraId="3EAAE494" w14:textId="77777777" w:rsidTr="00AA2F1E">
        <w:trPr>
          <w:trHeight w:val="255"/>
          <w:jc w:val="center"/>
        </w:trPr>
        <w:tc>
          <w:tcPr>
            <w:tcW w:w="1139" w:type="dxa"/>
            <w:vMerge/>
            <w:tcBorders>
              <w:top w:val="nil"/>
              <w:left w:val="nil"/>
              <w:bottom w:val="single" w:sz="8" w:space="0" w:color="7F7F7F"/>
              <w:right w:val="nil"/>
            </w:tcBorders>
            <w:vAlign w:val="center"/>
            <w:hideMark/>
          </w:tcPr>
          <w:p w14:paraId="2D293BBE"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21E5BF51" w14:textId="77777777" w:rsidR="004E183F" w:rsidRPr="00CE2383" w:rsidRDefault="004E183F" w:rsidP="00AA2F1E">
            <w:pPr>
              <w:rPr>
                <w:rFonts w:ascii="Arial" w:hAnsi="Arial" w:cs="Arial"/>
                <w:color w:val="000000"/>
              </w:rPr>
            </w:pPr>
            <w:r w:rsidRPr="00CE2383">
              <w:rPr>
                <w:rFonts w:ascii="Arial" w:hAnsi="Arial" w:cs="Arial"/>
                <w:color w:val="000000"/>
              </w:rPr>
              <w:t>2,4-D (2.0 mg L</w:t>
            </w:r>
            <w:r w:rsidRPr="00CE2383">
              <w:rPr>
                <w:rFonts w:ascii="Cambria Math" w:hAnsi="Cambria Math" w:cs="Cambria Math"/>
                <w:color w:val="000000"/>
              </w:rPr>
              <w:t>⁻</w:t>
            </w:r>
            <w:r w:rsidRPr="00CE2383">
              <w:rPr>
                <w:rFonts w:ascii="Arial" w:hAnsi="Arial" w:cs="Arial"/>
                <w:color w:val="000000"/>
              </w:rPr>
              <w:t>¹) + NAA (2.0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05E9515C" w14:textId="77777777" w:rsidR="004E183F" w:rsidRPr="00CE2383" w:rsidRDefault="004E183F" w:rsidP="00AA2F1E">
            <w:pPr>
              <w:jc w:val="center"/>
              <w:rPr>
                <w:rFonts w:ascii="Arial" w:hAnsi="Arial" w:cs="Arial"/>
                <w:color w:val="000000"/>
              </w:rPr>
            </w:pPr>
            <w:r w:rsidRPr="00CE2383">
              <w:rPr>
                <w:rFonts w:ascii="Arial" w:hAnsi="Arial" w:cs="Arial"/>
                <w:color w:val="000000"/>
              </w:rPr>
              <w:t>344</w:t>
            </w:r>
          </w:p>
        </w:tc>
        <w:tc>
          <w:tcPr>
            <w:tcW w:w="1010" w:type="dxa"/>
            <w:tcBorders>
              <w:top w:val="nil"/>
              <w:left w:val="nil"/>
              <w:bottom w:val="nil"/>
              <w:right w:val="nil"/>
            </w:tcBorders>
            <w:shd w:val="clear" w:color="auto" w:fill="auto"/>
            <w:vAlign w:val="center"/>
            <w:hideMark/>
          </w:tcPr>
          <w:p w14:paraId="62E2DC1C" w14:textId="77777777" w:rsidR="004E183F" w:rsidRPr="00CE2383" w:rsidRDefault="004E183F" w:rsidP="00AA2F1E">
            <w:pPr>
              <w:jc w:val="center"/>
              <w:rPr>
                <w:rFonts w:ascii="Arial" w:hAnsi="Arial" w:cs="Arial"/>
                <w:color w:val="000000"/>
              </w:rPr>
            </w:pPr>
            <w:r w:rsidRPr="00CE2383">
              <w:rPr>
                <w:rFonts w:ascii="Arial" w:hAnsi="Arial" w:cs="Arial"/>
                <w:color w:val="000000"/>
              </w:rPr>
              <w:t>15</w:t>
            </w:r>
          </w:p>
        </w:tc>
        <w:tc>
          <w:tcPr>
            <w:tcW w:w="1008" w:type="dxa"/>
            <w:gridSpan w:val="2"/>
            <w:tcBorders>
              <w:top w:val="nil"/>
              <w:left w:val="nil"/>
              <w:bottom w:val="nil"/>
              <w:right w:val="nil"/>
            </w:tcBorders>
            <w:shd w:val="clear" w:color="auto" w:fill="auto"/>
            <w:vAlign w:val="center"/>
            <w:hideMark/>
          </w:tcPr>
          <w:p w14:paraId="34230606" w14:textId="77777777" w:rsidR="004E183F" w:rsidRPr="00CE2383" w:rsidRDefault="004E183F" w:rsidP="00AA2F1E">
            <w:pPr>
              <w:jc w:val="center"/>
              <w:rPr>
                <w:rFonts w:ascii="Arial" w:hAnsi="Arial" w:cs="Arial"/>
                <w:color w:val="000000"/>
              </w:rPr>
            </w:pPr>
            <w:r w:rsidRPr="00CE2383">
              <w:rPr>
                <w:rFonts w:ascii="Arial" w:hAnsi="Arial" w:cs="Arial"/>
                <w:color w:val="000000"/>
              </w:rPr>
              <w:t>1</w:t>
            </w:r>
          </w:p>
        </w:tc>
      </w:tr>
      <w:tr w:rsidR="004E183F" w:rsidRPr="00CE2383" w14:paraId="3C4AC346" w14:textId="77777777" w:rsidTr="00AA2F1E">
        <w:trPr>
          <w:trHeight w:val="255"/>
          <w:jc w:val="center"/>
        </w:trPr>
        <w:tc>
          <w:tcPr>
            <w:tcW w:w="1139" w:type="dxa"/>
            <w:vMerge/>
            <w:tcBorders>
              <w:top w:val="nil"/>
              <w:left w:val="nil"/>
              <w:bottom w:val="single" w:sz="8" w:space="0" w:color="7F7F7F"/>
              <w:right w:val="nil"/>
            </w:tcBorders>
            <w:vAlign w:val="center"/>
            <w:hideMark/>
          </w:tcPr>
          <w:p w14:paraId="3D0FD7C9"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23D60194" w14:textId="77777777" w:rsidR="004E183F" w:rsidRPr="00CE2383" w:rsidRDefault="004E183F" w:rsidP="00AA2F1E">
            <w:pPr>
              <w:rPr>
                <w:rFonts w:ascii="Arial" w:hAnsi="Arial" w:cs="Arial"/>
                <w:color w:val="000000"/>
              </w:rPr>
            </w:pPr>
            <w:r w:rsidRPr="00CE2383">
              <w:rPr>
                <w:rFonts w:ascii="Arial" w:hAnsi="Arial" w:cs="Arial"/>
                <w:color w:val="000000"/>
              </w:rPr>
              <w:t>2,4-D (2.5 mg L</w:t>
            </w:r>
            <w:r w:rsidRPr="00CE2383">
              <w:rPr>
                <w:rFonts w:ascii="Cambria Math" w:hAnsi="Cambria Math" w:cs="Cambria Math"/>
                <w:color w:val="000000"/>
              </w:rPr>
              <w:t>⁻</w:t>
            </w:r>
            <w:r w:rsidRPr="00CE2383">
              <w:rPr>
                <w:rFonts w:ascii="Arial" w:hAnsi="Arial" w:cs="Arial"/>
                <w:color w:val="000000"/>
              </w:rPr>
              <w:t>¹) + Kinetin (1.5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64075026" w14:textId="77777777" w:rsidR="004E183F" w:rsidRPr="00CE2383" w:rsidRDefault="004E183F" w:rsidP="00AA2F1E">
            <w:pPr>
              <w:jc w:val="center"/>
              <w:rPr>
                <w:rFonts w:ascii="Arial" w:hAnsi="Arial" w:cs="Arial"/>
                <w:color w:val="000000"/>
              </w:rPr>
            </w:pPr>
            <w:r w:rsidRPr="00CE2383">
              <w:rPr>
                <w:rFonts w:ascii="Arial" w:hAnsi="Arial" w:cs="Arial"/>
                <w:color w:val="000000"/>
              </w:rPr>
              <w:t>288</w:t>
            </w:r>
          </w:p>
        </w:tc>
        <w:tc>
          <w:tcPr>
            <w:tcW w:w="1010" w:type="dxa"/>
            <w:tcBorders>
              <w:top w:val="nil"/>
              <w:left w:val="nil"/>
              <w:bottom w:val="nil"/>
              <w:right w:val="nil"/>
            </w:tcBorders>
            <w:shd w:val="clear" w:color="auto" w:fill="auto"/>
            <w:vAlign w:val="center"/>
            <w:hideMark/>
          </w:tcPr>
          <w:p w14:paraId="079AA34A" w14:textId="77777777" w:rsidR="004E183F" w:rsidRPr="00CE2383" w:rsidRDefault="004E183F" w:rsidP="00AA2F1E">
            <w:pPr>
              <w:jc w:val="center"/>
              <w:rPr>
                <w:rFonts w:ascii="Arial" w:hAnsi="Arial" w:cs="Arial"/>
                <w:color w:val="000000"/>
              </w:rPr>
            </w:pPr>
            <w:r w:rsidRPr="00CE2383">
              <w:rPr>
                <w:rFonts w:ascii="Arial" w:hAnsi="Arial" w:cs="Arial"/>
                <w:color w:val="000000"/>
              </w:rPr>
              <w:t>16</w:t>
            </w:r>
          </w:p>
        </w:tc>
        <w:tc>
          <w:tcPr>
            <w:tcW w:w="1008" w:type="dxa"/>
            <w:gridSpan w:val="2"/>
            <w:tcBorders>
              <w:top w:val="nil"/>
              <w:left w:val="nil"/>
              <w:bottom w:val="nil"/>
              <w:right w:val="nil"/>
            </w:tcBorders>
            <w:shd w:val="clear" w:color="auto" w:fill="auto"/>
            <w:vAlign w:val="center"/>
            <w:hideMark/>
          </w:tcPr>
          <w:p w14:paraId="52770D6C" w14:textId="77777777" w:rsidR="004E183F" w:rsidRPr="00CE2383" w:rsidRDefault="004E183F" w:rsidP="00AA2F1E">
            <w:pPr>
              <w:jc w:val="center"/>
              <w:rPr>
                <w:rFonts w:ascii="Arial" w:hAnsi="Arial" w:cs="Arial"/>
                <w:color w:val="000000"/>
              </w:rPr>
            </w:pPr>
            <w:r w:rsidRPr="00CE2383">
              <w:rPr>
                <w:rFonts w:ascii="Arial" w:hAnsi="Arial" w:cs="Arial"/>
                <w:color w:val="000000"/>
              </w:rPr>
              <w:t>1</w:t>
            </w:r>
          </w:p>
        </w:tc>
      </w:tr>
      <w:tr w:rsidR="004E183F" w:rsidRPr="00CE2383" w14:paraId="75FD4E84" w14:textId="77777777" w:rsidTr="00AA2F1E">
        <w:trPr>
          <w:trHeight w:val="255"/>
          <w:jc w:val="center"/>
        </w:trPr>
        <w:tc>
          <w:tcPr>
            <w:tcW w:w="1139" w:type="dxa"/>
            <w:vMerge/>
            <w:tcBorders>
              <w:top w:val="nil"/>
              <w:left w:val="nil"/>
              <w:bottom w:val="single" w:sz="8" w:space="0" w:color="7F7F7F"/>
              <w:right w:val="nil"/>
            </w:tcBorders>
            <w:vAlign w:val="center"/>
            <w:hideMark/>
          </w:tcPr>
          <w:p w14:paraId="1B322282"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6D62930A" w14:textId="77777777" w:rsidR="004E183F" w:rsidRPr="00CE2383" w:rsidRDefault="004E183F" w:rsidP="00AA2F1E">
            <w:pPr>
              <w:rPr>
                <w:rFonts w:ascii="Arial" w:hAnsi="Arial" w:cs="Arial"/>
                <w:color w:val="000000"/>
              </w:rPr>
            </w:pPr>
            <w:r w:rsidRPr="00CE2383">
              <w:rPr>
                <w:rFonts w:ascii="Arial" w:hAnsi="Arial" w:cs="Arial"/>
                <w:color w:val="000000"/>
              </w:rPr>
              <w:t>TIBA (0.05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79AFE136" w14:textId="77777777" w:rsidR="004E183F" w:rsidRPr="00CE2383" w:rsidRDefault="004E183F" w:rsidP="00AA2F1E">
            <w:pPr>
              <w:jc w:val="center"/>
              <w:rPr>
                <w:rFonts w:ascii="Arial" w:hAnsi="Arial" w:cs="Arial"/>
                <w:color w:val="000000"/>
              </w:rPr>
            </w:pPr>
            <w:r w:rsidRPr="00CE2383">
              <w:rPr>
                <w:rFonts w:ascii="Arial" w:hAnsi="Arial" w:cs="Arial"/>
                <w:color w:val="000000"/>
              </w:rPr>
              <w:t>246</w:t>
            </w:r>
          </w:p>
        </w:tc>
        <w:tc>
          <w:tcPr>
            <w:tcW w:w="1010" w:type="dxa"/>
            <w:tcBorders>
              <w:top w:val="nil"/>
              <w:left w:val="nil"/>
              <w:bottom w:val="nil"/>
              <w:right w:val="nil"/>
            </w:tcBorders>
            <w:shd w:val="clear" w:color="auto" w:fill="auto"/>
            <w:vAlign w:val="center"/>
            <w:hideMark/>
          </w:tcPr>
          <w:p w14:paraId="6B5FDB1C" w14:textId="77777777" w:rsidR="004E183F" w:rsidRPr="00CE2383" w:rsidRDefault="004E183F" w:rsidP="00AA2F1E">
            <w:pPr>
              <w:jc w:val="center"/>
              <w:rPr>
                <w:rFonts w:ascii="Arial" w:hAnsi="Arial" w:cs="Arial"/>
                <w:color w:val="000000"/>
              </w:rPr>
            </w:pPr>
            <w:r w:rsidRPr="00CE2383">
              <w:rPr>
                <w:rFonts w:ascii="Arial" w:hAnsi="Arial" w:cs="Arial"/>
                <w:color w:val="000000"/>
              </w:rPr>
              <w:t>27</w:t>
            </w:r>
          </w:p>
        </w:tc>
        <w:tc>
          <w:tcPr>
            <w:tcW w:w="1008" w:type="dxa"/>
            <w:gridSpan w:val="2"/>
            <w:tcBorders>
              <w:top w:val="nil"/>
              <w:left w:val="nil"/>
              <w:bottom w:val="nil"/>
              <w:right w:val="nil"/>
            </w:tcBorders>
            <w:shd w:val="clear" w:color="auto" w:fill="auto"/>
            <w:vAlign w:val="center"/>
            <w:hideMark/>
          </w:tcPr>
          <w:p w14:paraId="5765C32C" w14:textId="77777777" w:rsidR="004E183F" w:rsidRPr="00CE2383" w:rsidRDefault="004E183F" w:rsidP="00AA2F1E">
            <w:pPr>
              <w:jc w:val="center"/>
              <w:rPr>
                <w:rFonts w:ascii="Arial" w:hAnsi="Arial" w:cs="Arial"/>
                <w:color w:val="000000"/>
              </w:rPr>
            </w:pPr>
            <w:r w:rsidRPr="00CE2383">
              <w:rPr>
                <w:rFonts w:ascii="Arial" w:hAnsi="Arial" w:cs="Arial"/>
                <w:color w:val="000000"/>
              </w:rPr>
              <w:t>17</w:t>
            </w:r>
          </w:p>
        </w:tc>
      </w:tr>
      <w:tr w:rsidR="004E183F" w:rsidRPr="00CE2383" w14:paraId="0DC44F55" w14:textId="77777777" w:rsidTr="00AA2F1E">
        <w:trPr>
          <w:trHeight w:val="255"/>
          <w:jc w:val="center"/>
        </w:trPr>
        <w:tc>
          <w:tcPr>
            <w:tcW w:w="1139" w:type="dxa"/>
            <w:vMerge/>
            <w:tcBorders>
              <w:top w:val="nil"/>
              <w:left w:val="nil"/>
              <w:bottom w:val="single" w:sz="8" w:space="0" w:color="7F7F7F"/>
              <w:right w:val="nil"/>
            </w:tcBorders>
            <w:vAlign w:val="center"/>
            <w:hideMark/>
          </w:tcPr>
          <w:p w14:paraId="11BA0E80"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29CAF162" w14:textId="77777777" w:rsidR="004E183F" w:rsidRPr="00CE2383" w:rsidRDefault="004E183F" w:rsidP="00AA2F1E">
            <w:pPr>
              <w:rPr>
                <w:rFonts w:ascii="Arial" w:hAnsi="Arial" w:cs="Arial"/>
                <w:color w:val="000000"/>
              </w:rPr>
            </w:pPr>
            <w:r w:rsidRPr="00CE2383">
              <w:rPr>
                <w:rFonts w:ascii="Arial" w:hAnsi="Arial" w:cs="Arial"/>
                <w:color w:val="000000"/>
              </w:rPr>
              <w:t>TIBA (0.1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699B0EDF" w14:textId="77777777" w:rsidR="004E183F" w:rsidRPr="00CE2383" w:rsidRDefault="004E183F" w:rsidP="00AA2F1E">
            <w:pPr>
              <w:jc w:val="center"/>
              <w:rPr>
                <w:rFonts w:ascii="Arial" w:hAnsi="Arial" w:cs="Arial"/>
                <w:color w:val="000000"/>
              </w:rPr>
            </w:pPr>
            <w:r w:rsidRPr="00CE2383">
              <w:rPr>
                <w:rFonts w:ascii="Arial" w:hAnsi="Arial" w:cs="Arial"/>
                <w:color w:val="000000"/>
              </w:rPr>
              <w:t>393</w:t>
            </w:r>
          </w:p>
        </w:tc>
        <w:tc>
          <w:tcPr>
            <w:tcW w:w="1010" w:type="dxa"/>
            <w:tcBorders>
              <w:top w:val="nil"/>
              <w:left w:val="nil"/>
              <w:bottom w:val="nil"/>
              <w:right w:val="nil"/>
            </w:tcBorders>
            <w:shd w:val="clear" w:color="auto" w:fill="auto"/>
            <w:vAlign w:val="center"/>
            <w:hideMark/>
          </w:tcPr>
          <w:p w14:paraId="7C966BC8" w14:textId="77777777" w:rsidR="004E183F" w:rsidRPr="00CE2383" w:rsidRDefault="004E183F" w:rsidP="00AA2F1E">
            <w:pPr>
              <w:jc w:val="center"/>
              <w:rPr>
                <w:rFonts w:ascii="Arial" w:hAnsi="Arial" w:cs="Arial"/>
                <w:color w:val="000000"/>
              </w:rPr>
            </w:pPr>
            <w:r w:rsidRPr="00CE2383">
              <w:rPr>
                <w:rFonts w:ascii="Arial" w:hAnsi="Arial" w:cs="Arial"/>
                <w:color w:val="000000"/>
              </w:rPr>
              <w:t>57</w:t>
            </w:r>
          </w:p>
        </w:tc>
        <w:tc>
          <w:tcPr>
            <w:tcW w:w="1008" w:type="dxa"/>
            <w:gridSpan w:val="2"/>
            <w:tcBorders>
              <w:top w:val="nil"/>
              <w:left w:val="nil"/>
              <w:bottom w:val="nil"/>
              <w:right w:val="nil"/>
            </w:tcBorders>
            <w:shd w:val="clear" w:color="auto" w:fill="auto"/>
            <w:vAlign w:val="center"/>
            <w:hideMark/>
          </w:tcPr>
          <w:p w14:paraId="31B1D1A4" w14:textId="77777777" w:rsidR="004E183F" w:rsidRPr="00CE2383" w:rsidRDefault="004E183F" w:rsidP="00AA2F1E">
            <w:pPr>
              <w:jc w:val="center"/>
              <w:rPr>
                <w:rFonts w:ascii="Arial" w:hAnsi="Arial" w:cs="Arial"/>
                <w:color w:val="000000"/>
              </w:rPr>
            </w:pPr>
            <w:r w:rsidRPr="00CE2383">
              <w:rPr>
                <w:rFonts w:ascii="Arial" w:hAnsi="Arial" w:cs="Arial"/>
                <w:color w:val="000000"/>
              </w:rPr>
              <w:t>25</w:t>
            </w:r>
          </w:p>
        </w:tc>
      </w:tr>
      <w:tr w:rsidR="004E183F" w:rsidRPr="00CE2383" w14:paraId="230EB5D6" w14:textId="77777777" w:rsidTr="00AA2F1E">
        <w:trPr>
          <w:trHeight w:val="270"/>
          <w:jc w:val="center"/>
        </w:trPr>
        <w:tc>
          <w:tcPr>
            <w:tcW w:w="1139" w:type="dxa"/>
            <w:vMerge/>
            <w:tcBorders>
              <w:top w:val="nil"/>
              <w:left w:val="nil"/>
              <w:bottom w:val="single" w:sz="8" w:space="0" w:color="7F7F7F"/>
              <w:right w:val="nil"/>
            </w:tcBorders>
            <w:vAlign w:val="center"/>
            <w:hideMark/>
          </w:tcPr>
          <w:p w14:paraId="3F241FAF"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67E05211" w14:textId="77777777" w:rsidR="004E183F" w:rsidRPr="00CE2383" w:rsidRDefault="004E183F" w:rsidP="00AA2F1E">
            <w:pPr>
              <w:rPr>
                <w:rFonts w:ascii="Arial" w:hAnsi="Arial" w:cs="Arial"/>
                <w:color w:val="000000"/>
              </w:rPr>
            </w:pPr>
            <w:r w:rsidRPr="00CE2383">
              <w:rPr>
                <w:rFonts w:ascii="Arial" w:hAnsi="Arial" w:cs="Arial"/>
                <w:color w:val="000000"/>
              </w:rPr>
              <w:t>TIBA (0.15 mg L</w:t>
            </w:r>
            <w:r w:rsidRPr="00CE2383">
              <w:rPr>
                <w:rFonts w:ascii="Cambria Math" w:hAnsi="Cambria Math" w:cs="Cambria Math"/>
                <w:color w:val="000000"/>
              </w:rPr>
              <w:t>⁻</w:t>
            </w:r>
            <w:r w:rsidRPr="00CE2383">
              <w:rPr>
                <w:rFonts w:ascii="Arial" w:hAnsi="Arial" w:cs="Arial"/>
                <w:color w:val="000000"/>
              </w:rPr>
              <w:t>¹)</w:t>
            </w:r>
          </w:p>
        </w:tc>
        <w:tc>
          <w:tcPr>
            <w:tcW w:w="1172" w:type="dxa"/>
            <w:tcBorders>
              <w:top w:val="nil"/>
              <w:left w:val="nil"/>
              <w:bottom w:val="nil"/>
              <w:right w:val="nil"/>
            </w:tcBorders>
            <w:shd w:val="clear" w:color="auto" w:fill="auto"/>
            <w:vAlign w:val="center"/>
            <w:hideMark/>
          </w:tcPr>
          <w:p w14:paraId="23B939AF" w14:textId="77777777" w:rsidR="004E183F" w:rsidRPr="00CE2383" w:rsidRDefault="004E183F" w:rsidP="00AA2F1E">
            <w:pPr>
              <w:jc w:val="center"/>
              <w:rPr>
                <w:rFonts w:ascii="Arial" w:hAnsi="Arial" w:cs="Arial"/>
                <w:color w:val="000000"/>
              </w:rPr>
            </w:pPr>
            <w:r w:rsidRPr="00CE2383">
              <w:rPr>
                <w:rFonts w:ascii="Arial" w:hAnsi="Arial" w:cs="Arial"/>
                <w:color w:val="000000"/>
              </w:rPr>
              <w:t>350</w:t>
            </w:r>
          </w:p>
        </w:tc>
        <w:tc>
          <w:tcPr>
            <w:tcW w:w="1010" w:type="dxa"/>
            <w:tcBorders>
              <w:top w:val="nil"/>
              <w:left w:val="nil"/>
              <w:bottom w:val="nil"/>
              <w:right w:val="nil"/>
            </w:tcBorders>
            <w:shd w:val="clear" w:color="auto" w:fill="auto"/>
            <w:vAlign w:val="center"/>
            <w:hideMark/>
          </w:tcPr>
          <w:p w14:paraId="13E6AA72" w14:textId="77777777" w:rsidR="004E183F" w:rsidRPr="00CE2383" w:rsidRDefault="004E183F" w:rsidP="00AA2F1E">
            <w:pPr>
              <w:jc w:val="center"/>
              <w:rPr>
                <w:rFonts w:ascii="Arial" w:hAnsi="Arial" w:cs="Arial"/>
                <w:color w:val="000000"/>
              </w:rPr>
            </w:pPr>
            <w:r w:rsidRPr="00CE2383">
              <w:rPr>
                <w:rFonts w:ascii="Arial" w:hAnsi="Arial" w:cs="Arial"/>
                <w:color w:val="000000"/>
              </w:rPr>
              <w:t>16</w:t>
            </w:r>
          </w:p>
        </w:tc>
        <w:tc>
          <w:tcPr>
            <w:tcW w:w="1008" w:type="dxa"/>
            <w:gridSpan w:val="2"/>
            <w:tcBorders>
              <w:top w:val="nil"/>
              <w:left w:val="nil"/>
              <w:bottom w:val="nil"/>
              <w:right w:val="nil"/>
            </w:tcBorders>
            <w:shd w:val="clear" w:color="auto" w:fill="auto"/>
            <w:vAlign w:val="center"/>
            <w:hideMark/>
          </w:tcPr>
          <w:p w14:paraId="13258FEA" w14:textId="77777777" w:rsidR="004E183F" w:rsidRPr="00CE2383" w:rsidRDefault="004E183F" w:rsidP="00AA2F1E">
            <w:pPr>
              <w:jc w:val="center"/>
              <w:rPr>
                <w:rFonts w:ascii="Arial" w:hAnsi="Arial" w:cs="Arial"/>
                <w:color w:val="000000"/>
              </w:rPr>
            </w:pPr>
            <w:r w:rsidRPr="00CE2383">
              <w:rPr>
                <w:rFonts w:ascii="Arial" w:hAnsi="Arial" w:cs="Arial"/>
                <w:color w:val="000000"/>
              </w:rPr>
              <w:t>19</w:t>
            </w:r>
          </w:p>
        </w:tc>
      </w:tr>
      <w:tr w:rsidR="004E183F" w:rsidRPr="00CE2383" w14:paraId="11500FA4" w14:textId="77777777" w:rsidTr="00AA2F1E">
        <w:trPr>
          <w:gridAfter w:val="1"/>
          <w:wAfter w:w="417" w:type="dxa"/>
          <w:trHeight w:val="270"/>
          <w:jc w:val="center"/>
        </w:trPr>
        <w:tc>
          <w:tcPr>
            <w:tcW w:w="7800" w:type="dxa"/>
            <w:gridSpan w:val="5"/>
            <w:tcBorders>
              <w:top w:val="single" w:sz="8" w:space="0" w:color="7F7F7F"/>
              <w:left w:val="nil"/>
              <w:bottom w:val="single" w:sz="8" w:space="0" w:color="7F7F7F"/>
              <w:right w:val="nil"/>
            </w:tcBorders>
            <w:shd w:val="clear" w:color="auto" w:fill="auto"/>
            <w:vAlign w:val="center"/>
            <w:hideMark/>
          </w:tcPr>
          <w:p w14:paraId="0662A491" w14:textId="77777777" w:rsidR="004E183F" w:rsidRPr="00CE2383" w:rsidRDefault="004E183F" w:rsidP="00AA2F1E">
            <w:pPr>
              <w:rPr>
                <w:rFonts w:ascii="Arial" w:hAnsi="Arial" w:cs="Arial"/>
                <w:b/>
                <w:bCs/>
                <w:color w:val="000000"/>
              </w:rPr>
            </w:pPr>
            <w:r w:rsidRPr="00CE2383">
              <w:rPr>
                <w:rFonts w:ascii="Arial" w:hAnsi="Arial" w:cs="Arial"/>
                <w:b/>
                <w:bCs/>
                <w:color w:val="000000"/>
              </w:rPr>
              <w:t>Chi square statistic: 74.77, P-value: &lt; 0.0001</w:t>
            </w:r>
          </w:p>
        </w:tc>
      </w:tr>
      <w:tr w:rsidR="004E183F" w:rsidRPr="00CE2383" w14:paraId="1B3D09DC" w14:textId="77777777" w:rsidTr="00AA2F1E">
        <w:trPr>
          <w:trHeight w:val="255"/>
          <w:jc w:val="center"/>
        </w:trPr>
        <w:tc>
          <w:tcPr>
            <w:tcW w:w="1139" w:type="dxa"/>
            <w:vMerge w:val="restart"/>
            <w:tcBorders>
              <w:top w:val="nil"/>
              <w:left w:val="nil"/>
              <w:bottom w:val="single" w:sz="8" w:space="0" w:color="000000"/>
              <w:right w:val="nil"/>
            </w:tcBorders>
            <w:shd w:val="clear" w:color="auto" w:fill="auto"/>
            <w:vAlign w:val="center"/>
            <w:hideMark/>
          </w:tcPr>
          <w:p w14:paraId="4774CC90" w14:textId="77777777" w:rsidR="004E183F" w:rsidRPr="00CE2383" w:rsidRDefault="004E183F" w:rsidP="00AA2F1E">
            <w:pPr>
              <w:rPr>
                <w:rFonts w:ascii="Arial" w:hAnsi="Arial" w:cs="Arial"/>
                <w:b/>
                <w:bCs/>
                <w:color w:val="000000"/>
              </w:rPr>
            </w:pPr>
            <w:r w:rsidRPr="00CE2383">
              <w:rPr>
                <w:rFonts w:ascii="Arial" w:hAnsi="Arial" w:cs="Arial"/>
                <w:b/>
                <w:bCs/>
                <w:color w:val="000000"/>
              </w:rPr>
              <w:t>Genotype</w:t>
            </w:r>
          </w:p>
        </w:tc>
        <w:tc>
          <w:tcPr>
            <w:tcW w:w="3888" w:type="dxa"/>
            <w:tcBorders>
              <w:top w:val="nil"/>
              <w:left w:val="nil"/>
              <w:bottom w:val="nil"/>
              <w:right w:val="nil"/>
            </w:tcBorders>
            <w:shd w:val="clear" w:color="auto" w:fill="auto"/>
            <w:vAlign w:val="center"/>
            <w:hideMark/>
          </w:tcPr>
          <w:p w14:paraId="66D87CD0" w14:textId="77777777" w:rsidR="004E183F" w:rsidRPr="00CE2383" w:rsidRDefault="004E183F" w:rsidP="00AA2F1E">
            <w:pPr>
              <w:rPr>
                <w:rFonts w:ascii="Arial" w:hAnsi="Arial" w:cs="Arial"/>
                <w:color w:val="000000"/>
              </w:rPr>
            </w:pPr>
            <w:proofErr w:type="spellStart"/>
            <w:r w:rsidRPr="00CE2383">
              <w:rPr>
                <w:rFonts w:ascii="Arial" w:hAnsi="Arial" w:cs="Arial"/>
                <w:color w:val="000000"/>
              </w:rPr>
              <w:t>Yezin</w:t>
            </w:r>
            <w:proofErr w:type="spellEnd"/>
            <w:r w:rsidRPr="00CE2383">
              <w:rPr>
                <w:rFonts w:ascii="Arial" w:hAnsi="Arial" w:cs="Arial"/>
                <w:color w:val="000000"/>
              </w:rPr>
              <w:t xml:space="preserve"> 14</w:t>
            </w:r>
          </w:p>
        </w:tc>
        <w:tc>
          <w:tcPr>
            <w:tcW w:w="1172" w:type="dxa"/>
            <w:tcBorders>
              <w:top w:val="nil"/>
              <w:left w:val="nil"/>
              <w:bottom w:val="nil"/>
              <w:right w:val="nil"/>
            </w:tcBorders>
            <w:shd w:val="clear" w:color="auto" w:fill="auto"/>
            <w:vAlign w:val="center"/>
            <w:hideMark/>
          </w:tcPr>
          <w:p w14:paraId="1A3922DD" w14:textId="77777777" w:rsidR="004E183F" w:rsidRPr="00CE2383" w:rsidRDefault="004E183F" w:rsidP="00AA2F1E">
            <w:pPr>
              <w:jc w:val="center"/>
              <w:rPr>
                <w:rFonts w:ascii="Arial" w:hAnsi="Arial" w:cs="Arial"/>
                <w:color w:val="000000"/>
              </w:rPr>
            </w:pPr>
            <w:r w:rsidRPr="00CE2383">
              <w:rPr>
                <w:rFonts w:ascii="Arial" w:hAnsi="Arial" w:cs="Arial"/>
                <w:color w:val="000000"/>
              </w:rPr>
              <w:t>241</w:t>
            </w:r>
          </w:p>
        </w:tc>
        <w:tc>
          <w:tcPr>
            <w:tcW w:w="1010" w:type="dxa"/>
            <w:tcBorders>
              <w:top w:val="nil"/>
              <w:left w:val="nil"/>
              <w:bottom w:val="nil"/>
              <w:right w:val="nil"/>
            </w:tcBorders>
            <w:shd w:val="clear" w:color="auto" w:fill="auto"/>
            <w:vAlign w:val="center"/>
            <w:hideMark/>
          </w:tcPr>
          <w:p w14:paraId="1CFB2FF6" w14:textId="77777777" w:rsidR="004E183F" w:rsidRPr="00CE2383" w:rsidRDefault="004E183F" w:rsidP="00AA2F1E">
            <w:pPr>
              <w:jc w:val="center"/>
              <w:rPr>
                <w:rFonts w:ascii="Arial" w:hAnsi="Arial" w:cs="Arial"/>
                <w:color w:val="000000"/>
              </w:rPr>
            </w:pPr>
            <w:r w:rsidRPr="00CE2383">
              <w:rPr>
                <w:rFonts w:ascii="Arial" w:hAnsi="Arial" w:cs="Arial"/>
                <w:color w:val="000000"/>
              </w:rPr>
              <w:t>37</w:t>
            </w:r>
          </w:p>
        </w:tc>
        <w:tc>
          <w:tcPr>
            <w:tcW w:w="1008" w:type="dxa"/>
            <w:gridSpan w:val="2"/>
            <w:tcBorders>
              <w:top w:val="nil"/>
              <w:left w:val="nil"/>
              <w:bottom w:val="nil"/>
              <w:right w:val="nil"/>
            </w:tcBorders>
            <w:shd w:val="clear" w:color="auto" w:fill="auto"/>
            <w:vAlign w:val="center"/>
            <w:hideMark/>
          </w:tcPr>
          <w:p w14:paraId="6B6BA244" w14:textId="77777777" w:rsidR="004E183F" w:rsidRPr="00CE2383" w:rsidRDefault="004E183F" w:rsidP="00AA2F1E">
            <w:pPr>
              <w:jc w:val="center"/>
              <w:rPr>
                <w:rFonts w:ascii="Arial" w:hAnsi="Arial" w:cs="Arial"/>
                <w:color w:val="000000"/>
              </w:rPr>
            </w:pPr>
            <w:r w:rsidRPr="00CE2383">
              <w:rPr>
                <w:rFonts w:ascii="Arial" w:hAnsi="Arial" w:cs="Arial"/>
                <w:color w:val="000000"/>
              </w:rPr>
              <w:t>22</w:t>
            </w:r>
          </w:p>
        </w:tc>
      </w:tr>
      <w:tr w:rsidR="004E183F" w:rsidRPr="00CE2383" w14:paraId="73B7C389" w14:textId="77777777" w:rsidTr="00AA2F1E">
        <w:trPr>
          <w:trHeight w:val="255"/>
          <w:jc w:val="center"/>
        </w:trPr>
        <w:tc>
          <w:tcPr>
            <w:tcW w:w="1139" w:type="dxa"/>
            <w:vMerge/>
            <w:tcBorders>
              <w:top w:val="nil"/>
              <w:left w:val="nil"/>
              <w:bottom w:val="single" w:sz="8" w:space="0" w:color="000000"/>
              <w:right w:val="nil"/>
            </w:tcBorders>
            <w:vAlign w:val="center"/>
            <w:hideMark/>
          </w:tcPr>
          <w:p w14:paraId="0FAFF9D8"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6D107A6E" w14:textId="77777777" w:rsidR="004E183F" w:rsidRPr="00CE2383" w:rsidRDefault="004E183F" w:rsidP="00AA2F1E">
            <w:pPr>
              <w:rPr>
                <w:rFonts w:ascii="Arial" w:hAnsi="Arial" w:cs="Arial"/>
                <w:color w:val="000000"/>
              </w:rPr>
            </w:pPr>
            <w:proofErr w:type="spellStart"/>
            <w:r w:rsidRPr="00CE2383">
              <w:rPr>
                <w:rFonts w:ascii="Arial" w:hAnsi="Arial" w:cs="Arial"/>
                <w:color w:val="000000"/>
              </w:rPr>
              <w:t>Yezin</w:t>
            </w:r>
            <w:proofErr w:type="spellEnd"/>
            <w:r w:rsidRPr="00CE2383">
              <w:rPr>
                <w:rFonts w:ascii="Arial" w:hAnsi="Arial" w:cs="Arial"/>
                <w:color w:val="000000"/>
              </w:rPr>
              <w:t xml:space="preserve"> 10</w:t>
            </w:r>
          </w:p>
        </w:tc>
        <w:tc>
          <w:tcPr>
            <w:tcW w:w="1172" w:type="dxa"/>
            <w:tcBorders>
              <w:top w:val="nil"/>
              <w:left w:val="nil"/>
              <w:bottom w:val="nil"/>
              <w:right w:val="nil"/>
            </w:tcBorders>
            <w:shd w:val="clear" w:color="auto" w:fill="auto"/>
            <w:vAlign w:val="center"/>
            <w:hideMark/>
          </w:tcPr>
          <w:p w14:paraId="2C35B92F" w14:textId="77777777" w:rsidR="004E183F" w:rsidRPr="00CE2383" w:rsidRDefault="004E183F" w:rsidP="00AA2F1E">
            <w:pPr>
              <w:jc w:val="center"/>
              <w:rPr>
                <w:rFonts w:ascii="Arial" w:hAnsi="Arial" w:cs="Arial"/>
                <w:color w:val="000000"/>
              </w:rPr>
            </w:pPr>
            <w:r w:rsidRPr="00CE2383">
              <w:rPr>
                <w:rFonts w:ascii="Arial" w:hAnsi="Arial" w:cs="Arial"/>
                <w:color w:val="000000"/>
              </w:rPr>
              <w:t>457</w:t>
            </w:r>
          </w:p>
        </w:tc>
        <w:tc>
          <w:tcPr>
            <w:tcW w:w="1010" w:type="dxa"/>
            <w:tcBorders>
              <w:top w:val="nil"/>
              <w:left w:val="nil"/>
              <w:bottom w:val="nil"/>
              <w:right w:val="nil"/>
            </w:tcBorders>
            <w:shd w:val="clear" w:color="auto" w:fill="auto"/>
            <w:vAlign w:val="center"/>
            <w:hideMark/>
          </w:tcPr>
          <w:p w14:paraId="240E1738" w14:textId="77777777" w:rsidR="004E183F" w:rsidRPr="00CE2383" w:rsidRDefault="004E183F" w:rsidP="00AA2F1E">
            <w:pPr>
              <w:jc w:val="center"/>
              <w:rPr>
                <w:rFonts w:ascii="Arial" w:hAnsi="Arial" w:cs="Arial"/>
                <w:color w:val="000000"/>
              </w:rPr>
            </w:pPr>
            <w:r w:rsidRPr="00CE2383">
              <w:rPr>
                <w:rFonts w:ascii="Arial" w:hAnsi="Arial" w:cs="Arial"/>
                <w:color w:val="000000"/>
              </w:rPr>
              <w:t>24</w:t>
            </w:r>
          </w:p>
        </w:tc>
        <w:tc>
          <w:tcPr>
            <w:tcW w:w="1008" w:type="dxa"/>
            <w:gridSpan w:val="2"/>
            <w:tcBorders>
              <w:top w:val="nil"/>
              <w:left w:val="nil"/>
              <w:bottom w:val="nil"/>
              <w:right w:val="nil"/>
            </w:tcBorders>
            <w:shd w:val="clear" w:color="auto" w:fill="auto"/>
            <w:vAlign w:val="center"/>
            <w:hideMark/>
          </w:tcPr>
          <w:p w14:paraId="4B9D7C56" w14:textId="77777777" w:rsidR="004E183F" w:rsidRPr="00CE2383" w:rsidRDefault="004E183F" w:rsidP="00AA2F1E">
            <w:pPr>
              <w:jc w:val="center"/>
              <w:rPr>
                <w:rFonts w:ascii="Arial" w:hAnsi="Arial" w:cs="Arial"/>
                <w:color w:val="000000"/>
              </w:rPr>
            </w:pPr>
            <w:r w:rsidRPr="00CE2383">
              <w:rPr>
                <w:rFonts w:ascii="Arial" w:hAnsi="Arial" w:cs="Arial"/>
                <w:color w:val="000000"/>
              </w:rPr>
              <w:t>24</w:t>
            </w:r>
          </w:p>
        </w:tc>
      </w:tr>
      <w:tr w:rsidR="004E183F" w:rsidRPr="00CE2383" w14:paraId="5DA5C9D4" w14:textId="77777777" w:rsidTr="00AA2F1E">
        <w:trPr>
          <w:trHeight w:val="255"/>
          <w:jc w:val="center"/>
        </w:trPr>
        <w:tc>
          <w:tcPr>
            <w:tcW w:w="1139" w:type="dxa"/>
            <w:vMerge/>
            <w:tcBorders>
              <w:top w:val="nil"/>
              <w:left w:val="nil"/>
              <w:bottom w:val="single" w:sz="8" w:space="0" w:color="000000"/>
              <w:right w:val="nil"/>
            </w:tcBorders>
            <w:vAlign w:val="center"/>
            <w:hideMark/>
          </w:tcPr>
          <w:p w14:paraId="6BD545DE"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6FE65373" w14:textId="77777777" w:rsidR="004E183F" w:rsidRPr="00CE2383" w:rsidRDefault="004E183F" w:rsidP="00AA2F1E">
            <w:pPr>
              <w:rPr>
                <w:rFonts w:ascii="Arial" w:hAnsi="Arial" w:cs="Arial"/>
                <w:color w:val="000000"/>
              </w:rPr>
            </w:pPr>
            <w:r w:rsidRPr="00CE2383">
              <w:rPr>
                <w:rFonts w:ascii="Arial" w:hAnsi="Arial" w:cs="Arial"/>
                <w:color w:val="000000"/>
              </w:rPr>
              <w:t>C7</w:t>
            </w:r>
          </w:p>
        </w:tc>
        <w:tc>
          <w:tcPr>
            <w:tcW w:w="1172" w:type="dxa"/>
            <w:tcBorders>
              <w:top w:val="nil"/>
              <w:left w:val="nil"/>
              <w:bottom w:val="nil"/>
              <w:right w:val="nil"/>
            </w:tcBorders>
            <w:shd w:val="clear" w:color="auto" w:fill="auto"/>
            <w:vAlign w:val="center"/>
            <w:hideMark/>
          </w:tcPr>
          <w:p w14:paraId="721C6214" w14:textId="77777777" w:rsidR="004E183F" w:rsidRPr="00CE2383" w:rsidRDefault="004E183F" w:rsidP="00AA2F1E">
            <w:pPr>
              <w:jc w:val="center"/>
              <w:rPr>
                <w:rFonts w:ascii="Arial" w:hAnsi="Arial" w:cs="Arial"/>
                <w:color w:val="000000"/>
              </w:rPr>
            </w:pPr>
            <w:r w:rsidRPr="00CE2383">
              <w:rPr>
                <w:rFonts w:ascii="Arial" w:hAnsi="Arial" w:cs="Arial"/>
                <w:color w:val="000000"/>
              </w:rPr>
              <w:t>461</w:t>
            </w:r>
          </w:p>
        </w:tc>
        <w:tc>
          <w:tcPr>
            <w:tcW w:w="1010" w:type="dxa"/>
            <w:tcBorders>
              <w:top w:val="nil"/>
              <w:left w:val="nil"/>
              <w:bottom w:val="nil"/>
              <w:right w:val="nil"/>
            </w:tcBorders>
            <w:shd w:val="clear" w:color="auto" w:fill="auto"/>
            <w:vAlign w:val="center"/>
            <w:hideMark/>
          </w:tcPr>
          <w:p w14:paraId="45EB8A7B" w14:textId="77777777" w:rsidR="004E183F" w:rsidRPr="00CE2383" w:rsidRDefault="004E183F" w:rsidP="00AA2F1E">
            <w:pPr>
              <w:jc w:val="center"/>
              <w:rPr>
                <w:rFonts w:ascii="Arial" w:hAnsi="Arial" w:cs="Arial"/>
                <w:color w:val="000000"/>
              </w:rPr>
            </w:pPr>
            <w:r w:rsidRPr="00CE2383">
              <w:rPr>
                <w:rFonts w:ascii="Arial" w:hAnsi="Arial" w:cs="Arial"/>
                <w:color w:val="000000"/>
              </w:rPr>
              <w:t>15</w:t>
            </w:r>
          </w:p>
        </w:tc>
        <w:tc>
          <w:tcPr>
            <w:tcW w:w="1008" w:type="dxa"/>
            <w:gridSpan w:val="2"/>
            <w:tcBorders>
              <w:top w:val="nil"/>
              <w:left w:val="nil"/>
              <w:bottom w:val="nil"/>
              <w:right w:val="nil"/>
            </w:tcBorders>
            <w:shd w:val="clear" w:color="auto" w:fill="auto"/>
            <w:vAlign w:val="center"/>
            <w:hideMark/>
          </w:tcPr>
          <w:p w14:paraId="782C7C34" w14:textId="77777777" w:rsidR="004E183F" w:rsidRPr="00CE2383" w:rsidRDefault="004E183F" w:rsidP="00AA2F1E">
            <w:pPr>
              <w:jc w:val="center"/>
              <w:rPr>
                <w:rFonts w:ascii="Arial" w:hAnsi="Arial" w:cs="Arial"/>
                <w:color w:val="000000"/>
              </w:rPr>
            </w:pPr>
            <w:r w:rsidRPr="00CE2383">
              <w:rPr>
                <w:rFonts w:ascii="Arial" w:hAnsi="Arial" w:cs="Arial"/>
                <w:color w:val="000000"/>
              </w:rPr>
              <w:t>19</w:t>
            </w:r>
          </w:p>
        </w:tc>
      </w:tr>
      <w:tr w:rsidR="004E183F" w:rsidRPr="00CE2383" w14:paraId="686C0046" w14:textId="77777777" w:rsidTr="00AA2F1E">
        <w:trPr>
          <w:trHeight w:val="255"/>
          <w:jc w:val="center"/>
        </w:trPr>
        <w:tc>
          <w:tcPr>
            <w:tcW w:w="1139" w:type="dxa"/>
            <w:vMerge/>
            <w:tcBorders>
              <w:top w:val="nil"/>
              <w:left w:val="nil"/>
              <w:bottom w:val="single" w:sz="8" w:space="0" w:color="000000"/>
              <w:right w:val="nil"/>
            </w:tcBorders>
            <w:vAlign w:val="center"/>
            <w:hideMark/>
          </w:tcPr>
          <w:p w14:paraId="3C3CBC6F" w14:textId="77777777" w:rsidR="004E183F" w:rsidRPr="00CE2383" w:rsidRDefault="004E183F" w:rsidP="00AA2F1E">
            <w:pPr>
              <w:rPr>
                <w:rFonts w:ascii="Arial" w:hAnsi="Arial" w:cs="Arial"/>
                <w:b/>
                <w:bCs/>
                <w:color w:val="000000"/>
              </w:rPr>
            </w:pPr>
          </w:p>
        </w:tc>
        <w:tc>
          <w:tcPr>
            <w:tcW w:w="3888" w:type="dxa"/>
            <w:tcBorders>
              <w:top w:val="nil"/>
              <w:left w:val="nil"/>
              <w:bottom w:val="nil"/>
              <w:right w:val="nil"/>
            </w:tcBorders>
            <w:shd w:val="clear" w:color="auto" w:fill="auto"/>
            <w:vAlign w:val="center"/>
            <w:hideMark/>
          </w:tcPr>
          <w:p w14:paraId="0115AFD1" w14:textId="77777777" w:rsidR="004E183F" w:rsidRPr="00CE2383" w:rsidRDefault="004E183F" w:rsidP="00AA2F1E">
            <w:pPr>
              <w:rPr>
                <w:rFonts w:ascii="Arial" w:hAnsi="Arial" w:cs="Arial"/>
                <w:color w:val="000000"/>
              </w:rPr>
            </w:pPr>
            <w:r w:rsidRPr="00CE2383">
              <w:rPr>
                <w:rFonts w:ascii="Arial" w:hAnsi="Arial" w:cs="Arial"/>
                <w:color w:val="000000"/>
              </w:rPr>
              <w:t>C2</w:t>
            </w:r>
          </w:p>
        </w:tc>
        <w:tc>
          <w:tcPr>
            <w:tcW w:w="1172" w:type="dxa"/>
            <w:tcBorders>
              <w:top w:val="nil"/>
              <w:left w:val="nil"/>
              <w:bottom w:val="nil"/>
              <w:right w:val="nil"/>
            </w:tcBorders>
            <w:shd w:val="clear" w:color="auto" w:fill="auto"/>
            <w:vAlign w:val="center"/>
            <w:hideMark/>
          </w:tcPr>
          <w:p w14:paraId="38068EF6" w14:textId="77777777" w:rsidR="004E183F" w:rsidRPr="00CE2383" w:rsidRDefault="004E183F" w:rsidP="00AA2F1E">
            <w:pPr>
              <w:jc w:val="center"/>
              <w:rPr>
                <w:rFonts w:ascii="Arial" w:hAnsi="Arial" w:cs="Arial"/>
                <w:color w:val="000000"/>
              </w:rPr>
            </w:pPr>
            <w:r w:rsidRPr="00CE2383">
              <w:rPr>
                <w:rFonts w:ascii="Arial" w:hAnsi="Arial" w:cs="Arial"/>
                <w:color w:val="000000"/>
              </w:rPr>
              <w:t>402</w:t>
            </w:r>
          </w:p>
        </w:tc>
        <w:tc>
          <w:tcPr>
            <w:tcW w:w="1010" w:type="dxa"/>
            <w:tcBorders>
              <w:top w:val="nil"/>
              <w:left w:val="nil"/>
              <w:bottom w:val="nil"/>
              <w:right w:val="nil"/>
            </w:tcBorders>
            <w:shd w:val="clear" w:color="auto" w:fill="auto"/>
            <w:vAlign w:val="center"/>
            <w:hideMark/>
          </w:tcPr>
          <w:p w14:paraId="6EA74962" w14:textId="77777777" w:rsidR="004E183F" w:rsidRPr="00CE2383" w:rsidRDefault="004E183F" w:rsidP="00AA2F1E">
            <w:pPr>
              <w:jc w:val="center"/>
              <w:rPr>
                <w:rFonts w:ascii="Arial" w:hAnsi="Arial" w:cs="Arial"/>
                <w:color w:val="000000"/>
              </w:rPr>
            </w:pPr>
            <w:r w:rsidRPr="00CE2383">
              <w:rPr>
                <w:rFonts w:ascii="Arial" w:hAnsi="Arial" w:cs="Arial"/>
                <w:color w:val="000000"/>
              </w:rPr>
              <w:t>15</w:t>
            </w:r>
          </w:p>
        </w:tc>
        <w:tc>
          <w:tcPr>
            <w:tcW w:w="1008" w:type="dxa"/>
            <w:gridSpan w:val="2"/>
            <w:tcBorders>
              <w:top w:val="nil"/>
              <w:left w:val="nil"/>
              <w:bottom w:val="nil"/>
              <w:right w:val="nil"/>
            </w:tcBorders>
            <w:shd w:val="clear" w:color="auto" w:fill="auto"/>
            <w:vAlign w:val="center"/>
            <w:hideMark/>
          </w:tcPr>
          <w:p w14:paraId="22B72DFD" w14:textId="77777777" w:rsidR="004E183F" w:rsidRPr="00CE2383" w:rsidRDefault="004E183F" w:rsidP="00AA2F1E">
            <w:pPr>
              <w:jc w:val="center"/>
              <w:rPr>
                <w:rFonts w:ascii="Arial" w:hAnsi="Arial" w:cs="Arial"/>
                <w:color w:val="000000"/>
              </w:rPr>
            </w:pPr>
            <w:r w:rsidRPr="00CE2383">
              <w:rPr>
                <w:rFonts w:ascii="Arial" w:hAnsi="Arial" w:cs="Arial"/>
                <w:color w:val="000000"/>
              </w:rPr>
              <w:t>8</w:t>
            </w:r>
          </w:p>
        </w:tc>
      </w:tr>
      <w:tr w:rsidR="004E183F" w:rsidRPr="00CE2383" w14:paraId="72B09C4D" w14:textId="77777777" w:rsidTr="00AA2F1E">
        <w:trPr>
          <w:trHeight w:val="270"/>
          <w:jc w:val="center"/>
        </w:trPr>
        <w:tc>
          <w:tcPr>
            <w:tcW w:w="1139" w:type="dxa"/>
            <w:vMerge/>
            <w:tcBorders>
              <w:top w:val="nil"/>
              <w:left w:val="nil"/>
              <w:bottom w:val="single" w:sz="8" w:space="0" w:color="000000"/>
              <w:right w:val="nil"/>
            </w:tcBorders>
            <w:vAlign w:val="center"/>
            <w:hideMark/>
          </w:tcPr>
          <w:p w14:paraId="12537492" w14:textId="77777777" w:rsidR="004E183F" w:rsidRPr="00CE2383" w:rsidRDefault="004E183F" w:rsidP="00AA2F1E">
            <w:pPr>
              <w:rPr>
                <w:rFonts w:ascii="Arial" w:hAnsi="Arial" w:cs="Arial"/>
                <w:b/>
                <w:bCs/>
                <w:color w:val="000000"/>
              </w:rPr>
            </w:pPr>
          </w:p>
        </w:tc>
        <w:tc>
          <w:tcPr>
            <w:tcW w:w="3888" w:type="dxa"/>
            <w:tcBorders>
              <w:top w:val="nil"/>
              <w:left w:val="nil"/>
              <w:bottom w:val="single" w:sz="8" w:space="0" w:color="auto"/>
              <w:right w:val="nil"/>
            </w:tcBorders>
            <w:shd w:val="clear" w:color="auto" w:fill="auto"/>
            <w:vAlign w:val="center"/>
            <w:hideMark/>
          </w:tcPr>
          <w:p w14:paraId="26ABB12C" w14:textId="77777777" w:rsidR="004E183F" w:rsidRPr="00CE2383" w:rsidRDefault="004E183F" w:rsidP="00AA2F1E">
            <w:pPr>
              <w:rPr>
                <w:rFonts w:ascii="Arial" w:hAnsi="Arial" w:cs="Arial"/>
                <w:color w:val="000000"/>
              </w:rPr>
            </w:pPr>
            <w:r w:rsidRPr="00CE2383">
              <w:rPr>
                <w:rFonts w:ascii="Arial" w:hAnsi="Arial" w:cs="Arial"/>
                <w:color w:val="000000"/>
              </w:rPr>
              <w:t>D6</w:t>
            </w:r>
          </w:p>
        </w:tc>
        <w:tc>
          <w:tcPr>
            <w:tcW w:w="1172" w:type="dxa"/>
            <w:tcBorders>
              <w:top w:val="nil"/>
              <w:left w:val="nil"/>
              <w:bottom w:val="single" w:sz="8" w:space="0" w:color="auto"/>
              <w:right w:val="nil"/>
            </w:tcBorders>
            <w:shd w:val="clear" w:color="auto" w:fill="auto"/>
            <w:vAlign w:val="center"/>
            <w:hideMark/>
          </w:tcPr>
          <w:p w14:paraId="23B8BE4D" w14:textId="77777777" w:rsidR="004E183F" w:rsidRPr="00CE2383" w:rsidRDefault="004E183F" w:rsidP="00AA2F1E">
            <w:pPr>
              <w:jc w:val="center"/>
              <w:rPr>
                <w:rFonts w:ascii="Arial" w:hAnsi="Arial" w:cs="Arial"/>
                <w:color w:val="000000"/>
              </w:rPr>
            </w:pPr>
            <w:r w:rsidRPr="00CE2383">
              <w:rPr>
                <w:rFonts w:ascii="Arial" w:hAnsi="Arial" w:cs="Arial"/>
                <w:color w:val="000000"/>
              </w:rPr>
              <w:t>386</w:t>
            </w:r>
          </w:p>
        </w:tc>
        <w:tc>
          <w:tcPr>
            <w:tcW w:w="1010" w:type="dxa"/>
            <w:tcBorders>
              <w:top w:val="nil"/>
              <w:left w:val="nil"/>
              <w:bottom w:val="single" w:sz="8" w:space="0" w:color="auto"/>
              <w:right w:val="nil"/>
            </w:tcBorders>
            <w:shd w:val="clear" w:color="auto" w:fill="auto"/>
            <w:vAlign w:val="center"/>
            <w:hideMark/>
          </w:tcPr>
          <w:p w14:paraId="0169573C" w14:textId="77777777" w:rsidR="004E183F" w:rsidRPr="00CE2383" w:rsidRDefault="004E183F" w:rsidP="00AA2F1E">
            <w:pPr>
              <w:jc w:val="center"/>
              <w:rPr>
                <w:rFonts w:ascii="Arial" w:hAnsi="Arial" w:cs="Arial"/>
                <w:color w:val="000000"/>
              </w:rPr>
            </w:pPr>
            <w:r w:rsidRPr="00CE2383">
              <w:rPr>
                <w:rFonts w:ascii="Arial" w:hAnsi="Arial" w:cs="Arial"/>
                <w:color w:val="000000"/>
              </w:rPr>
              <w:t>41</w:t>
            </w:r>
          </w:p>
        </w:tc>
        <w:tc>
          <w:tcPr>
            <w:tcW w:w="1008" w:type="dxa"/>
            <w:gridSpan w:val="2"/>
            <w:tcBorders>
              <w:top w:val="nil"/>
              <w:left w:val="nil"/>
              <w:bottom w:val="single" w:sz="8" w:space="0" w:color="auto"/>
              <w:right w:val="nil"/>
            </w:tcBorders>
            <w:shd w:val="clear" w:color="auto" w:fill="auto"/>
            <w:vAlign w:val="center"/>
            <w:hideMark/>
          </w:tcPr>
          <w:p w14:paraId="4144424F" w14:textId="77777777" w:rsidR="004E183F" w:rsidRPr="00CE2383" w:rsidRDefault="004E183F" w:rsidP="00AA2F1E">
            <w:pPr>
              <w:jc w:val="center"/>
              <w:rPr>
                <w:rFonts w:ascii="Arial" w:hAnsi="Arial" w:cs="Arial"/>
                <w:color w:val="000000"/>
              </w:rPr>
            </w:pPr>
            <w:r w:rsidRPr="00CE2383">
              <w:rPr>
                <w:rFonts w:ascii="Arial" w:hAnsi="Arial" w:cs="Arial"/>
                <w:color w:val="000000"/>
              </w:rPr>
              <w:t>8</w:t>
            </w:r>
          </w:p>
        </w:tc>
      </w:tr>
    </w:tbl>
    <w:p w14:paraId="7C6925D6" w14:textId="77777777" w:rsidR="004E183F" w:rsidRPr="006814F3" w:rsidRDefault="004E183F" w:rsidP="004E183F">
      <w:pPr>
        <w:spacing w:after="160" w:line="278" w:lineRule="auto"/>
        <w:ind w:left="810" w:hanging="810"/>
        <w:jc w:val="both"/>
        <w:rPr>
          <w:rFonts w:ascii="Arial" w:hAnsi="Arial" w:cs="Arial"/>
          <w:b/>
          <w:bCs/>
          <w:iCs/>
        </w:rPr>
      </w:pPr>
      <w:r w:rsidRPr="00CE2383">
        <w:rPr>
          <w:rFonts w:ascii="Arial" w:hAnsi="Arial" w:cs="Arial"/>
          <w:b/>
          <w:bCs/>
          <w:iCs/>
        </w:rPr>
        <w:t>Chi-square statistic: 65.84, P-value: &lt; 0.0001</w:t>
      </w:r>
    </w:p>
    <w:p w14:paraId="68DD8A49" w14:textId="77777777" w:rsidR="004E183F" w:rsidRPr="006814F3" w:rsidRDefault="004E183F" w:rsidP="004E183F">
      <w:pPr>
        <w:spacing w:line="278" w:lineRule="auto"/>
        <w:ind w:left="990" w:hanging="990"/>
        <w:jc w:val="both"/>
        <w:rPr>
          <w:rFonts w:ascii="Arial" w:hAnsi="Arial" w:cs="Arial"/>
          <w:b/>
          <w:bCs/>
          <w:iCs/>
        </w:rPr>
      </w:pPr>
    </w:p>
    <w:p w14:paraId="160F02FD" w14:textId="77777777" w:rsidR="004E183F" w:rsidRPr="00CE2383" w:rsidRDefault="004E183F" w:rsidP="004E183F">
      <w:pPr>
        <w:spacing w:after="160" w:line="278" w:lineRule="auto"/>
        <w:jc w:val="both"/>
        <w:rPr>
          <w:rFonts w:ascii="Arial" w:hAnsi="Arial" w:cs="Arial"/>
          <w:b/>
          <w:bCs/>
          <w:iCs/>
        </w:rPr>
      </w:pPr>
      <w:r w:rsidRPr="00CE2383">
        <w:rPr>
          <w:rFonts w:ascii="Arial" w:hAnsi="Arial" w:cs="Arial"/>
          <w:b/>
          <w:bCs/>
          <w:iCs/>
        </w:rPr>
        <w:t>4. CONCLUSION</w:t>
      </w:r>
    </w:p>
    <w:p w14:paraId="58F27009" w14:textId="77777777" w:rsidR="004E183F" w:rsidRPr="00CE2383" w:rsidRDefault="004E183F" w:rsidP="004E183F">
      <w:pPr>
        <w:spacing w:after="160" w:line="278" w:lineRule="auto"/>
        <w:ind w:firstLine="720"/>
        <w:jc w:val="both"/>
        <w:rPr>
          <w:rFonts w:ascii="Arial" w:hAnsi="Arial" w:cs="Arial"/>
          <w:iCs/>
        </w:rPr>
      </w:pPr>
      <w:r w:rsidRPr="00CE2383">
        <w:rPr>
          <w:rFonts w:ascii="Arial" w:hAnsi="Arial" w:cs="Arial"/>
          <w:iCs/>
        </w:rPr>
        <w:t xml:space="preserve">This study underlines that the success of maize anther culture is critically dependent on both genotype and the precise composition of plant growth regulators (PGRs) in the induction medium. Genotypes </w:t>
      </w:r>
      <w:proofErr w:type="spellStart"/>
      <w:r w:rsidRPr="00CE2383">
        <w:rPr>
          <w:rFonts w:ascii="Arial" w:hAnsi="Arial" w:cs="Arial"/>
          <w:iCs/>
        </w:rPr>
        <w:t>Yezin</w:t>
      </w:r>
      <w:proofErr w:type="spellEnd"/>
      <w:r w:rsidRPr="00CE2383">
        <w:rPr>
          <w:rFonts w:ascii="Arial" w:hAnsi="Arial" w:cs="Arial"/>
          <w:iCs/>
        </w:rPr>
        <w:t xml:space="preserve"> 14, C7, and D6 consistently exhibited higher frequencies of microspores at the late uninucleate stage</w:t>
      </w:r>
      <w:r>
        <w:rPr>
          <w:rFonts w:ascii="Arial" w:hAnsi="Arial" w:cs="Arial"/>
          <w:iCs/>
        </w:rPr>
        <w:t xml:space="preserve"> </w:t>
      </w:r>
      <w:r w:rsidRPr="00CE2383">
        <w:rPr>
          <w:rFonts w:ascii="Arial" w:hAnsi="Arial" w:cs="Arial"/>
          <w:iCs/>
        </w:rPr>
        <w:t>the optimal phase for androgenesis</w:t>
      </w:r>
      <w:r>
        <w:rPr>
          <w:rFonts w:ascii="Arial" w:hAnsi="Arial" w:cs="Arial"/>
          <w:iCs/>
        </w:rPr>
        <w:t xml:space="preserve"> </w:t>
      </w:r>
      <w:r w:rsidRPr="00CE2383">
        <w:rPr>
          <w:rFonts w:ascii="Arial" w:hAnsi="Arial" w:cs="Arial"/>
          <w:iCs/>
        </w:rPr>
        <w:t xml:space="preserve">resulting in more rapid and robust callus induction compared to less responsive genotypes such as C2 and </w:t>
      </w:r>
      <w:proofErr w:type="spellStart"/>
      <w:r w:rsidRPr="00CE2383">
        <w:rPr>
          <w:rFonts w:ascii="Arial" w:hAnsi="Arial" w:cs="Arial"/>
          <w:iCs/>
        </w:rPr>
        <w:t>Yezin</w:t>
      </w:r>
      <w:proofErr w:type="spellEnd"/>
      <w:r w:rsidRPr="00CE2383">
        <w:rPr>
          <w:rFonts w:ascii="Arial" w:hAnsi="Arial" w:cs="Arial"/>
          <w:iCs/>
        </w:rPr>
        <w:t xml:space="preserve"> 10. Notably, </w:t>
      </w:r>
      <w:proofErr w:type="spellStart"/>
      <w:r w:rsidRPr="00CE2383">
        <w:rPr>
          <w:rFonts w:ascii="Arial" w:hAnsi="Arial" w:cs="Arial"/>
          <w:iCs/>
        </w:rPr>
        <w:t>Yezin</w:t>
      </w:r>
      <w:proofErr w:type="spellEnd"/>
      <w:r w:rsidRPr="00CE2383">
        <w:rPr>
          <w:rFonts w:ascii="Arial" w:hAnsi="Arial" w:cs="Arial"/>
          <w:iCs/>
        </w:rPr>
        <w:t xml:space="preserve"> 14 and D6 displayed the highest callus induction rates when cultured on media supplemented with balanced auxin–cytokinin combinations, particularly 2,4-D and kinetin, highlighting the crucial interplay between genetic background and hormonal regulation in in vitro androgenesis.</w:t>
      </w:r>
    </w:p>
    <w:p w14:paraId="67C0F816" w14:textId="77777777" w:rsidR="004E183F" w:rsidRPr="00CE2383" w:rsidRDefault="004E183F" w:rsidP="004E183F">
      <w:pPr>
        <w:spacing w:after="160" w:line="278" w:lineRule="auto"/>
        <w:ind w:firstLine="720"/>
        <w:jc w:val="both"/>
        <w:rPr>
          <w:rFonts w:ascii="Arial" w:hAnsi="Arial" w:cs="Arial"/>
          <w:iCs/>
        </w:rPr>
      </w:pPr>
      <w:r w:rsidRPr="00CE2383">
        <w:rPr>
          <w:rFonts w:ascii="Arial" w:hAnsi="Arial" w:cs="Arial"/>
          <w:iCs/>
        </w:rPr>
        <w:t>The most effective PGR combination was identified as 2.0 mg L</w:t>
      </w:r>
      <w:r w:rsidRPr="00CE2383">
        <w:rPr>
          <w:rFonts w:ascii="Cambria Math" w:hAnsi="Cambria Math" w:cs="Cambria Math"/>
          <w:iCs/>
        </w:rPr>
        <w:t>⁻</w:t>
      </w:r>
      <w:r w:rsidRPr="00CE2383">
        <w:rPr>
          <w:rFonts w:ascii="Arial" w:hAnsi="Arial" w:cs="Arial"/>
          <w:iCs/>
        </w:rPr>
        <w:t>¹ 2,4-dichlorophenoxyacetic acid (2,4-D) paired with 1.5 mg L</w:t>
      </w:r>
      <w:r w:rsidRPr="00CE2383">
        <w:rPr>
          <w:rFonts w:ascii="Cambria Math" w:hAnsi="Cambria Math" w:cs="Cambria Math"/>
          <w:iCs/>
        </w:rPr>
        <w:t>⁻</w:t>
      </w:r>
      <w:r w:rsidRPr="00CE2383">
        <w:rPr>
          <w:rFonts w:ascii="Arial" w:hAnsi="Arial" w:cs="Arial"/>
          <w:iCs/>
        </w:rPr>
        <w:t xml:space="preserve">¹ kinetin, with </w:t>
      </w:r>
      <w:proofErr w:type="spellStart"/>
      <w:r w:rsidRPr="00CE2383">
        <w:rPr>
          <w:rFonts w:ascii="Arial" w:hAnsi="Arial" w:cs="Arial"/>
          <w:iCs/>
        </w:rPr>
        <w:t>Yezin</w:t>
      </w:r>
      <w:proofErr w:type="spellEnd"/>
      <w:r w:rsidRPr="00CE2383">
        <w:rPr>
          <w:rFonts w:ascii="Arial" w:hAnsi="Arial" w:cs="Arial"/>
          <w:iCs/>
        </w:rPr>
        <w:t xml:space="preserve"> 14 showing the greatest responsiveness. Although 0.1–0.15 mg L</w:t>
      </w:r>
      <w:r w:rsidRPr="00CE2383">
        <w:rPr>
          <w:rFonts w:ascii="Cambria Math" w:hAnsi="Cambria Math" w:cs="Cambria Math"/>
          <w:iCs/>
        </w:rPr>
        <w:t>⁻</w:t>
      </w:r>
      <w:r w:rsidRPr="00CE2383">
        <w:rPr>
          <w:rFonts w:ascii="Arial" w:hAnsi="Arial" w:cs="Arial"/>
          <w:iCs/>
        </w:rPr>
        <w:t xml:space="preserve">¹ 2,3,5-triiodobenzoic acid (TIBA) also </w:t>
      </w:r>
      <w:r w:rsidRPr="00CE2383">
        <w:rPr>
          <w:rFonts w:ascii="Arial" w:hAnsi="Arial" w:cs="Arial"/>
          <w:iCs/>
        </w:rPr>
        <w:lastRenderedPageBreak/>
        <w:t>induced callus formation, its effects were inconsistent and often associated with undesirable watery callus morphology.</w:t>
      </w:r>
    </w:p>
    <w:p w14:paraId="335E8F9E" w14:textId="71BE8E51" w:rsidR="00863BD3" w:rsidRPr="00DC3180" w:rsidRDefault="004E183F" w:rsidP="00997E1A">
      <w:pPr>
        <w:ind w:firstLine="720"/>
        <w:jc w:val="both"/>
        <w:rPr>
          <w:rFonts w:ascii="Arial" w:hAnsi="Arial"/>
          <w:b/>
        </w:rPr>
      </w:pPr>
      <w:r w:rsidRPr="00CE2383">
        <w:rPr>
          <w:rFonts w:ascii="Arial" w:hAnsi="Arial" w:cs="Arial"/>
          <w:iCs/>
        </w:rPr>
        <w:t>Overall, genotype emerged as the predominant factor influencing callus induction, although PGR type and concentration, as well as basal medium composition, exerted significant modulatory effects. These findings support the integration of genotype selection with optimized medium formulations and PGR regimes to enhance haploid induction efficiency in maize breeding programs.</w:t>
      </w:r>
    </w:p>
    <w:p w14:paraId="0D95E1A1" w14:textId="77777777" w:rsidR="00E053D0" w:rsidRDefault="00E053D0" w:rsidP="00441B6F">
      <w:pPr>
        <w:pStyle w:val="Body"/>
        <w:spacing w:after="0"/>
        <w:rPr>
          <w:rFonts w:ascii="Arial" w:hAnsi="Arial" w:cs="Arial"/>
        </w:rPr>
      </w:pPr>
    </w:p>
    <w:p w14:paraId="49825CAD" w14:textId="77777777" w:rsidR="00997E1A" w:rsidRPr="00C21AA0" w:rsidRDefault="00997E1A" w:rsidP="00997E1A">
      <w:pPr>
        <w:pStyle w:val="Body"/>
        <w:spacing w:after="0"/>
        <w:rPr>
          <w:rFonts w:ascii="Arial" w:hAnsi="Arial" w:cs="Arial"/>
        </w:rPr>
      </w:pPr>
    </w:p>
    <w:p w14:paraId="0AC2725B" w14:textId="1E4230B1" w:rsidR="00C21AA0" w:rsidRDefault="00B01FCD" w:rsidP="00441B6F">
      <w:pPr>
        <w:pStyle w:val="ReferHead"/>
        <w:spacing w:after="0"/>
        <w:jc w:val="both"/>
        <w:rPr>
          <w:rFonts w:ascii="Arial" w:hAnsi="Arial" w:cs="Arial"/>
        </w:rPr>
      </w:pPr>
      <w:r w:rsidRPr="00FB3A86">
        <w:rPr>
          <w:rFonts w:ascii="Arial" w:hAnsi="Arial" w:cs="Arial"/>
        </w:rPr>
        <w:t>References</w:t>
      </w:r>
    </w:p>
    <w:p w14:paraId="6BC3AB73" w14:textId="77777777" w:rsidR="00C21AA0" w:rsidRDefault="00C21AA0" w:rsidP="00C21AA0">
      <w:pPr>
        <w:spacing w:line="360" w:lineRule="auto"/>
        <w:ind w:left="720" w:hanging="720"/>
        <w:jc w:val="both"/>
        <w:rPr>
          <w:rFonts w:ascii="Arial" w:hAnsi="Arial" w:cs="Arial"/>
        </w:rPr>
      </w:pPr>
      <w:r w:rsidRPr="003670CF">
        <w:rPr>
          <w:rFonts w:ascii="Arial" w:hAnsi="Arial" w:cs="Arial"/>
        </w:rPr>
        <w:t xml:space="preserve">Barnabás, B. (2003). </w:t>
      </w:r>
      <w:proofErr w:type="spellStart"/>
      <w:r w:rsidRPr="003670CF">
        <w:rPr>
          <w:rFonts w:ascii="Arial" w:hAnsi="Arial" w:cs="Arial"/>
        </w:rPr>
        <w:t>Anther</w:t>
      </w:r>
      <w:proofErr w:type="spellEnd"/>
      <w:r w:rsidRPr="003670CF">
        <w:rPr>
          <w:rFonts w:ascii="Arial" w:hAnsi="Arial" w:cs="Arial"/>
        </w:rPr>
        <w:t xml:space="preserve"> culture of maize (</w:t>
      </w:r>
      <w:proofErr w:type="spellStart"/>
      <w:r w:rsidRPr="003670CF">
        <w:rPr>
          <w:rFonts w:ascii="Arial" w:hAnsi="Arial" w:cs="Arial"/>
        </w:rPr>
        <w:t>Zea</w:t>
      </w:r>
      <w:proofErr w:type="spellEnd"/>
      <w:r w:rsidRPr="003670CF">
        <w:rPr>
          <w:rFonts w:ascii="Arial" w:hAnsi="Arial" w:cs="Arial"/>
        </w:rPr>
        <w:t xml:space="preserve"> mays L.). In Doubled haploid production in crop plants: a manual (pp. 103-108). Dordrecht: Springer Netherlands.</w:t>
      </w:r>
    </w:p>
    <w:p w14:paraId="4C954FD1"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Bhowmik, S. K. (2011). Plant regeneration and production of doubled haploids in maize through </w:t>
      </w:r>
      <w:proofErr w:type="spellStart"/>
      <w:r w:rsidRPr="008072A5">
        <w:rPr>
          <w:rFonts w:ascii="Arial" w:hAnsi="Arial" w:cs="Arial"/>
        </w:rPr>
        <w:t>anther</w:t>
      </w:r>
      <w:proofErr w:type="spellEnd"/>
      <w:r w:rsidRPr="008072A5">
        <w:rPr>
          <w:rFonts w:ascii="Arial" w:hAnsi="Arial" w:cs="Arial"/>
        </w:rPr>
        <w:t xml:space="preserve"> culture. Plant Tissue Culture &amp; Biotechnology, 21(1), 71–79.</w:t>
      </w:r>
    </w:p>
    <w:p w14:paraId="1723D447" w14:textId="77777777" w:rsidR="00C21AA0" w:rsidRDefault="00C21AA0" w:rsidP="00C21AA0">
      <w:pPr>
        <w:spacing w:line="360" w:lineRule="auto"/>
        <w:ind w:left="720" w:hanging="720"/>
        <w:jc w:val="both"/>
        <w:rPr>
          <w:rFonts w:ascii="Arial" w:hAnsi="Arial" w:cs="Arial"/>
        </w:rPr>
      </w:pPr>
      <w:r w:rsidRPr="00090086">
        <w:rPr>
          <w:rFonts w:ascii="Arial" w:hAnsi="Arial" w:cs="Arial"/>
        </w:rPr>
        <w:t xml:space="preserve">Fehér, A. (2015). Somatic embryogenesis — Stress-induced remodeling of plant cell fate. </w:t>
      </w:r>
      <w:proofErr w:type="spellStart"/>
      <w:r w:rsidRPr="00090086">
        <w:rPr>
          <w:rFonts w:ascii="Arial" w:hAnsi="Arial" w:cs="Arial"/>
        </w:rPr>
        <w:t>Biochimica</w:t>
      </w:r>
      <w:proofErr w:type="spellEnd"/>
      <w:r w:rsidRPr="00090086">
        <w:rPr>
          <w:rFonts w:ascii="Arial" w:hAnsi="Arial" w:cs="Arial"/>
        </w:rPr>
        <w:t xml:space="preserve"> et </w:t>
      </w:r>
      <w:proofErr w:type="spellStart"/>
      <w:r w:rsidRPr="00090086">
        <w:rPr>
          <w:rFonts w:ascii="Arial" w:hAnsi="Arial" w:cs="Arial"/>
        </w:rPr>
        <w:t>Biophysica</w:t>
      </w:r>
      <w:proofErr w:type="spellEnd"/>
      <w:r w:rsidRPr="00090086">
        <w:rPr>
          <w:rFonts w:ascii="Arial" w:hAnsi="Arial" w:cs="Arial"/>
        </w:rPr>
        <w:t xml:space="preserve"> </w:t>
      </w:r>
      <w:proofErr w:type="spellStart"/>
      <w:r w:rsidRPr="00090086">
        <w:rPr>
          <w:rFonts w:ascii="Arial" w:hAnsi="Arial" w:cs="Arial"/>
        </w:rPr>
        <w:t>Acta</w:t>
      </w:r>
      <w:proofErr w:type="spellEnd"/>
      <w:r w:rsidRPr="00090086">
        <w:rPr>
          <w:rFonts w:ascii="Arial" w:hAnsi="Arial" w:cs="Arial"/>
        </w:rPr>
        <w:t xml:space="preserve"> (BBA) - Gene Regulatory Mechanisms, 1849(4), 385–402. </w:t>
      </w:r>
      <w:hyperlink r:id="rId20" w:history="1">
        <w:r w:rsidRPr="009557BA">
          <w:rPr>
            <w:rStyle w:val="Hyperlink"/>
            <w:rFonts w:ascii="Arial" w:hAnsi="Arial" w:cs="Arial"/>
          </w:rPr>
          <w:t>https://doi.org/10.1016/j.bbagrm.2014.07.005</w:t>
        </w:r>
      </w:hyperlink>
    </w:p>
    <w:p w14:paraId="549368FB"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Gaspar, T., </w:t>
      </w:r>
      <w:proofErr w:type="spellStart"/>
      <w:r w:rsidRPr="008072A5">
        <w:rPr>
          <w:rFonts w:ascii="Arial" w:hAnsi="Arial" w:cs="Arial"/>
        </w:rPr>
        <w:t>Kevers</w:t>
      </w:r>
      <w:proofErr w:type="spellEnd"/>
      <w:r w:rsidRPr="008072A5">
        <w:rPr>
          <w:rFonts w:ascii="Arial" w:hAnsi="Arial" w:cs="Arial"/>
        </w:rPr>
        <w:t xml:space="preserve">, C., Penel, C., </w:t>
      </w:r>
      <w:proofErr w:type="spellStart"/>
      <w:r w:rsidRPr="008072A5">
        <w:rPr>
          <w:rFonts w:ascii="Arial" w:hAnsi="Arial" w:cs="Arial"/>
        </w:rPr>
        <w:t>Greppin</w:t>
      </w:r>
      <w:proofErr w:type="spellEnd"/>
      <w:r w:rsidRPr="008072A5">
        <w:rPr>
          <w:rFonts w:ascii="Arial" w:hAnsi="Arial" w:cs="Arial"/>
        </w:rPr>
        <w:t>, H., Reid, D. M., &amp; Thorpe, T. A. (1996). Thiamine and plant growth. Plant Cell, Tissue and Organ Culture, 45(1), 1-13.</w:t>
      </w:r>
    </w:p>
    <w:p w14:paraId="362F4013" w14:textId="77777777" w:rsidR="00C21AA0" w:rsidRDefault="00C21AA0" w:rsidP="00C21AA0">
      <w:pPr>
        <w:spacing w:line="360" w:lineRule="auto"/>
        <w:ind w:left="720" w:hanging="720"/>
        <w:jc w:val="both"/>
        <w:rPr>
          <w:rFonts w:ascii="Arial" w:hAnsi="Arial" w:cs="Arial"/>
        </w:rPr>
      </w:pPr>
      <w:r w:rsidRPr="003670CF">
        <w:rPr>
          <w:rFonts w:ascii="Arial" w:hAnsi="Arial" w:cs="Arial"/>
        </w:rPr>
        <w:t>Genovesi, A. D., &amp; Collins, G. B. (1982). In vitro production of haploid plants of corn via anther culture. Crop Science, 22(5), 1133-1140.</w:t>
      </w:r>
    </w:p>
    <w:p w14:paraId="4DB9D90A" w14:textId="77777777" w:rsidR="00C21AA0" w:rsidRDefault="00C21AA0" w:rsidP="00C21AA0">
      <w:pPr>
        <w:spacing w:line="360" w:lineRule="auto"/>
        <w:ind w:left="720" w:hanging="720"/>
        <w:jc w:val="both"/>
        <w:rPr>
          <w:rFonts w:ascii="Arial" w:hAnsi="Arial" w:cs="Arial"/>
        </w:rPr>
      </w:pPr>
      <w:bookmarkStart w:id="18" w:name="_Hlk201010532"/>
      <w:r w:rsidRPr="009712D7">
        <w:rPr>
          <w:rFonts w:ascii="Arial" w:hAnsi="Arial" w:cs="Arial"/>
        </w:rPr>
        <w:t>Goralski, G., Rozier, F., Matthys-Rochon, E., &amp; Przywara, L. (2005). Cytological features of various microspore derivatives appearing during culture of isolated maize microspores.</w:t>
      </w:r>
      <w:bookmarkEnd w:id="18"/>
    </w:p>
    <w:p w14:paraId="6DC8410D"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Gu, W., Zhang, Y., &amp; Chen, H. (2020). Haploid maize tissue culture: Advances in callus induction. </w:t>
      </w:r>
      <w:r w:rsidRPr="002848C8">
        <w:rPr>
          <w:rFonts w:ascii="Arial" w:hAnsi="Arial" w:cs="Arial"/>
          <w:i/>
          <w:iCs/>
        </w:rPr>
        <w:t>Plant Cell Reports</w:t>
      </w:r>
      <w:r w:rsidRPr="008072A5">
        <w:rPr>
          <w:rFonts w:ascii="Arial" w:hAnsi="Arial" w:cs="Arial"/>
        </w:rPr>
        <w:t>, 39(4), 563–575.</w:t>
      </w:r>
    </w:p>
    <w:p w14:paraId="3674898F"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Hassan, L., Ahmad, S. D., &amp; </w:t>
      </w:r>
      <w:proofErr w:type="spellStart"/>
      <w:r w:rsidRPr="008072A5">
        <w:rPr>
          <w:rFonts w:ascii="Arial" w:hAnsi="Arial" w:cs="Arial"/>
        </w:rPr>
        <w:t>Okumus</w:t>
      </w:r>
      <w:proofErr w:type="spellEnd"/>
      <w:r w:rsidRPr="008072A5">
        <w:rPr>
          <w:rFonts w:ascii="Arial" w:hAnsi="Arial" w:cs="Arial"/>
        </w:rPr>
        <w:t xml:space="preserve">, A. (2001). The direct regeneration of maize haploids through </w:t>
      </w:r>
      <w:proofErr w:type="spellStart"/>
      <w:r w:rsidRPr="008072A5">
        <w:rPr>
          <w:rFonts w:ascii="Arial" w:hAnsi="Arial" w:cs="Arial"/>
        </w:rPr>
        <w:t>anther</w:t>
      </w:r>
      <w:proofErr w:type="spellEnd"/>
      <w:r w:rsidRPr="008072A5">
        <w:rPr>
          <w:rFonts w:ascii="Arial" w:hAnsi="Arial" w:cs="Arial"/>
        </w:rPr>
        <w:t xml:space="preserve"> culture. </w:t>
      </w:r>
      <w:r w:rsidRPr="004D1C15">
        <w:rPr>
          <w:rFonts w:ascii="Arial" w:hAnsi="Arial" w:cs="Arial"/>
          <w:i/>
          <w:iCs/>
        </w:rPr>
        <w:t>Journal of Biological Sciences</w:t>
      </w:r>
      <w:r w:rsidRPr="008072A5">
        <w:rPr>
          <w:rFonts w:ascii="Arial" w:hAnsi="Arial" w:cs="Arial"/>
        </w:rPr>
        <w:t>, 1(10), 900-901.</w:t>
      </w:r>
    </w:p>
    <w:p w14:paraId="2FCDF3EA" w14:textId="77777777" w:rsidR="00C21AA0" w:rsidRDefault="00C21AA0" w:rsidP="00C21AA0">
      <w:pPr>
        <w:spacing w:line="360" w:lineRule="auto"/>
        <w:ind w:left="720" w:hanging="720"/>
        <w:jc w:val="both"/>
        <w:rPr>
          <w:rFonts w:ascii="Arial" w:hAnsi="Arial" w:cs="Arial"/>
        </w:rPr>
      </w:pPr>
      <w:r w:rsidRPr="00090086">
        <w:rPr>
          <w:rFonts w:ascii="Arial" w:hAnsi="Arial" w:cs="Arial"/>
        </w:rPr>
        <w:t xml:space="preserve">Henry, J. K., Smith, L. M., Chen, Y., &amp; Patel, R. (2023). Genotypic variation in maize anther culture: Influence of auxins and </w:t>
      </w:r>
      <w:proofErr w:type="spellStart"/>
      <w:r w:rsidRPr="00090086">
        <w:rPr>
          <w:rFonts w:ascii="Arial" w:hAnsi="Arial" w:cs="Arial"/>
        </w:rPr>
        <w:t>cytokinins</w:t>
      </w:r>
      <w:proofErr w:type="spellEnd"/>
      <w:r w:rsidRPr="00090086">
        <w:rPr>
          <w:rFonts w:ascii="Arial" w:hAnsi="Arial" w:cs="Arial"/>
        </w:rPr>
        <w:t xml:space="preserve">. </w:t>
      </w:r>
      <w:r w:rsidRPr="00DF63D8">
        <w:rPr>
          <w:rFonts w:ascii="Arial" w:hAnsi="Arial" w:cs="Arial"/>
          <w:i/>
          <w:iCs/>
        </w:rPr>
        <w:t>Journal of Plant Biology</w:t>
      </w:r>
      <w:r w:rsidRPr="00090086">
        <w:rPr>
          <w:rFonts w:ascii="Arial" w:hAnsi="Arial" w:cs="Arial"/>
        </w:rPr>
        <w:t>, 78(3), 255–268.</w:t>
      </w:r>
    </w:p>
    <w:p w14:paraId="0B131DFF" w14:textId="77777777" w:rsidR="00C21AA0" w:rsidRDefault="00C21AA0" w:rsidP="00C21AA0">
      <w:pPr>
        <w:spacing w:line="360" w:lineRule="auto"/>
        <w:ind w:left="720" w:hanging="720"/>
        <w:jc w:val="both"/>
        <w:rPr>
          <w:rFonts w:ascii="Arial" w:hAnsi="Arial" w:cs="Arial"/>
        </w:rPr>
      </w:pPr>
      <w:r w:rsidRPr="003670CF">
        <w:rPr>
          <w:rFonts w:ascii="Arial" w:hAnsi="Arial" w:cs="Arial"/>
        </w:rPr>
        <w:t>Hosseini, S. Z., Ismaili, A., &amp; Pour Mohammadi, P. (2014). Improvement of maize (</w:t>
      </w:r>
      <w:proofErr w:type="spellStart"/>
      <w:r w:rsidRPr="003670CF">
        <w:rPr>
          <w:rFonts w:ascii="Arial" w:hAnsi="Arial" w:cs="Arial"/>
        </w:rPr>
        <w:t>Zea</w:t>
      </w:r>
      <w:proofErr w:type="spellEnd"/>
      <w:r w:rsidRPr="003670CF">
        <w:rPr>
          <w:rFonts w:ascii="Arial" w:hAnsi="Arial" w:cs="Arial"/>
        </w:rPr>
        <w:t xml:space="preserve"> mays L.) anther culture embryogenesis and direct regeneration by different plant growth regulators and gelling agents. </w:t>
      </w:r>
      <w:r w:rsidRPr="006748D8">
        <w:rPr>
          <w:rFonts w:ascii="Arial" w:hAnsi="Arial" w:cs="Arial"/>
          <w:i/>
          <w:iCs/>
        </w:rPr>
        <w:t>Journal of Applied Biotechnology Reports</w:t>
      </w:r>
      <w:r w:rsidRPr="003670CF">
        <w:rPr>
          <w:rFonts w:ascii="Arial" w:hAnsi="Arial" w:cs="Arial"/>
        </w:rPr>
        <w:t>, 1(1), 17-21.</w:t>
      </w:r>
    </w:p>
    <w:p w14:paraId="777265C6"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Hu, H., &amp; Kasha, K. J. (1997). Improvement of isolated microspore culture of wheat (Triticum aestivum L.) through ovary co-culture. Plant Cell Reports, 16, 520–525. </w:t>
      </w:r>
      <w:hyperlink r:id="rId21" w:history="1">
        <w:r w:rsidRPr="009557BA">
          <w:rPr>
            <w:rStyle w:val="Hyperlink"/>
            <w:rFonts w:ascii="Arial" w:hAnsi="Arial" w:cs="Arial"/>
          </w:rPr>
          <w:t>https://doi.org/10.1007/s002990050289</w:t>
        </w:r>
      </w:hyperlink>
    </w:p>
    <w:p w14:paraId="7AB74839" w14:textId="77777777" w:rsidR="00C21AA0" w:rsidRDefault="00C21AA0" w:rsidP="00C21AA0">
      <w:pPr>
        <w:spacing w:line="360" w:lineRule="auto"/>
        <w:ind w:left="720" w:hanging="720"/>
        <w:jc w:val="both"/>
        <w:rPr>
          <w:rFonts w:ascii="Arial" w:hAnsi="Arial" w:cs="Arial"/>
        </w:rPr>
      </w:pPr>
      <w:proofErr w:type="spellStart"/>
      <w:r w:rsidRPr="00090086">
        <w:rPr>
          <w:rFonts w:ascii="Arial" w:hAnsi="Arial" w:cs="Arial"/>
        </w:rPr>
        <w:lastRenderedPageBreak/>
        <w:t>Indrianto</w:t>
      </w:r>
      <w:proofErr w:type="spellEnd"/>
      <w:r w:rsidRPr="00090086">
        <w:rPr>
          <w:rFonts w:ascii="Arial" w:hAnsi="Arial" w:cs="Arial"/>
        </w:rPr>
        <w:t xml:space="preserve">, A., Barinova, I., </w:t>
      </w:r>
      <w:proofErr w:type="spellStart"/>
      <w:r w:rsidRPr="00090086">
        <w:rPr>
          <w:rFonts w:ascii="Arial" w:hAnsi="Arial" w:cs="Arial"/>
        </w:rPr>
        <w:t>Touraev</w:t>
      </w:r>
      <w:proofErr w:type="spellEnd"/>
      <w:r w:rsidRPr="00090086">
        <w:rPr>
          <w:rFonts w:ascii="Arial" w:hAnsi="Arial" w:cs="Arial"/>
        </w:rPr>
        <w:t xml:space="preserve">, A., &amp; Heberle-Bors, E. (2001). Tracking individual wheat microspores in vitro: Identification of embryogenic microspores and body axis formation. </w:t>
      </w:r>
      <w:r w:rsidRPr="00EB3B18">
        <w:rPr>
          <w:rFonts w:ascii="Arial" w:hAnsi="Arial" w:cs="Arial"/>
          <w:i/>
          <w:iCs/>
        </w:rPr>
        <w:t>Planta</w:t>
      </w:r>
      <w:r w:rsidRPr="00090086">
        <w:rPr>
          <w:rFonts w:ascii="Arial" w:hAnsi="Arial" w:cs="Arial"/>
        </w:rPr>
        <w:t>, 212, 163–174.</w:t>
      </w:r>
    </w:p>
    <w:p w14:paraId="645AB71A" w14:textId="77777777" w:rsidR="00C21AA0" w:rsidRDefault="00C21AA0" w:rsidP="00C21AA0">
      <w:pPr>
        <w:spacing w:line="360" w:lineRule="auto"/>
        <w:ind w:left="720" w:hanging="720"/>
        <w:jc w:val="both"/>
        <w:rPr>
          <w:rFonts w:ascii="Arial" w:hAnsi="Arial" w:cs="Arial"/>
        </w:rPr>
      </w:pPr>
      <w:proofErr w:type="spellStart"/>
      <w:r w:rsidRPr="003670CF">
        <w:rPr>
          <w:rFonts w:ascii="Arial" w:hAnsi="Arial" w:cs="Arial"/>
        </w:rPr>
        <w:t>Jähne</w:t>
      </w:r>
      <w:proofErr w:type="spellEnd"/>
      <w:r w:rsidRPr="003670CF">
        <w:rPr>
          <w:rFonts w:ascii="Arial" w:hAnsi="Arial" w:cs="Arial"/>
        </w:rPr>
        <w:t xml:space="preserve">, A., </w:t>
      </w:r>
      <w:proofErr w:type="spellStart"/>
      <w:r w:rsidRPr="003670CF">
        <w:rPr>
          <w:rFonts w:ascii="Arial" w:hAnsi="Arial" w:cs="Arial"/>
        </w:rPr>
        <w:t>Lörz</w:t>
      </w:r>
      <w:proofErr w:type="spellEnd"/>
      <w:r w:rsidRPr="003670CF">
        <w:rPr>
          <w:rFonts w:ascii="Arial" w:hAnsi="Arial" w:cs="Arial"/>
        </w:rPr>
        <w:t xml:space="preserve">, H., &amp; </w:t>
      </w:r>
      <w:proofErr w:type="spellStart"/>
      <w:r w:rsidRPr="003670CF">
        <w:rPr>
          <w:rFonts w:ascii="Arial" w:hAnsi="Arial" w:cs="Arial"/>
        </w:rPr>
        <w:t>Lüscher</w:t>
      </w:r>
      <w:proofErr w:type="spellEnd"/>
      <w:r w:rsidRPr="003670CF">
        <w:rPr>
          <w:rFonts w:ascii="Arial" w:hAnsi="Arial" w:cs="Arial"/>
        </w:rPr>
        <w:t xml:space="preserve">, M. (1994). Plant regeneration from embryogenic callus, microspores, and protoplasts of maize. </w:t>
      </w:r>
      <w:r w:rsidRPr="00EB3B18">
        <w:rPr>
          <w:rFonts w:ascii="Arial" w:hAnsi="Arial" w:cs="Arial"/>
          <w:i/>
          <w:iCs/>
        </w:rPr>
        <w:t>Plant Cell, Tissue and Organ Culture</w:t>
      </w:r>
      <w:r w:rsidRPr="003670CF">
        <w:rPr>
          <w:rFonts w:ascii="Arial" w:hAnsi="Arial" w:cs="Arial"/>
        </w:rPr>
        <w:t>, 39(1), 1–9.</w:t>
      </w:r>
    </w:p>
    <w:p w14:paraId="072F5F27" w14:textId="77777777" w:rsidR="00C21AA0" w:rsidRDefault="00C21AA0" w:rsidP="00C21AA0">
      <w:pPr>
        <w:spacing w:line="360" w:lineRule="auto"/>
        <w:ind w:left="720" w:hanging="720"/>
        <w:jc w:val="both"/>
        <w:rPr>
          <w:rFonts w:ascii="Arial" w:hAnsi="Arial" w:cs="Arial"/>
        </w:rPr>
      </w:pPr>
      <w:proofErr w:type="spellStart"/>
      <w:r w:rsidRPr="009712D7">
        <w:rPr>
          <w:rFonts w:ascii="Arial" w:hAnsi="Arial" w:cs="Arial"/>
        </w:rPr>
        <w:t>Kahrizi</w:t>
      </w:r>
      <w:proofErr w:type="spellEnd"/>
      <w:r w:rsidRPr="009712D7">
        <w:rPr>
          <w:rFonts w:ascii="Arial" w:hAnsi="Arial" w:cs="Arial"/>
        </w:rPr>
        <w:t xml:space="preserve">, D., </w:t>
      </w:r>
      <w:proofErr w:type="spellStart"/>
      <w:r w:rsidRPr="009712D7">
        <w:rPr>
          <w:rFonts w:ascii="Arial" w:hAnsi="Arial" w:cs="Arial"/>
        </w:rPr>
        <w:t>Moieni</w:t>
      </w:r>
      <w:proofErr w:type="spellEnd"/>
      <w:r w:rsidRPr="009712D7">
        <w:rPr>
          <w:rFonts w:ascii="Arial" w:hAnsi="Arial" w:cs="Arial"/>
        </w:rPr>
        <w:t xml:space="preserve">, A., &amp; </w:t>
      </w:r>
      <w:proofErr w:type="spellStart"/>
      <w:r w:rsidRPr="009712D7">
        <w:rPr>
          <w:rFonts w:ascii="Arial" w:hAnsi="Arial" w:cs="Arial"/>
        </w:rPr>
        <w:t>Bozorgipour</w:t>
      </w:r>
      <w:proofErr w:type="spellEnd"/>
      <w:r w:rsidRPr="009712D7">
        <w:rPr>
          <w:rFonts w:ascii="Arial" w:hAnsi="Arial" w:cs="Arial"/>
        </w:rPr>
        <w:t xml:space="preserve">, R. (2000). Effects of genotype and carbohydrate source on </w:t>
      </w:r>
      <w:proofErr w:type="spellStart"/>
      <w:r w:rsidRPr="009712D7">
        <w:rPr>
          <w:rFonts w:ascii="Arial" w:hAnsi="Arial" w:cs="Arial"/>
        </w:rPr>
        <w:t>androgenesis</w:t>
      </w:r>
      <w:proofErr w:type="spellEnd"/>
      <w:r w:rsidRPr="009712D7">
        <w:rPr>
          <w:rFonts w:ascii="Arial" w:hAnsi="Arial" w:cs="Arial"/>
        </w:rPr>
        <w:t xml:space="preserve"> of </w:t>
      </w:r>
      <w:proofErr w:type="spellStart"/>
      <w:r w:rsidRPr="009712D7">
        <w:rPr>
          <w:rFonts w:ascii="Arial" w:hAnsi="Arial" w:cs="Arial"/>
        </w:rPr>
        <w:t>hexaploid</w:t>
      </w:r>
      <w:proofErr w:type="spellEnd"/>
      <w:r w:rsidRPr="009712D7">
        <w:rPr>
          <w:rFonts w:ascii="Arial" w:hAnsi="Arial" w:cs="Arial"/>
        </w:rPr>
        <w:t xml:space="preserve"> wheat (</w:t>
      </w:r>
      <w:proofErr w:type="spellStart"/>
      <w:r w:rsidRPr="00526752">
        <w:rPr>
          <w:rFonts w:ascii="Arial" w:hAnsi="Arial" w:cs="Arial"/>
          <w:i/>
          <w:iCs/>
        </w:rPr>
        <w:t>Triticum</w:t>
      </w:r>
      <w:proofErr w:type="spellEnd"/>
      <w:r w:rsidRPr="00526752">
        <w:rPr>
          <w:rFonts w:ascii="Arial" w:hAnsi="Arial" w:cs="Arial"/>
          <w:i/>
          <w:iCs/>
        </w:rPr>
        <w:t xml:space="preserve"> </w:t>
      </w:r>
      <w:proofErr w:type="spellStart"/>
      <w:r w:rsidRPr="00526752">
        <w:rPr>
          <w:rFonts w:ascii="Arial" w:hAnsi="Arial" w:cs="Arial"/>
          <w:i/>
          <w:iCs/>
        </w:rPr>
        <w:t>aestivum</w:t>
      </w:r>
      <w:proofErr w:type="spellEnd"/>
      <w:r w:rsidRPr="009712D7">
        <w:rPr>
          <w:rFonts w:ascii="Arial" w:hAnsi="Arial" w:cs="Arial"/>
        </w:rPr>
        <w:t xml:space="preserve"> L.).</w:t>
      </w:r>
    </w:p>
    <w:p w14:paraId="3F621490" w14:textId="77777777" w:rsidR="00C21AA0" w:rsidRDefault="00C21AA0" w:rsidP="00C21AA0">
      <w:pPr>
        <w:spacing w:line="360" w:lineRule="auto"/>
        <w:ind w:left="720" w:hanging="720"/>
        <w:jc w:val="both"/>
        <w:rPr>
          <w:rFonts w:ascii="Arial" w:hAnsi="Arial" w:cs="Arial"/>
        </w:rPr>
      </w:pPr>
      <w:r w:rsidRPr="008D08CB">
        <w:rPr>
          <w:rFonts w:ascii="Arial" w:hAnsi="Arial" w:cs="Arial"/>
        </w:rPr>
        <w:t xml:space="preserve">Lantos, C., Jancsó, M., Székely, Á., Szalóki, T., </w:t>
      </w:r>
      <w:proofErr w:type="spellStart"/>
      <w:r w:rsidRPr="008D08CB">
        <w:rPr>
          <w:rFonts w:ascii="Arial" w:hAnsi="Arial" w:cs="Arial"/>
        </w:rPr>
        <w:t>Venkatanagappa</w:t>
      </w:r>
      <w:proofErr w:type="spellEnd"/>
      <w:r w:rsidRPr="008D08CB">
        <w:rPr>
          <w:rFonts w:ascii="Arial" w:hAnsi="Arial" w:cs="Arial"/>
        </w:rPr>
        <w:t>, S., &amp; Pauk, J. (2023). Development of in vitro anther culture for doubled haploid plant production in indica rice (Oryza sativa L.) genotypes. Plants, 12(9), 1774.</w:t>
      </w:r>
    </w:p>
    <w:p w14:paraId="30BBB766" w14:textId="77777777" w:rsidR="00C21AA0" w:rsidRDefault="00C21AA0" w:rsidP="00C21AA0">
      <w:pPr>
        <w:spacing w:line="360" w:lineRule="auto"/>
        <w:ind w:left="720" w:hanging="720"/>
        <w:jc w:val="both"/>
        <w:rPr>
          <w:rFonts w:ascii="Arial" w:hAnsi="Arial" w:cs="Arial"/>
        </w:rPr>
      </w:pPr>
      <w:r w:rsidRPr="00090086">
        <w:rPr>
          <w:rFonts w:ascii="Arial" w:hAnsi="Arial" w:cs="Arial"/>
        </w:rPr>
        <w:t>Liu, C., Wang, H., Zhao, L., &amp; Chen, Y. (2017). Embryogenic response in maize haploid cultures: A comparative study. Biotechnology Advances, 35(1), 47–59.</w:t>
      </w:r>
    </w:p>
    <w:p w14:paraId="2C778ACA" w14:textId="77777777" w:rsidR="00C21AA0" w:rsidRDefault="00C21AA0" w:rsidP="00C21AA0">
      <w:pPr>
        <w:spacing w:line="360" w:lineRule="auto"/>
        <w:ind w:left="720" w:hanging="720"/>
        <w:jc w:val="both"/>
        <w:rPr>
          <w:rFonts w:ascii="Arial" w:hAnsi="Arial" w:cs="Arial"/>
        </w:rPr>
      </w:pPr>
      <w:r w:rsidRPr="003670CF">
        <w:rPr>
          <w:rFonts w:ascii="Arial" w:hAnsi="Arial" w:cs="Arial"/>
        </w:rPr>
        <w:t xml:space="preserve">Manivannan, A., Kaul, J., </w:t>
      </w:r>
      <w:proofErr w:type="spellStart"/>
      <w:r w:rsidRPr="003670CF">
        <w:rPr>
          <w:rFonts w:ascii="Arial" w:hAnsi="Arial" w:cs="Arial"/>
        </w:rPr>
        <w:t>Singode</w:t>
      </w:r>
      <w:proofErr w:type="spellEnd"/>
      <w:r w:rsidRPr="003670CF">
        <w:rPr>
          <w:rFonts w:ascii="Arial" w:hAnsi="Arial" w:cs="Arial"/>
        </w:rPr>
        <w:t>, A., &amp; Dass, S. (2010). Callus induction and regeneration of elite Indian maize inbreds. African Journal of Biotechnology, 9(46), 7929-7936.</w:t>
      </w:r>
    </w:p>
    <w:p w14:paraId="01142CD8" w14:textId="77777777" w:rsidR="00C21AA0" w:rsidRDefault="00C21AA0" w:rsidP="00C21AA0">
      <w:pPr>
        <w:spacing w:line="360" w:lineRule="auto"/>
        <w:ind w:left="720" w:hanging="720"/>
        <w:jc w:val="both"/>
        <w:rPr>
          <w:rFonts w:ascii="Arial" w:hAnsi="Arial" w:cs="Arial"/>
        </w:rPr>
      </w:pPr>
      <w:proofErr w:type="spellStart"/>
      <w:r w:rsidRPr="008D08CB">
        <w:rPr>
          <w:rFonts w:ascii="Arial" w:hAnsi="Arial" w:cs="Arial"/>
        </w:rPr>
        <w:t>Matova</w:t>
      </w:r>
      <w:proofErr w:type="spellEnd"/>
      <w:r w:rsidRPr="008D08CB">
        <w:rPr>
          <w:rFonts w:ascii="Arial" w:hAnsi="Arial" w:cs="Arial"/>
        </w:rPr>
        <w:t xml:space="preserve">, P. M., </w:t>
      </w:r>
      <w:proofErr w:type="spellStart"/>
      <w:r w:rsidRPr="008D08CB">
        <w:rPr>
          <w:rFonts w:ascii="Arial" w:hAnsi="Arial" w:cs="Arial"/>
        </w:rPr>
        <w:t>Kamutando</w:t>
      </w:r>
      <w:proofErr w:type="spellEnd"/>
      <w:r w:rsidRPr="008D08CB">
        <w:rPr>
          <w:rFonts w:ascii="Arial" w:hAnsi="Arial" w:cs="Arial"/>
        </w:rPr>
        <w:t xml:space="preserve">, C. N., Warburton, M. L., Williams, W. P., </w:t>
      </w:r>
      <w:proofErr w:type="spellStart"/>
      <w:r w:rsidRPr="008D08CB">
        <w:rPr>
          <w:rFonts w:ascii="Arial" w:hAnsi="Arial" w:cs="Arial"/>
        </w:rPr>
        <w:t>Magorokosho</w:t>
      </w:r>
      <w:proofErr w:type="spellEnd"/>
      <w:r w:rsidRPr="008D08CB">
        <w:rPr>
          <w:rFonts w:ascii="Arial" w:hAnsi="Arial" w:cs="Arial"/>
        </w:rPr>
        <w:t>, C., Shimelis, H., ... &amp; Gowda, M. (2023). New techniques for breeding maize (</w:t>
      </w:r>
      <w:proofErr w:type="spellStart"/>
      <w:r w:rsidRPr="008D08CB">
        <w:rPr>
          <w:rFonts w:ascii="Arial" w:hAnsi="Arial" w:cs="Arial"/>
        </w:rPr>
        <w:t>Zea</w:t>
      </w:r>
      <w:proofErr w:type="spellEnd"/>
      <w:r w:rsidRPr="008D08CB">
        <w:rPr>
          <w:rFonts w:ascii="Arial" w:hAnsi="Arial" w:cs="Arial"/>
        </w:rPr>
        <w:t xml:space="preserve"> mays) varieties with fall armyworm resistance and market</w:t>
      </w:r>
      <w:r w:rsidRPr="008D08CB">
        <w:rPr>
          <w:rFonts w:ascii="Cambria Math" w:hAnsi="Cambria Math" w:cs="Cambria Math"/>
        </w:rPr>
        <w:t>‐</w:t>
      </w:r>
      <w:r w:rsidRPr="008D08CB">
        <w:rPr>
          <w:rFonts w:ascii="Arial" w:hAnsi="Arial" w:cs="Arial"/>
        </w:rPr>
        <w:t>preferred traits for sub</w:t>
      </w:r>
      <w:r w:rsidRPr="008D08CB">
        <w:rPr>
          <w:rFonts w:ascii="Cambria Math" w:hAnsi="Cambria Math" w:cs="Cambria Math"/>
        </w:rPr>
        <w:t>‐</w:t>
      </w:r>
      <w:r w:rsidRPr="008D08CB">
        <w:rPr>
          <w:rFonts w:ascii="Arial" w:hAnsi="Arial" w:cs="Arial"/>
        </w:rPr>
        <w:t>Saharan Africa. Plant Breeding, 142(1), 1-11.</w:t>
      </w:r>
    </w:p>
    <w:p w14:paraId="7E091C8D" w14:textId="77777777" w:rsidR="00C21AA0" w:rsidRDefault="00C21AA0" w:rsidP="00C21AA0">
      <w:pPr>
        <w:spacing w:line="360" w:lineRule="auto"/>
        <w:ind w:left="720" w:hanging="720"/>
        <w:jc w:val="both"/>
        <w:rPr>
          <w:rFonts w:ascii="Arial" w:hAnsi="Arial" w:cs="Arial"/>
        </w:rPr>
      </w:pPr>
      <w:proofErr w:type="spellStart"/>
      <w:r w:rsidRPr="009B11B8">
        <w:rPr>
          <w:rFonts w:ascii="Arial" w:hAnsi="Arial" w:cs="Arial"/>
        </w:rPr>
        <w:t>Petolino</w:t>
      </w:r>
      <w:proofErr w:type="spellEnd"/>
      <w:r w:rsidRPr="009B11B8">
        <w:rPr>
          <w:rFonts w:ascii="Arial" w:hAnsi="Arial" w:cs="Arial"/>
        </w:rPr>
        <w:t xml:space="preserve">, J. F., &amp; Thompson, S. A. (1987). Genetic analysis of </w:t>
      </w:r>
      <w:proofErr w:type="spellStart"/>
      <w:r w:rsidRPr="009B11B8">
        <w:rPr>
          <w:rFonts w:ascii="Arial" w:hAnsi="Arial" w:cs="Arial"/>
        </w:rPr>
        <w:t>anther</w:t>
      </w:r>
      <w:proofErr w:type="spellEnd"/>
      <w:r w:rsidRPr="009B11B8">
        <w:rPr>
          <w:rFonts w:ascii="Arial" w:hAnsi="Arial" w:cs="Arial"/>
        </w:rPr>
        <w:t xml:space="preserve"> culture response in maize. Theoretical and Applied Genetics, 74(2), 284–286.</w:t>
      </w:r>
    </w:p>
    <w:p w14:paraId="3E99555E" w14:textId="77777777" w:rsidR="00C21AA0" w:rsidRDefault="00C21AA0" w:rsidP="00C21AA0">
      <w:pPr>
        <w:spacing w:line="360" w:lineRule="auto"/>
        <w:ind w:left="720" w:hanging="720"/>
        <w:jc w:val="both"/>
        <w:rPr>
          <w:rFonts w:ascii="Arial" w:hAnsi="Arial" w:cs="Arial"/>
        </w:rPr>
      </w:pPr>
      <w:r w:rsidRPr="008072A5">
        <w:rPr>
          <w:rFonts w:ascii="Arial" w:hAnsi="Arial" w:cs="Arial"/>
        </w:rPr>
        <w:t xml:space="preserve">Prigge, V., &amp; </w:t>
      </w:r>
      <w:proofErr w:type="spellStart"/>
      <w:r w:rsidRPr="008072A5">
        <w:rPr>
          <w:rFonts w:ascii="Arial" w:hAnsi="Arial" w:cs="Arial"/>
        </w:rPr>
        <w:t>Melchinger</w:t>
      </w:r>
      <w:proofErr w:type="spellEnd"/>
      <w:r w:rsidRPr="008072A5">
        <w:rPr>
          <w:rFonts w:ascii="Arial" w:hAnsi="Arial" w:cs="Arial"/>
        </w:rPr>
        <w:t xml:space="preserve">, A. E. (2012c). Production of haploids and doubled haploids in maize. In V. M. Loyola-Vargas &amp; N. Ochoa-Alejo (Eds.), Plant cell culture protocols (3rd ed., pp. 161–172). Humana Press. </w:t>
      </w:r>
      <w:hyperlink r:id="rId22" w:history="1">
        <w:r w:rsidRPr="009557BA">
          <w:rPr>
            <w:rStyle w:val="Hyperlink"/>
            <w:rFonts w:ascii="Arial" w:hAnsi="Arial" w:cs="Arial"/>
          </w:rPr>
          <w:t>https://doi.org/10.1007/978-1-61779-818-4_13</w:t>
        </w:r>
      </w:hyperlink>
    </w:p>
    <w:p w14:paraId="1B6CDE2D" w14:textId="77777777" w:rsidR="00C21AA0" w:rsidRDefault="00C21AA0" w:rsidP="00C21AA0">
      <w:pPr>
        <w:spacing w:line="360" w:lineRule="auto"/>
        <w:ind w:left="720" w:hanging="720"/>
        <w:jc w:val="both"/>
        <w:rPr>
          <w:rFonts w:ascii="Arial" w:hAnsi="Arial" w:cs="Arial"/>
        </w:rPr>
      </w:pPr>
      <w:proofErr w:type="spellStart"/>
      <w:r w:rsidRPr="003670CF">
        <w:rPr>
          <w:rFonts w:ascii="Arial" w:hAnsi="Arial" w:cs="Arial"/>
        </w:rPr>
        <w:t>Rapela</w:t>
      </w:r>
      <w:proofErr w:type="spellEnd"/>
      <w:r w:rsidRPr="003670CF">
        <w:rPr>
          <w:rFonts w:ascii="Arial" w:hAnsi="Arial" w:cs="Arial"/>
        </w:rPr>
        <w:t>, M. A. (1985). Organogenesis and somatic embryogenesis in tissue cultures of Argentine maize (</w:t>
      </w:r>
      <w:proofErr w:type="spellStart"/>
      <w:r w:rsidRPr="003670CF">
        <w:rPr>
          <w:rFonts w:ascii="Arial" w:hAnsi="Arial" w:cs="Arial"/>
        </w:rPr>
        <w:t>Zea</w:t>
      </w:r>
      <w:proofErr w:type="spellEnd"/>
      <w:r w:rsidRPr="003670CF">
        <w:rPr>
          <w:rFonts w:ascii="Arial" w:hAnsi="Arial" w:cs="Arial"/>
        </w:rPr>
        <w:t xml:space="preserve"> mays L.). Journal of Plant Physiology, 121(2), 119–122. </w:t>
      </w:r>
      <w:hyperlink r:id="rId23" w:history="1">
        <w:r w:rsidRPr="009557BA">
          <w:rPr>
            <w:rStyle w:val="Hyperlink"/>
            <w:rFonts w:ascii="Arial" w:hAnsi="Arial" w:cs="Arial"/>
          </w:rPr>
          <w:t>https://doi.org/10.1016/S0176-1617(85)80036-5</w:t>
        </w:r>
      </w:hyperlink>
    </w:p>
    <w:p w14:paraId="3A9434D2" w14:textId="77777777" w:rsidR="00C21AA0" w:rsidRDefault="00C21AA0" w:rsidP="00C21AA0">
      <w:pPr>
        <w:spacing w:line="360" w:lineRule="auto"/>
        <w:ind w:left="720" w:hanging="720"/>
        <w:jc w:val="both"/>
        <w:rPr>
          <w:rFonts w:ascii="Arial" w:hAnsi="Arial" w:cs="Arial"/>
        </w:rPr>
      </w:pPr>
      <w:r w:rsidRPr="005945AB">
        <w:rPr>
          <w:rFonts w:ascii="Arial" w:hAnsi="Arial" w:cs="Arial"/>
        </w:rPr>
        <w:t>Rosaura, G. R., Peña-Valdivia, C. B., Joaquin, O. C., Molina G, J. D., &amp; Remigio, M. L. (1998). The improvement of maize (</w:t>
      </w:r>
      <w:proofErr w:type="spellStart"/>
      <w:r w:rsidRPr="005945AB">
        <w:rPr>
          <w:rFonts w:ascii="Arial" w:hAnsi="Arial" w:cs="Arial"/>
        </w:rPr>
        <w:t>Zea</w:t>
      </w:r>
      <w:proofErr w:type="spellEnd"/>
      <w:r w:rsidRPr="005945AB">
        <w:rPr>
          <w:rFonts w:ascii="Arial" w:hAnsi="Arial" w:cs="Arial"/>
        </w:rPr>
        <w:t xml:space="preserve"> mays L.) anthers tissue culture by the addition of free amino acids in the culture medium. Cereal Research Communications, 26, 357-365.</w:t>
      </w:r>
    </w:p>
    <w:p w14:paraId="62BB3946" w14:textId="77777777" w:rsidR="00C21AA0" w:rsidRDefault="00C21AA0" w:rsidP="00C21AA0">
      <w:pPr>
        <w:spacing w:line="360" w:lineRule="auto"/>
        <w:ind w:left="720" w:hanging="720"/>
        <w:jc w:val="both"/>
        <w:rPr>
          <w:rFonts w:ascii="Arial" w:hAnsi="Arial" w:cs="Arial"/>
        </w:rPr>
      </w:pPr>
      <w:r w:rsidRPr="008072A5">
        <w:rPr>
          <w:rFonts w:ascii="Arial" w:hAnsi="Arial" w:cs="Arial"/>
        </w:rPr>
        <w:t>Sharma, S., Kumar, R., Li, Y., &amp; Ahmed, T. (2021). Callus formation dynamics in maize: Effects of plant growth regulators. Journal of Agricultural Biotechnology, 29(5), 573–588.</w:t>
      </w:r>
    </w:p>
    <w:p w14:paraId="43911C3B" w14:textId="77777777" w:rsidR="00C21AA0" w:rsidRDefault="00C21AA0" w:rsidP="00C21AA0">
      <w:pPr>
        <w:spacing w:line="360" w:lineRule="auto"/>
        <w:ind w:left="720" w:hanging="720"/>
        <w:jc w:val="both"/>
        <w:rPr>
          <w:rFonts w:ascii="Arial" w:hAnsi="Arial" w:cs="Arial"/>
        </w:rPr>
      </w:pPr>
      <w:r w:rsidRPr="008072A5">
        <w:rPr>
          <w:rFonts w:ascii="Arial" w:hAnsi="Arial" w:cs="Arial"/>
        </w:rPr>
        <w:lastRenderedPageBreak/>
        <w:t xml:space="preserve">Smith, P., &amp; Gomez, R. (2018). Maize genotypic variability in </w:t>
      </w:r>
      <w:proofErr w:type="spellStart"/>
      <w:r w:rsidRPr="008072A5">
        <w:rPr>
          <w:rFonts w:ascii="Arial" w:hAnsi="Arial" w:cs="Arial"/>
        </w:rPr>
        <w:t>anther</w:t>
      </w:r>
      <w:proofErr w:type="spellEnd"/>
      <w:r w:rsidRPr="008072A5">
        <w:rPr>
          <w:rFonts w:ascii="Arial" w:hAnsi="Arial" w:cs="Arial"/>
        </w:rPr>
        <w:t xml:space="preserve"> culture responses. Plant Tissue Culture, 34(4), 89–102.</w:t>
      </w:r>
    </w:p>
    <w:p w14:paraId="30F4C931" w14:textId="77777777" w:rsidR="00C21AA0" w:rsidRDefault="00C21AA0" w:rsidP="00C21AA0">
      <w:pPr>
        <w:spacing w:line="360" w:lineRule="auto"/>
        <w:ind w:left="720" w:hanging="720"/>
        <w:jc w:val="both"/>
        <w:rPr>
          <w:rFonts w:ascii="Arial" w:hAnsi="Arial" w:cs="Arial"/>
        </w:rPr>
      </w:pPr>
      <w:r w:rsidRPr="00090086">
        <w:rPr>
          <w:rFonts w:ascii="Arial" w:hAnsi="Arial" w:cs="Arial"/>
        </w:rPr>
        <w:t xml:space="preserve">Soriano, M., </w:t>
      </w:r>
      <w:proofErr w:type="spellStart"/>
      <w:r w:rsidRPr="00090086">
        <w:rPr>
          <w:rFonts w:ascii="Arial" w:hAnsi="Arial" w:cs="Arial"/>
        </w:rPr>
        <w:t>Cistué</w:t>
      </w:r>
      <w:proofErr w:type="spellEnd"/>
      <w:r w:rsidRPr="00090086">
        <w:rPr>
          <w:rFonts w:ascii="Arial" w:hAnsi="Arial" w:cs="Arial"/>
        </w:rPr>
        <w:t xml:space="preserve">, L., </w:t>
      </w:r>
      <w:proofErr w:type="spellStart"/>
      <w:r w:rsidRPr="00090086">
        <w:rPr>
          <w:rFonts w:ascii="Arial" w:hAnsi="Arial" w:cs="Arial"/>
        </w:rPr>
        <w:t>Vallés</w:t>
      </w:r>
      <w:proofErr w:type="spellEnd"/>
      <w:r w:rsidRPr="00090086">
        <w:rPr>
          <w:rFonts w:ascii="Arial" w:hAnsi="Arial" w:cs="Arial"/>
        </w:rPr>
        <w:t>, M. P., &amp; Castillo, A. M. (2007). Effects of the auxin/cytokinin ratio on the induction of barley microspore embryogenesis. Plant Cell Reports, 26, 745–751.</w:t>
      </w:r>
    </w:p>
    <w:p w14:paraId="39D73AC3" w14:textId="77777777" w:rsidR="00C21AA0" w:rsidRDefault="00C21AA0" w:rsidP="00C21AA0">
      <w:pPr>
        <w:spacing w:line="360" w:lineRule="auto"/>
        <w:ind w:left="720" w:hanging="720"/>
        <w:jc w:val="both"/>
        <w:rPr>
          <w:rFonts w:ascii="Arial" w:hAnsi="Arial" w:cs="Arial"/>
        </w:rPr>
      </w:pPr>
      <w:proofErr w:type="spellStart"/>
      <w:r w:rsidRPr="009712D7">
        <w:rPr>
          <w:rFonts w:ascii="Arial" w:hAnsi="Arial" w:cs="Arial"/>
        </w:rPr>
        <w:t>Spitkó</w:t>
      </w:r>
      <w:proofErr w:type="spellEnd"/>
      <w:r w:rsidRPr="009712D7">
        <w:rPr>
          <w:rFonts w:ascii="Arial" w:hAnsi="Arial" w:cs="Arial"/>
        </w:rPr>
        <w:t>, T., Sagi, L., Pintér, J., Marton, L. C., &amp; Barnabás, B. (2006). Haploid regeneration aptitude of maize (</w:t>
      </w:r>
      <w:proofErr w:type="spellStart"/>
      <w:r w:rsidRPr="009712D7">
        <w:rPr>
          <w:rFonts w:ascii="Arial" w:hAnsi="Arial" w:cs="Arial"/>
        </w:rPr>
        <w:t>Zea</w:t>
      </w:r>
      <w:proofErr w:type="spellEnd"/>
      <w:r w:rsidRPr="009712D7">
        <w:rPr>
          <w:rFonts w:ascii="Arial" w:hAnsi="Arial" w:cs="Arial"/>
        </w:rPr>
        <w:t xml:space="preserve"> mays L.) lines of various origin and of their hybrids. </w:t>
      </w:r>
      <w:proofErr w:type="spellStart"/>
      <w:r w:rsidRPr="009712D7">
        <w:rPr>
          <w:rFonts w:ascii="Arial" w:hAnsi="Arial" w:cs="Arial"/>
        </w:rPr>
        <w:t>Maydica</w:t>
      </w:r>
      <w:proofErr w:type="spellEnd"/>
      <w:r w:rsidRPr="009712D7">
        <w:rPr>
          <w:rFonts w:ascii="Arial" w:hAnsi="Arial" w:cs="Arial"/>
        </w:rPr>
        <w:t>, 51(3), 537.</w:t>
      </w:r>
    </w:p>
    <w:p w14:paraId="10F61C24" w14:textId="77777777" w:rsidR="00C21AA0" w:rsidRDefault="00C21AA0" w:rsidP="00C21AA0">
      <w:pPr>
        <w:spacing w:line="360" w:lineRule="auto"/>
        <w:ind w:left="720" w:hanging="720"/>
        <w:jc w:val="both"/>
        <w:rPr>
          <w:rFonts w:ascii="Arial" w:hAnsi="Arial" w:cs="Arial"/>
        </w:rPr>
      </w:pPr>
      <w:bookmarkStart w:id="19" w:name="_Hlk201010270"/>
      <w:proofErr w:type="spellStart"/>
      <w:r w:rsidRPr="009712D7">
        <w:rPr>
          <w:rFonts w:ascii="Arial" w:hAnsi="Arial" w:cs="Arial"/>
        </w:rPr>
        <w:t>Srichuay</w:t>
      </w:r>
      <w:bookmarkEnd w:id="19"/>
      <w:proofErr w:type="spellEnd"/>
      <w:r w:rsidRPr="009712D7">
        <w:rPr>
          <w:rFonts w:ascii="Arial" w:hAnsi="Arial" w:cs="Arial"/>
        </w:rPr>
        <w:t xml:space="preserve">, W., </w:t>
      </w:r>
      <w:proofErr w:type="spellStart"/>
      <w:r w:rsidRPr="009712D7">
        <w:rPr>
          <w:rFonts w:ascii="Arial" w:hAnsi="Arial" w:cs="Arial"/>
        </w:rPr>
        <w:t>Kalawong</w:t>
      </w:r>
      <w:proofErr w:type="spellEnd"/>
      <w:r w:rsidRPr="009712D7">
        <w:rPr>
          <w:rFonts w:ascii="Arial" w:hAnsi="Arial" w:cs="Arial"/>
        </w:rPr>
        <w:t xml:space="preserve">, S., </w:t>
      </w:r>
      <w:proofErr w:type="spellStart"/>
      <w:r w:rsidRPr="009712D7">
        <w:rPr>
          <w:rFonts w:ascii="Arial" w:hAnsi="Arial" w:cs="Arial"/>
        </w:rPr>
        <w:t>Sirisom</w:t>
      </w:r>
      <w:proofErr w:type="spellEnd"/>
      <w:r w:rsidRPr="009712D7">
        <w:rPr>
          <w:rFonts w:ascii="Arial" w:hAnsi="Arial" w:cs="Arial"/>
        </w:rPr>
        <w:t xml:space="preserve">, Y., &amp; </w:t>
      </w:r>
      <w:proofErr w:type="spellStart"/>
      <w:r w:rsidRPr="009712D7">
        <w:rPr>
          <w:rFonts w:ascii="Arial" w:hAnsi="Arial" w:cs="Arial"/>
        </w:rPr>
        <w:t>Te-chato</w:t>
      </w:r>
      <w:proofErr w:type="spellEnd"/>
      <w:r w:rsidRPr="009712D7">
        <w:rPr>
          <w:rFonts w:ascii="Arial" w:hAnsi="Arial" w:cs="Arial"/>
        </w:rPr>
        <w:t xml:space="preserve">, S. (2014). Callus Induction and Somatic Embryogenesis from Anther Cultures of </w:t>
      </w:r>
      <w:proofErr w:type="spellStart"/>
      <w:r w:rsidRPr="009712D7">
        <w:rPr>
          <w:rFonts w:ascii="Arial" w:hAnsi="Arial" w:cs="Arial"/>
        </w:rPr>
        <w:t>Hevea</w:t>
      </w:r>
      <w:proofErr w:type="spellEnd"/>
      <w:r w:rsidRPr="009712D7">
        <w:rPr>
          <w:rFonts w:ascii="Arial" w:hAnsi="Arial" w:cs="Arial"/>
        </w:rPr>
        <w:t xml:space="preserve"> </w:t>
      </w:r>
      <w:proofErr w:type="spellStart"/>
      <w:r w:rsidRPr="009712D7">
        <w:rPr>
          <w:rFonts w:ascii="Arial" w:hAnsi="Arial" w:cs="Arial"/>
        </w:rPr>
        <w:t>brasiliensis</w:t>
      </w:r>
      <w:proofErr w:type="spellEnd"/>
      <w:r w:rsidRPr="009712D7">
        <w:rPr>
          <w:rFonts w:ascii="Arial" w:hAnsi="Arial" w:cs="Arial"/>
        </w:rPr>
        <w:t xml:space="preserve"> </w:t>
      </w:r>
      <w:proofErr w:type="spellStart"/>
      <w:r w:rsidRPr="009712D7">
        <w:rPr>
          <w:rFonts w:ascii="Arial" w:hAnsi="Arial" w:cs="Arial"/>
        </w:rPr>
        <w:t>Muell</w:t>
      </w:r>
      <w:proofErr w:type="spellEnd"/>
      <w:r w:rsidRPr="009712D7">
        <w:rPr>
          <w:rFonts w:ascii="Arial" w:hAnsi="Arial" w:cs="Arial"/>
        </w:rPr>
        <w:t xml:space="preserve"> Arg. Agriculture and Natural Resources, 48(3), 364-375.</w:t>
      </w:r>
    </w:p>
    <w:p w14:paraId="4CA247A0" w14:textId="77777777" w:rsidR="00C21AA0" w:rsidRDefault="00C21AA0" w:rsidP="00C21AA0">
      <w:pPr>
        <w:spacing w:line="360" w:lineRule="auto"/>
        <w:ind w:left="720" w:hanging="720"/>
        <w:jc w:val="both"/>
        <w:rPr>
          <w:rFonts w:ascii="Arial" w:hAnsi="Arial" w:cs="Arial"/>
        </w:rPr>
      </w:pPr>
      <w:proofErr w:type="spellStart"/>
      <w:r w:rsidRPr="00090086">
        <w:rPr>
          <w:rFonts w:ascii="Arial" w:hAnsi="Arial" w:cs="Arial"/>
        </w:rPr>
        <w:t>Testillano</w:t>
      </w:r>
      <w:proofErr w:type="spellEnd"/>
      <w:r w:rsidRPr="00090086">
        <w:rPr>
          <w:rFonts w:ascii="Arial" w:hAnsi="Arial" w:cs="Arial"/>
        </w:rPr>
        <w:t xml:space="preserve">, P. S., Ramírez, C., Domenech, J., Coronado, M. J., Vergne, P., Matthys-Rochon, E., &amp; </w:t>
      </w:r>
      <w:proofErr w:type="spellStart"/>
      <w:r w:rsidRPr="00090086">
        <w:rPr>
          <w:rFonts w:ascii="Arial" w:hAnsi="Arial" w:cs="Arial"/>
        </w:rPr>
        <w:t>Risueño</w:t>
      </w:r>
      <w:proofErr w:type="spellEnd"/>
      <w:r w:rsidRPr="00090086">
        <w:rPr>
          <w:rFonts w:ascii="Arial" w:hAnsi="Arial" w:cs="Arial"/>
        </w:rPr>
        <w:t>, M. C. (2002). Young microspore-derived maize embryos show two domains with defined features also present in zygotic embryogenesis. International Journal of Developmental Biology, 46(8), 1035–1047.</w:t>
      </w:r>
    </w:p>
    <w:p w14:paraId="08A2A7F6" w14:textId="77777777" w:rsidR="00C21AA0" w:rsidRDefault="00C21AA0" w:rsidP="00C21AA0">
      <w:pPr>
        <w:spacing w:line="360" w:lineRule="auto"/>
        <w:ind w:left="720" w:hanging="720"/>
        <w:jc w:val="both"/>
        <w:rPr>
          <w:rFonts w:ascii="Arial" w:hAnsi="Arial" w:cs="Arial"/>
        </w:rPr>
      </w:pPr>
      <w:r w:rsidRPr="009B11B8">
        <w:rPr>
          <w:rFonts w:ascii="Arial" w:hAnsi="Arial" w:cs="Arial"/>
        </w:rPr>
        <w:t xml:space="preserve">Thompson, S. A., &amp; </w:t>
      </w:r>
      <w:proofErr w:type="spellStart"/>
      <w:r w:rsidRPr="009B11B8">
        <w:rPr>
          <w:rFonts w:ascii="Arial" w:hAnsi="Arial" w:cs="Arial"/>
        </w:rPr>
        <w:t>Petolino</w:t>
      </w:r>
      <w:proofErr w:type="spellEnd"/>
      <w:r w:rsidRPr="009B11B8">
        <w:rPr>
          <w:rFonts w:ascii="Arial" w:hAnsi="Arial" w:cs="Arial"/>
        </w:rPr>
        <w:t>, J. F. (198</w:t>
      </w:r>
      <w:r>
        <w:rPr>
          <w:rFonts w:ascii="Arial" w:hAnsi="Arial" w:cs="Arial"/>
        </w:rPr>
        <w:t>8</w:t>
      </w:r>
      <w:r w:rsidRPr="009B11B8">
        <w:rPr>
          <w:rFonts w:ascii="Arial" w:hAnsi="Arial" w:cs="Arial"/>
        </w:rPr>
        <w:t>). Selection for increased anther culture response in maize. Theoretical and Applied Genetics, 77(5), 609–613.</w:t>
      </w:r>
    </w:p>
    <w:p w14:paraId="63122BE2" w14:textId="77777777" w:rsidR="00C21AA0" w:rsidRDefault="00C21AA0" w:rsidP="00C21AA0">
      <w:pPr>
        <w:spacing w:line="360" w:lineRule="auto"/>
        <w:ind w:left="720" w:hanging="720"/>
        <w:jc w:val="both"/>
        <w:rPr>
          <w:rFonts w:ascii="Arial" w:hAnsi="Arial" w:cs="Arial"/>
        </w:rPr>
      </w:pPr>
      <w:proofErr w:type="spellStart"/>
      <w:r w:rsidRPr="008072A5">
        <w:rPr>
          <w:rFonts w:ascii="Arial" w:hAnsi="Arial" w:cs="Arial"/>
        </w:rPr>
        <w:t>Touraev</w:t>
      </w:r>
      <w:proofErr w:type="spellEnd"/>
      <w:r w:rsidRPr="008072A5">
        <w:rPr>
          <w:rFonts w:ascii="Arial" w:hAnsi="Arial" w:cs="Arial"/>
        </w:rPr>
        <w:t xml:space="preserve">, A., </w:t>
      </w:r>
      <w:proofErr w:type="spellStart"/>
      <w:r w:rsidRPr="008072A5">
        <w:rPr>
          <w:rFonts w:ascii="Arial" w:hAnsi="Arial" w:cs="Arial"/>
        </w:rPr>
        <w:t>Indrianto</w:t>
      </w:r>
      <w:proofErr w:type="spellEnd"/>
      <w:r w:rsidRPr="008072A5">
        <w:rPr>
          <w:rFonts w:ascii="Arial" w:hAnsi="Arial" w:cs="Arial"/>
        </w:rPr>
        <w:t xml:space="preserve">, A., </w:t>
      </w:r>
      <w:proofErr w:type="spellStart"/>
      <w:r w:rsidRPr="008072A5">
        <w:rPr>
          <w:rFonts w:ascii="Arial" w:hAnsi="Arial" w:cs="Arial"/>
        </w:rPr>
        <w:t>Wratschko</w:t>
      </w:r>
      <w:proofErr w:type="spellEnd"/>
      <w:r w:rsidRPr="008072A5">
        <w:rPr>
          <w:rFonts w:ascii="Arial" w:hAnsi="Arial" w:cs="Arial"/>
        </w:rPr>
        <w:t>, I., Vicente, O., &amp; Heberle-Bors, E. (1996). Efficient microspore embryogenesis in wheat induced by starvation at high temperature. Sexual Plant Reproduction, 9, 209–215</w:t>
      </w:r>
    </w:p>
    <w:p w14:paraId="4B2A5AB0" w14:textId="77777777" w:rsidR="00C21AA0" w:rsidRDefault="00C21AA0" w:rsidP="00C21AA0">
      <w:pPr>
        <w:spacing w:line="360" w:lineRule="auto"/>
        <w:ind w:left="720" w:hanging="720"/>
        <w:jc w:val="both"/>
        <w:rPr>
          <w:rFonts w:ascii="Arial" w:hAnsi="Arial" w:cs="Arial"/>
        </w:rPr>
      </w:pPr>
      <w:r w:rsidRPr="008D08CB">
        <w:rPr>
          <w:rFonts w:ascii="Arial" w:hAnsi="Arial" w:cs="Arial"/>
        </w:rPr>
        <w:t>Tripathy, S. K., Patra, S., &amp; Kar, J. (2020). Scope of double haploid production for inbred development in tropical maize. Emergent Life Sciences Research, 6, 21-27.</w:t>
      </w:r>
    </w:p>
    <w:p w14:paraId="32E5E6C2" w14:textId="77777777" w:rsidR="00C21AA0" w:rsidRDefault="00C21AA0" w:rsidP="00C21AA0">
      <w:pPr>
        <w:spacing w:line="360" w:lineRule="auto"/>
        <w:ind w:left="720" w:hanging="720"/>
        <w:jc w:val="both"/>
        <w:rPr>
          <w:rFonts w:ascii="Arial" w:hAnsi="Arial" w:cs="Arial"/>
        </w:rPr>
      </w:pPr>
      <w:r w:rsidRPr="00C444C4">
        <w:rPr>
          <w:rFonts w:ascii="Arial" w:hAnsi="Arial" w:cs="Arial"/>
        </w:rPr>
        <w:t>Yan, J., Warburton, M., &amp; Crouch, J. (2011). Association mapping for enhancing maize (</w:t>
      </w:r>
      <w:proofErr w:type="spellStart"/>
      <w:r w:rsidRPr="00C444C4">
        <w:rPr>
          <w:rFonts w:ascii="Arial" w:hAnsi="Arial" w:cs="Arial"/>
        </w:rPr>
        <w:t>Zea</w:t>
      </w:r>
      <w:proofErr w:type="spellEnd"/>
      <w:r w:rsidRPr="00C444C4">
        <w:rPr>
          <w:rFonts w:ascii="Arial" w:hAnsi="Arial" w:cs="Arial"/>
        </w:rPr>
        <w:t xml:space="preserve"> mays L.) genetic improvement. Crop Science, 51(2), 433-449.</w:t>
      </w:r>
    </w:p>
    <w:p w14:paraId="38D26BA1" w14:textId="77777777" w:rsidR="00C21AA0" w:rsidRDefault="00C21AA0" w:rsidP="00C21AA0">
      <w:pPr>
        <w:spacing w:line="360" w:lineRule="auto"/>
        <w:ind w:left="720" w:hanging="720"/>
        <w:jc w:val="both"/>
        <w:rPr>
          <w:rFonts w:ascii="Arial" w:hAnsi="Arial" w:cs="Arial"/>
        </w:rPr>
      </w:pPr>
      <w:r w:rsidRPr="008D08CB">
        <w:rPr>
          <w:rFonts w:ascii="Arial" w:hAnsi="Arial" w:cs="Arial"/>
        </w:rPr>
        <w:t>Yan, S., Weng, B., Jing, L., &amp; Bi, W. (2023). Effects of drought stress on water content and biomass distribution in summer maize (</w:t>
      </w:r>
      <w:proofErr w:type="spellStart"/>
      <w:r w:rsidRPr="008D08CB">
        <w:rPr>
          <w:rFonts w:ascii="Arial" w:hAnsi="Arial" w:cs="Arial"/>
        </w:rPr>
        <w:t>Zea</w:t>
      </w:r>
      <w:proofErr w:type="spellEnd"/>
      <w:r w:rsidRPr="008D08CB">
        <w:rPr>
          <w:rFonts w:ascii="Arial" w:hAnsi="Arial" w:cs="Arial"/>
        </w:rPr>
        <w:t xml:space="preserve"> mays L.). Frontiers in Plant Science, 14, 1118131.</w:t>
      </w:r>
    </w:p>
    <w:p w14:paraId="7B77E071" w14:textId="77777777" w:rsidR="00C21AA0" w:rsidRDefault="00C21AA0" w:rsidP="00C21AA0">
      <w:pPr>
        <w:spacing w:line="360" w:lineRule="auto"/>
        <w:ind w:left="720" w:hanging="720"/>
        <w:jc w:val="both"/>
        <w:rPr>
          <w:rFonts w:ascii="Arial" w:hAnsi="Arial" w:cs="Arial"/>
        </w:rPr>
      </w:pPr>
      <w:proofErr w:type="spellStart"/>
      <w:r w:rsidRPr="00090086">
        <w:rPr>
          <w:rFonts w:ascii="Arial" w:hAnsi="Arial" w:cs="Arial"/>
        </w:rPr>
        <w:t>Żur</w:t>
      </w:r>
      <w:proofErr w:type="spellEnd"/>
      <w:r w:rsidRPr="00090086">
        <w:rPr>
          <w:rFonts w:ascii="Arial" w:hAnsi="Arial" w:cs="Arial"/>
        </w:rPr>
        <w:t xml:space="preserve">, I., Dubas, E., </w:t>
      </w:r>
      <w:proofErr w:type="spellStart"/>
      <w:r w:rsidRPr="00090086">
        <w:rPr>
          <w:rFonts w:ascii="Arial" w:hAnsi="Arial" w:cs="Arial"/>
        </w:rPr>
        <w:t>Krzewska</w:t>
      </w:r>
      <w:proofErr w:type="spellEnd"/>
      <w:r w:rsidRPr="00090086">
        <w:rPr>
          <w:rFonts w:ascii="Arial" w:hAnsi="Arial" w:cs="Arial"/>
        </w:rPr>
        <w:t xml:space="preserve">, M., </w:t>
      </w:r>
      <w:proofErr w:type="spellStart"/>
      <w:r w:rsidRPr="00090086">
        <w:rPr>
          <w:rFonts w:ascii="Arial" w:hAnsi="Arial" w:cs="Arial"/>
        </w:rPr>
        <w:t>Waligórski</w:t>
      </w:r>
      <w:proofErr w:type="spellEnd"/>
      <w:r w:rsidRPr="00090086">
        <w:rPr>
          <w:rFonts w:ascii="Arial" w:hAnsi="Arial" w:cs="Arial"/>
        </w:rPr>
        <w:t xml:space="preserve">, P., </w:t>
      </w:r>
      <w:proofErr w:type="spellStart"/>
      <w:r w:rsidRPr="00090086">
        <w:rPr>
          <w:rFonts w:ascii="Arial" w:hAnsi="Arial" w:cs="Arial"/>
        </w:rPr>
        <w:t>Dziurka</w:t>
      </w:r>
      <w:proofErr w:type="spellEnd"/>
      <w:r w:rsidRPr="00090086">
        <w:rPr>
          <w:rFonts w:ascii="Arial" w:hAnsi="Arial" w:cs="Arial"/>
        </w:rPr>
        <w:t xml:space="preserve">, M., &amp; Janowiak, F. (2015). Hormonal requirements for effective induction of microspore embryogenesis in triticale (× </w:t>
      </w:r>
      <w:proofErr w:type="spellStart"/>
      <w:r w:rsidRPr="00090086">
        <w:rPr>
          <w:rFonts w:ascii="Arial" w:hAnsi="Arial" w:cs="Arial"/>
        </w:rPr>
        <w:t>Triticosecale</w:t>
      </w:r>
      <w:proofErr w:type="spellEnd"/>
      <w:r w:rsidRPr="00090086">
        <w:rPr>
          <w:rFonts w:ascii="Arial" w:hAnsi="Arial" w:cs="Arial"/>
        </w:rPr>
        <w:t xml:space="preserve"> </w:t>
      </w:r>
      <w:proofErr w:type="spellStart"/>
      <w:r w:rsidRPr="00090086">
        <w:rPr>
          <w:rFonts w:ascii="Arial" w:hAnsi="Arial" w:cs="Arial"/>
        </w:rPr>
        <w:t>Wittm</w:t>
      </w:r>
      <w:proofErr w:type="spellEnd"/>
      <w:r w:rsidRPr="00090086">
        <w:rPr>
          <w:rFonts w:ascii="Arial" w:hAnsi="Arial" w:cs="Arial"/>
        </w:rPr>
        <w:t>.) anther cultures. Plant Cell Reports, 34, 47-62.</w:t>
      </w:r>
    </w:p>
    <w:p w14:paraId="2EEF8500" w14:textId="0E6C052C" w:rsidR="00790ADA" w:rsidRPr="00C21AA0" w:rsidRDefault="00790ADA" w:rsidP="00C21AA0">
      <w:pPr>
        <w:pStyle w:val="ReferHead"/>
        <w:spacing w:after="120" w:line="360" w:lineRule="auto"/>
        <w:ind w:left="720" w:hanging="720"/>
        <w:jc w:val="both"/>
        <w:rPr>
          <w:rFonts w:ascii="Arial" w:hAnsi="Arial" w:cs="Arial"/>
          <w:b w:val="0"/>
          <w:bCs/>
        </w:rPr>
      </w:pPr>
    </w:p>
    <w:sectPr w:rsidR="00790ADA" w:rsidRPr="00C21AA0" w:rsidSect="008E774E">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qeel" w:date="2025-06-19T16:49:00Z" w:initials="MF">
    <w:p w14:paraId="23F0BDA4" w14:textId="32956C03" w:rsidR="0078447E" w:rsidRDefault="0078447E">
      <w:pPr>
        <w:pStyle w:val="CommentText"/>
      </w:pPr>
      <w:r>
        <w:rPr>
          <w:rStyle w:val="CommentReference"/>
        </w:rPr>
        <w:annotationRef/>
      </w:r>
      <w:r>
        <w:t>In vitro</w:t>
      </w:r>
    </w:p>
  </w:comment>
  <w:comment w:id="1" w:author="aqeel" w:date="2025-06-19T16:52:00Z" w:initials="MF">
    <w:p w14:paraId="295D863C" w14:textId="16C7BA86" w:rsidR="0078447E" w:rsidRDefault="0078447E">
      <w:pPr>
        <w:pStyle w:val="CommentText"/>
      </w:pPr>
      <w:r>
        <w:rPr>
          <w:rStyle w:val="CommentReference"/>
        </w:rPr>
        <w:annotationRef/>
      </w:r>
      <w:r>
        <w:t xml:space="preserve">Use anther words of title </w:t>
      </w:r>
    </w:p>
  </w:comment>
  <w:comment w:id="2" w:author="aqeel" w:date="2025-06-19T16:54:00Z" w:initials="MF">
    <w:p w14:paraId="074B519E" w14:textId="036D8535" w:rsidR="0078447E" w:rsidRDefault="0078447E">
      <w:pPr>
        <w:pStyle w:val="CommentText"/>
      </w:pPr>
      <w:r>
        <w:rPr>
          <w:rStyle w:val="CommentReference"/>
        </w:rPr>
        <w:annotationRef/>
      </w:r>
      <w:r>
        <w:t>Its 2014 in reference  list</w:t>
      </w:r>
    </w:p>
  </w:comment>
  <w:comment w:id="3" w:author="aqeel" w:date="2025-06-19T16:55:00Z" w:initials="MF">
    <w:p w14:paraId="1B9C06AA" w14:textId="4AE2B74A" w:rsidR="0078447E" w:rsidRDefault="0078447E">
      <w:pPr>
        <w:pStyle w:val="CommentText"/>
      </w:pPr>
      <w:r>
        <w:rPr>
          <w:rStyle w:val="CommentReference"/>
        </w:rPr>
        <w:annotationRef/>
      </w:r>
      <w:r>
        <w:t>Not found in list</w:t>
      </w:r>
    </w:p>
  </w:comment>
  <w:comment w:id="4" w:author="aqeel" w:date="2025-06-19T16:56:00Z" w:initials="MF">
    <w:p w14:paraId="769E6C51" w14:textId="6FE32881" w:rsidR="0078447E" w:rsidRDefault="0078447E">
      <w:pPr>
        <w:pStyle w:val="CommentText"/>
      </w:pPr>
      <w:r>
        <w:rPr>
          <w:rStyle w:val="CommentReference"/>
        </w:rPr>
        <w:annotationRef/>
      </w:r>
      <w:r>
        <w:t xml:space="preserve">Not found </w:t>
      </w:r>
    </w:p>
  </w:comment>
  <w:comment w:id="5" w:author="aqeel" w:date="2025-06-19T16:59:00Z" w:initials="MF">
    <w:p w14:paraId="25ED4257" w14:textId="58135326" w:rsidR="0078447E" w:rsidRDefault="0078447E">
      <w:pPr>
        <w:pStyle w:val="CommentText"/>
      </w:pPr>
      <w:r>
        <w:rPr>
          <w:rStyle w:val="CommentReference"/>
        </w:rPr>
        <w:annotationRef/>
      </w:r>
      <w:r>
        <w:t>?????</w:t>
      </w:r>
    </w:p>
  </w:comment>
  <w:comment w:id="6" w:author="aqeel" w:date="2025-06-19T17:03:00Z" w:initials="MF">
    <w:p w14:paraId="1B713E5C" w14:textId="6B33C4CA" w:rsidR="00D902DC" w:rsidRDefault="00D902DC">
      <w:pPr>
        <w:pStyle w:val="CommentText"/>
      </w:pPr>
      <w:r>
        <w:rPr>
          <w:rStyle w:val="CommentReference"/>
        </w:rPr>
        <w:annotationRef/>
      </w:r>
      <w:r>
        <w:t xml:space="preserve">?????? unite </w:t>
      </w:r>
    </w:p>
  </w:comment>
  <w:comment w:id="7" w:author="aqeel" w:date="2025-06-19T17:01:00Z" w:initials="MF">
    <w:p w14:paraId="6B6FFB66" w14:textId="694C9FAB" w:rsidR="00D902DC" w:rsidRDefault="00D902DC">
      <w:pPr>
        <w:pStyle w:val="CommentText"/>
      </w:pPr>
      <w:r>
        <w:rPr>
          <w:rStyle w:val="CommentReference"/>
        </w:rPr>
        <w:annotationRef/>
      </w:r>
      <w:r>
        <w:t>1994 in list</w:t>
      </w:r>
    </w:p>
  </w:comment>
  <w:comment w:id="8" w:author="aqeel" w:date="2025-06-19T17:02:00Z" w:initials="MF">
    <w:p w14:paraId="3B964115" w14:textId="344A24C4" w:rsidR="00D902DC" w:rsidRDefault="00D902DC">
      <w:pPr>
        <w:pStyle w:val="CommentText"/>
      </w:pPr>
      <w:r>
        <w:rPr>
          <w:rStyle w:val="CommentReference"/>
        </w:rPr>
        <w:annotationRef/>
      </w:r>
      <w:r>
        <w:t>?????</w:t>
      </w:r>
    </w:p>
  </w:comment>
  <w:comment w:id="9" w:author="aqeel" w:date="2025-06-19T17:16:00Z" w:initials="MF">
    <w:p w14:paraId="21F3CE22" w14:textId="74F150F7" w:rsidR="00613746" w:rsidRDefault="00613746">
      <w:pPr>
        <w:pStyle w:val="CommentText"/>
      </w:pPr>
      <w:r>
        <w:rPr>
          <w:rStyle w:val="CommentReference"/>
        </w:rPr>
        <w:annotationRef/>
      </w:r>
      <w:r>
        <w:t xml:space="preserve">"There are no illustrative images of </w:t>
      </w:r>
      <w:r>
        <w:rPr>
          <w:rStyle w:val="Emphasis"/>
        </w:rPr>
        <w:t>ex vivo</w:t>
      </w:r>
      <w:r>
        <w:t xml:space="preserve"> culture, callus formation, and observations</w:t>
      </w:r>
    </w:p>
  </w:comment>
  <w:comment w:id="10" w:author="aqeel" w:date="2025-06-19T17:07:00Z" w:initials="MF">
    <w:p w14:paraId="3C115A44" w14:textId="4945BC61" w:rsidR="00D902DC" w:rsidRDefault="00D902DC">
      <w:pPr>
        <w:pStyle w:val="CommentText"/>
      </w:pPr>
      <w:r>
        <w:rPr>
          <w:rStyle w:val="CommentReference"/>
        </w:rPr>
        <w:annotationRef/>
      </w:r>
      <w:r>
        <w:t>Not found</w:t>
      </w:r>
    </w:p>
  </w:comment>
  <w:comment w:id="11" w:author="aqeel" w:date="2025-06-19T17:11:00Z" w:initials="MF">
    <w:p w14:paraId="7DA6AE99" w14:textId="01523DB4" w:rsidR="00613746" w:rsidRDefault="00613746">
      <w:pPr>
        <w:pStyle w:val="CommentText"/>
      </w:pPr>
      <w:r>
        <w:t>n</w:t>
      </w:r>
      <w:r>
        <w:rPr>
          <w:vanish/>
        </w:rPr>
        <w:t>?oy</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rStyle w:val="CommentReference"/>
        </w:rPr>
        <w:annotationRef/>
      </w:r>
      <w:r>
        <w:t>Not found</w:t>
      </w:r>
    </w:p>
  </w:comment>
  <w:comment w:id="12" w:author="aqeel" w:date="2025-06-19T17:11:00Z" w:initials="MF">
    <w:p w14:paraId="4B15CDEC" w14:textId="5A705719" w:rsidR="00613746" w:rsidRDefault="00613746">
      <w:pPr>
        <w:pStyle w:val="CommentText"/>
      </w:pPr>
      <w:r>
        <w:t>not</w:t>
      </w:r>
    </w:p>
    <w:p w14:paraId="4B15CDEC" w14:textId="5A705719" w:rsidR="00613746" w:rsidRDefault="00613746">
      <w:pPr>
        <w:pStyle w:val="CommentText"/>
      </w:pPr>
      <w:r>
        <w:rPr>
          <w:rStyle w:val="CommentReference"/>
        </w:rPr>
        <w:annotationRef/>
      </w:r>
    </w:p>
  </w:comment>
  <w:comment w:id="13" w:author="aqeel" w:date="2025-06-19T17:12:00Z" w:initials="MF">
    <w:p w14:paraId="22CA3679" w14:textId="572940EA" w:rsidR="00613746" w:rsidRDefault="00613746">
      <w:pPr>
        <w:pStyle w:val="CommentText"/>
      </w:pPr>
      <w:r>
        <w:rPr>
          <w:rStyle w:val="CommentReference"/>
        </w:rPr>
        <w:annotationRef/>
      </w:r>
      <w:r>
        <w:t>not</w:t>
      </w:r>
    </w:p>
  </w:comment>
  <w:comment w:id="14" w:author="aqeel" w:date="2025-06-19T17:12:00Z" w:initials="MF">
    <w:p w14:paraId="64AC394E" w14:textId="2E46A295" w:rsidR="00613746" w:rsidRDefault="00613746">
      <w:pPr>
        <w:pStyle w:val="CommentText"/>
      </w:pPr>
      <w:r>
        <w:rPr>
          <w:rStyle w:val="CommentReference"/>
        </w:rPr>
        <w:annotationRef/>
      </w:r>
      <w:r>
        <w:rPr>
          <w:rStyle w:val="CommentReference"/>
        </w:rPr>
        <w:t>not</w:t>
      </w:r>
    </w:p>
  </w:comment>
  <w:comment w:id="15" w:author="aqeel" w:date="2025-06-19T17:13:00Z" w:initials="MF">
    <w:p w14:paraId="66D7E845" w14:textId="4923BB15" w:rsidR="00613746" w:rsidRDefault="00613746">
      <w:pPr>
        <w:pStyle w:val="CommentText"/>
      </w:pPr>
      <w:r>
        <w:rPr>
          <w:rStyle w:val="CommentReference"/>
        </w:rPr>
        <w:annotationRef/>
      </w:r>
      <w:r>
        <w:t>???</w:t>
      </w:r>
    </w:p>
  </w:comment>
  <w:comment w:id="16" w:author="aqeel" w:date="2025-06-19T17:16:00Z" w:initials="MF">
    <w:p w14:paraId="68BC14FB" w14:textId="03010B33" w:rsidR="00613746" w:rsidRDefault="00613746">
      <w:pPr>
        <w:pStyle w:val="CommentText"/>
      </w:pPr>
      <w:r>
        <w:rPr>
          <w:rStyle w:val="CommentReference"/>
        </w:rPr>
        <w:annotationRef/>
      </w:r>
      <w:r>
        <w:t xml:space="preserve">"There are no illustrative images of </w:t>
      </w:r>
      <w:r>
        <w:rPr>
          <w:rStyle w:val="Emphasis"/>
        </w:rPr>
        <w:t>ex vivo</w:t>
      </w:r>
      <w:r>
        <w:t xml:space="preserve"> culture, callus formation, and observations</w:t>
      </w:r>
      <w:bookmarkStart w:id="17" w:name="_GoBack"/>
      <w:bookmarkEnd w:id="1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9A775" w14:textId="77777777" w:rsidR="0082524E" w:rsidRDefault="0082524E" w:rsidP="00C37E61">
      <w:r>
        <w:separator/>
      </w:r>
    </w:p>
  </w:endnote>
  <w:endnote w:type="continuationSeparator" w:id="0">
    <w:p w14:paraId="5867DCC8" w14:textId="77777777" w:rsidR="0082524E" w:rsidRDefault="0082524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EB34B" w14:textId="77777777" w:rsidR="007255E3" w:rsidRDefault="00725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DFFBC" w14:textId="77777777" w:rsidR="007255E3" w:rsidRDefault="00725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F8B0A" w14:textId="77777777" w:rsidR="009E048A" w:rsidRDefault="009E048A">
    <w:pPr>
      <w:pStyle w:val="Footer"/>
      <w:rPr>
        <w:rFonts w:ascii="Arial" w:hAnsi="Arial" w:cs="Arial"/>
        <w:sz w:val="16"/>
      </w:rPr>
    </w:pPr>
  </w:p>
  <w:p w14:paraId="0EF5EE0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BBA4663" w14:textId="77777777" w:rsidR="009E048A" w:rsidRDefault="009E048A">
    <w:pPr>
      <w:pStyle w:val="Footer"/>
      <w:rPr>
        <w:rFonts w:ascii="Arial" w:hAnsi="Arial" w:cs="Arial"/>
        <w:sz w:val="16"/>
      </w:rPr>
    </w:pPr>
  </w:p>
  <w:p w14:paraId="042AF96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5CEA5" w14:textId="77777777" w:rsidR="0082524E" w:rsidRDefault="0082524E" w:rsidP="00C37E61">
      <w:r>
        <w:separator/>
      </w:r>
    </w:p>
  </w:footnote>
  <w:footnote w:type="continuationSeparator" w:id="0">
    <w:p w14:paraId="0529B116" w14:textId="77777777" w:rsidR="0082524E" w:rsidRDefault="0082524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639CA" w14:textId="545B55D7" w:rsidR="007255E3" w:rsidRDefault="0082524E">
    <w:pPr>
      <w:pStyle w:val="Header"/>
    </w:pPr>
    <w:r>
      <w:rPr>
        <w:noProof/>
      </w:rPr>
      <w:pict w14:anchorId="54121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8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AE16" w14:textId="60B85EE4" w:rsidR="007255E3" w:rsidRDefault="0082524E">
    <w:pPr>
      <w:pStyle w:val="Header"/>
    </w:pPr>
    <w:r>
      <w:rPr>
        <w:noProof/>
      </w:rPr>
      <w:pict w14:anchorId="6E918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8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E94C" w14:textId="632EB9A7" w:rsidR="00296529" w:rsidRPr="00296529" w:rsidRDefault="0082524E" w:rsidP="00296529">
    <w:pPr>
      <w:ind w:left="2160"/>
      <w:jc w:val="center"/>
      <w:rPr>
        <w:rFonts w:ascii="Times New Roman" w:eastAsia="Calibri" w:hAnsi="Times New Roman"/>
        <w:i/>
        <w:sz w:val="18"/>
        <w:szCs w:val="22"/>
      </w:rPr>
    </w:pPr>
    <w:r>
      <w:rPr>
        <w:noProof/>
      </w:rPr>
      <w:pict w14:anchorId="17D50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8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24EE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DE792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E216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81A0D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043F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138A89"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9251F"/>
    <w:rsid w:val="000A47FA"/>
    <w:rsid w:val="000A65D3"/>
    <w:rsid w:val="000B1E33"/>
    <w:rsid w:val="000D689F"/>
    <w:rsid w:val="000E7B7B"/>
    <w:rsid w:val="000E7D62"/>
    <w:rsid w:val="00103357"/>
    <w:rsid w:val="00123C9F"/>
    <w:rsid w:val="00126190"/>
    <w:rsid w:val="00130F17"/>
    <w:rsid w:val="001320BF"/>
    <w:rsid w:val="00152BCE"/>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7870"/>
    <w:rsid w:val="0033343E"/>
    <w:rsid w:val="003512C2"/>
    <w:rsid w:val="00354CF0"/>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29AA"/>
    <w:rsid w:val="004B4CCD"/>
    <w:rsid w:val="004D305E"/>
    <w:rsid w:val="004D4277"/>
    <w:rsid w:val="004E183F"/>
    <w:rsid w:val="00502516"/>
    <w:rsid w:val="00505F06"/>
    <w:rsid w:val="00506828"/>
    <w:rsid w:val="00521264"/>
    <w:rsid w:val="0053056E"/>
    <w:rsid w:val="00554FDA"/>
    <w:rsid w:val="00575818"/>
    <w:rsid w:val="005C784C"/>
    <w:rsid w:val="005D17F6"/>
    <w:rsid w:val="005E5539"/>
    <w:rsid w:val="00602BF5"/>
    <w:rsid w:val="0060662B"/>
    <w:rsid w:val="00613746"/>
    <w:rsid w:val="00617FDD"/>
    <w:rsid w:val="00633614"/>
    <w:rsid w:val="00633F68"/>
    <w:rsid w:val="00636EB2"/>
    <w:rsid w:val="006375B8"/>
    <w:rsid w:val="0066510A"/>
    <w:rsid w:val="00673F9F"/>
    <w:rsid w:val="006847C2"/>
    <w:rsid w:val="00686953"/>
    <w:rsid w:val="00687DEA"/>
    <w:rsid w:val="00687E67"/>
    <w:rsid w:val="006967F7"/>
    <w:rsid w:val="006A250C"/>
    <w:rsid w:val="006B21D3"/>
    <w:rsid w:val="006B57D0"/>
    <w:rsid w:val="006D30FF"/>
    <w:rsid w:val="006D6940"/>
    <w:rsid w:val="006F11EC"/>
    <w:rsid w:val="0070082C"/>
    <w:rsid w:val="007255E3"/>
    <w:rsid w:val="007369E6"/>
    <w:rsid w:val="00746E59"/>
    <w:rsid w:val="00750506"/>
    <w:rsid w:val="00754C9A"/>
    <w:rsid w:val="0075599A"/>
    <w:rsid w:val="007617CB"/>
    <w:rsid w:val="00761D52"/>
    <w:rsid w:val="0077749E"/>
    <w:rsid w:val="0078447E"/>
    <w:rsid w:val="00790ADA"/>
    <w:rsid w:val="007D2288"/>
    <w:rsid w:val="007E088F"/>
    <w:rsid w:val="007F7B32"/>
    <w:rsid w:val="00804BC2"/>
    <w:rsid w:val="0081431A"/>
    <w:rsid w:val="00823E89"/>
    <w:rsid w:val="0082524E"/>
    <w:rsid w:val="0083216F"/>
    <w:rsid w:val="00860000"/>
    <w:rsid w:val="00863BD3"/>
    <w:rsid w:val="008641ED"/>
    <w:rsid w:val="00866D66"/>
    <w:rsid w:val="008671C6"/>
    <w:rsid w:val="00875803"/>
    <w:rsid w:val="008B459E"/>
    <w:rsid w:val="008C2136"/>
    <w:rsid w:val="008E13AE"/>
    <w:rsid w:val="008E1506"/>
    <w:rsid w:val="008E710C"/>
    <w:rsid w:val="008E774E"/>
    <w:rsid w:val="008F69D6"/>
    <w:rsid w:val="00900E71"/>
    <w:rsid w:val="00902823"/>
    <w:rsid w:val="00907112"/>
    <w:rsid w:val="00915CA6"/>
    <w:rsid w:val="00927834"/>
    <w:rsid w:val="009500A6"/>
    <w:rsid w:val="00953A03"/>
    <w:rsid w:val="00957C18"/>
    <w:rsid w:val="009659BA"/>
    <w:rsid w:val="00983040"/>
    <w:rsid w:val="0099313A"/>
    <w:rsid w:val="00997E1A"/>
    <w:rsid w:val="009B3FB9"/>
    <w:rsid w:val="009C2465"/>
    <w:rsid w:val="009C4C62"/>
    <w:rsid w:val="009D35A0"/>
    <w:rsid w:val="009D7EB7"/>
    <w:rsid w:val="009E048A"/>
    <w:rsid w:val="009E08E9"/>
    <w:rsid w:val="009E3DB9"/>
    <w:rsid w:val="009E6E35"/>
    <w:rsid w:val="009F0EDA"/>
    <w:rsid w:val="00A03B96"/>
    <w:rsid w:val="00A05B19"/>
    <w:rsid w:val="00A1134E"/>
    <w:rsid w:val="00A24E7E"/>
    <w:rsid w:val="00A258C3"/>
    <w:rsid w:val="00A347C0"/>
    <w:rsid w:val="00A50F64"/>
    <w:rsid w:val="00A51431"/>
    <w:rsid w:val="00A539AD"/>
    <w:rsid w:val="00A91804"/>
    <w:rsid w:val="00A94063"/>
    <w:rsid w:val="00AA6219"/>
    <w:rsid w:val="00AA74E0"/>
    <w:rsid w:val="00AB703F"/>
    <w:rsid w:val="00AC6576"/>
    <w:rsid w:val="00AC6BB8"/>
    <w:rsid w:val="00AE008F"/>
    <w:rsid w:val="00AE4E45"/>
    <w:rsid w:val="00B01FCD"/>
    <w:rsid w:val="00B1776C"/>
    <w:rsid w:val="00B17A88"/>
    <w:rsid w:val="00B52583"/>
    <w:rsid w:val="00B52896"/>
    <w:rsid w:val="00B533C0"/>
    <w:rsid w:val="00B71AD2"/>
    <w:rsid w:val="00B95236"/>
    <w:rsid w:val="00B96BD9"/>
    <w:rsid w:val="00BA1B01"/>
    <w:rsid w:val="00BA2641"/>
    <w:rsid w:val="00BB37AA"/>
    <w:rsid w:val="00BC53A0"/>
    <w:rsid w:val="00BE62AD"/>
    <w:rsid w:val="00BF121F"/>
    <w:rsid w:val="00BF168C"/>
    <w:rsid w:val="00BF1F80"/>
    <w:rsid w:val="00C166EF"/>
    <w:rsid w:val="00C17EB0"/>
    <w:rsid w:val="00C21AA0"/>
    <w:rsid w:val="00C27F5F"/>
    <w:rsid w:val="00C30A0F"/>
    <w:rsid w:val="00C37E61"/>
    <w:rsid w:val="00C70F1B"/>
    <w:rsid w:val="00C71A47"/>
    <w:rsid w:val="00C7464C"/>
    <w:rsid w:val="00C85588"/>
    <w:rsid w:val="00CD6755"/>
    <w:rsid w:val="00CD6856"/>
    <w:rsid w:val="00CE0089"/>
    <w:rsid w:val="00CE793C"/>
    <w:rsid w:val="00CF193C"/>
    <w:rsid w:val="00D173F1"/>
    <w:rsid w:val="00D269FA"/>
    <w:rsid w:val="00D74CB0"/>
    <w:rsid w:val="00D8295D"/>
    <w:rsid w:val="00D902D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1136"/>
    <w:rsid w:val="00EC6A55"/>
    <w:rsid w:val="00ED0288"/>
    <w:rsid w:val="00ED7F74"/>
    <w:rsid w:val="00EE52CB"/>
    <w:rsid w:val="00EF581D"/>
    <w:rsid w:val="00EF7FD8"/>
    <w:rsid w:val="00F06F59"/>
    <w:rsid w:val="00F17988"/>
    <w:rsid w:val="00F469F0"/>
    <w:rsid w:val="00F53273"/>
    <w:rsid w:val="00F676E2"/>
    <w:rsid w:val="00F755E4"/>
    <w:rsid w:val="00F77D02"/>
    <w:rsid w:val="00FB259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2D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78447E"/>
    <w:rPr>
      <w:rFonts w:ascii="Helvetica" w:hAnsi="Helvetica"/>
      <w:b/>
      <w:bCs/>
      <w:lang w:val="en-US" w:eastAsia="en-US"/>
    </w:rPr>
  </w:style>
  <w:style w:type="character" w:customStyle="1" w:styleId="CommentSubjectChar">
    <w:name w:val="Comment Subject Char"/>
    <w:basedOn w:val="CommentTextChar"/>
    <w:link w:val="CommentSubject"/>
    <w:semiHidden/>
    <w:rsid w:val="0078447E"/>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78447E"/>
    <w:rPr>
      <w:rFonts w:ascii="Helvetica" w:hAnsi="Helvetica"/>
      <w:b/>
      <w:bCs/>
      <w:lang w:val="en-US" w:eastAsia="en-US"/>
    </w:rPr>
  </w:style>
  <w:style w:type="character" w:customStyle="1" w:styleId="CommentSubjectChar">
    <w:name w:val="Comment Subject Char"/>
    <w:basedOn w:val="CommentTextChar"/>
    <w:link w:val="CommentSubject"/>
    <w:semiHidden/>
    <w:rsid w:val="0078447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oi.org/10.1007/s002990050289"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1016/j.bbagrm.2014.07.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1016/S0176-1617(85)80036-5" TargetMode="Externa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doi.org/10.1007/978-1-61779-818-4_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4EC1-2C67-4C77-BDCD-7ACC6A2F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133</TotalTime>
  <Pages>13</Pages>
  <Words>4780</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aqeel</cp:lastModifiedBy>
  <cp:revision>25</cp:revision>
  <cp:lastPrinted>1999-07-06T11:00:00Z</cp:lastPrinted>
  <dcterms:created xsi:type="dcterms:W3CDTF">2024-10-22T07:57:00Z</dcterms:created>
  <dcterms:modified xsi:type="dcterms:W3CDTF">2025-06-19T14:16:00Z</dcterms:modified>
</cp:coreProperties>
</file>