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1548" w14:textId="77777777" w:rsidR="00754C9A" w:rsidRDefault="00754C9A" w:rsidP="00441B6F">
      <w:pPr>
        <w:pStyle w:val="Title"/>
        <w:spacing w:after="0"/>
        <w:jc w:val="both"/>
        <w:rPr>
          <w:rFonts w:ascii="Arial" w:hAnsi="Arial" w:cs="Arial"/>
        </w:rPr>
      </w:pPr>
    </w:p>
    <w:p w14:paraId="5AC46B68" w14:textId="77777777" w:rsidR="00CF3989" w:rsidRPr="00CF3989" w:rsidRDefault="00CF3989" w:rsidP="00CF3989">
      <w:pPr>
        <w:pStyle w:val="Author"/>
        <w:rPr>
          <w:rFonts w:ascii="Arial" w:hAnsi="Arial" w:cs="Arial"/>
          <w:bCs/>
          <w:i/>
          <w:iCs/>
          <w:kern w:val="28"/>
          <w:sz w:val="18"/>
          <w:szCs w:val="18"/>
          <w:u w:val="single"/>
        </w:rPr>
      </w:pPr>
      <w:r w:rsidRPr="00CF3989">
        <w:rPr>
          <w:rFonts w:ascii="Arial" w:hAnsi="Arial" w:cs="Arial"/>
          <w:bCs/>
          <w:i/>
          <w:iCs/>
          <w:kern w:val="28"/>
          <w:sz w:val="18"/>
          <w:szCs w:val="18"/>
          <w:u w:val="single"/>
        </w:rPr>
        <w:t>Original Research Article</w:t>
      </w:r>
    </w:p>
    <w:p w14:paraId="73E33BA0" w14:textId="77777777" w:rsidR="009367A5" w:rsidRPr="009367A5" w:rsidRDefault="009367A5" w:rsidP="009367A5">
      <w:pPr>
        <w:pStyle w:val="Author"/>
        <w:spacing w:line="240" w:lineRule="auto"/>
        <w:rPr>
          <w:rFonts w:ascii="Arial" w:hAnsi="Arial" w:cs="Arial"/>
          <w:bCs/>
          <w:iCs/>
          <w:kern w:val="28"/>
          <w:sz w:val="36"/>
        </w:rPr>
      </w:pPr>
      <w:r w:rsidRPr="009367A5">
        <w:rPr>
          <w:rFonts w:ascii="Arial" w:hAnsi="Arial" w:cs="Arial"/>
          <w:bCs/>
          <w:iCs/>
          <w:kern w:val="28"/>
          <w:sz w:val="36"/>
        </w:rPr>
        <w:t>Antimicrobial Resistance of St</w:t>
      </w:r>
      <w:r w:rsidRPr="009367A5">
        <w:rPr>
          <w:rFonts w:ascii="Arial" w:hAnsi="Arial" w:cs="Arial"/>
          <w:bCs/>
          <w:i/>
          <w:iCs/>
          <w:kern w:val="28"/>
          <w:sz w:val="36"/>
        </w:rPr>
        <w:t>aphylococcus</w:t>
      </w:r>
      <w:r w:rsidRPr="009367A5">
        <w:rPr>
          <w:rFonts w:ascii="Arial" w:hAnsi="Arial" w:cs="Arial"/>
          <w:bCs/>
          <w:iCs/>
          <w:kern w:val="28"/>
          <w:sz w:val="36"/>
        </w:rPr>
        <w:t xml:space="preserve"> </w:t>
      </w:r>
      <w:r w:rsidRPr="009367A5">
        <w:rPr>
          <w:rFonts w:ascii="Arial" w:hAnsi="Arial" w:cs="Arial"/>
          <w:bCs/>
          <w:i/>
          <w:iCs/>
          <w:kern w:val="28"/>
          <w:sz w:val="36"/>
        </w:rPr>
        <w:t>aureus</w:t>
      </w:r>
      <w:r w:rsidRPr="009367A5">
        <w:rPr>
          <w:rFonts w:ascii="Arial" w:hAnsi="Arial" w:cs="Arial"/>
          <w:bCs/>
          <w:iCs/>
          <w:kern w:val="28"/>
          <w:sz w:val="36"/>
        </w:rPr>
        <w:t xml:space="preserve"> isolated from fomites in emergency units of selected Tertiary Hospitals in Abuja Municipal Area, Nigeria</w:t>
      </w:r>
    </w:p>
    <w:p w14:paraId="1CBD60BF" w14:textId="77777777" w:rsidR="00CF3989" w:rsidRPr="00D21DE2" w:rsidRDefault="00CF3989" w:rsidP="00D21DE2">
      <w:pPr>
        <w:pStyle w:val="Affiliation"/>
        <w:spacing w:line="240" w:lineRule="auto"/>
        <w:rPr>
          <w:rFonts w:ascii="Arial" w:hAnsi="Arial" w:cs="Arial"/>
          <w:i/>
        </w:rPr>
      </w:pPr>
    </w:p>
    <w:p w14:paraId="313BC50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02EE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4573A41" w14:textId="77777777" w:rsidTr="001E44FE">
        <w:tc>
          <w:tcPr>
            <w:tcW w:w="9576" w:type="dxa"/>
            <w:shd w:val="clear" w:color="auto" w:fill="F2F2F2"/>
          </w:tcPr>
          <w:p w14:paraId="54852EA5" w14:textId="77777777" w:rsidR="00E11F48"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11F48">
              <w:rPr>
                <w:rFonts w:ascii="Arial" w:eastAsia="Calibri" w:hAnsi="Arial" w:cs="Arial"/>
                <w:szCs w:val="22"/>
              </w:rPr>
              <w:t>This study investigated</w:t>
            </w:r>
            <w:r w:rsidR="00E11F48" w:rsidRPr="00E11F48">
              <w:rPr>
                <w:rFonts w:ascii="Arial" w:eastAsia="Calibri" w:hAnsi="Arial" w:cs="Arial"/>
                <w:szCs w:val="22"/>
              </w:rPr>
              <w:t xml:space="preserve"> Antimicrobial resistance of </w:t>
            </w:r>
            <w:r w:rsidR="00E11F48">
              <w:rPr>
                <w:rFonts w:ascii="Arial" w:eastAsia="Calibri" w:hAnsi="Arial" w:cs="Arial"/>
                <w:i/>
                <w:szCs w:val="22"/>
              </w:rPr>
              <w:t>S</w:t>
            </w:r>
            <w:r w:rsidR="00E11F48" w:rsidRPr="00E11F48">
              <w:rPr>
                <w:rFonts w:ascii="Arial" w:eastAsia="Calibri" w:hAnsi="Arial" w:cs="Arial"/>
                <w:i/>
                <w:szCs w:val="22"/>
              </w:rPr>
              <w:t>taphylococcus</w:t>
            </w:r>
            <w:r w:rsidR="00E11F48" w:rsidRPr="00E11F48">
              <w:rPr>
                <w:rFonts w:ascii="Arial" w:eastAsia="Calibri" w:hAnsi="Arial" w:cs="Arial"/>
                <w:szCs w:val="22"/>
              </w:rPr>
              <w:t xml:space="preserve"> </w:t>
            </w:r>
            <w:r w:rsidR="00E11F48" w:rsidRPr="00E11F48">
              <w:rPr>
                <w:rFonts w:ascii="Arial" w:eastAsia="Calibri" w:hAnsi="Arial" w:cs="Arial"/>
                <w:i/>
                <w:szCs w:val="22"/>
              </w:rPr>
              <w:t>aureus</w:t>
            </w:r>
            <w:r w:rsidR="00E11F48" w:rsidRPr="00E11F48">
              <w:rPr>
                <w:rFonts w:ascii="Arial" w:eastAsia="Calibri" w:hAnsi="Arial" w:cs="Arial"/>
                <w:szCs w:val="22"/>
              </w:rPr>
              <w:t xml:space="preserve"> isolated from fomites in emergency units of selected tertiary hospitals in Abuja Municipal Area, Nigeria.</w:t>
            </w:r>
          </w:p>
          <w:p w14:paraId="145B50F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63F58">
              <w:rPr>
                <w:rFonts w:ascii="Arial" w:eastAsia="Calibri" w:hAnsi="Arial" w:cs="Arial"/>
                <w:szCs w:val="22"/>
              </w:rPr>
              <w:t>Cross sectional study</w:t>
            </w:r>
            <w:r w:rsidRPr="00BA1B01">
              <w:rPr>
                <w:rFonts w:ascii="Arial" w:eastAsia="Calibri" w:hAnsi="Arial" w:cs="Arial"/>
                <w:szCs w:val="22"/>
              </w:rPr>
              <w:t>.</w:t>
            </w:r>
          </w:p>
          <w:p w14:paraId="0E3E42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63F58">
              <w:rPr>
                <w:rFonts w:ascii="Arial" w:eastAsia="Calibri" w:hAnsi="Arial" w:cs="Arial"/>
                <w:szCs w:val="22"/>
              </w:rPr>
              <w:t>Department of Microbiology, Nasarawa State University, between December 2024 and April 2025</w:t>
            </w:r>
            <w:r w:rsidR="00B63F58" w:rsidRPr="00BA1B01">
              <w:rPr>
                <w:rFonts w:ascii="Arial" w:eastAsia="Calibri" w:hAnsi="Arial" w:cs="Arial"/>
                <w:szCs w:val="22"/>
              </w:rPr>
              <w:t>.</w:t>
            </w:r>
          </w:p>
          <w:p w14:paraId="0599D86A" w14:textId="77777777" w:rsidR="00970435" w:rsidRPr="00970435" w:rsidRDefault="00BA1B01" w:rsidP="0097043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70435" w:rsidRPr="00970435">
              <w:rPr>
                <w:rFonts w:ascii="Arial" w:eastAsia="Calibri" w:hAnsi="Arial" w:cs="Arial"/>
                <w:bCs/>
                <w:szCs w:val="22"/>
              </w:rPr>
              <w:t>Methodology:</w:t>
            </w:r>
            <w:r w:rsidR="00970435" w:rsidRPr="00970435">
              <w:rPr>
                <w:rFonts w:ascii="Arial" w:eastAsia="Calibri" w:hAnsi="Arial" w:cs="Arial"/>
                <w:szCs w:val="22"/>
              </w:rPr>
              <w:t> A total of 350 environmental samples were collected from various fomites, including door handles, tap handles, nursing stations, sinks, beds, and mattresses across three hospitals: National Hospital Abuja (150 samples), Federal Medical Centre, Jabi, Abuja (50 samples), and National Trauma Centre, Abuja (150 samples). Isolates were identified using standard microbiological techniques.</w:t>
            </w:r>
          </w:p>
          <w:p w14:paraId="7A0FFFF8" w14:textId="77777777" w:rsidR="00970435" w:rsidRPr="00970435" w:rsidRDefault="00970435" w:rsidP="00970435">
            <w:pPr>
              <w:pStyle w:val="Body"/>
              <w:spacing w:after="0"/>
              <w:rPr>
                <w:rFonts w:ascii="Arial" w:eastAsia="Calibri" w:hAnsi="Arial" w:cs="Arial"/>
                <w:szCs w:val="22"/>
              </w:rPr>
            </w:pPr>
            <w:r w:rsidRPr="00970435">
              <w:rPr>
                <w:rFonts w:ascii="Arial" w:eastAsia="Calibri" w:hAnsi="Arial" w:cs="Arial"/>
                <w:b/>
                <w:bCs/>
                <w:szCs w:val="22"/>
              </w:rPr>
              <w:t>Results:</w:t>
            </w:r>
            <w:r w:rsidRPr="00970435">
              <w:rPr>
                <w:rFonts w:ascii="Arial" w:eastAsia="Calibri" w:hAnsi="Arial" w:cs="Arial"/>
                <w:szCs w:val="22"/>
              </w:rPr>
              <w:t> The occurrence of </w:t>
            </w:r>
            <w:r w:rsidRPr="00970435">
              <w:rPr>
                <w:rFonts w:ascii="Arial" w:eastAsia="Calibri" w:hAnsi="Arial" w:cs="Arial"/>
                <w:i/>
                <w:iCs/>
                <w:szCs w:val="22"/>
              </w:rPr>
              <w:t>Staphylococcus aureus</w:t>
            </w:r>
            <w:r w:rsidRPr="00970435">
              <w:rPr>
                <w:rFonts w:ascii="Arial" w:eastAsia="Calibri" w:hAnsi="Arial" w:cs="Arial"/>
                <w:szCs w:val="22"/>
              </w:rPr>
              <w:t> was 50 (14.3%). The nursing station had the highest occurrence (23.7%), while tap handles had the lowest (6.5%). The prevalence of multi-drug resistance (MDR) and extensive drug resistance (XDR) among the isolates was recorded at 70% and 12%, respectively. Antibiotic susceptibility testing showed ofloxacin and ciprofloxacin to have the highest sensitivity, while ampicillin, chloramphenicol, trimethoprim/sulfamethoxazole, clindamycin, erythromycin, and penicillin exhibited the highest resistance. The presence of such resistant strains is alarming, particularly in hospital environments where inadequate hygiene practices—especially in developing countries—may contribute to their spread. This emphasizes the need for antimicrobial resistance (AMR) surveillance to track the evolution of resistant strains in hospital settings. Potential intervention strategies are crucial to combat this rising threat.</w:t>
            </w:r>
          </w:p>
          <w:p w14:paraId="52DBC667"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70435" w:rsidRPr="00970435">
              <w:rPr>
                <w:rFonts w:ascii="Arial" w:eastAsia="Calibri" w:hAnsi="Arial" w:cs="Arial"/>
                <w:szCs w:val="22"/>
              </w:rPr>
              <w:t>The high prevalence of </w:t>
            </w:r>
            <w:r w:rsidR="00970435" w:rsidRPr="00970435">
              <w:rPr>
                <w:rFonts w:ascii="Arial" w:eastAsia="Calibri" w:hAnsi="Arial" w:cs="Arial"/>
                <w:i/>
                <w:iCs/>
                <w:szCs w:val="22"/>
              </w:rPr>
              <w:t>Staphylococcus aureus</w:t>
            </w:r>
            <w:r w:rsidR="00970435" w:rsidRPr="00970435">
              <w:rPr>
                <w:rFonts w:ascii="Arial" w:eastAsia="Calibri" w:hAnsi="Arial" w:cs="Arial"/>
                <w:szCs w:val="22"/>
              </w:rPr>
              <w:t> and alarming rates of multidrug-resistant strains in hospital fomites highlight urgent needs for improved infection control measures, antimicrobial stewardship, and regular AMR surveillance to mitigate the spread of resistant pathogens in healthcare settings.</w:t>
            </w:r>
          </w:p>
        </w:tc>
      </w:tr>
    </w:tbl>
    <w:p w14:paraId="3162AB7A" w14:textId="77777777" w:rsidR="00636EB2" w:rsidRDefault="00636EB2" w:rsidP="00441B6F">
      <w:pPr>
        <w:pStyle w:val="Body"/>
        <w:spacing w:after="0"/>
        <w:rPr>
          <w:rFonts w:ascii="Arial" w:hAnsi="Arial" w:cs="Arial"/>
          <w:i/>
        </w:rPr>
      </w:pPr>
    </w:p>
    <w:p w14:paraId="31593552" w14:textId="77777777" w:rsidR="00A24E7E" w:rsidRDefault="00A24E7E" w:rsidP="00441B6F">
      <w:pPr>
        <w:pStyle w:val="Body"/>
        <w:spacing w:after="0"/>
        <w:rPr>
          <w:rFonts w:ascii="Arial" w:hAnsi="Arial" w:cs="Arial"/>
          <w:i/>
        </w:rPr>
      </w:pPr>
      <w:r>
        <w:rPr>
          <w:rFonts w:ascii="Arial" w:hAnsi="Arial" w:cs="Arial"/>
          <w:i/>
        </w:rPr>
        <w:t xml:space="preserve">Keywords: </w:t>
      </w:r>
      <w:r w:rsidR="00C44033" w:rsidRPr="00C44033">
        <w:rPr>
          <w:rFonts w:ascii="Arial" w:hAnsi="Arial" w:cs="Arial"/>
          <w:i/>
        </w:rPr>
        <w:t xml:space="preserve">Antimicrobial Resistance (AMR), Staphylococcus aureus, </w:t>
      </w:r>
      <w:commentRangeStart w:id="0"/>
      <w:r w:rsidR="00C44033" w:rsidRPr="00C44033">
        <w:rPr>
          <w:rFonts w:ascii="Arial" w:hAnsi="Arial" w:cs="Arial"/>
          <w:i/>
        </w:rPr>
        <w:t>Formites</w:t>
      </w:r>
      <w:commentRangeEnd w:id="0"/>
      <w:r w:rsidR="006B43F0">
        <w:rPr>
          <w:rStyle w:val="CommentReference"/>
          <w:rFonts w:ascii="Arial" w:hAnsi="Arial" w:cs="Arial"/>
          <w:i/>
          <w:sz w:val="20"/>
          <w:szCs w:val="20"/>
        </w:rPr>
        <w:commentReference w:id="0"/>
      </w:r>
      <w:r w:rsidR="00C44033">
        <w:rPr>
          <w:rFonts w:ascii="Arial" w:hAnsi="Arial" w:cs="Arial"/>
          <w:i/>
        </w:rPr>
        <w:t>, Antibiotics.</w:t>
      </w:r>
    </w:p>
    <w:p w14:paraId="465F6800" w14:textId="77777777" w:rsidR="00790ADA" w:rsidRDefault="00790ADA" w:rsidP="00441B6F">
      <w:pPr>
        <w:pStyle w:val="Body"/>
        <w:spacing w:after="0"/>
        <w:rPr>
          <w:rFonts w:ascii="Arial" w:hAnsi="Arial" w:cs="Arial"/>
          <w:i/>
        </w:rPr>
      </w:pPr>
    </w:p>
    <w:p w14:paraId="5525A05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85095E" w14:textId="77777777" w:rsidR="00790ADA" w:rsidRPr="00FB3A86" w:rsidRDefault="00790ADA" w:rsidP="00441B6F">
      <w:pPr>
        <w:pStyle w:val="AbstHead"/>
        <w:spacing w:after="0"/>
        <w:jc w:val="both"/>
        <w:rPr>
          <w:rFonts w:ascii="Arial" w:hAnsi="Arial" w:cs="Arial"/>
        </w:rPr>
      </w:pPr>
    </w:p>
    <w:p w14:paraId="4DC513DE" w14:textId="77777777" w:rsidR="00970435" w:rsidRDefault="00970435" w:rsidP="009E3947">
      <w:pPr>
        <w:pStyle w:val="Body"/>
        <w:rPr>
          <w:rFonts w:ascii="Arial" w:hAnsi="Arial" w:cs="Arial"/>
        </w:rPr>
      </w:pPr>
      <w:r w:rsidRPr="00970435">
        <w:rPr>
          <w:rFonts w:ascii="Arial" w:hAnsi="Arial" w:cs="Arial"/>
        </w:rPr>
        <w:t xml:space="preserve">Antibiotic resistance is a major global health challenge, and hospitals serve as key players in combating this growing threat </w:t>
      </w:r>
      <w:r w:rsidR="006E657C">
        <w:rPr>
          <w:rFonts w:ascii="Arial" w:hAnsi="Arial" w:cs="Arial"/>
        </w:rPr>
        <w:t>[1]</w:t>
      </w:r>
      <w:r w:rsidRPr="00970435">
        <w:rPr>
          <w:rFonts w:ascii="Arial" w:hAnsi="Arial" w:cs="Arial"/>
        </w:rPr>
        <w:t xml:space="preserve">. To mitigate the spread of resistant pathogens, healthcare facilities must adopt stringent infection control strategies, including rigorous hand hygiene practices, sterilization protocols, and robust surveillance systems to monitor resistance trends </w:t>
      </w:r>
      <w:r w:rsidR="0046690D">
        <w:rPr>
          <w:rFonts w:ascii="Arial" w:hAnsi="Arial" w:cs="Arial"/>
        </w:rPr>
        <w:t>[2]</w:t>
      </w:r>
      <w:r w:rsidRPr="00970435">
        <w:rPr>
          <w:rFonts w:ascii="Arial" w:hAnsi="Arial" w:cs="Arial"/>
        </w:rPr>
        <w:t>.</w:t>
      </w:r>
      <w:r>
        <w:rPr>
          <w:rFonts w:ascii="Arial" w:hAnsi="Arial" w:cs="Arial"/>
        </w:rPr>
        <w:t xml:space="preserve"> </w:t>
      </w:r>
      <w:r w:rsidRPr="00970435">
        <w:rPr>
          <w:rFonts w:ascii="Arial" w:hAnsi="Arial" w:cs="Arial"/>
        </w:rPr>
        <w:t xml:space="preserve">Antibiotic resistance stands as one of the most critical challenges to global public health </w:t>
      </w:r>
      <w:r w:rsidR="00FE196D">
        <w:rPr>
          <w:rFonts w:ascii="Arial" w:hAnsi="Arial" w:cs="Arial"/>
        </w:rPr>
        <w:t>[3, 4, 5]</w:t>
      </w:r>
      <w:r w:rsidRPr="00970435">
        <w:rPr>
          <w:rFonts w:ascii="Arial" w:hAnsi="Arial" w:cs="Arial"/>
        </w:rPr>
        <w:t>. The overuse and misuse of antibiotics in healthcare have accelerated the rise of multidrug-resistant bacteria, severely complicating infection treatment. Among these pathogens, </w:t>
      </w:r>
      <w:r w:rsidRPr="00970435">
        <w:rPr>
          <w:rFonts w:ascii="Arial" w:hAnsi="Arial" w:cs="Arial"/>
          <w:i/>
          <w:iCs/>
        </w:rPr>
        <w:t>Staphylococcus aureus</w:t>
      </w:r>
      <w:r w:rsidRPr="00970435">
        <w:rPr>
          <w:rFonts w:ascii="Arial" w:hAnsi="Arial" w:cs="Arial"/>
        </w:rPr>
        <w:t> is particularly notorious due to its remarkable adaptability and resistance mechanisms, including methicillin-resistant </w:t>
      </w:r>
      <w:r w:rsidRPr="00970435">
        <w:rPr>
          <w:rFonts w:ascii="Arial" w:hAnsi="Arial" w:cs="Arial"/>
          <w:i/>
          <w:iCs/>
        </w:rPr>
        <w:t>S. aureus</w:t>
      </w:r>
      <w:r w:rsidRPr="00970435">
        <w:rPr>
          <w:rFonts w:ascii="Arial" w:hAnsi="Arial" w:cs="Arial"/>
        </w:rPr>
        <w:t xml:space="preserve"> (MRSA). This bacterium is a leading cause of both hospital- and community-acquired infections, ranging from mild skin conditions to life-threatening diseases such as pneumonia and septicemia </w:t>
      </w:r>
      <w:r w:rsidR="00FE196D">
        <w:rPr>
          <w:rFonts w:ascii="Arial" w:hAnsi="Arial" w:cs="Arial"/>
        </w:rPr>
        <w:t>[6].</w:t>
      </w:r>
    </w:p>
    <w:p w14:paraId="1C9818BF" w14:textId="77777777" w:rsidR="00E125CE" w:rsidRDefault="00970435" w:rsidP="00441B6F">
      <w:pPr>
        <w:pStyle w:val="AbstHead"/>
        <w:spacing w:after="0"/>
        <w:jc w:val="both"/>
        <w:rPr>
          <w:rFonts w:ascii="Arial" w:hAnsi="Arial" w:cs="Arial"/>
          <w:b w:val="0"/>
          <w:caps w:val="0"/>
          <w:sz w:val="20"/>
        </w:rPr>
      </w:pPr>
      <w:r w:rsidRPr="00970435">
        <w:rPr>
          <w:rFonts w:ascii="Arial" w:hAnsi="Arial" w:cs="Arial"/>
          <w:b w:val="0"/>
          <w:caps w:val="0"/>
          <w:sz w:val="20"/>
        </w:rPr>
        <w:lastRenderedPageBreak/>
        <w:t>In hospital environments, fomites—such as door handles, tables, chairs, and bedding—serve as critical reservoirs for pathogen transmission, including </w:t>
      </w:r>
      <w:r w:rsidRPr="00970435">
        <w:rPr>
          <w:rFonts w:ascii="Arial" w:hAnsi="Arial" w:cs="Arial"/>
          <w:b w:val="0"/>
          <w:i/>
          <w:iCs/>
          <w:caps w:val="0"/>
          <w:sz w:val="20"/>
        </w:rPr>
        <w:t>Staphylococcus aureus</w:t>
      </w:r>
      <w:r w:rsidRPr="00970435">
        <w:rPr>
          <w:rFonts w:ascii="Arial" w:hAnsi="Arial" w:cs="Arial"/>
          <w:b w:val="0"/>
          <w:caps w:val="0"/>
          <w:sz w:val="20"/>
        </w:rPr>
        <w:t xml:space="preserve">. The combination of shared facilities and frequent human contact in these settings facilitates the spread of antibiotic-resistant bacteria, presenting a serious public health risk </w:t>
      </w:r>
      <w:r w:rsidR="00FE196D">
        <w:rPr>
          <w:rFonts w:ascii="Arial" w:hAnsi="Arial" w:cs="Arial"/>
          <w:b w:val="0"/>
          <w:caps w:val="0"/>
          <w:sz w:val="20"/>
        </w:rPr>
        <w:t>[7]</w:t>
      </w:r>
      <w:r w:rsidRPr="00970435">
        <w:rPr>
          <w:rFonts w:ascii="Arial" w:hAnsi="Arial" w:cs="Arial"/>
          <w:b w:val="0"/>
          <w:caps w:val="0"/>
          <w:sz w:val="20"/>
        </w:rPr>
        <w:t>. Despite this concern, few studies have examined the antimicrobial resistance profiles of </w:t>
      </w:r>
      <w:r w:rsidRPr="00970435">
        <w:rPr>
          <w:rFonts w:ascii="Arial" w:hAnsi="Arial" w:cs="Arial"/>
          <w:b w:val="0"/>
          <w:i/>
          <w:iCs/>
          <w:caps w:val="0"/>
          <w:sz w:val="20"/>
        </w:rPr>
        <w:t>S. aureus</w:t>
      </w:r>
      <w:r w:rsidRPr="00970435">
        <w:rPr>
          <w:rFonts w:ascii="Arial" w:hAnsi="Arial" w:cs="Arial"/>
          <w:b w:val="0"/>
          <w:caps w:val="0"/>
          <w:sz w:val="20"/>
        </w:rPr>
        <w:t> isolated from fomites in Nigerian hospital emergency units. Therefore, this study aims to assess the antimicrobial resistance patterns of </w:t>
      </w:r>
      <w:r w:rsidRPr="00970435">
        <w:rPr>
          <w:rFonts w:ascii="Arial" w:hAnsi="Arial" w:cs="Arial"/>
          <w:b w:val="0"/>
          <w:i/>
          <w:iCs/>
          <w:caps w:val="0"/>
          <w:sz w:val="20"/>
        </w:rPr>
        <w:t>S. aureus</w:t>
      </w:r>
      <w:r w:rsidRPr="00970435">
        <w:rPr>
          <w:rFonts w:ascii="Arial" w:hAnsi="Arial" w:cs="Arial"/>
          <w:b w:val="0"/>
          <w:caps w:val="0"/>
          <w:sz w:val="20"/>
        </w:rPr>
        <w:t> obtained from fomites in emergency units of selected tertiary healthcare facilities within Abuja Municipal Area, Nigeria.</w:t>
      </w:r>
    </w:p>
    <w:p w14:paraId="11FA1CD9" w14:textId="77777777" w:rsidR="00E125CE" w:rsidRDefault="00E125CE" w:rsidP="00441B6F">
      <w:pPr>
        <w:pStyle w:val="AbstHead"/>
        <w:spacing w:after="0"/>
        <w:jc w:val="both"/>
        <w:rPr>
          <w:rFonts w:ascii="Arial" w:hAnsi="Arial" w:cs="Arial"/>
          <w:b w:val="0"/>
          <w:caps w:val="0"/>
          <w:sz w:val="20"/>
        </w:rPr>
      </w:pPr>
    </w:p>
    <w:p w14:paraId="433172E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128327" w14:textId="77777777" w:rsidR="009E3947" w:rsidRPr="00BA4D9A" w:rsidRDefault="009D26CF" w:rsidP="00441B6F">
      <w:pPr>
        <w:pStyle w:val="AbstHead"/>
        <w:spacing w:after="0"/>
        <w:jc w:val="both"/>
        <w:rPr>
          <w:rFonts w:ascii="Arial" w:hAnsi="Arial" w:cs="Arial"/>
          <w:szCs w:val="22"/>
        </w:rPr>
      </w:pPr>
      <w:r w:rsidRPr="00BA4D9A">
        <w:rPr>
          <w:rFonts w:ascii="Arial" w:hAnsi="Arial" w:cs="Arial"/>
          <w:caps w:val="0"/>
          <w:szCs w:val="22"/>
        </w:rPr>
        <w:t>2.1 Study Location and Sample Collection</w:t>
      </w:r>
    </w:p>
    <w:p w14:paraId="703E4A94" w14:textId="77777777" w:rsidR="00790ADA" w:rsidRPr="00FB3A86" w:rsidRDefault="00790ADA" w:rsidP="00441B6F">
      <w:pPr>
        <w:pStyle w:val="AbstHead"/>
        <w:spacing w:after="0"/>
        <w:jc w:val="both"/>
        <w:rPr>
          <w:rFonts w:ascii="Arial" w:hAnsi="Arial" w:cs="Arial"/>
        </w:rPr>
      </w:pPr>
    </w:p>
    <w:p w14:paraId="20C000AF" w14:textId="77777777" w:rsidR="009E3947" w:rsidRDefault="009E3947" w:rsidP="009D26CF">
      <w:pPr>
        <w:pStyle w:val="Body"/>
        <w:rPr>
          <w:rFonts w:ascii="Arial" w:hAnsi="Arial" w:cs="Arial"/>
        </w:rPr>
      </w:pPr>
      <w:r w:rsidRPr="009E3947">
        <w:rPr>
          <w:rFonts w:ascii="Arial" w:hAnsi="Arial" w:cs="Arial"/>
        </w:rPr>
        <w:t>This   study   was   conducted   in   Nasarawa State University Keffi (NSUK)</w:t>
      </w:r>
      <w:r>
        <w:rPr>
          <w:rFonts w:ascii="Arial" w:hAnsi="Arial" w:cs="Arial"/>
        </w:rPr>
        <w:t>,</w:t>
      </w:r>
      <w:r w:rsidRPr="009E3947">
        <w:rPr>
          <w:rFonts w:ascii="Arial" w:hAnsi="Arial" w:cs="Arial"/>
        </w:rPr>
        <w:t xml:space="preserve"> Nigeria</w:t>
      </w:r>
      <w:r w:rsidR="009D26CF">
        <w:rPr>
          <w:rFonts w:ascii="Times New Roman" w:eastAsia="Calibri" w:hAnsi="Times New Roman"/>
          <w:sz w:val="24"/>
          <w:szCs w:val="24"/>
        </w:rPr>
        <w:t xml:space="preserve">. </w:t>
      </w:r>
      <w:r w:rsidR="009D26CF">
        <w:rPr>
          <w:rFonts w:ascii="Arial" w:eastAsia="Calibri" w:hAnsi="Arial" w:cs="Arial"/>
          <w:szCs w:val="24"/>
        </w:rPr>
        <w:t>Th</w:t>
      </w:r>
      <w:r w:rsidR="009D26CF" w:rsidRPr="009D26CF">
        <w:rPr>
          <w:rFonts w:ascii="Arial" w:hAnsi="Arial" w:cs="Arial"/>
        </w:rPr>
        <w:t xml:space="preserve">ree </w:t>
      </w:r>
      <w:r w:rsidR="00E125CE">
        <w:rPr>
          <w:rFonts w:ascii="Arial" w:hAnsi="Arial" w:cs="Arial"/>
        </w:rPr>
        <w:t>hundred and fifty (350)</w:t>
      </w:r>
      <w:r w:rsidR="009D26CF" w:rsidRPr="009D26CF">
        <w:rPr>
          <w:rFonts w:ascii="Arial" w:hAnsi="Arial" w:cs="Arial"/>
        </w:rPr>
        <w:t xml:space="preserve"> swab samples </w:t>
      </w:r>
      <w:commentRangeStart w:id="1"/>
      <w:r w:rsidR="009D26CF" w:rsidRPr="009D26CF">
        <w:rPr>
          <w:rFonts w:ascii="Arial" w:hAnsi="Arial" w:cs="Arial"/>
        </w:rPr>
        <w:t xml:space="preserve">or sterile swab </w:t>
      </w:r>
      <w:commentRangeEnd w:id="1"/>
      <w:r w:rsidR="006B43F0" w:rsidRPr="009D26CF">
        <w:rPr>
          <w:rStyle w:val="CommentReference"/>
          <w:rFonts w:ascii="Arial" w:hAnsi="Arial" w:cs="Arial"/>
          <w:sz w:val="20"/>
          <w:szCs w:val="20"/>
        </w:rPr>
        <w:commentReference w:id="1"/>
      </w:r>
      <w:r w:rsidR="009D26CF" w:rsidRPr="009D26CF">
        <w:rPr>
          <w:rFonts w:ascii="Arial" w:hAnsi="Arial" w:cs="Arial"/>
        </w:rPr>
        <w:t xml:space="preserve">emulsified in peptone water from emergency units of the selected Hospitals in Abuja, was collected and transported to the </w:t>
      </w:r>
      <w:commentRangeStart w:id="2"/>
      <w:r w:rsidR="009D26CF" w:rsidRPr="009D26CF">
        <w:rPr>
          <w:rFonts w:ascii="Arial" w:hAnsi="Arial" w:cs="Arial"/>
        </w:rPr>
        <w:t>Microbiology Laboratory Nasarawa State Univer</w:t>
      </w:r>
      <w:r w:rsidR="009D26CF">
        <w:rPr>
          <w:rFonts w:ascii="Arial" w:hAnsi="Arial" w:cs="Arial"/>
        </w:rPr>
        <w:t>sity Keffi (NSUK) for analysis, as described by</w:t>
      </w:r>
      <w:r w:rsidR="009D26CF" w:rsidRPr="009D26CF">
        <w:rPr>
          <w:rFonts w:ascii="Arial" w:hAnsi="Arial" w:cs="Arial"/>
        </w:rPr>
        <w:t xml:space="preserve"> </w:t>
      </w:r>
      <w:r w:rsidR="00FE196D">
        <w:rPr>
          <w:rFonts w:ascii="Arial" w:hAnsi="Arial" w:cs="Arial"/>
        </w:rPr>
        <w:t>[8].</w:t>
      </w:r>
      <w:commentRangeEnd w:id="2"/>
      <w:r w:rsidR="006B43F0">
        <w:rPr>
          <w:rStyle w:val="CommentReference"/>
          <w:rFonts w:ascii="Arial" w:hAnsi="Arial" w:cs="Arial"/>
          <w:sz w:val="20"/>
          <w:szCs w:val="20"/>
        </w:rPr>
        <w:commentReference w:id="2"/>
      </w:r>
    </w:p>
    <w:p w14:paraId="00E7093A" w14:textId="77777777" w:rsidR="009D26CF" w:rsidRPr="00BA4D9A" w:rsidRDefault="009D26CF" w:rsidP="009D26CF">
      <w:pPr>
        <w:pStyle w:val="Body"/>
        <w:rPr>
          <w:rFonts w:ascii="Arial" w:hAnsi="Arial" w:cs="Arial"/>
          <w:b/>
          <w:sz w:val="22"/>
          <w:szCs w:val="22"/>
        </w:rPr>
      </w:pPr>
      <w:r w:rsidRPr="00BA4D9A">
        <w:rPr>
          <w:rFonts w:ascii="Arial" w:hAnsi="Arial" w:cs="Arial"/>
          <w:b/>
          <w:sz w:val="22"/>
          <w:szCs w:val="22"/>
        </w:rPr>
        <w:t>2.2 Isolation and Identification of Bacterial Isolates</w:t>
      </w:r>
    </w:p>
    <w:p w14:paraId="3A59ACC5" w14:textId="77777777" w:rsidR="009D26CF" w:rsidRDefault="00E125CE" w:rsidP="00441B6F">
      <w:pPr>
        <w:pStyle w:val="Body"/>
        <w:spacing w:after="0"/>
        <w:rPr>
          <w:rFonts w:ascii="Arial" w:hAnsi="Arial" w:cs="Arial"/>
        </w:rPr>
      </w:pPr>
      <w:r w:rsidRPr="00E125CE">
        <w:rPr>
          <w:rFonts w:ascii="Arial" w:hAnsi="Arial" w:cs="Arial"/>
        </w:rPr>
        <w:t xml:space="preserve">The collected samples were cultured on Mannitol Salt Agar (MSA) and incubated at 37°C for 24 hours. Following incubation, distinct colonies were sub-cultured onto Nutrient Agar to obtain pure isolates. Bacterial identification was performed using standard biochemical assays, including Gram staining, catalase, oxidase, urease, citrate utilization, coagulase, and hemolysis tests </w:t>
      </w:r>
      <w:r w:rsidR="00FE196D">
        <w:rPr>
          <w:rFonts w:ascii="Arial" w:hAnsi="Arial" w:cs="Arial"/>
        </w:rPr>
        <w:t>[9, 10, 11, 12]</w:t>
      </w:r>
      <w:r>
        <w:rPr>
          <w:rFonts w:ascii="Arial" w:hAnsi="Arial" w:cs="Arial"/>
        </w:rPr>
        <w:t xml:space="preserve">. </w:t>
      </w:r>
      <w:r w:rsidRPr="00E125CE">
        <w:rPr>
          <w:rFonts w:ascii="Arial" w:hAnsi="Arial" w:cs="Arial"/>
        </w:rPr>
        <w:t xml:space="preserve">Additionally, sugar fermentation tests were conducted to differentiate bacterial species based on their metabolic characteristics </w:t>
      </w:r>
      <w:r w:rsidR="00FE196D">
        <w:rPr>
          <w:rFonts w:ascii="Arial" w:hAnsi="Arial" w:cs="Arial"/>
        </w:rPr>
        <w:t>[13]</w:t>
      </w:r>
      <w:r w:rsidRPr="00E125CE">
        <w:rPr>
          <w:rFonts w:ascii="Arial" w:hAnsi="Arial" w:cs="Arial"/>
        </w:rPr>
        <w:t>.</w:t>
      </w:r>
    </w:p>
    <w:p w14:paraId="1D45CBF9" w14:textId="77777777" w:rsidR="00E125CE" w:rsidRPr="00E125CE" w:rsidRDefault="00E125CE" w:rsidP="00E125CE">
      <w:pPr>
        <w:pStyle w:val="Body"/>
        <w:rPr>
          <w:rFonts w:ascii="Arial" w:hAnsi="Arial" w:cs="Arial"/>
        </w:rPr>
      </w:pPr>
      <w:r w:rsidRPr="00E125CE">
        <w:rPr>
          <w:rFonts w:ascii="Arial" w:hAnsi="Arial" w:cs="Arial"/>
        </w:rPr>
        <w:t>The presumptive </w:t>
      </w:r>
      <w:r w:rsidRPr="00E125CE">
        <w:rPr>
          <w:rFonts w:ascii="Arial" w:hAnsi="Arial" w:cs="Arial"/>
          <w:i/>
          <w:iCs/>
        </w:rPr>
        <w:t>S. aureus</w:t>
      </w:r>
      <w:r w:rsidRPr="00E125CE">
        <w:rPr>
          <w:rFonts w:ascii="Arial" w:hAnsi="Arial" w:cs="Arial"/>
        </w:rPr>
        <w:t xml:space="preserve"> isolates, which were Gram-positive cocci in clusters and tested positive for both catalase and coagulase, were confirmed using the </w:t>
      </w:r>
      <w:commentRangeStart w:id="3"/>
      <w:r w:rsidRPr="00E125CE">
        <w:rPr>
          <w:rFonts w:ascii="Arial" w:hAnsi="Arial" w:cs="Arial"/>
        </w:rPr>
        <w:t xml:space="preserve">KB003 </w:t>
      </w:r>
      <w:commentRangeEnd w:id="3"/>
      <w:r w:rsidR="007D0F82" w:rsidRPr="00E125CE">
        <w:rPr>
          <w:rStyle w:val="CommentReference"/>
          <w:rFonts w:ascii="Arial" w:hAnsi="Arial" w:cs="Arial"/>
          <w:sz w:val="20"/>
          <w:szCs w:val="20"/>
        </w:rPr>
        <w:commentReference w:id="3"/>
      </w:r>
      <w:r w:rsidRPr="00E125CE">
        <w:rPr>
          <w:rFonts w:ascii="Arial" w:hAnsi="Arial" w:cs="Arial"/>
        </w:rPr>
        <w:t>H125TM Kit (HiMedia Ltd, India) according to the manufacturer's protocol. Briefly, three pure colonies of 24-hour Nutrient Agar cultures suspected to be </w:t>
      </w:r>
      <w:r w:rsidRPr="00E125CE">
        <w:rPr>
          <w:rFonts w:ascii="Arial" w:hAnsi="Arial" w:cs="Arial"/>
          <w:i/>
          <w:iCs/>
        </w:rPr>
        <w:t>S. aureus</w:t>
      </w:r>
      <w:r w:rsidRPr="00E125CE">
        <w:rPr>
          <w:rFonts w:ascii="Arial" w:hAnsi="Arial" w:cs="Arial"/>
        </w:rPr>
        <w:t> were transferred into 5 mL of sterile normal saline and adjusted to a turbidity equivalent to 0.5 McFarland standard.</w:t>
      </w:r>
    </w:p>
    <w:p w14:paraId="19AEDC90" w14:textId="77777777" w:rsidR="00E125CE" w:rsidRPr="00E125CE" w:rsidRDefault="00E125CE" w:rsidP="00E125CE">
      <w:pPr>
        <w:pStyle w:val="Body"/>
        <w:rPr>
          <w:rFonts w:ascii="Arial" w:hAnsi="Arial" w:cs="Arial"/>
        </w:rPr>
      </w:pPr>
      <w:r w:rsidRPr="00E125CE">
        <w:rPr>
          <w:rFonts w:ascii="Arial" w:hAnsi="Arial" w:cs="Arial"/>
        </w:rPr>
        <w:t xml:space="preserve">The kit was aseptically opened by removing the sealing foil, and 50 µL of the standardized suspension was inoculated into each well. The wells were then resealed with the foil and incubated at 37°C for 24 hours. Following incubation, 2 drops of Barritt's reagent A were added to well No. 1, followed by 1 drop of Barritt's reagent B. Similarly, 2 drops of NaOH were added to well No. 2. Results were interpreted according to the standard identification index provided with the </w:t>
      </w:r>
      <w:commentRangeStart w:id="4"/>
      <w:r w:rsidRPr="00E125CE">
        <w:rPr>
          <w:rFonts w:ascii="Arial" w:hAnsi="Arial" w:cs="Arial"/>
        </w:rPr>
        <w:t>kit.</w:t>
      </w:r>
      <w:commentRangeEnd w:id="4"/>
      <w:r w:rsidR="007D0F82" w:rsidRPr="00E125CE">
        <w:rPr>
          <w:rStyle w:val="CommentReference"/>
          <w:rFonts w:ascii="Arial" w:hAnsi="Arial" w:cs="Arial"/>
          <w:sz w:val="20"/>
          <w:szCs w:val="20"/>
        </w:rPr>
        <w:commentReference w:id="4"/>
      </w:r>
    </w:p>
    <w:p w14:paraId="64503044" w14:textId="77777777" w:rsidR="00BA4D9A" w:rsidRPr="00BA4D9A" w:rsidRDefault="00BA4D9A" w:rsidP="00BA4D9A">
      <w:pPr>
        <w:pStyle w:val="Body"/>
        <w:rPr>
          <w:rFonts w:ascii="Arial" w:hAnsi="Arial" w:cs="Arial"/>
          <w:b/>
          <w:sz w:val="22"/>
        </w:rPr>
      </w:pPr>
      <w:r>
        <w:rPr>
          <w:rFonts w:ascii="Arial" w:hAnsi="Arial" w:cs="Arial"/>
          <w:b/>
          <w:caps/>
          <w:sz w:val="22"/>
        </w:rPr>
        <w:t>2.3</w:t>
      </w:r>
      <w:r w:rsidR="00AA74E0" w:rsidRPr="00C30A0F">
        <w:rPr>
          <w:rFonts w:ascii="Arial" w:hAnsi="Arial" w:cs="Arial"/>
          <w:b/>
          <w:caps/>
          <w:sz w:val="22"/>
        </w:rPr>
        <w:t xml:space="preserve"> </w:t>
      </w:r>
      <w:r w:rsidRPr="00BA4D9A">
        <w:rPr>
          <w:rFonts w:ascii="Arial" w:hAnsi="Arial" w:cs="Arial"/>
          <w:b/>
          <w:sz w:val="22"/>
        </w:rPr>
        <w:t>Antimicrobial Susceptibility Testing</w:t>
      </w:r>
    </w:p>
    <w:p w14:paraId="73588421" w14:textId="77777777" w:rsidR="00E125CE" w:rsidRDefault="00E125CE" w:rsidP="00E125CE">
      <w:pPr>
        <w:pStyle w:val="Head1"/>
        <w:jc w:val="both"/>
        <w:rPr>
          <w:rFonts w:ascii="Arial" w:hAnsi="Arial" w:cs="Arial"/>
          <w:b w:val="0"/>
          <w:caps w:val="0"/>
          <w:sz w:val="20"/>
        </w:rPr>
      </w:pPr>
      <w:r w:rsidRPr="00E125CE">
        <w:rPr>
          <w:rFonts w:ascii="Arial" w:hAnsi="Arial" w:cs="Arial"/>
          <w:b w:val="0"/>
          <w:caps w:val="0"/>
          <w:sz w:val="20"/>
        </w:rPr>
        <w:t xml:space="preserve">Antimicrobial susceptibility testing was performed according to Clinical and Laboratory Standards Institute guidelines </w:t>
      </w:r>
      <w:r w:rsidR="00AF0D2E">
        <w:rPr>
          <w:rFonts w:ascii="Arial" w:hAnsi="Arial" w:cs="Arial"/>
          <w:b w:val="0"/>
          <w:caps w:val="0"/>
          <w:sz w:val="20"/>
        </w:rPr>
        <w:t>[14]</w:t>
      </w:r>
      <w:r w:rsidRPr="00E125CE">
        <w:rPr>
          <w:rFonts w:ascii="Arial" w:hAnsi="Arial" w:cs="Arial"/>
          <w:b w:val="0"/>
          <w:caps w:val="0"/>
          <w:sz w:val="20"/>
        </w:rPr>
        <w:t>. Three pure colonies of each isolate were suspended in 5 mL sterile 0.85% (w/v) normal saline, with turbidity adjusted to match the 0.5 McFarland standard. The standard was prepared by adding 0.5 mL of 1.172% (w/v) BaCl</w:t>
      </w:r>
      <w:r w:rsidRPr="00E125CE">
        <w:rPr>
          <w:rFonts w:ascii="Cambria Math" w:hAnsi="Cambria Math" w:cs="Cambria Math"/>
          <w:b w:val="0"/>
          <w:caps w:val="0"/>
          <w:sz w:val="20"/>
        </w:rPr>
        <w:t>₂</w:t>
      </w:r>
      <w:r w:rsidRPr="00E125CE">
        <w:rPr>
          <w:rFonts w:ascii="Arial" w:hAnsi="Arial" w:cs="Arial"/>
          <w:b w:val="0"/>
          <w:caps w:val="0"/>
          <w:sz w:val="20"/>
        </w:rPr>
        <w:t>·2H</w:t>
      </w:r>
      <w:r w:rsidRPr="00E125CE">
        <w:rPr>
          <w:rFonts w:ascii="Cambria Math" w:hAnsi="Cambria Math" w:cs="Cambria Math"/>
          <w:b w:val="0"/>
          <w:caps w:val="0"/>
          <w:sz w:val="20"/>
        </w:rPr>
        <w:t>₂</w:t>
      </w:r>
      <w:r w:rsidRPr="00E125CE">
        <w:rPr>
          <w:rFonts w:ascii="Arial" w:hAnsi="Arial" w:cs="Arial"/>
          <w:b w:val="0"/>
          <w:caps w:val="0"/>
          <w:sz w:val="20"/>
        </w:rPr>
        <w:t>O to 99.5 mL of 1% (w/v) H</w:t>
      </w:r>
      <w:r w:rsidRPr="00E125CE">
        <w:rPr>
          <w:rFonts w:ascii="Cambria Math" w:hAnsi="Cambria Math" w:cs="Cambria Math"/>
          <w:b w:val="0"/>
          <w:caps w:val="0"/>
          <w:sz w:val="20"/>
        </w:rPr>
        <w:t>₂</w:t>
      </w:r>
      <w:r w:rsidRPr="00E125CE">
        <w:rPr>
          <w:rFonts w:ascii="Arial" w:hAnsi="Arial" w:cs="Arial"/>
          <w:b w:val="0"/>
          <w:caps w:val="0"/>
          <w:sz w:val="20"/>
        </w:rPr>
        <w:t>SO</w:t>
      </w:r>
      <w:r w:rsidRPr="00E125CE">
        <w:rPr>
          <w:rFonts w:ascii="Cambria Math" w:hAnsi="Cambria Math" w:cs="Cambria Math"/>
          <w:b w:val="0"/>
          <w:caps w:val="0"/>
          <w:sz w:val="20"/>
        </w:rPr>
        <w:t>₄</w:t>
      </w:r>
      <w:r w:rsidRPr="00E125CE">
        <w:rPr>
          <w:rFonts w:ascii="Arial" w:hAnsi="Arial" w:cs="Arial"/>
          <w:b w:val="0"/>
          <w:caps w:val="0"/>
          <w:sz w:val="20"/>
        </w:rPr>
        <w:t>.</w:t>
      </w:r>
      <w:r>
        <w:rPr>
          <w:rFonts w:ascii="Arial" w:hAnsi="Arial" w:cs="Arial"/>
          <w:b w:val="0"/>
          <w:caps w:val="0"/>
          <w:sz w:val="20"/>
        </w:rPr>
        <w:t xml:space="preserve"> </w:t>
      </w:r>
      <w:r w:rsidRPr="00E125CE">
        <w:rPr>
          <w:rFonts w:ascii="Arial" w:hAnsi="Arial" w:cs="Arial"/>
          <w:b w:val="0"/>
          <w:caps w:val="0"/>
          <w:sz w:val="20"/>
        </w:rPr>
        <w:t>Using sterile technique, a cotton swab was immersed in the standardized suspension and streaked uniformly across Mueller-Hinton agar plates. Antibiotic discs were then aseptically placed on the inoculated plates and allowed to pre-diffuse for 1 hour at room temperature. Following incubation at 37°C for 24 hours, inhibition zone diameters were measured in millimeters and inte</w:t>
      </w:r>
      <w:r w:rsidR="00AF0D2E">
        <w:rPr>
          <w:rFonts w:ascii="Arial" w:hAnsi="Arial" w:cs="Arial"/>
          <w:b w:val="0"/>
          <w:caps w:val="0"/>
          <w:sz w:val="20"/>
        </w:rPr>
        <w:t xml:space="preserve">rpreted according to </w:t>
      </w:r>
      <w:commentRangeStart w:id="5"/>
      <w:r w:rsidR="00AF0D2E">
        <w:rPr>
          <w:rFonts w:ascii="Arial" w:hAnsi="Arial" w:cs="Arial"/>
          <w:b w:val="0"/>
          <w:caps w:val="0"/>
          <w:sz w:val="20"/>
        </w:rPr>
        <w:t>CLSI</w:t>
      </w:r>
      <w:r w:rsidRPr="00E125CE">
        <w:rPr>
          <w:rFonts w:ascii="Arial" w:hAnsi="Arial" w:cs="Arial"/>
          <w:b w:val="0"/>
          <w:caps w:val="0"/>
          <w:sz w:val="20"/>
        </w:rPr>
        <w:t xml:space="preserve"> </w:t>
      </w:r>
      <w:commentRangeEnd w:id="5"/>
      <w:r w:rsidR="007D0F82" w:rsidRPr="00E125CE">
        <w:rPr>
          <w:rStyle w:val="CommentReference"/>
          <w:rFonts w:ascii="Arial" w:hAnsi="Arial" w:cs="Arial"/>
          <w:b w:val="0"/>
          <w:caps w:val="0"/>
          <w:sz w:val="20"/>
          <w:szCs w:val="20"/>
        </w:rPr>
        <w:commentReference w:id="5"/>
      </w:r>
      <w:commentRangeStart w:id="6"/>
      <w:r w:rsidRPr="00E125CE">
        <w:rPr>
          <w:rFonts w:ascii="Arial" w:hAnsi="Arial" w:cs="Arial"/>
          <w:b w:val="0"/>
          <w:caps w:val="0"/>
          <w:sz w:val="20"/>
        </w:rPr>
        <w:t>susceptibility breakpoints</w:t>
      </w:r>
      <w:r w:rsidR="00AF0D2E">
        <w:rPr>
          <w:rFonts w:ascii="Arial" w:hAnsi="Arial" w:cs="Arial"/>
          <w:b w:val="0"/>
          <w:caps w:val="0"/>
          <w:sz w:val="20"/>
        </w:rPr>
        <w:t xml:space="preserve"> [14]</w:t>
      </w:r>
      <w:r w:rsidRPr="00E125CE">
        <w:rPr>
          <w:rFonts w:ascii="Arial" w:hAnsi="Arial" w:cs="Arial"/>
          <w:b w:val="0"/>
          <w:caps w:val="0"/>
          <w:sz w:val="20"/>
        </w:rPr>
        <w:t>.</w:t>
      </w:r>
      <w:commentRangeEnd w:id="6"/>
      <w:r w:rsidR="00532C86">
        <w:rPr>
          <w:rStyle w:val="CommentReference"/>
          <w:rFonts w:ascii="Arial" w:hAnsi="Arial" w:cs="Arial"/>
          <w:b w:val="0"/>
          <w:caps w:val="0"/>
          <w:sz w:val="20"/>
          <w:szCs w:val="20"/>
        </w:rPr>
        <w:commentReference w:id="6"/>
      </w:r>
    </w:p>
    <w:p w14:paraId="25D1E79E" w14:textId="77777777" w:rsidR="00902823" w:rsidRPr="00E125CE" w:rsidRDefault="00000F8F" w:rsidP="00E125CE">
      <w:pPr>
        <w:pStyle w:val="Head1"/>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00AF552B" w14:textId="77777777" w:rsidR="00BA4D9A" w:rsidRPr="00BA4D9A" w:rsidRDefault="00BA4D9A" w:rsidP="00BA4D9A">
      <w:pPr>
        <w:pStyle w:val="Body"/>
        <w:rPr>
          <w:rFonts w:ascii="Arial" w:hAnsi="Arial" w:cs="Arial"/>
          <w:b/>
          <w:bCs/>
          <w:sz w:val="22"/>
        </w:rPr>
      </w:pPr>
      <w:r>
        <w:rPr>
          <w:rFonts w:ascii="Arial" w:hAnsi="Arial" w:cs="Arial"/>
          <w:b/>
          <w:caps/>
          <w:sz w:val="22"/>
        </w:rPr>
        <w:t>3.1</w:t>
      </w:r>
      <w:r w:rsidRPr="00C30A0F">
        <w:rPr>
          <w:rFonts w:ascii="Arial" w:hAnsi="Arial" w:cs="Arial"/>
          <w:b/>
          <w:caps/>
          <w:sz w:val="22"/>
        </w:rPr>
        <w:t xml:space="preserve"> </w:t>
      </w:r>
      <w:r w:rsidRPr="00BA4D9A">
        <w:rPr>
          <w:rFonts w:ascii="Arial" w:hAnsi="Arial" w:cs="Arial"/>
          <w:b/>
          <w:bCs/>
          <w:sz w:val="22"/>
        </w:rPr>
        <w:t xml:space="preserve">Prevalence of </w:t>
      </w:r>
      <w:r w:rsidRPr="00BA4D9A">
        <w:rPr>
          <w:rFonts w:ascii="Arial" w:hAnsi="Arial" w:cs="Arial"/>
          <w:b/>
          <w:bCs/>
          <w:i/>
          <w:iCs/>
          <w:sz w:val="22"/>
        </w:rPr>
        <w:t>Staphylococcu</w:t>
      </w:r>
      <w:r>
        <w:rPr>
          <w:rFonts w:ascii="Arial" w:hAnsi="Arial" w:cs="Arial"/>
          <w:b/>
          <w:bCs/>
          <w:i/>
          <w:iCs/>
          <w:sz w:val="22"/>
        </w:rPr>
        <w:t>s</w:t>
      </w:r>
      <w:r w:rsidRPr="00BA4D9A">
        <w:rPr>
          <w:rFonts w:ascii="Arial" w:hAnsi="Arial" w:cs="Arial"/>
          <w:b/>
          <w:bCs/>
          <w:i/>
          <w:iCs/>
          <w:sz w:val="22"/>
        </w:rPr>
        <w:t xml:space="preserve"> aureus</w:t>
      </w:r>
    </w:p>
    <w:p w14:paraId="61631202" w14:textId="4CB903E3" w:rsidR="00E125CE" w:rsidRPr="00E125CE" w:rsidRDefault="00E125CE" w:rsidP="00E125CE">
      <w:pPr>
        <w:pStyle w:val="Body"/>
        <w:rPr>
          <w:rFonts w:ascii="Arial" w:hAnsi="Arial" w:cs="Arial"/>
        </w:rPr>
      </w:pPr>
      <w:r w:rsidRPr="00E125CE">
        <w:rPr>
          <w:rFonts w:ascii="Arial" w:hAnsi="Arial" w:cs="Arial"/>
        </w:rPr>
        <w:t>The prevalence of </w:t>
      </w:r>
      <w:r w:rsidRPr="00E125CE">
        <w:rPr>
          <w:rFonts w:ascii="Arial" w:hAnsi="Arial" w:cs="Arial"/>
          <w:i/>
          <w:iCs/>
        </w:rPr>
        <w:t>Staphylococcus aureus</w:t>
      </w:r>
      <w:r w:rsidRPr="00E125CE">
        <w:rPr>
          <w:rFonts w:ascii="Arial" w:hAnsi="Arial" w:cs="Arial"/>
        </w:rPr>
        <w:t> isolated from fomites in tertiary healthcare facilities in Abuja, Nigeria was analyzed using descriptive statistics (Figures 1-3), with consideration of facility type, fomite category, and disinfectant protocols during sampling. The overall prevalence of </w:t>
      </w:r>
      <w:r w:rsidRPr="00E125CE">
        <w:rPr>
          <w:rFonts w:ascii="Arial" w:hAnsi="Arial" w:cs="Arial"/>
          <w:i/>
          <w:iCs/>
        </w:rPr>
        <w:t>S. aureus</w:t>
      </w:r>
      <w:r w:rsidRPr="00E125CE">
        <w:rPr>
          <w:rFonts w:ascii="Arial" w:hAnsi="Arial" w:cs="Arial"/>
        </w:rPr>
        <w:t> was 14.3% (50/350). Facility-specific analysis revealed the highest prevalence at Federal Medical Centre Jabi (FMCJ; 18.0%, 9/50), followed by National Trauma Centre Abuja (NTCA; 14.7%, 22/150) and National Hospital Abuja (NHA; 12.7%, 19/150).</w:t>
      </w:r>
    </w:p>
    <w:p w14:paraId="30B6CA32" w14:textId="77777777" w:rsidR="00E125CE" w:rsidRPr="00E125CE" w:rsidRDefault="00E125CE" w:rsidP="00E125CE">
      <w:pPr>
        <w:pStyle w:val="Body"/>
        <w:rPr>
          <w:rFonts w:ascii="Arial" w:hAnsi="Arial" w:cs="Arial"/>
        </w:rPr>
      </w:pPr>
      <w:commentRangeStart w:id="7"/>
      <w:r w:rsidRPr="00E125CE">
        <w:rPr>
          <w:rFonts w:ascii="Arial" w:hAnsi="Arial" w:cs="Arial"/>
        </w:rPr>
        <w:t>Fomite-specific distribution showed the highest contamination in nursing stations (NS; 23.3%, 10/43) and sinks (SNK; 20.0%, 9/45), while tap handles (Tp) demonstrated the lowest prevalence (6.5%, 5/77). Disinfectant analysis indicated higher </w:t>
      </w:r>
      <w:r w:rsidRPr="00E125CE">
        <w:rPr>
          <w:rFonts w:ascii="Arial" w:hAnsi="Arial" w:cs="Arial"/>
          <w:i/>
          <w:iCs/>
        </w:rPr>
        <w:t>S. aureus</w:t>
      </w:r>
      <w:r w:rsidRPr="00E125CE">
        <w:rPr>
          <w:rFonts w:ascii="Arial" w:hAnsi="Arial" w:cs="Arial"/>
        </w:rPr>
        <w:t> prevalence in facilities using sodium hypochlorite (Hypo; 18.0%, 9/50) compared to those employing combined hypochlorite and sodium hypochlorite (Jik) solutions (14.7%, 22/150).</w:t>
      </w:r>
      <w:commentRangeEnd w:id="7"/>
      <w:r w:rsidR="00532C86" w:rsidRPr="00E125CE">
        <w:rPr>
          <w:rStyle w:val="CommentReference"/>
          <w:rFonts w:ascii="Arial" w:hAnsi="Arial" w:cs="Arial"/>
          <w:sz w:val="20"/>
          <w:szCs w:val="20"/>
        </w:rPr>
        <w:commentReference w:id="7"/>
      </w:r>
    </w:p>
    <w:p w14:paraId="6F779B94" w14:textId="77777777" w:rsidR="00E125CE" w:rsidRPr="00E125CE" w:rsidRDefault="00E125CE" w:rsidP="008C6F5D">
      <w:pPr>
        <w:pStyle w:val="Body"/>
        <w:rPr>
          <w:rFonts w:ascii="Arial" w:hAnsi="Arial" w:cs="Arial"/>
        </w:rPr>
      </w:pPr>
      <w:r w:rsidRPr="00E125CE">
        <w:rPr>
          <w:rFonts w:ascii="Arial" w:hAnsi="Arial" w:cs="Arial"/>
        </w:rPr>
        <w:lastRenderedPageBreak/>
        <w:t>Pearson's chi-square test revealed no significant associations between </w:t>
      </w:r>
      <w:r w:rsidRPr="00E125CE">
        <w:rPr>
          <w:rFonts w:ascii="Arial" w:hAnsi="Arial" w:cs="Arial"/>
          <w:i/>
          <w:iCs/>
        </w:rPr>
        <w:t>S. aureus</w:t>
      </w:r>
      <w:r w:rsidR="008C6F5D">
        <w:rPr>
          <w:rFonts w:ascii="Arial" w:hAnsi="Arial" w:cs="Arial"/>
        </w:rPr>
        <w:t xml:space="preserve"> prevalence and </w:t>
      </w:r>
      <w:r w:rsidRPr="00E125CE">
        <w:rPr>
          <w:rFonts w:ascii="Arial" w:hAnsi="Arial" w:cs="Arial"/>
        </w:rPr>
        <w:t>healthcare facilities (χ²=0.902, p=0.637)</w:t>
      </w:r>
      <w:r w:rsidR="008C6F5D">
        <w:rPr>
          <w:rFonts w:ascii="Arial" w:hAnsi="Arial" w:cs="Arial"/>
        </w:rPr>
        <w:t xml:space="preserve">: </w:t>
      </w:r>
      <w:r w:rsidRPr="00E125CE">
        <w:rPr>
          <w:rFonts w:ascii="Arial" w:hAnsi="Arial" w:cs="Arial"/>
        </w:rPr>
        <w:t>fomite types (χ²=8.462, p=0.133)</w:t>
      </w:r>
      <w:r w:rsidR="008C6F5D">
        <w:rPr>
          <w:rFonts w:ascii="Arial" w:hAnsi="Arial" w:cs="Arial"/>
        </w:rPr>
        <w:t xml:space="preserve">, </w:t>
      </w:r>
      <w:r w:rsidRPr="00E125CE">
        <w:rPr>
          <w:rFonts w:ascii="Arial" w:hAnsi="Arial" w:cs="Arial"/>
        </w:rPr>
        <w:t>disinfectant protocols (χ²=0.902, p=0.637)</w:t>
      </w:r>
      <w:r w:rsidR="008C6F5D">
        <w:rPr>
          <w:rFonts w:ascii="Arial" w:hAnsi="Arial" w:cs="Arial"/>
        </w:rPr>
        <w:t>.</w:t>
      </w:r>
    </w:p>
    <w:p w14:paraId="5A987E8A" w14:textId="77777777" w:rsidR="00BA4D9A" w:rsidRDefault="00BA4D9A" w:rsidP="00BA4D9A">
      <w:pPr>
        <w:pStyle w:val="Body"/>
        <w:rPr>
          <w:rFonts w:ascii="Arial" w:hAnsi="Arial" w:cs="Arial"/>
        </w:rPr>
      </w:pPr>
    </w:p>
    <w:p w14:paraId="273B650D" w14:textId="77777777" w:rsidR="00E3722E" w:rsidRPr="00E3722E" w:rsidRDefault="00E3722E" w:rsidP="00E3722E">
      <w:pPr>
        <w:pStyle w:val="Body"/>
        <w:rPr>
          <w:rFonts w:ascii="Arial" w:hAnsi="Arial" w:cs="Arial"/>
        </w:rPr>
      </w:pPr>
    </w:p>
    <w:p w14:paraId="2CA0734C" w14:textId="77777777" w:rsidR="00E3722E" w:rsidRPr="00E3722E" w:rsidRDefault="00E3722E" w:rsidP="00E3722E">
      <w:pPr>
        <w:pStyle w:val="Body"/>
        <w:rPr>
          <w:rFonts w:ascii="Arial" w:hAnsi="Arial" w:cs="Arial"/>
        </w:rPr>
      </w:pPr>
      <w:r w:rsidRPr="00E3722E">
        <w:rPr>
          <w:rFonts w:ascii="Arial" w:hAnsi="Arial" w:cs="Arial"/>
        </w:rPr>
        <w:br w:type="page"/>
      </w:r>
    </w:p>
    <w:p w14:paraId="227400B4"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653F440C" wp14:editId="47228060">
            <wp:extent cx="3902149" cy="2743173"/>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8017" cy="2789477"/>
                    </a:xfrm>
                    <a:prstGeom prst="rect">
                      <a:avLst/>
                    </a:prstGeom>
                    <a:noFill/>
                    <a:ln>
                      <a:noFill/>
                    </a:ln>
                  </pic:spPr>
                </pic:pic>
              </a:graphicData>
            </a:graphic>
          </wp:inline>
        </w:drawing>
      </w:r>
    </w:p>
    <w:p w14:paraId="574BC7EA" w14:textId="64C6D10D"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1:</w:t>
      </w:r>
      <w:r w:rsidRPr="00E3722E">
        <w:rPr>
          <w:rFonts w:ascii="Arial" w:hAnsi="Arial" w:cs="Arial"/>
        </w:rPr>
        <w:t xml:space="preserve"> Prevalence of </w:t>
      </w:r>
      <w:r w:rsidRPr="00690F67">
        <w:rPr>
          <w:rFonts w:ascii="Arial" w:hAnsi="Arial" w:cs="Arial"/>
          <w:i/>
        </w:rPr>
        <w:t>Staphylococcus aureus</w:t>
      </w:r>
      <w:r w:rsidRPr="00E3722E">
        <w:rPr>
          <w:rFonts w:ascii="Arial" w:hAnsi="Arial" w:cs="Arial"/>
        </w:rPr>
        <w:t xml:space="preserve"> isolated from fomites in relation to the Tertiary Health Facilities in Abuja, Nigeria</w:t>
      </w:r>
    </w:p>
    <w:p w14:paraId="114143A3" w14:textId="77777777" w:rsidR="00E3722E" w:rsidRPr="00E3722E" w:rsidRDefault="00E3722E" w:rsidP="00E3722E">
      <w:pPr>
        <w:pStyle w:val="Body"/>
        <w:rPr>
          <w:rFonts w:ascii="Arial" w:hAnsi="Arial" w:cs="Arial"/>
        </w:rPr>
      </w:pPr>
    </w:p>
    <w:p w14:paraId="0FCC7FB6"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11A3B659" wp14:editId="50973525">
            <wp:extent cx="3965944" cy="3615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467" cy="3627397"/>
                    </a:xfrm>
                    <a:prstGeom prst="rect">
                      <a:avLst/>
                    </a:prstGeom>
                    <a:noFill/>
                    <a:ln>
                      <a:noFill/>
                    </a:ln>
                  </pic:spPr>
                </pic:pic>
              </a:graphicData>
            </a:graphic>
          </wp:inline>
        </w:drawing>
      </w:r>
    </w:p>
    <w:p w14:paraId="334C2523" w14:textId="4F943029"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2</w:t>
      </w:r>
      <w:r w:rsidRPr="00E3722E">
        <w:rPr>
          <w:rFonts w:ascii="Arial" w:hAnsi="Arial" w:cs="Arial"/>
        </w:rPr>
        <w:t xml:space="preserve">: Prevalence of </w:t>
      </w:r>
      <w:r w:rsidRPr="00E3722E">
        <w:rPr>
          <w:rFonts w:ascii="Arial" w:hAnsi="Arial" w:cs="Arial"/>
          <w:i/>
          <w:iCs/>
        </w:rPr>
        <w:t>Staphylococcus</w:t>
      </w:r>
      <w:r w:rsidR="00690F67">
        <w:rPr>
          <w:rFonts w:ascii="Arial" w:hAnsi="Arial" w:cs="Arial"/>
          <w:i/>
          <w:iCs/>
        </w:rPr>
        <w:t xml:space="preserve"> </w:t>
      </w:r>
      <w:r w:rsidRPr="00E3722E">
        <w:rPr>
          <w:rFonts w:ascii="Arial" w:hAnsi="Arial" w:cs="Arial"/>
          <w:i/>
          <w:iCs/>
        </w:rPr>
        <w:t>aureus</w:t>
      </w:r>
      <w:r w:rsidRPr="00E3722E">
        <w:rPr>
          <w:rFonts w:ascii="Arial" w:hAnsi="Arial" w:cs="Arial"/>
        </w:rPr>
        <w:t xml:space="preserve"> isolated in relation to types of fomites in the Tertiary Health Facilities, Abuja, Nigeria</w:t>
      </w:r>
    </w:p>
    <w:p w14:paraId="0B397627" w14:textId="77777777" w:rsidR="00E3722E" w:rsidRPr="00E3722E" w:rsidRDefault="00E3722E" w:rsidP="00E3722E">
      <w:pPr>
        <w:pStyle w:val="Body"/>
        <w:rPr>
          <w:rFonts w:ascii="Arial" w:hAnsi="Arial" w:cs="Arial"/>
        </w:rPr>
      </w:pPr>
    </w:p>
    <w:p w14:paraId="36765FC1"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53DEAADA" wp14:editId="204D41F1">
            <wp:extent cx="3732028" cy="3232298"/>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0752" cy="3257176"/>
                    </a:xfrm>
                    <a:prstGeom prst="rect">
                      <a:avLst/>
                    </a:prstGeom>
                    <a:noFill/>
                    <a:ln>
                      <a:noFill/>
                    </a:ln>
                  </pic:spPr>
                </pic:pic>
              </a:graphicData>
            </a:graphic>
          </wp:inline>
        </w:drawing>
      </w:r>
    </w:p>
    <w:p w14:paraId="764441AE" w14:textId="5D451868"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3:</w:t>
      </w:r>
      <w:r w:rsidRPr="00E3722E">
        <w:rPr>
          <w:rFonts w:ascii="Arial" w:hAnsi="Arial" w:cs="Arial"/>
        </w:rPr>
        <w:t xml:space="preserve"> Prevalence of </w:t>
      </w:r>
      <w:r w:rsidRPr="00E3722E">
        <w:rPr>
          <w:rFonts w:ascii="Arial" w:hAnsi="Arial" w:cs="Arial"/>
          <w:i/>
          <w:iCs/>
        </w:rPr>
        <w:t>Staphylococcus aureus</w:t>
      </w:r>
      <w:r w:rsidRPr="00E3722E">
        <w:rPr>
          <w:rFonts w:ascii="Arial" w:hAnsi="Arial" w:cs="Arial"/>
        </w:rPr>
        <w:t xml:space="preserve"> isolated from fomites in relation to disinfectant used in the Tertiary Health Facilities, Abuja, Nigeria</w:t>
      </w:r>
    </w:p>
    <w:p w14:paraId="3398B6DC" w14:textId="77777777" w:rsidR="00E3722E" w:rsidRPr="00E3722E" w:rsidRDefault="00E3722E" w:rsidP="00E3722E">
      <w:pPr>
        <w:pStyle w:val="Body"/>
        <w:rPr>
          <w:rFonts w:ascii="Arial" w:hAnsi="Arial" w:cs="Arial"/>
          <w:b/>
          <w:bCs/>
          <w:sz w:val="22"/>
        </w:rPr>
      </w:pPr>
      <w:r>
        <w:rPr>
          <w:rFonts w:ascii="Arial" w:hAnsi="Arial" w:cs="Arial"/>
          <w:b/>
          <w:caps/>
          <w:sz w:val="22"/>
        </w:rPr>
        <w:t>3.2</w:t>
      </w:r>
      <w:r w:rsidRPr="00C30A0F">
        <w:rPr>
          <w:rFonts w:ascii="Arial" w:hAnsi="Arial" w:cs="Arial"/>
          <w:b/>
          <w:caps/>
          <w:sz w:val="22"/>
        </w:rPr>
        <w:t xml:space="preserve"> </w:t>
      </w:r>
      <w:r w:rsidRPr="00E3722E">
        <w:rPr>
          <w:rFonts w:ascii="Arial" w:hAnsi="Arial" w:cs="Arial"/>
          <w:b/>
          <w:bCs/>
          <w:sz w:val="22"/>
        </w:rPr>
        <w:t>Antimicrobial Resistance</w:t>
      </w:r>
    </w:p>
    <w:p w14:paraId="04ABD923" w14:textId="47FE131E" w:rsidR="005D1399" w:rsidRDefault="005D1399" w:rsidP="00E3722E">
      <w:pPr>
        <w:pStyle w:val="Body"/>
        <w:rPr>
          <w:rFonts w:ascii="Arial" w:hAnsi="Arial" w:cs="Arial"/>
          <w:bCs/>
        </w:rPr>
      </w:pPr>
      <w:r w:rsidRPr="005D1399">
        <w:rPr>
          <w:rFonts w:ascii="Arial" w:hAnsi="Arial" w:cs="Arial"/>
          <w:bCs/>
        </w:rPr>
        <w:t>Antimicrobial resistance patterns among the isolates from tertiary healthcare facilities in Abuja, Nigeria were analyzed using descriptive statistics (Table 1). The isolates demonstrated resistance to all tested antimicrobials, with resistance rates ranging from 36.0% to 54.0%. The highest resistance rates were observed for ampicillin (54.0%), chloramphenicol (52.0%), and ciprofloxacin (48.0%), while the lowest resistance was recorded for ofloxacin (36.0%).</w:t>
      </w:r>
    </w:p>
    <w:p w14:paraId="4FB5C491" w14:textId="77777777" w:rsidR="00E3722E" w:rsidRPr="00E3722E" w:rsidRDefault="00E3722E" w:rsidP="00E3722E">
      <w:pPr>
        <w:pStyle w:val="Body"/>
        <w:rPr>
          <w:rFonts w:ascii="Arial" w:hAnsi="Arial" w:cs="Arial"/>
          <w:b/>
          <w:bCs/>
          <w:sz w:val="22"/>
        </w:rPr>
      </w:pPr>
      <w:r>
        <w:rPr>
          <w:rFonts w:ascii="Arial" w:hAnsi="Arial" w:cs="Arial"/>
          <w:b/>
          <w:caps/>
          <w:sz w:val="22"/>
        </w:rPr>
        <w:t>3.3</w:t>
      </w:r>
      <w:r w:rsidRPr="00C30A0F">
        <w:rPr>
          <w:rFonts w:ascii="Arial" w:hAnsi="Arial" w:cs="Arial"/>
          <w:b/>
          <w:caps/>
          <w:sz w:val="22"/>
        </w:rPr>
        <w:t xml:space="preserve"> </w:t>
      </w:r>
      <w:r w:rsidRPr="00E3722E">
        <w:rPr>
          <w:rFonts w:ascii="Arial" w:hAnsi="Arial" w:cs="Arial"/>
          <w:b/>
          <w:bCs/>
          <w:sz w:val="22"/>
        </w:rPr>
        <w:t>Antimicrobial Resistance Phenotypes</w:t>
      </w:r>
    </w:p>
    <w:p w14:paraId="0B42D901" w14:textId="21B7771F" w:rsidR="005D1399" w:rsidRDefault="005D1399" w:rsidP="00E3722E">
      <w:pPr>
        <w:pStyle w:val="Body"/>
        <w:rPr>
          <w:rFonts w:ascii="Arial" w:hAnsi="Arial" w:cs="Arial"/>
          <w:bCs/>
        </w:rPr>
      </w:pPr>
      <w:r w:rsidRPr="005D1399">
        <w:rPr>
          <w:rFonts w:ascii="Arial" w:hAnsi="Arial" w:cs="Arial"/>
          <w:bCs/>
        </w:rPr>
        <w:t>The </w:t>
      </w:r>
      <w:r w:rsidRPr="005D1399">
        <w:rPr>
          <w:rFonts w:ascii="Arial" w:hAnsi="Arial" w:cs="Arial"/>
          <w:bCs/>
          <w:i/>
          <w:iCs/>
        </w:rPr>
        <w:t>S. aureus</w:t>
      </w:r>
      <w:r w:rsidRPr="005D1399">
        <w:rPr>
          <w:rFonts w:ascii="Arial" w:hAnsi="Arial" w:cs="Arial"/>
          <w:bCs/>
        </w:rPr>
        <w:t xml:space="preserve"> isolates recovered from fomites in Abuja's tertiary healthcare facilities were categorized into distinct antimicrobial resistance phenotypes. As presented in Table.2, the most prevalent resistance pattern was </w:t>
      </w:r>
      <w:commentRangeStart w:id="8"/>
      <w:r w:rsidRPr="005D1399">
        <w:rPr>
          <w:rFonts w:ascii="Arial" w:hAnsi="Arial" w:cs="Arial"/>
          <w:bCs/>
        </w:rPr>
        <w:t xml:space="preserve">AMP-AZM-FOX-C-SXT-DA-PN-CIP-OFX (20.0%, 8/40), followed by CIP-OFX, AMP, </w:t>
      </w:r>
      <w:commentRangeEnd w:id="8"/>
      <w:r w:rsidR="00532C86" w:rsidRPr="005D1399">
        <w:rPr>
          <w:rStyle w:val="CommentReference"/>
          <w:rFonts w:ascii="Arial" w:hAnsi="Arial" w:cs="Arial"/>
          <w:bCs/>
          <w:sz w:val="20"/>
          <w:szCs w:val="20"/>
        </w:rPr>
        <w:commentReference w:id="8"/>
      </w:r>
      <w:r w:rsidRPr="005D1399">
        <w:rPr>
          <w:rFonts w:ascii="Arial" w:hAnsi="Arial" w:cs="Arial"/>
          <w:bCs/>
        </w:rPr>
        <w:t>and C (5.0%, 2/40) among the identified phenotypes.</w:t>
      </w:r>
    </w:p>
    <w:p w14:paraId="1E8BA52D" w14:textId="77777777" w:rsidR="00E3722E" w:rsidRPr="00E3722E" w:rsidRDefault="00E3722E" w:rsidP="00E3722E">
      <w:pPr>
        <w:pStyle w:val="Body"/>
        <w:rPr>
          <w:rFonts w:ascii="Arial" w:hAnsi="Arial" w:cs="Arial"/>
          <w:b/>
          <w:bCs/>
          <w:sz w:val="22"/>
        </w:rPr>
      </w:pPr>
      <w:r>
        <w:rPr>
          <w:rFonts w:ascii="Arial" w:hAnsi="Arial" w:cs="Arial"/>
          <w:b/>
          <w:caps/>
          <w:sz w:val="22"/>
        </w:rPr>
        <w:t>3.4</w:t>
      </w:r>
      <w:r w:rsidRPr="00C30A0F">
        <w:rPr>
          <w:rFonts w:ascii="Arial" w:hAnsi="Arial" w:cs="Arial"/>
          <w:b/>
          <w:caps/>
          <w:sz w:val="22"/>
        </w:rPr>
        <w:t xml:space="preserve"> </w:t>
      </w:r>
      <w:r w:rsidRPr="00E3722E">
        <w:rPr>
          <w:rFonts w:ascii="Arial" w:hAnsi="Arial" w:cs="Arial"/>
          <w:b/>
          <w:bCs/>
          <w:sz w:val="22"/>
        </w:rPr>
        <w:t>Classification of Antimicrobial Resistance</w:t>
      </w:r>
    </w:p>
    <w:p w14:paraId="6E4C7075" w14:textId="23D22984" w:rsidR="00C52CB9" w:rsidRPr="00C52CB9" w:rsidRDefault="005D1399" w:rsidP="00C52CB9">
      <w:pPr>
        <w:pStyle w:val="Body"/>
        <w:rPr>
          <w:rFonts w:ascii="Arial" w:hAnsi="Arial" w:cs="Arial"/>
          <w:b/>
          <w:bCs/>
          <w:sz w:val="22"/>
        </w:rPr>
      </w:pPr>
      <w:r w:rsidRPr="005D1399">
        <w:rPr>
          <w:rFonts w:ascii="Arial" w:hAnsi="Arial" w:cs="Arial"/>
          <w:bCs/>
        </w:rPr>
        <w:t xml:space="preserve">The antimicrobial-resistant isolates were classified according to established criteria (Magiorakos et al., 2012) into multidrug-resistant (MDR; resistance to ≥3 antimicrobial classes) and extensively drug-resistant (XDR; resistance to all but 1-2 antimicrobial classes) phenotypes. Analysis revealed a predominance of MDR isolates (70.0%, 28/40), while XDR isolates were less common (12.5%, 5/40), as </w:t>
      </w:r>
      <w:r>
        <w:rPr>
          <w:rFonts w:ascii="Arial" w:hAnsi="Arial" w:cs="Arial"/>
          <w:bCs/>
        </w:rPr>
        <w:t>shown</w:t>
      </w:r>
      <w:r w:rsidRPr="005D1399">
        <w:rPr>
          <w:rFonts w:ascii="Arial" w:hAnsi="Arial" w:cs="Arial"/>
          <w:bCs/>
        </w:rPr>
        <w:t xml:space="preserve"> in Table 3.</w:t>
      </w:r>
    </w:p>
    <w:p w14:paraId="058332CA" w14:textId="628319F8" w:rsidR="00C52CB9" w:rsidRPr="00C52CB9" w:rsidRDefault="00C52CB9" w:rsidP="00C52CB9">
      <w:pPr>
        <w:pStyle w:val="Body"/>
        <w:rPr>
          <w:rFonts w:ascii="Arial" w:hAnsi="Arial" w:cs="Arial"/>
          <w:b/>
          <w:bCs/>
        </w:rPr>
      </w:pPr>
      <w:r w:rsidRPr="00C52CB9">
        <w:rPr>
          <w:rFonts w:ascii="Arial" w:hAnsi="Arial" w:cs="Arial"/>
          <w:b/>
          <w:bCs/>
        </w:rPr>
        <w:t xml:space="preserve">Table 1: Antimicrobial resistance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87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2482"/>
        <w:gridCol w:w="2592"/>
      </w:tblGrid>
      <w:tr w:rsidR="00C52CB9" w:rsidRPr="00C52CB9" w14:paraId="49C3F751" w14:textId="77777777" w:rsidTr="00C52CB9">
        <w:trPr>
          <w:trHeight w:val="271"/>
        </w:trPr>
        <w:tc>
          <w:tcPr>
            <w:tcW w:w="3630" w:type="dxa"/>
            <w:tcBorders>
              <w:top w:val="single" w:sz="4" w:space="0" w:color="auto"/>
              <w:left w:val="nil"/>
              <w:bottom w:val="single" w:sz="4" w:space="0" w:color="auto"/>
              <w:right w:val="nil"/>
            </w:tcBorders>
            <w:hideMark/>
          </w:tcPr>
          <w:p w14:paraId="154033A5"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Antimicrobials</w:t>
            </w:r>
          </w:p>
        </w:tc>
        <w:tc>
          <w:tcPr>
            <w:tcW w:w="2482" w:type="dxa"/>
            <w:tcBorders>
              <w:top w:val="single" w:sz="4" w:space="0" w:color="auto"/>
              <w:left w:val="nil"/>
              <w:bottom w:val="single" w:sz="4" w:space="0" w:color="auto"/>
              <w:right w:val="nil"/>
            </w:tcBorders>
            <w:hideMark/>
          </w:tcPr>
          <w:p w14:paraId="5B0A06A0"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Disc content (µg)</w:t>
            </w:r>
          </w:p>
        </w:tc>
        <w:tc>
          <w:tcPr>
            <w:tcW w:w="2592" w:type="dxa"/>
            <w:tcBorders>
              <w:top w:val="single" w:sz="4" w:space="0" w:color="auto"/>
              <w:left w:val="nil"/>
              <w:bottom w:val="single" w:sz="4" w:space="0" w:color="auto"/>
              <w:right w:val="nil"/>
            </w:tcBorders>
            <w:hideMark/>
          </w:tcPr>
          <w:p w14:paraId="2AACFF1E"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Resistance (%) n=50</w:t>
            </w:r>
          </w:p>
        </w:tc>
      </w:tr>
      <w:tr w:rsidR="00C52CB9" w:rsidRPr="00C52CB9" w14:paraId="3AB1FBF8" w14:textId="77777777" w:rsidTr="00C52CB9">
        <w:trPr>
          <w:trHeight w:val="271"/>
        </w:trPr>
        <w:tc>
          <w:tcPr>
            <w:tcW w:w="3630" w:type="dxa"/>
            <w:tcBorders>
              <w:top w:val="single" w:sz="4" w:space="0" w:color="auto"/>
              <w:left w:val="nil"/>
              <w:bottom w:val="nil"/>
              <w:right w:val="nil"/>
            </w:tcBorders>
            <w:hideMark/>
          </w:tcPr>
          <w:p w14:paraId="7DF3BAF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Ampicillin</w:t>
            </w:r>
          </w:p>
        </w:tc>
        <w:tc>
          <w:tcPr>
            <w:tcW w:w="2482" w:type="dxa"/>
            <w:tcBorders>
              <w:top w:val="single" w:sz="4" w:space="0" w:color="auto"/>
              <w:left w:val="nil"/>
              <w:bottom w:val="nil"/>
              <w:right w:val="nil"/>
            </w:tcBorders>
            <w:hideMark/>
          </w:tcPr>
          <w:p w14:paraId="0A5855B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single" w:sz="4" w:space="0" w:color="auto"/>
              <w:left w:val="nil"/>
              <w:bottom w:val="nil"/>
              <w:right w:val="nil"/>
            </w:tcBorders>
            <w:hideMark/>
          </w:tcPr>
          <w:p w14:paraId="79DD527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27 (54.0)</w:t>
            </w:r>
          </w:p>
        </w:tc>
      </w:tr>
      <w:tr w:rsidR="00C52CB9" w:rsidRPr="00C52CB9" w14:paraId="1064BE70" w14:textId="77777777" w:rsidTr="00C52CB9">
        <w:trPr>
          <w:trHeight w:val="283"/>
        </w:trPr>
        <w:tc>
          <w:tcPr>
            <w:tcW w:w="3630" w:type="dxa"/>
            <w:tcBorders>
              <w:top w:val="nil"/>
              <w:left w:val="nil"/>
              <w:bottom w:val="nil"/>
              <w:right w:val="nil"/>
            </w:tcBorders>
            <w:hideMark/>
          </w:tcPr>
          <w:p w14:paraId="591C376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Azithromycin</w:t>
            </w:r>
          </w:p>
        </w:tc>
        <w:tc>
          <w:tcPr>
            <w:tcW w:w="2482" w:type="dxa"/>
            <w:tcBorders>
              <w:top w:val="nil"/>
              <w:left w:val="nil"/>
              <w:bottom w:val="nil"/>
              <w:right w:val="nil"/>
            </w:tcBorders>
            <w:hideMark/>
          </w:tcPr>
          <w:p w14:paraId="2A8744B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15</w:t>
            </w:r>
          </w:p>
        </w:tc>
        <w:tc>
          <w:tcPr>
            <w:tcW w:w="2592" w:type="dxa"/>
            <w:tcBorders>
              <w:top w:val="nil"/>
              <w:left w:val="nil"/>
              <w:bottom w:val="nil"/>
              <w:right w:val="nil"/>
            </w:tcBorders>
            <w:hideMark/>
          </w:tcPr>
          <w:p w14:paraId="2264CE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3324A366" w14:textId="77777777" w:rsidTr="00C52CB9">
        <w:trPr>
          <w:trHeight w:val="283"/>
        </w:trPr>
        <w:tc>
          <w:tcPr>
            <w:tcW w:w="3630" w:type="dxa"/>
            <w:tcBorders>
              <w:top w:val="nil"/>
              <w:left w:val="nil"/>
              <w:bottom w:val="nil"/>
              <w:right w:val="nil"/>
            </w:tcBorders>
            <w:hideMark/>
          </w:tcPr>
          <w:p w14:paraId="03EA86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Cefoxitin</w:t>
            </w:r>
          </w:p>
        </w:tc>
        <w:tc>
          <w:tcPr>
            <w:tcW w:w="2482" w:type="dxa"/>
            <w:tcBorders>
              <w:top w:val="nil"/>
              <w:left w:val="nil"/>
              <w:bottom w:val="nil"/>
              <w:right w:val="nil"/>
            </w:tcBorders>
            <w:hideMark/>
          </w:tcPr>
          <w:p w14:paraId="57484E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0BFE3A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1D430C02" w14:textId="77777777" w:rsidTr="00C52CB9">
        <w:trPr>
          <w:trHeight w:val="283"/>
        </w:trPr>
        <w:tc>
          <w:tcPr>
            <w:tcW w:w="3630" w:type="dxa"/>
            <w:tcBorders>
              <w:top w:val="nil"/>
              <w:left w:val="nil"/>
              <w:bottom w:val="nil"/>
              <w:right w:val="nil"/>
            </w:tcBorders>
            <w:hideMark/>
          </w:tcPr>
          <w:p w14:paraId="1F9D509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Chloramphenicol</w:t>
            </w:r>
          </w:p>
        </w:tc>
        <w:tc>
          <w:tcPr>
            <w:tcW w:w="2482" w:type="dxa"/>
            <w:tcBorders>
              <w:top w:val="nil"/>
              <w:left w:val="nil"/>
              <w:bottom w:val="nil"/>
              <w:right w:val="nil"/>
            </w:tcBorders>
            <w:hideMark/>
          </w:tcPr>
          <w:p w14:paraId="712A07E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747DE83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26 (52.0)</w:t>
            </w:r>
          </w:p>
        </w:tc>
      </w:tr>
      <w:tr w:rsidR="00C52CB9" w:rsidRPr="00C52CB9" w14:paraId="4E6B9D4C" w14:textId="77777777" w:rsidTr="00C52CB9">
        <w:trPr>
          <w:trHeight w:val="283"/>
        </w:trPr>
        <w:tc>
          <w:tcPr>
            <w:tcW w:w="3630" w:type="dxa"/>
            <w:tcBorders>
              <w:top w:val="nil"/>
              <w:left w:val="nil"/>
              <w:bottom w:val="nil"/>
              <w:right w:val="nil"/>
            </w:tcBorders>
            <w:hideMark/>
          </w:tcPr>
          <w:p w14:paraId="303063D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Sulfamethoxazole/Trimethoprim</w:t>
            </w:r>
          </w:p>
        </w:tc>
        <w:tc>
          <w:tcPr>
            <w:tcW w:w="2482" w:type="dxa"/>
            <w:tcBorders>
              <w:top w:val="nil"/>
              <w:left w:val="nil"/>
              <w:bottom w:val="nil"/>
              <w:right w:val="nil"/>
            </w:tcBorders>
            <w:hideMark/>
          </w:tcPr>
          <w:p w14:paraId="4B733B5F"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25</w:t>
            </w:r>
          </w:p>
        </w:tc>
        <w:tc>
          <w:tcPr>
            <w:tcW w:w="2592" w:type="dxa"/>
            <w:tcBorders>
              <w:top w:val="nil"/>
              <w:left w:val="nil"/>
              <w:bottom w:val="nil"/>
              <w:right w:val="nil"/>
            </w:tcBorders>
            <w:hideMark/>
          </w:tcPr>
          <w:p w14:paraId="1EB9868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109AAFD5" w14:textId="77777777" w:rsidTr="00C52CB9">
        <w:trPr>
          <w:trHeight w:val="283"/>
        </w:trPr>
        <w:tc>
          <w:tcPr>
            <w:tcW w:w="3630" w:type="dxa"/>
            <w:tcBorders>
              <w:top w:val="nil"/>
              <w:left w:val="nil"/>
              <w:bottom w:val="nil"/>
              <w:right w:val="nil"/>
            </w:tcBorders>
            <w:hideMark/>
          </w:tcPr>
          <w:p w14:paraId="117E50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Clindamycin</w:t>
            </w:r>
          </w:p>
        </w:tc>
        <w:tc>
          <w:tcPr>
            <w:tcW w:w="2482" w:type="dxa"/>
            <w:tcBorders>
              <w:top w:val="nil"/>
              <w:left w:val="nil"/>
              <w:bottom w:val="nil"/>
              <w:right w:val="nil"/>
            </w:tcBorders>
            <w:hideMark/>
          </w:tcPr>
          <w:p w14:paraId="35EE299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w:t>
            </w:r>
          </w:p>
        </w:tc>
        <w:tc>
          <w:tcPr>
            <w:tcW w:w="2592" w:type="dxa"/>
            <w:tcBorders>
              <w:top w:val="nil"/>
              <w:left w:val="nil"/>
              <w:bottom w:val="nil"/>
              <w:right w:val="nil"/>
            </w:tcBorders>
            <w:hideMark/>
          </w:tcPr>
          <w:p w14:paraId="0CBED91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5BFCA93A" w14:textId="77777777" w:rsidTr="00C52CB9">
        <w:trPr>
          <w:trHeight w:val="283"/>
        </w:trPr>
        <w:tc>
          <w:tcPr>
            <w:tcW w:w="3630" w:type="dxa"/>
            <w:tcBorders>
              <w:top w:val="nil"/>
              <w:left w:val="nil"/>
              <w:bottom w:val="nil"/>
              <w:right w:val="nil"/>
            </w:tcBorders>
            <w:hideMark/>
          </w:tcPr>
          <w:p w14:paraId="1958308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Penicillin G</w:t>
            </w:r>
          </w:p>
        </w:tc>
        <w:tc>
          <w:tcPr>
            <w:tcW w:w="2482" w:type="dxa"/>
            <w:tcBorders>
              <w:top w:val="nil"/>
              <w:left w:val="nil"/>
              <w:bottom w:val="nil"/>
              <w:right w:val="nil"/>
            </w:tcBorders>
            <w:hideMark/>
          </w:tcPr>
          <w:p w14:paraId="6749B28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nil"/>
              <w:left w:val="nil"/>
              <w:bottom w:val="nil"/>
              <w:right w:val="nil"/>
            </w:tcBorders>
            <w:hideMark/>
          </w:tcPr>
          <w:p w14:paraId="1153EE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22 (44.0)</w:t>
            </w:r>
          </w:p>
        </w:tc>
      </w:tr>
      <w:tr w:rsidR="00C52CB9" w:rsidRPr="00C52CB9" w14:paraId="5EF4B0D4" w14:textId="77777777" w:rsidTr="00C52CB9">
        <w:trPr>
          <w:trHeight w:val="283"/>
        </w:trPr>
        <w:tc>
          <w:tcPr>
            <w:tcW w:w="3630" w:type="dxa"/>
            <w:tcBorders>
              <w:top w:val="nil"/>
              <w:left w:val="nil"/>
              <w:bottom w:val="nil"/>
              <w:right w:val="nil"/>
            </w:tcBorders>
            <w:hideMark/>
          </w:tcPr>
          <w:p w14:paraId="06F4FAD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lastRenderedPageBreak/>
              <w:t>Ciprofloxacin</w:t>
            </w:r>
          </w:p>
        </w:tc>
        <w:tc>
          <w:tcPr>
            <w:tcW w:w="2482" w:type="dxa"/>
            <w:tcBorders>
              <w:top w:val="nil"/>
              <w:left w:val="nil"/>
              <w:bottom w:val="nil"/>
              <w:right w:val="nil"/>
            </w:tcBorders>
            <w:hideMark/>
          </w:tcPr>
          <w:p w14:paraId="7F483C6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nil"/>
              <w:right w:val="nil"/>
            </w:tcBorders>
            <w:hideMark/>
          </w:tcPr>
          <w:p w14:paraId="114353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24 (48.0)</w:t>
            </w:r>
          </w:p>
        </w:tc>
      </w:tr>
      <w:tr w:rsidR="00C52CB9" w:rsidRPr="00C52CB9" w14:paraId="1D251889" w14:textId="77777777" w:rsidTr="00C52CB9">
        <w:trPr>
          <w:trHeight w:val="283"/>
        </w:trPr>
        <w:tc>
          <w:tcPr>
            <w:tcW w:w="3630" w:type="dxa"/>
            <w:tcBorders>
              <w:top w:val="nil"/>
              <w:left w:val="nil"/>
              <w:bottom w:val="single" w:sz="4" w:space="0" w:color="auto"/>
              <w:right w:val="nil"/>
            </w:tcBorders>
            <w:hideMark/>
          </w:tcPr>
          <w:p w14:paraId="6C309E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Ofloxacin</w:t>
            </w:r>
          </w:p>
        </w:tc>
        <w:tc>
          <w:tcPr>
            <w:tcW w:w="2482" w:type="dxa"/>
            <w:tcBorders>
              <w:top w:val="nil"/>
              <w:left w:val="nil"/>
              <w:bottom w:val="single" w:sz="4" w:space="0" w:color="auto"/>
              <w:right w:val="nil"/>
            </w:tcBorders>
            <w:hideMark/>
          </w:tcPr>
          <w:p w14:paraId="2043BD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single" w:sz="4" w:space="0" w:color="auto"/>
              <w:right w:val="nil"/>
            </w:tcBorders>
            <w:hideMark/>
          </w:tcPr>
          <w:p w14:paraId="61DAACD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18 (36.0)</w:t>
            </w:r>
          </w:p>
        </w:tc>
      </w:tr>
    </w:tbl>
    <w:p w14:paraId="332AF93E" w14:textId="77777777" w:rsidR="00C52CB9" w:rsidRPr="00C52CB9" w:rsidRDefault="00C52CB9" w:rsidP="00C52CB9">
      <w:pPr>
        <w:pStyle w:val="Body"/>
        <w:rPr>
          <w:rFonts w:ascii="Arial" w:hAnsi="Arial" w:cs="Arial"/>
          <w:b/>
          <w:bCs/>
          <w:sz w:val="22"/>
        </w:rPr>
      </w:pPr>
    </w:p>
    <w:p w14:paraId="12A87F37" w14:textId="1A7645EB" w:rsidR="00C52CB9" w:rsidRPr="00C52CB9" w:rsidRDefault="00C52CB9" w:rsidP="00C52CB9">
      <w:pPr>
        <w:pStyle w:val="Body"/>
        <w:rPr>
          <w:rFonts w:ascii="Arial" w:hAnsi="Arial" w:cs="Arial"/>
          <w:b/>
          <w:bCs/>
        </w:rPr>
      </w:pPr>
      <w:r w:rsidRPr="00C52CB9">
        <w:rPr>
          <w:rFonts w:ascii="Arial" w:hAnsi="Arial" w:cs="Arial"/>
          <w:b/>
          <w:bCs/>
        </w:rPr>
        <w:t xml:space="preserve">Table.2: Antimicrobial resistance phenotypes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C52CB9" w:rsidRPr="00C52CB9" w14:paraId="2FE68BA7" w14:textId="77777777" w:rsidTr="0079176D">
        <w:tc>
          <w:tcPr>
            <w:tcW w:w="4962" w:type="dxa"/>
            <w:tcBorders>
              <w:top w:val="single" w:sz="4" w:space="0" w:color="auto"/>
              <w:left w:val="nil"/>
              <w:bottom w:val="single" w:sz="4" w:space="0" w:color="auto"/>
              <w:right w:val="nil"/>
            </w:tcBorders>
            <w:hideMark/>
          </w:tcPr>
          <w:p w14:paraId="65252397"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 resistance phenotypes</w:t>
            </w:r>
          </w:p>
        </w:tc>
        <w:tc>
          <w:tcPr>
            <w:tcW w:w="4054" w:type="dxa"/>
            <w:tcBorders>
              <w:top w:val="single" w:sz="4" w:space="0" w:color="auto"/>
              <w:left w:val="nil"/>
              <w:bottom w:val="single" w:sz="4" w:space="0" w:color="auto"/>
              <w:right w:val="nil"/>
            </w:tcBorders>
            <w:hideMark/>
          </w:tcPr>
          <w:p w14:paraId="5CD3440D"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78EC9C6B" w14:textId="77777777" w:rsidTr="0079176D">
        <w:tc>
          <w:tcPr>
            <w:tcW w:w="4962" w:type="dxa"/>
            <w:tcBorders>
              <w:top w:val="single" w:sz="4" w:space="0" w:color="auto"/>
              <w:left w:val="nil"/>
              <w:bottom w:val="nil"/>
              <w:right w:val="nil"/>
            </w:tcBorders>
            <w:hideMark/>
          </w:tcPr>
          <w:p w14:paraId="3A8852D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w:t>
            </w:r>
          </w:p>
        </w:tc>
        <w:tc>
          <w:tcPr>
            <w:tcW w:w="4054" w:type="dxa"/>
            <w:tcBorders>
              <w:top w:val="single" w:sz="4" w:space="0" w:color="auto"/>
              <w:left w:val="nil"/>
              <w:bottom w:val="nil"/>
              <w:right w:val="nil"/>
            </w:tcBorders>
            <w:hideMark/>
          </w:tcPr>
          <w:p w14:paraId="1ADF05C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549C8D0A" w14:textId="77777777" w:rsidTr="0079176D">
        <w:tc>
          <w:tcPr>
            <w:tcW w:w="4962" w:type="dxa"/>
            <w:tcBorders>
              <w:top w:val="nil"/>
              <w:left w:val="nil"/>
              <w:bottom w:val="nil"/>
              <w:right w:val="nil"/>
            </w:tcBorders>
            <w:hideMark/>
          </w:tcPr>
          <w:p w14:paraId="2839B6E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w:t>
            </w:r>
          </w:p>
        </w:tc>
        <w:tc>
          <w:tcPr>
            <w:tcW w:w="4054" w:type="dxa"/>
            <w:tcBorders>
              <w:top w:val="nil"/>
              <w:left w:val="nil"/>
              <w:bottom w:val="nil"/>
              <w:right w:val="nil"/>
            </w:tcBorders>
            <w:hideMark/>
          </w:tcPr>
          <w:p w14:paraId="492968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1E3A8B8" w14:textId="77777777" w:rsidTr="0079176D">
        <w:tc>
          <w:tcPr>
            <w:tcW w:w="4962" w:type="dxa"/>
            <w:tcBorders>
              <w:top w:val="nil"/>
              <w:left w:val="nil"/>
              <w:bottom w:val="nil"/>
              <w:right w:val="nil"/>
            </w:tcBorders>
            <w:hideMark/>
          </w:tcPr>
          <w:p w14:paraId="14DB8BB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SXT</w:t>
            </w:r>
          </w:p>
        </w:tc>
        <w:tc>
          <w:tcPr>
            <w:tcW w:w="4054" w:type="dxa"/>
            <w:tcBorders>
              <w:top w:val="nil"/>
              <w:left w:val="nil"/>
              <w:bottom w:val="nil"/>
              <w:right w:val="nil"/>
            </w:tcBorders>
            <w:hideMark/>
          </w:tcPr>
          <w:p w14:paraId="458C494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F7DE572" w14:textId="77777777" w:rsidTr="0079176D">
        <w:tc>
          <w:tcPr>
            <w:tcW w:w="4962" w:type="dxa"/>
            <w:tcBorders>
              <w:top w:val="nil"/>
              <w:left w:val="nil"/>
              <w:bottom w:val="nil"/>
              <w:right w:val="nil"/>
            </w:tcBorders>
            <w:hideMark/>
          </w:tcPr>
          <w:p w14:paraId="05CC6DB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DA</w:t>
            </w:r>
          </w:p>
        </w:tc>
        <w:tc>
          <w:tcPr>
            <w:tcW w:w="4054" w:type="dxa"/>
            <w:tcBorders>
              <w:top w:val="nil"/>
              <w:left w:val="nil"/>
              <w:bottom w:val="nil"/>
              <w:right w:val="nil"/>
            </w:tcBorders>
            <w:hideMark/>
          </w:tcPr>
          <w:p w14:paraId="0E99DB4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22030B7" w14:textId="77777777" w:rsidTr="0079176D">
        <w:tc>
          <w:tcPr>
            <w:tcW w:w="4962" w:type="dxa"/>
            <w:tcBorders>
              <w:top w:val="nil"/>
              <w:left w:val="nil"/>
              <w:bottom w:val="nil"/>
              <w:right w:val="nil"/>
            </w:tcBorders>
            <w:hideMark/>
          </w:tcPr>
          <w:p w14:paraId="5BD818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w:t>
            </w:r>
          </w:p>
        </w:tc>
        <w:tc>
          <w:tcPr>
            <w:tcW w:w="4054" w:type="dxa"/>
            <w:tcBorders>
              <w:top w:val="nil"/>
              <w:left w:val="nil"/>
              <w:bottom w:val="nil"/>
              <w:right w:val="nil"/>
            </w:tcBorders>
            <w:hideMark/>
          </w:tcPr>
          <w:p w14:paraId="0C23BD4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E2B5348" w14:textId="77777777" w:rsidTr="0079176D">
        <w:tc>
          <w:tcPr>
            <w:tcW w:w="4962" w:type="dxa"/>
            <w:tcBorders>
              <w:top w:val="nil"/>
              <w:left w:val="nil"/>
              <w:bottom w:val="nil"/>
              <w:right w:val="nil"/>
            </w:tcBorders>
            <w:hideMark/>
          </w:tcPr>
          <w:p w14:paraId="37F9CEF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C</w:t>
            </w:r>
          </w:p>
        </w:tc>
        <w:tc>
          <w:tcPr>
            <w:tcW w:w="4054" w:type="dxa"/>
            <w:tcBorders>
              <w:top w:val="nil"/>
              <w:left w:val="nil"/>
              <w:bottom w:val="nil"/>
              <w:right w:val="nil"/>
            </w:tcBorders>
            <w:hideMark/>
          </w:tcPr>
          <w:p w14:paraId="0585EEE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98D302" w14:textId="77777777" w:rsidTr="0079176D">
        <w:tc>
          <w:tcPr>
            <w:tcW w:w="4962" w:type="dxa"/>
            <w:tcBorders>
              <w:top w:val="nil"/>
              <w:left w:val="nil"/>
              <w:bottom w:val="nil"/>
              <w:right w:val="nil"/>
            </w:tcBorders>
            <w:hideMark/>
          </w:tcPr>
          <w:p w14:paraId="5F26EDE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CIP, OFX</w:t>
            </w:r>
          </w:p>
        </w:tc>
        <w:tc>
          <w:tcPr>
            <w:tcW w:w="4054" w:type="dxa"/>
            <w:tcBorders>
              <w:top w:val="nil"/>
              <w:left w:val="nil"/>
              <w:bottom w:val="nil"/>
              <w:right w:val="nil"/>
            </w:tcBorders>
            <w:hideMark/>
          </w:tcPr>
          <w:p w14:paraId="7381EE1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A71C8D9" w14:textId="77777777" w:rsidTr="0079176D">
        <w:tc>
          <w:tcPr>
            <w:tcW w:w="4962" w:type="dxa"/>
            <w:tcBorders>
              <w:top w:val="nil"/>
              <w:left w:val="nil"/>
              <w:bottom w:val="nil"/>
              <w:right w:val="nil"/>
            </w:tcBorders>
            <w:hideMark/>
          </w:tcPr>
          <w:p w14:paraId="33E3D2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DA, CIP</w:t>
            </w:r>
          </w:p>
        </w:tc>
        <w:tc>
          <w:tcPr>
            <w:tcW w:w="4054" w:type="dxa"/>
            <w:tcBorders>
              <w:top w:val="nil"/>
              <w:left w:val="nil"/>
              <w:bottom w:val="nil"/>
              <w:right w:val="nil"/>
            </w:tcBorders>
            <w:hideMark/>
          </w:tcPr>
          <w:p w14:paraId="4620FC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89196" w14:textId="77777777" w:rsidTr="0079176D">
        <w:tc>
          <w:tcPr>
            <w:tcW w:w="4962" w:type="dxa"/>
            <w:tcBorders>
              <w:top w:val="nil"/>
              <w:left w:val="nil"/>
              <w:bottom w:val="nil"/>
              <w:right w:val="nil"/>
            </w:tcBorders>
            <w:hideMark/>
          </w:tcPr>
          <w:p w14:paraId="7A33160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FOX, C, DA</w:t>
            </w:r>
          </w:p>
        </w:tc>
        <w:tc>
          <w:tcPr>
            <w:tcW w:w="4054" w:type="dxa"/>
            <w:tcBorders>
              <w:top w:val="nil"/>
              <w:left w:val="nil"/>
              <w:bottom w:val="nil"/>
              <w:right w:val="nil"/>
            </w:tcBorders>
            <w:hideMark/>
          </w:tcPr>
          <w:p w14:paraId="14E10BA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29975644" w14:textId="77777777" w:rsidTr="0079176D">
        <w:tc>
          <w:tcPr>
            <w:tcW w:w="4962" w:type="dxa"/>
            <w:tcBorders>
              <w:top w:val="nil"/>
              <w:left w:val="nil"/>
              <w:bottom w:val="nil"/>
              <w:right w:val="nil"/>
            </w:tcBorders>
            <w:hideMark/>
          </w:tcPr>
          <w:p w14:paraId="4A45D66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SXT, CIP</w:t>
            </w:r>
          </w:p>
        </w:tc>
        <w:tc>
          <w:tcPr>
            <w:tcW w:w="4054" w:type="dxa"/>
            <w:tcBorders>
              <w:top w:val="nil"/>
              <w:left w:val="nil"/>
              <w:bottom w:val="nil"/>
              <w:right w:val="nil"/>
            </w:tcBorders>
            <w:hideMark/>
          </w:tcPr>
          <w:p w14:paraId="743ED5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907DB4D" w14:textId="77777777" w:rsidTr="0079176D">
        <w:tc>
          <w:tcPr>
            <w:tcW w:w="4962" w:type="dxa"/>
            <w:tcBorders>
              <w:top w:val="nil"/>
              <w:left w:val="nil"/>
              <w:bottom w:val="nil"/>
              <w:right w:val="nil"/>
            </w:tcBorders>
            <w:hideMark/>
          </w:tcPr>
          <w:p w14:paraId="2DD5261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OFX</w:t>
            </w:r>
          </w:p>
        </w:tc>
        <w:tc>
          <w:tcPr>
            <w:tcW w:w="4054" w:type="dxa"/>
            <w:tcBorders>
              <w:top w:val="nil"/>
              <w:left w:val="nil"/>
              <w:bottom w:val="nil"/>
              <w:right w:val="nil"/>
            </w:tcBorders>
            <w:hideMark/>
          </w:tcPr>
          <w:p w14:paraId="652289A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ECFF8B9" w14:textId="77777777" w:rsidTr="0079176D">
        <w:tc>
          <w:tcPr>
            <w:tcW w:w="4962" w:type="dxa"/>
            <w:tcBorders>
              <w:top w:val="nil"/>
              <w:left w:val="nil"/>
              <w:bottom w:val="nil"/>
              <w:right w:val="nil"/>
            </w:tcBorders>
            <w:hideMark/>
          </w:tcPr>
          <w:p w14:paraId="3D75210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PN, CIP</w:t>
            </w:r>
          </w:p>
        </w:tc>
        <w:tc>
          <w:tcPr>
            <w:tcW w:w="4054" w:type="dxa"/>
            <w:tcBorders>
              <w:top w:val="nil"/>
              <w:left w:val="nil"/>
              <w:bottom w:val="nil"/>
              <w:right w:val="nil"/>
            </w:tcBorders>
            <w:hideMark/>
          </w:tcPr>
          <w:p w14:paraId="5181777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CCBA0B5" w14:textId="77777777" w:rsidTr="0079176D">
        <w:tc>
          <w:tcPr>
            <w:tcW w:w="4962" w:type="dxa"/>
            <w:tcBorders>
              <w:top w:val="nil"/>
              <w:left w:val="nil"/>
              <w:bottom w:val="nil"/>
              <w:right w:val="nil"/>
            </w:tcBorders>
            <w:hideMark/>
          </w:tcPr>
          <w:p w14:paraId="3B85C6C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SXT, PN</w:t>
            </w:r>
          </w:p>
        </w:tc>
        <w:tc>
          <w:tcPr>
            <w:tcW w:w="4054" w:type="dxa"/>
            <w:tcBorders>
              <w:top w:val="nil"/>
              <w:left w:val="nil"/>
              <w:bottom w:val="nil"/>
              <w:right w:val="nil"/>
            </w:tcBorders>
            <w:hideMark/>
          </w:tcPr>
          <w:p w14:paraId="16274D4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A5089BD" w14:textId="77777777" w:rsidTr="0079176D">
        <w:tc>
          <w:tcPr>
            <w:tcW w:w="4962" w:type="dxa"/>
            <w:tcBorders>
              <w:top w:val="nil"/>
              <w:left w:val="nil"/>
              <w:bottom w:val="nil"/>
              <w:right w:val="nil"/>
            </w:tcBorders>
            <w:hideMark/>
          </w:tcPr>
          <w:p w14:paraId="2AE147C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SXT</w:t>
            </w:r>
          </w:p>
        </w:tc>
        <w:tc>
          <w:tcPr>
            <w:tcW w:w="4054" w:type="dxa"/>
            <w:tcBorders>
              <w:top w:val="nil"/>
              <w:left w:val="nil"/>
              <w:bottom w:val="nil"/>
              <w:right w:val="nil"/>
            </w:tcBorders>
            <w:hideMark/>
          </w:tcPr>
          <w:p w14:paraId="1F8A5E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E1C76" w14:textId="77777777" w:rsidTr="0079176D">
        <w:tc>
          <w:tcPr>
            <w:tcW w:w="4962" w:type="dxa"/>
            <w:tcBorders>
              <w:top w:val="nil"/>
              <w:left w:val="nil"/>
              <w:bottom w:val="nil"/>
              <w:right w:val="nil"/>
            </w:tcBorders>
            <w:hideMark/>
          </w:tcPr>
          <w:p w14:paraId="1EC0E25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DA</w:t>
            </w:r>
          </w:p>
        </w:tc>
        <w:tc>
          <w:tcPr>
            <w:tcW w:w="4054" w:type="dxa"/>
            <w:tcBorders>
              <w:top w:val="nil"/>
              <w:left w:val="nil"/>
              <w:bottom w:val="nil"/>
              <w:right w:val="nil"/>
            </w:tcBorders>
            <w:hideMark/>
          </w:tcPr>
          <w:p w14:paraId="68B8E74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BA4BD68" w14:textId="77777777" w:rsidTr="0079176D">
        <w:tc>
          <w:tcPr>
            <w:tcW w:w="4962" w:type="dxa"/>
            <w:tcBorders>
              <w:top w:val="nil"/>
              <w:left w:val="nil"/>
              <w:bottom w:val="nil"/>
              <w:right w:val="nil"/>
            </w:tcBorders>
            <w:hideMark/>
          </w:tcPr>
          <w:p w14:paraId="1EE6AA2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DA, CIP</w:t>
            </w:r>
          </w:p>
        </w:tc>
        <w:tc>
          <w:tcPr>
            <w:tcW w:w="4054" w:type="dxa"/>
            <w:tcBorders>
              <w:top w:val="nil"/>
              <w:left w:val="nil"/>
              <w:bottom w:val="nil"/>
              <w:right w:val="nil"/>
            </w:tcBorders>
            <w:hideMark/>
          </w:tcPr>
          <w:p w14:paraId="121A07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D5952C3" w14:textId="77777777" w:rsidTr="0079176D">
        <w:tc>
          <w:tcPr>
            <w:tcW w:w="4962" w:type="dxa"/>
            <w:tcBorders>
              <w:top w:val="nil"/>
              <w:left w:val="nil"/>
              <w:bottom w:val="nil"/>
              <w:right w:val="nil"/>
            </w:tcBorders>
            <w:hideMark/>
          </w:tcPr>
          <w:p w14:paraId="4A02FE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CIP, OFX</w:t>
            </w:r>
          </w:p>
        </w:tc>
        <w:tc>
          <w:tcPr>
            <w:tcW w:w="4054" w:type="dxa"/>
            <w:tcBorders>
              <w:top w:val="nil"/>
              <w:left w:val="nil"/>
              <w:bottom w:val="nil"/>
              <w:right w:val="nil"/>
            </w:tcBorders>
            <w:hideMark/>
          </w:tcPr>
          <w:p w14:paraId="6FEC0A7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6A3FAA7" w14:textId="77777777" w:rsidTr="0079176D">
        <w:tc>
          <w:tcPr>
            <w:tcW w:w="4962" w:type="dxa"/>
            <w:tcBorders>
              <w:top w:val="nil"/>
              <w:left w:val="nil"/>
              <w:bottom w:val="nil"/>
              <w:right w:val="nil"/>
            </w:tcBorders>
            <w:hideMark/>
          </w:tcPr>
          <w:p w14:paraId="76C8E83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SXT, PN, CIP</w:t>
            </w:r>
          </w:p>
        </w:tc>
        <w:tc>
          <w:tcPr>
            <w:tcW w:w="4054" w:type="dxa"/>
            <w:tcBorders>
              <w:top w:val="nil"/>
              <w:left w:val="nil"/>
              <w:bottom w:val="nil"/>
              <w:right w:val="nil"/>
            </w:tcBorders>
            <w:hideMark/>
          </w:tcPr>
          <w:p w14:paraId="14817C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12849B0" w14:textId="77777777" w:rsidTr="0079176D">
        <w:tc>
          <w:tcPr>
            <w:tcW w:w="4962" w:type="dxa"/>
            <w:tcBorders>
              <w:top w:val="nil"/>
              <w:left w:val="nil"/>
              <w:bottom w:val="nil"/>
              <w:right w:val="nil"/>
            </w:tcBorders>
            <w:hideMark/>
          </w:tcPr>
          <w:p w14:paraId="1BD3BA3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w:t>
            </w:r>
          </w:p>
        </w:tc>
        <w:tc>
          <w:tcPr>
            <w:tcW w:w="4054" w:type="dxa"/>
            <w:tcBorders>
              <w:top w:val="nil"/>
              <w:left w:val="nil"/>
              <w:bottom w:val="nil"/>
              <w:right w:val="nil"/>
            </w:tcBorders>
            <w:hideMark/>
          </w:tcPr>
          <w:p w14:paraId="249C099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EF09AB9" w14:textId="77777777" w:rsidTr="0079176D">
        <w:tc>
          <w:tcPr>
            <w:tcW w:w="4962" w:type="dxa"/>
            <w:tcBorders>
              <w:top w:val="nil"/>
              <w:left w:val="nil"/>
              <w:bottom w:val="nil"/>
              <w:right w:val="nil"/>
            </w:tcBorders>
            <w:hideMark/>
          </w:tcPr>
          <w:p w14:paraId="519F8D0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SXT, DA</w:t>
            </w:r>
          </w:p>
        </w:tc>
        <w:tc>
          <w:tcPr>
            <w:tcW w:w="4054" w:type="dxa"/>
            <w:tcBorders>
              <w:top w:val="nil"/>
              <w:left w:val="nil"/>
              <w:bottom w:val="nil"/>
              <w:right w:val="nil"/>
            </w:tcBorders>
            <w:hideMark/>
          </w:tcPr>
          <w:p w14:paraId="70F1FFD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5A49741" w14:textId="77777777" w:rsidTr="0079176D">
        <w:tc>
          <w:tcPr>
            <w:tcW w:w="4962" w:type="dxa"/>
            <w:tcBorders>
              <w:top w:val="nil"/>
              <w:left w:val="nil"/>
              <w:bottom w:val="nil"/>
              <w:right w:val="nil"/>
            </w:tcBorders>
            <w:hideMark/>
          </w:tcPr>
          <w:p w14:paraId="3F6C66E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w:t>
            </w:r>
          </w:p>
        </w:tc>
        <w:tc>
          <w:tcPr>
            <w:tcW w:w="4054" w:type="dxa"/>
            <w:tcBorders>
              <w:top w:val="nil"/>
              <w:left w:val="nil"/>
              <w:bottom w:val="nil"/>
              <w:right w:val="nil"/>
            </w:tcBorders>
            <w:hideMark/>
          </w:tcPr>
          <w:p w14:paraId="3CB5630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01AE0BA" w14:textId="77777777" w:rsidTr="0079176D">
        <w:tc>
          <w:tcPr>
            <w:tcW w:w="4962" w:type="dxa"/>
            <w:tcBorders>
              <w:top w:val="nil"/>
              <w:left w:val="nil"/>
              <w:bottom w:val="nil"/>
              <w:right w:val="nil"/>
            </w:tcBorders>
            <w:hideMark/>
          </w:tcPr>
          <w:p w14:paraId="664B435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PN, CIP, OFX</w:t>
            </w:r>
          </w:p>
        </w:tc>
        <w:tc>
          <w:tcPr>
            <w:tcW w:w="4054" w:type="dxa"/>
            <w:tcBorders>
              <w:top w:val="nil"/>
              <w:left w:val="nil"/>
              <w:bottom w:val="nil"/>
              <w:right w:val="nil"/>
            </w:tcBorders>
            <w:hideMark/>
          </w:tcPr>
          <w:p w14:paraId="70628F2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4D7B665" w14:textId="77777777" w:rsidTr="0079176D">
        <w:tc>
          <w:tcPr>
            <w:tcW w:w="4962" w:type="dxa"/>
            <w:tcBorders>
              <w:top w:val="nil"/>
              <w:left w:val="nil"/>
              <w:bottom w:val="nil"/>
              <w:right w:val="nil"/>
            </w:tcBorders>
            <w:hideMark/>
          </w:tcPr>
          <w:p w14:paraId="722C085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PN, OFX</w:t>
            </w:r>
          </w:p>
        </w:tc>
        <w:tc>
          <w:tcPr>
            <w:tcW w:w="4054" w:type="dxa"/>
            <w:tcBorders>
              <w:top w:val="nil"/>
              <w:left w:val="nil"/>
              <w:bottom w:val="nil"/>
              <w:right w:val="nil"/>
            </w:tcBorders>
            <w:hideMark/>
          </w:tcPr>
          <w:p w14:paraId="1E4840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CBBA105" w14:textId="77777777" w:rsidTr="0079176D">
        <w:tc>
          <w:tcPr>
            <w:tcW w:w="4962" w:type="dxa"/>
            <w:tcBorders>
              <w:top w:val="nil"/>
              <w:left w:val="nil"/>
              <w:bottom w:val="nil"/>
              <w:right w:val="nil"/>
            </w:tcBorders>
            <w:hideMark/>
          </w:tcPr>
          <w:p w14:paraId="727D14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CIP, OFX</w:t>
            </w:r>
          </w:p>
        </w:tc>
        <w:tc>
          <w:tcPr>
            <w:tcW w:w="4054" w:type="dxa"/>
            <w:tcBorders>
              <w:top w:val="nil"/>
              <w:left w:val="nil"/>
              <w:bottom w:val="nil"/>
              <w:right w:val="nil"/>
            </w:tcBorders>
            <w:hideMark/>
          </w:tcPr>
          <w:p w14:paraId="437B501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4717E24" w14:textId="77777777" w:rsidTr="0079176D">
        <w:tc>
          <w:tcPr>
            <w:tcW w:w="4962" w:type="dxa"/>
            <w:tcBorders>
              <w:top w:val="nil"/>
              <w:left w:val="nil"/>
              <w:bottom w:val="nil"/>
              <w:right w:val="nil"/>
            </w:tcBorders>
            <w:hideMark/>
          </w:tcPr>
          <w:p w14:paraId="751D3EE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 CIP</w:t>
            </w:r>
          </w:p>
        </w:tc>
        <w:tc>
          <w:tcPr>
            <w:tcW w:w="4054" w:type="dxa"/>
            <w:tcBorders>
              <w:top w:val="nil"/>
              <w:left w:val="nil"/>
              <w:bottom w:val="nil"/>
              <w:right w:val="nil"/>
            </w:tcBorders>
            <w:hideMark/>
          </w:tcPr>
          <w:p w14:paraId="7E02974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326164" w14:textId="77777777" w:rsidTr="0079176D">
        <w:tc>
          <w:tcPr>
            <w:tcW w:w="4962" w:type="dxa"/>
            <w:tcBorders>
              <w:top w:val="nil"/>
              <w:left w:val="nil"/>
              <w:bottom w:val="nil"/>
              <w:right w:val="nil"/>
            </w:tcBorders>
            <w:hideMark/>
          </w:tcPr>
          <w:p w14:paraId="510109B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SXT, PN, CIP</w:t>
            </w:r>
          </w:p>
        </w:tc>
        <w:tc>
          <w:tcPr>
            <w:tcW w:w="4054" w:type="dxa"/>
            <w:tcBorders>
              <w:top w:val="nil"/>
              <w:left w:val="nil"/>
              <w:bottom w:val="nil"/>
              <w:right w:val="nil"/>
            </w:tcBorders>
            <w:hideMark/>
          </w:tcPr>
          <w:p w14:paraId="2FDE74C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734D094" w14:textId="77777777" w:rsidTr="0079176D">
        <w:tc>
          <w:tcPr>
            <w:tcW w:w="4962" w:type="dxa"/>
            <w:tcBorders>
              <w:top w:val="nil"/>
              <w:left w:val="nil"/>
              <w:bottom w:val="nil"/>
              <w:right w:val="nil"/>
            </w:tcBorders>
            <w:hideMark/>
          </w:tcPr>
          <w:p w14:paraId="1BCEF9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w:t>
            </w:r>
          </w:p>
        </w:tc>
        <w:tc>
          <w:tcPr>
            <w:tcW w:w="4054" w:type="dxa"/>
            <w:tcBorders>
              <w:top w:val="nil"/>
              <w:left w:val="nil"/>
              <w:bottom w:val="nil"/>
              <w:right w:val="nil"/>
            </w:tcBorders>
            <w:hideMark/>
          </w:tcPr>
          <w:p w14:paraId="6E39B7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4E6B0F" w14:textId="77777777" w:rsidTr="0079176D">
        <w:tc>
          <w:tcPr>
            <w:tcW w:w="4962" w:type="dxa"/>
            <w:tcBorders>
              <w:top w:val="nil"/>
              <w:left w:val="nil"/>
              <w:bottom w:val="nil"/>
              <w:right w:val="nil"/>
            </w:tcBorders>
            <w:hideMark/>
          </w:tcPr>
          <w:p w14:paraId="00327D3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w:t>
            </w:r>
          </w:p>
        </w:tc>
        <w:tc>
          <w:tcPr>
            <w:tcW w:w="4054" w:type="dxa"/>
            <w:tcBorders>
              <w:top w:val="nil"/>
              <w:left w:val="nil"/>
              <w:bottom w:val="nil"/>
              <w:right w:val="nil"/>
            </w:tcBorders>
            <w:hideMark/>
          </w:tcPr>
          <w:p w14:paraId="2BFB148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2158F71" w14:textId="77777777" w:rsidTr="0079176D">
        <w:tc>
          <w:tcPr>
            <w:tcW w:w="4962" w:type="dxa"/>
            <w:tcBorders>
              <w:top w:val="nil"/>
              <w:left w:val="nil"/>
              <w:bottom w:val="nil"/>
              <w:right w:val="nil"/>
            </w:tcBorders>
            <w:hideMark/>
          </w:tcPr>
          <w:p w14:paraId="0D6E10A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 PN, CIP, OFX</w:t>
            </w:r>
          </w:p>
        </w:tc>
        <w:tc>
          <w:tcPr>
            <w:tcW w:w="4054" w:type="dxa"/>
            <w:tcBorders>
              <w:top w:val="nil"/>
              <w:left w:val="nil"/>
              <w:bottom w:val="nil"/>
              <w:right w:val="nil"/>
            </w:tcBorders>
            <w:hideMark/>
          </w:tcPr>
          <w:p w14:paraId="5281368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A01A1C" w14:textId="77777777" w:rsidTr="0079176D">
        <w:tc>
          <w:tcPr>
            <w:tcW w:w="4962" w:type="dxa"/>
            <w:tcBorders>
              <w:top w:val="nil"/>
              <w:left w:val="nil"/>
              <w:bottom w:val="single" w:sz="4" w:space="0" w:color="auto"/>
              <w:right w:val="nil"/>
            </w:tcBorders>
            <w:hideMark/>
          </w:tcPr>
          <w:p w14:paraId="502CB6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 OFX</w:t>
            </w:r>
          </w:p>
        </w:tc>
        <w:tc>
          <w:tcPr>
            <w:tcW w:w="4054" w:type="dxa"/>
            <w:tcBorders>
              <w:top w:val="nil"/>
              <w:left w:val="nil"/>
              <w:bottom w:val="single" w:sz="4" w:space="0" w:color="auto"/>
              <w:right w:val="nil"/>
            </w:tcBorders>
            <w:hideMark/>
          </w:tcPr>
          <w:p w14:paraId="5E7334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8 (20.0)</w:t>
            </w:r>
          </w:p>
        </w:tc>
      </w:tr>
    </w:tbl>
    <w:p w14:paraId="0D1659AD" w14:textId="77777777" w:rsidR="00C52CB9" w:rsidRPr="00C52CB9" w:rsidRDefault="00C52CB9" w:rsidP="00C52CB9">
      <w:pPr>
        <w:pStyle w:val="Body"/>
        <w:rPr>
          <w:rFonts w:ascii="Arial" w:hAnsi="Arial" w:cs="Arial"/>
          <w:b/>
          <w:bCs/>
        </w:rPr>
      </w:pPr>
      <w:r w:rsidRPr="00C52CB9">
        <w:rPr>
          <w:rFonts w:ascii="Arial" w:hAnsi="Arial" w:cs="Arial"/>
          <w:b/>
          <w:bCs/>
        </w:rPr>
        <w:t>AMP=Ampicillin; AZM=Azithromycin; FOX=Cefoxitin, C=Chloramphenicol; SXT= Sulfamethoxazole/Trimethoprim; DA=Clindamycin; PN=Penicillin G; CIP=Ciprofloxacin; OFX=Ofloxacin</w:t>
      </w:r>
    </w:p>
    <w:p w14:paraId="2D7AE97C" w14:textId="77777777" w:rsidR="00C52CB9" w:rsidRPr="00C52CB9" w:rsidRDefault="00C52CB9" w:rsidP="00C52CB9">
      <w:pPr>
        <w:pStyle w:val="Body"/>
        <w:rPr>
          <w:rFonts w:ascii="Arial" w:hAnsi="Arial" w:cs="Arial"/>
          <w:b/>
          <w:bCs/>
          <w:sz w:val="22"/>
        </w:rPr>
      </w:pPr>
    </w:p>
    <w:p w14:paraId="5F5C1742" w14:textId="0272DD13" w:rsidR="00C52CB9" w:rsidRPr="00C52CB9" w:rsidRDefault="00C52CB9" w:rsidP="00C52CB9">
      <w:pPr>
        <w:pStyle w:val="Body"/>
        <w:rPr>
          <w:rFonts w:ascii="Arial" w:hAnsi="Arial" w:cs="Arial"/>
          <w:b/>
          <w:bCs/>
        </w:rPr>
      </w:pPr>
      <w:r w:rsidRPr="00C52CB9">
        <w:rPr>
          <w:rFonts w:ascii="Arial" w:hAnsi="Arial" w:cs="Arial"/>
          <w:b/>
          <w:bCs/>
        </w:rPr>
        <w:t xml:space="preserve">Table 3: Classification of antimicrobial in antimicrobial resistant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70"/>
      </w:tblGrid>
      <w:tr w:rsidR="00C52CB9" w:rsidRPr="00C52CB9" w14:paraId="3F06104F" w14:textId="77777777" w:rsidTr="00C52CB9">
        <w:trPr>
          <w:trHeight w:val="454"/>
        </w:trPr>
        <w:tc>
          <w:tcPr>
            <w:tcW w:w="4188" w:type="dxa"/>
            <w:tcBorders>
              <w:top w:val="single" w:sz="4" w:space="0" w:color="auto"/>
              <w:left w:val="nil"/>
              <w:bottom w:val="single" w:sz="4" w:space="0" w:color="auto"/>
              <w:right w:val="nil"/>
            </w:tcBorders>
            <w:hideMark/>
          </w:tcPr>
          <w:p w14:paraId="6AF51751"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Classes of Antimicrobial resistance</w:t>
            </w:r>
          </w:p>
        </w:tc>
        <w:tc>
          <w:tcPr>
            <w:tcW w:w="4170" w:type="dxa"/>
            <w:tcBorders>
              <w:top w:val="single" w:sz="4" w:space="0" w:color="auto"/>
              <w:left w:val="nil"/>
              <w:bottom w:val="single" w:sz="4" w:space="0" w:color="auto"/>
              <w:right w:val="nil"/>
            </w:tcBorders>
            <w:hideMark/>
          </w:tcPr>
          <w:p w14:paraId="578C5E2F"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2E26D0C5" w14:textId="77777777" w:rsidTr="00C52CB9">
        <w:trPr>
          <w:trHeight w:val="454"/>
        </w:trPr>
        <w:tc>
          <w:tcPr>
            <w:tcW w:w="4188" w:type="dxa"/>
            <w:tcBorders>
              <w:top w:val="single" w:sz="4" w:space="0" w:color="auto"/>
              <w:left w:val="nil"/>
              <w:bottom w:val="nil"/>
              <w:right w:val="nil"/>
            </w:tcBorders>
            <w:hideMark/>
          </w:tcPr>
          <w:p w14:paraId="66AC7B5E"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XDR</w:t>
            </w:r>
          </w:p>
        </w:tc>
        <w:tc>
          <w:tcPr>
            <w:tcW w:w="4170" w:type="dxa"/>
            <w:tcBorders>
              <w:top w:val="single" w:sz="4" w:space="0" w:color="auto"/>
              <w:left w:val="nil"/>
              <w:bottom w:val="nil"/>
              <w:right w:val="nil"/>
            </w:tcBorders>
            <w:hideMark/>
          </w:tcPr>
          <w:p w14:paraId="0205A8BB"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5 (12.5)</w:t>
            </w:r>
          </w:p>
        </w:tc>
      </w:tr>
      <w:tr w:rsidR="00C52CB9" w:rsidRPr="00C52CB9" w14:paraId="0122BC85" w14:textId="77777777" w:rsidTr="00C52CB9">
        <w:trPr>
          <w:trHeight w:val="444"/>
        </w:trPr>
        <w:tc>
          <w:tcPr>
            <w:tcW w:w="4188" w:type="dxa"/>
            <w:tcBorders>
              <w:top w:val="nil"/>
              <w:left w:val="nil"/>
              <w:bottom w:val="single" w:sz="4" w:space="0" w:color="auto"/>
              <w:right w:val="nil"/>
            </w:tcBorders>
            <w:hideMark/>
          </w:tcPr>
          <w:p w14:paraId="2223F04F"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MDR</w:t>
            </w:r>
          </w:p>
        </w:tc>
        <w:tc>
          <w:tcPr>
            <w:tcW w:w="4170" w:type="dxa"/>
            <w:tcBorders>
              <w:top w:val="nil"/>
              <w:left w:val="nil"/>
              <w:bottom w:val="single" w:sz="4" w:space="0" w:color="auto"/>
              <w:right w:val="nil"/>
            </w:tcBorders>
            <w:hideMark/>
          </w:tcPr>
          <w:p w14:paraId="57C6CFE7"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28 (70.0)</w:t>
            </w:r>
          </w:p>
        </w:tc>
      </w:tr>
    </w:tbl>
    <w:p w14:paraId="2CA6E780" w14:textId="77777777" w:rsidR="00C52CB9" w:rsidRPr="00C52CB9" w:rsidRDefault="00C52CB9" w:rsidP="00C52CB9">
      <w:pPr>
        <w:pStyle w:val="Body"/>
        <w:rPr>
          <w:rFonts w:ascii="Arial" w:hAnsi="Arial" w:cs="Arial"/>
          <w:b/>
          <w:bCs/>
        </w:rPr>
      </w:pPr>
      <w:r w:rsidRPr="00C52CB9">
        <w:rPr>
          <w:rFonts w:ascii="Arial" w:hAnsi="Arial" w:cs="Arial"/>
          <w:b/>
          <w:bCs/>
        </w:rPr>
        <w:t>XDR=Extensive drug resistance; MDR= Multidrug resistance</w:t>
      </w:r>
    </w:p>
    <w:p w14:paraId="1A0BE149" w14:textId="77777777" w:rsidR="00734FF6" w:rsidRPr="00734FF6" w:rsidRDefault="00734FF6" w:rsidP="00734FF6">
      <w:pPr>
        <w:pStyle w:val="Body"/>
        <w:rPr>
          <w:rFonts w:ascii="Arial" w:hAnsi="Arial" w:cs="Arial"/>
          <w:bCs/>
        </w:rPr>
      </w:pPr>
      <w:r w:rsidRPr="00734FF6">
        <w:rPr>
          <w:rFonts w:ascii="Arial" w:hAnsi="Arial" w:cs="Arial"/>
          <w:bCs/>
        </w:rPr>
        <w:lastRenderedPageBreak/>
        <w:t>The isolation of </w:t>
      </w:r>
      <w:r w:rsidRPr="00734FF6">
        <w:rPr>
          <w:rFonts w:ascii="Arial" w:hAnsi="Arial" w:cs="Arial"/>
          <w:bCs/>
          <w:i/>
          <w:iCs/>
        </w:rPr>
        <w:t>S. aureus</w:t>
      </w:r>
      <w:r w:rsidRPr="00734FF6">
        <w:rPr>
          <w:rFonts w:ascii="Arial" w:hAnsi="Arial" w:cs="Arial"/>
          <w:bCs/>
        </w:rPr>
        <w:t> from fomites in our study aligns with findings by</w:t>
      </w:r>
      <w:r w:rsidR="0079176D">
        <w:rPr>
          <w:rFonts w:ascii="Arial" w:hAnsi="Arial" w:cs="Arial"/>
          <w:bCs/>
        </w:rPr>
        <w:t xml:space="preserve"> </w:t>
      </w:r>
      <w:commentRangeStart w:id="9"/>
      <w:r w:rsidR="0079176D">
        <w:rPr>
          <w:rFonts w:ascii="Arial" w:hAnsi="Arial" w:cs="Arial"/>
          <w:bCs/>
        </w:rPr>
        <w:t>Sunday et al. (2020) and [16]</w:t>
      </w:r>
      <w:r w:rsidRPr="00734FF6">
        <w:rPr>
          <w:rFonts w:ascii="Arial" w:hAnsi="Arial" w:cs="Arial"/>
          <w:bCs/>
        </w:rPr>
        <w:t xml:space="preserve">, </w:t>
      </w:r>
      <w:commentRangeEnd w:id="9"/>
      <w:r w:rsidR="00532C86" w:rsidRPr="00734FF6">
        <w:rPr>
          <w:rStyle w:val="CommentReference"/>
          <w:rFonts w:ascii="Arial" w:hAnsi="Arial" w:cs="Arial"/>
          <w:bCs/>
          <w:sz w:val="20"/>
          <w:szCs w:val="20"/>
        </w:rPr>
        <w:commentReference w:id="9"/>
      </w:r>
      <w:r w:rsidRPr="00734FF6">
        <w:rPr>
          <w:rFonts w:ascii="Arial" w:hAnsi="Arial" w:cs="Arial"/>
          <w:bCs/>
        </w:rPr>
        <w:t>though our observed prevalence (14.3%) was lower than their reported rates of 15.3% and 21.3% from clinical samples. The presence of this pathogen on hospital fomites, particularly in emergency settings, represents a significant public health concern. </w:t>
      </w:r>
      <w:r w:rsidRPr="00734FF6">
        <w:rPr>
          <w:rFonts w:ascii="Arial" w:hAnsi="Arial" w:cs="Arial"/>
          <w:bCs/>
          <w:i/>
          <w:iCs/>
        </w:rPr>
        <w:t>S. aureus</w:t>
      </w:r>
      <w:r w:rsidRPr="00734FF6">
        <w:rPr>
          <w:rFonts w:ascii="Arial" w:hAnsi="Arial" w:cs="Arial"/>
          <w:bCs/>
        </w:rPr>
        <w:t xml:space="preserve"> is a well-documented causative agent of severe infections including bacteremia, endocarditis, pneumonia, osteomyelitis, and soft tissue infections </w:t>
      </w:r>
      <w:r w:rsidR="0035388B">
        <w:rPr>
          <w:rFonts w:ascii="Arial" w:hAnsi="Arial" w:cs="Arial"/>
          <w:bCs/>
        </w:rPr>
        <w:t>[17]</w:t>
      </w:r>
      <w:r w:rsidRPr="00734FF6">
        <w:rPr>
          <w:rFonts w:ascii="Arial" w:hAnsi="Arial" w:cs="Arial"/>
          <w:bCs/>
        </w:rPr>
        <w:t>. The emergence and spread of antimicrobial-resistant strains complicate clinical management, leading to increased treatment costs, prolonged hospitalization, and elevated morbidity and mortality rates.</w:t>
      </w:r>
    </w:p>
    <w:p w14:paraId="54CE6CF2" w14:textId="77777777" w:rsidR="00734FF6" w:rsidRPr="00734FF6" w:rsidRDefault="00734FF6" w:rsidP="00734FF6">
      <w:pPr>
        <w:pStyle w:val="Body"/>
        <w:rPr>
          <w:rFonts w:ascii="Arial" w:hAnsi="Arial" w:cs="Arial"/>
          <w:bCs/>
        </w:rPr>
      </w:pPr>
      <w:r w:rsidRPr="00734FF6">
        <w:rPr>
          <w:rFonts w:ascii="Arial" w:hAnsi="Arial" w:cs="Arial"/>
          <w:bCs/>
        </w:rPr>
        <w:t>Our isolates demonstrated particularly high resistance to ampicillin (54.0%), erythromycin (48.0%), penicillin (52.0%), cefoxitin (46.0%), chloramphenicol (52.0%), and trimethoprim-sulfamethoxazole (50.0%). This resistance profile suggests these antimicrobials may no longer be effective for staphylococcal infections in our study setting, potentially reflecting patterns of inappropriate antibiotic use.</w:t>
      </w:r>
    </w:p>
    <w:p w14:paraId="0E3663AF" w14:textId="77777777" w:rsidR="00734FF6" w:rsidRPr="00734FF6" w:rsidRDefault="00734FF6" w:rsidP="00734FF6">
      <w:pPr>
        <w:pStyle w:val="Body"/>
        <w:rPr>
          <w:rFonts w:ascii="Arial" w:hAnsi="Arial" w:cs="Arial"/>
          <w:bCs/>
        </w:rPr>
      </w:pPr>
      <w:r w:rsidRPr="00734FF6">
        <w:rPr>
          <w:rFonts w:ascii="Arial" w:hAnsi="Arial" w:cs="Arial"/>
          <w:bCs/>
        </w:rPr>
        <w:t xml:space="preserve">Our findings of high resistance to ampicillin (54.0%), chloramphenicol (52.0%), and ciprofloxacin (48.0%) align with reports by </w:t>
      </w:r>
      <w:r w:rsidR="00F73C15">
        <w:rPr>
          <w:rFonts w:ascii="Arial" w:hAnsi="Arial" w:cs="Arial"/>
          <w:bCs/>
        </w:rPr>
        <w:t>[15]</w:t>
      </w:r>
      <w:r w:rsidRPr="00734FF6">
        <w:rPr>
          <w:rFonts w:ascii="Arial" w:hAnsi="Arial" w:cs="Arial"/>
          <w:bCs/>
        </w:rPr>
        <w:t xml:space="preserve"> However, the observed resistance rates for ciprofloxacin and cefoxitin in our study contrast with their reported lower resistance levels (19.6% and 17.7</w:t>
      </w:r>
      <w:r w:rsidR="0035388B">
        <w:rPr>
          <w:rFonts w:ascii="Arial" w:hAnsi="Arial" w:cs="Arial"/>
          <w:bCs/>
        </w:rPr>
        <w:t>%, respectively). Similarly,</w:t>
      </w:r>
      <w:r w:rsidRPr="00734FF6">
        <w:rPr>
          <w:rFonts w:ascii="Arial" w:hAnsi="Arial" w:cs="Arial"/>
          <w:bCs/>
        </w:rPr>
        <w:t xml:space="preserve"> ciprofloxacin resistance findings</w:t>
      </w:r>
      <w:r w:rsidR="0035388B">
        <w:rPr>
          <w:rFonts w:ascii="Arial" w:hAnsi="Arial" w:cs="Arial"/>
          <w:bCs/>
        </w:rPr>
        <w:t xml:space="preserve"> in this study</w:t>
      </w:r>
      <w:r w:rsidRPr="00734FF6">
        <w:rPr>
          <w:rFonts w:ascii="Arial" w:hAnsi="Arial" w:cs="Arial"/>
          <w:bCs/>
        </w:rPr>
        <w:t xml:space="preserve"> differ</w:t>
      </w:r>
      <w:r w:rsidR="0035388B">
        <w:rPr>
          <w:rFonts w:ascii="Arial" w:hAnsi="Arial" w:cs="Arial"/>
          <w:bCs/>
        </w:rPr>
        <w:t>s</w:t>
      </w:r>
      <w:r w:rsidRPr="00734FF6">
        <w:rPr>
          <w:rFonts w:ascii="Arial" w:hAnsi="Arial" w:cs="Arial"/>
          <w:bCs/>
        </w:rPr>
        <w:t xml:space="preserve"> from</w:t>
      </w:r>
      <w:r w:rsidR="0035388B">
        <w:rPr>
          <w:rFonts w:ascii="Arial" w:hAnsi="Arial" w:cs="Arial"/>
          <w:bCs/>
        </w:rPr>
        <w:t xml:space="preserve"> [16]</w:t>
      </w:r>
      <w:r w:rsidRPr="00734FF6">
        <w:rPr>
          <w:rFonts w:ascii="Arial" w:hAnsi="Arial" w:cs="Arial"/>
          <w:bCs/>
        </w:rPr>
        <w:t>, who documented 27.8% resistance. Notably, ofloxacin-ciprofloxacin demonstrated strong efficacy against our </w:t>
      </w:r>
      <w:r w:rsidRPr="00734FF6">
        <w:rPr>
          <w:rFonts w:ascii="Arial" w:hAnsi="Arial" w:cs="Arial"/>
          <w:bCs/>
          <w:i/>
          <w:iCs/>
        </w:rPr>
        <w:t>S. aureus</w:t>
      </w:r>
      <w:r w:rsidRPr="00734FF6">
        <w:rPr>
          <w:rFonts w:ascii="Arial" w:hAnsi="Arial" w:cs="Arial"/>
          <w:bCs/>
        </w:rPr>
        <w:t> isolates, suggesting these antimicrobials may remain viable treatment options for staphylococcal infections in our study setting.</w:t>
      </w:r>
    </w:p>
    <w:p w14:paraId="579AF19C" w14:textId="77777777" w:rsidR="00734FF6" w:rsidRPr="00734FF6" w:rsidRDefault="00734FF6" w:rsidP="00734FF6">
      <w:pPr>
        <w:pStyle w:val="Body"/>
        <w:rPr>
          <w:rFonts w:ascii="Arial" w:hAnsi="Arial" w:cs="Arial"/>
          <w:bCs/>
        </w:rPr>
      </w:pPr>
      <w:r w:rsidRPr="00734FF6">
        <w:rPr>
          <w:rFonts w:ascii="Arial" w:hAnsi="Arial" w:cs="Arial"/>
          <w:bCs/>
          <w:i/>
          <w:iCs/>
        </w:rPr>
        <w:t>Staphylococcus aureus</w:t>
      </w:r>
      <w:r w:rsidRPr="00734FF6">
        <w:rPr>
          <w:rFonts w:ascii="Arial" w:hAnsi="Arial" w:cs="Arial"/>
          <w:bCs/>
        </w:rPr>
        <w:t xml:space="preserve">, a prominent opportunistic pathogen, is associated with severe healthcare-associated infections including bacteremia, endocarditis, pneumonia, and osteomyelitis </w:t>
      </w:r>
      <w:r w:rsidR="0035388B">
        <w:rPr>
          <w:rFonts w:ascii="Arial" w:hAnsi="Arial" w:cs="Arial"/>
          <w:bCs/>
        </w:rPr>
        <w:t>[18]</w:t>
      </w:r>
      <w:r w:rsidRPr="00734FF6">
        <w:rPr>
          <w:rFonts w:ascii="Arial" w:hAnsi="Arial" w:cs="Arial"/>
          <w:bCs/>
        </w:rPr>
        <w:t xml:space="preserve">. The global spread of antimicrobial-resistant strains has created significant clinical challenges, complicating treatment protocols and leading to increased healthcare costs, extended hospital stays, and elevated morbidity and mortality rates </w:t>
      </w:r>
      <w:r w:rsidR="0035388B">
        <w:rPr>
          <w:rFonts w:ascii="Arial" w:hAnsi="Arial" w:cs="Arial"/>
          <w:bCs/>
        </w:rPr>
        <w:t>[</w:t>
      </w:r>
      <w:r w:rsidR="00050ACF">
        <w:rPr>
          <w:rFonts w:ascii="Arial" w:hAnsi="Arial" w:cs="Arial"/>
          <w:bCs/>
        </w:rPr>
        <w:t>1</w:t>
      </w:r>
      <w:r w:rsidR="0035388B">
        <w:rPr>
          <w:rFonts w:ascii="Arial" w:hAnsi="Arial" w:cs="Arial"/>
          <w:bCs/>
        </w:rPr>
        <w:t>7]</w:t>
      </w:r>
    </w:p>
    <w:p w14:paraId="6E33E0FC" w14:textId="77777777" w:rsidR="00734FF6" w:rsidRPr="00734FF6" w:rsidRDefault="00734FF6" w:rsidP="00734FF6">
      <w:pPr>
        <w:pStyle w:val="Body"/>
        <w:rPr>
          <w:rFonts w:ascii="Arial" w:hAnsi="Arial" w:cs="Arial"/>
          <w:bCs/>
        </w:rPr>
      </w:pPr>
      <w:r w:rsidRPr="00734FF6">
        <w:rPr>
          <w:rFonts w:ascii="Arial" w:hAnsi="Arial" w:cs="Arial"/>
          <w:bCs/>
        </w:rPr>
        <w:t>The isolation of </w:t>
      </w:r>
      <w:r w:rsidRPr="00734FF6">
        <w:rPr>
          <w:rFonts w:ascii="Arial" w:hAnsi="Arial" w:cs="Arial"/>
          <w:bCs/>
          <w:i/>
          <w:iCs/>
        </w:rPr>
        <w:t>Staphylococcus aureus</w:t>
      </w:r>
      <w:r w:rsidRPr="00734FF6">
        <w:rPr>
          <w:rFonts w:ascii="Arial" w:hAnsi="Arial" w:cs="Arial"/>
          <w:bCs/>
        </w:rPr>
        <w:t> from fomites in our study centers is consistent with previous findings by</w:t>
      </w:r>
      <w:r w:rsidR="0079176D">
        <w:rPr>
          <w:rFonts w:ascii="Arial" w:hAnsi="Arial" w:cs="Arial"/>
          <w:bCs/>
        </w:rPr>
        <w:t xml:space="preserve"> </w:t>
      </w:r>
      <w:r w:rsidR="00BB623B">
        <w:rPr>
          <w:rFonts w:ascii="Arial" w:hAnsi="Arial" w:cs="Arial"/>
          <w:bCs/>
        </w:rPr>
        <w:t>[15]</w:t>
      </w:r>
      <w:r w:rsidR="0079176D">
        <w:rPr>
          <w:rFonts w:ascii="Arial" w:hAnsi="Arial" w:cs="Arial"/>
          <w:bCs/>
        </w:rPr>
        <w:t xml:space="preserve"> and </w:t>
      </w:r>
      <w:r w:rsidR="0035388B">
        <w:rPr>
          <w:rFonts w:ascii="Arial" w:hAnsi="Arial" w:cs="Arial"/>
          <w:bCs/>
        </w:rPr>
        <w:t>[16]</w:t>
      </w:r>
      <w:r w:rsidRPr="00734FF6">
        <w:rPr>
          <w:rFonts w:ascii="Arial" w:hAnsi="Arial" w:cs="Arial"/>
          <w:bCs/>
        </w:rPr>
        <w:t xml:space="preserve">, though our observed prevalence (14.3%) was substantially lower than their reported rates (96.4% and 95.3%, respectively) but higher than the 22.0% documented by </w:t>
      </w:r>
      <w:r w:rsidR="004863BD">
        <w:rPr>
          <w:rFonts w:ascii="Arial" w:hAnsi="Arial" w:cs="Arial"/>
          <w:bCs/>
        </w:rPr>
        <w:t>[19].</w:t>
      </w:r>
      <w:r w:rsidRPr="00734FF6">
        <w:rPr>
          <w:rFonts w:ascii="Arial" w:hAnsi="Arial" w:cs="Arial"/>
          <w:bCs/>
        </w:rPr>
        <w:t>. The detection of </w:t>
      </w:r>
      <w:r w:rsidRPr="00734FF6">
        <w:rPr>
          <w:rFonts w:ascii="Arial" w:hAnsi="Arial" w:cs="Arial"/>
          <w:bCs/>
          <w:i/>
          <w:iCs/>
        </w:rPr>
        <w:t>S. aureus</w:t>
      </w:r>
      <w:r w:rsidRPr="00734FF6">
        <w:rPr>
          <w:rFonts w:ascii="Arial" w:hAnsi="Arial" w:cs="Arial"/>
          <w:bCs/>
        </w:rPr>
        <w:t xml:space="preserve"> in these clinical environments carries significant public health implications, as this pathogen is a well-established cause of healthcare-associated infections </w:t>
      </w:r>
      <w:r w:rsidR="004863BD">
        <w:rPr>
          <w:rFonts w:ascii="Arial" w:hAnsi="Arial" w:cs="Arial"/>
          <w:bCs/>
        </w:rPr>
        <w:t>[17]</w:t>
      </w:r>
      <w:r w:rsidRPr="00734FF6">
        <w:rPr>
          <w:rFonts w:ascii="Arial" w:hAnsi="Arial" w:cs="Arial"/>
          <w:bCs/>
        </w:rPr>
        <w:t>.</w:t>
      </w:r>
      <w:r w:rsidR="00F379D2">
        <w:rPr>
          <w:rFonts w:ascii="Arial" w:hAnsi="Arial" w:cs="Arial"/>
          <w:bCs/>
        </w:rPr>
        <w:t xml:space="preserve"> </w:t>
      </w:r>
      <w:r w:rsidRPr="00734FF6">
        <w:rPr>
          <w:rFonts w:ascii="Arial" w:hAnsi="Arial" w:cs="Arial"/>
          <w:bCs/>
        </w:rPr>
        <w:t xml:space="preserve">Notably, our study revealed higher bacterial prevalence in nursing stations compared to other sampled fomites (sinks, beds, and door handles), contrasting with </w:t>
      </w:r>
      <w:r w:rsidR="00244272">
        <w:rPr>
          <w:rFonts w:ascii="Arial" w:hAnsi="Arial" w:cs="Arial"/>
          <w:bCs/>
        </w:rPr>
        <w:t>[15]</w:t>
      </w:r>
      <w:r w:rsidRPr="00734FF6">
        <w:rPr>
          <w:rFonts w:ascii="Arial" w:hAnsi="Arial" w:cs="Arial"/>
          <w:bCs/>
        </w:rPr>
        <w:t xml:space="preserve"> findings. This distribution pattern may reflect the intensive patient care activities occurring in nursing stations, creating greater opportunities for pathogen transmission between healthcare workers, surfaces, and patients.</w:t>
      </w:r>
    </w:p>
    <w:p w14:paraId="574B124A" w14:textId="77777777" w:rsidR="00CD012C" w:rsidRPr="002C4FF4" w:rsidRDefault="00CD012C" w:rsidP="00CD012C">
      <w:pPr>
        <w:pStyle w:val="ConcHead"/>
        <w:spacing w:after="0"/>
        <w:jc w:val="both"/>
        <w:rPr>
          <w:rFonts w:ascii="Arial" w:hAnsi="Arial" w:cs="Arial"/>
          <w:b w:val="0"/>
          <w:bCs/>
          <w:sz w:val="20"/>
        </w:rPr>
      </w:pPr>
      <w:r w:rsidRPr="002C4FF4">
        <w:rPr>
          <w:rFonts w:ascii="Arial" w:hAnsi="Arial" w:cs="Arial"/>
          <w:b w:val="0"/>
          <w:bCs/>
          <w:caps w:val="0"/>
          <w:sz w:val="20"/>
        </w:rPr>
        <w:t>Our study revealed concerning resistance patterns among </w:t>
      </w:r>
      <w:r w:rsidRPr="002C4FF4">
        <w:rPr>
          <w:rFonts w:ascii="Arial" w:hAnsi="Arial" w:cs="Arial"/>
          <w:b w:val="0"/>
          <w:bCs/>
          <w:i/>
          <w:iCs/>
          <w:caps w:val="0"/>
          <w:sz w:val="20"/>
        </w:rPr>
        <w:t>staphylococcus aureus</w:t>
      </w:r>
      <w:r w:rsidRPr="002C4FF4">
        <w:rPr>
          <w:rFonts w:ascii="Arial" w:hAnsi="Arial" w:cs="Arial"/>
          <w:b w:val="0"/>
          <w:bCs/>
          <w:caps w:val="0"/>
          <w:sz w:val="20"/>
        </w:rPr>
        <w:t> isolates, with high resistance rates observed against multiple antimicrobial agents:</w:t>
      </w:r>
      <w:r w:rsidRPr="002C4FF4">
        <w:rPr>
          <w:rFonts w:ascii="Arial" w:hAnsi="Arial" w:cs="Arial"/>
          <w:b w:val="0"/>
          <w:bCs/>
          <w:sz w:val="20"/>
        </w:rPr>
        <w:t xml:space="preserve"> </w:t>
      </w:r>
      <w:r w:rsidRPr="002C4FF4">
        <w:rPr>
          <w:rFonts w:ascii="Arial" w:hAnsi="Arial" w:cs="Arial"/>
          <w:b w:val="0"/>
          <w:bCs/>
          <w:caps w:val="0"/>
          <w:sz w:val="20"/>
        </w:rPr>
        <w:t>Ampicillin (54.0%)</w:t>
      </w:r>
      <w:r w:rsidRPr="002C4FF4">
        <w:rPr>
          <w:rFonts w:ascii="Arial" w:hAnsi="Arial" w:cs="Arial"/>
          <w:b w:val="0"/>
          <w:bCs/>
          <w:sz w:val="20"/>
        </w:rPr>
        <w:t xml:space="preserve">, </w:t>
      </w:r>
      <w:r w:rsidRPr="002C4FF4">
        <w:rPr>
          <w:rFonts w:ascii="Arial" w:hAnsi="Arial" w:cs="Arial"/>
          <w:b w:val="0"/>
          <w:bCs/>
          <w:caps w:val="0"/>
          <w:sz w:val="20"/>
        </w:rPr>
        <w:t>Erythromycin (48.0%)</w:t>
      </w:r>
      <w:r w:rsidRPr="002C4FF4">
        <w:rPr>
          <w:rFonts w:ascii="Arial" w:hAnsi="Arial" w:cs="Arial"/>
          <w:b w:val="0"/>
          <w:bCs/>
          <w:sz w:val="20"/>
        </w:rPr>
        <w:t xml:space="preserve">, </w:t>
      </w:r>
      <w:r w:rsidRPr="002C4FF4">
        <w:rPr>
          <w:rFonts w:ascii="Arial" w:hAnsi="Arial" w:cs="Arial"/>
          <w:b w:val="0"/>
          <w:bCs/>
          <w:caps w:val="0"/>
          <w:sz w:val="20"/>
        </w:rPr>
        <w:t>Penicillin (52.0%)</w:t>
      </w:r>
      <w:r w:rsidRPr="002C4FF4">
        <w:rPr>
          <w:rFonts w:ascii="Arial" w:hAnsi="Arial" w:cs="Arial"/>
          <w:b w:val="0"/>
          <w:bCs/>
          <w:sz w:val="20"/>
        </w:rPr>
        <w:t xml:space="preserve">, </w:t>
      </w:r>
      <w:r w:rsidRPr="002C4FF4">
        <w:rPr>
          <w:rFonts w:ascii="Arial" w:hAnsi="Arial" w:cs="Arial"/>
          <w:b w:val="0"/>
          <w:bCs/>
          <w:caps w:val="0"/>
          <w:sz w:val="20"/>
        </w:rPr>
        <w:t>Cefoxitin (46.0%)</w:t>
      </w:r>
      <w:r w:rsidRPr="002C4FF4">
        <w:rPr>
          <w:rFonts w:ascii="Arial" w:hAnsi="Arial" w:cs="Arial"/>
          <w:b w:val="0"/>
          <w:bCs/>
          <w:sz w:val="20"/>
        </w:rPr>
        <w:t xml:space="preserve">, </w:t>
      </w:r>
      <w:r w:rsidRPr="002C4FF4">
        <w:rPr>
          <w:rFonts w:ascii="Arial" w:hAnsi="Arial" w:cs="Arial"/>
          <w:b w:val="0"/>
          <w:bCs/>
          <w:caps w:val="0"/>
          <w:sz w:val="20"/>
        </w:rPr>
        <w:t>Chloramphenicol (52</w:t>
      </w:r>
      <w:r w:rsidRPr="002C4FF4">
        <w:rPr>
          <w:rFonts w:ascii="Arial" w:hAnsi="Arial" w:cs="Arial"/>
          <w:b w:val="0"/>
          <w:bCs/>
          <w:sz w:val="20"/>
        </w:rPr>
        <w:t xml:space="preserve">.0%), </w:t>
      </w:r>
      <w:r w:rsidRPr="002C4FF4">
        <w:rPr>
          <w:rFonts w:ascii="Arial" w:hAnsi="Arial" w:cs="Arial"/>
          <w:b w:val="0"/>
          <w:bCs/>
          <w:caps w:val="0"/>
          <w:sz w:val="20"/>
        </w:rPr>
        <w:t>Trimethoprim-sulfamethoxazole (50.0%)</w:t>
      </w:r>
      <w:r w:rsidRPr="002C4FF4">
        <w:rPr>
          <w:rFonts w:ascii="Arial" w:hAnsi="Arial" w:cs="Arial"/>
          <w:b w:val="0"/>
          <w:bCs/>
          <w:sz w:val="20"/>
        </w:rPr>
        <w:t xml:space="preserve"> </w:t>
      </w:r>
      <w:r w:rsidRPr="002C4FF4">
        <w:rPr>
          <w:rFonts w:ascii="Arial" w:hAnsi="Arial" w:cs="Arial"/>
          <w:b w:val="0"/>
          <w:bCs/>
          <w:caps w:val="0"/>
          <w:sz w:val="20"/>
        </w:rPr>
        <w:t>and</w:t>
      </w:r>
      <w:r w:rsidRPr="002C4FF4">
        <w:rPr>
          <w:rFonts w:ascii="Arial" w:hAnsi="Arial" w:cs="Arial"/>
          <w:b w:val="0"/>
          <w:bCs/>
          <w:sz w:val="20"/>
        </w:rPr>
        <w:t xml:space="preserve"> </w:t>
      </w:r>
      <w:r w:rsidRPr="002C4FF4">
        <w:rPr>
          <w:rFonts w:ascii="Arial" w:hAnsi="Arial" w:cs="Arial"/>
          <w:b w:val="0"/>
          <w:bCs/>
          <w:caps w:val="0"/>
          <w:sz w:val="20"/>
        </w:rPr>
        <w:t>Clindamycin (44.0%)</w:t>
      </w:r>
      <w:r w:rsidRPr="002C4FF4">
        <w:rPr>
          <w:rFonts w:ascii="Arial" w:hAnsi="Arial" w:cs="Arial"/>
          <w:b w:val="0"/>
          <w:bCs/>
          <w:sz w:val="20"/>
        </w:rPr>
        <w:t xml:space="preserve">. </w:t>
      </w:r>
      <w:r w:rsidRPr="002C4FF4">
        <w:rPr>
          <w:rFonts w:ascii="Arial" w:hAnsi="Arial" w:cs="Arial"/>
          <w:b w:val="0"/>
          <w:bCs/>
          <w:caps w:val="0"/>
          <w:sz w:val="20"/>
        </w:rPr>
        <w:t>These resistance profiles suggest these antimicrobials may have limited efficacy for treating staphylococcal infections in our study setting, potentially reflecting patterns of inappropriate antibiotic use.</w:t>
      </w:r>
    </w:p>
    <w:p w14:paraId="76098CB4" w14:textId="77777777" w:rsidR="00CD012C" w:rsidRPr="002C4FF4" w:rsidRDefault="00CD012C" w:rsidP="00CD012C">
      <w:pPr>
        <w:pStyle w:val="ConcHead"/>
        <w:spacing w:after="0"/>
        <w:jc w:val="both"/>
        <w:rPr>
          <w:rFonts w:ascii="Arial" w:hAnsi="Arial" w:cs="Arial"/>
          <w:b w:val="0"/>
          <w:bCs/>
          <w:caps w:val="0"/>
          <w:sz w:val="20"/>
        </w:rPr>
      </w:pPr>
      <w:r w:rsidRPr="002C4FF4">
        <w:rPr>
          <w:rFonts w:ascii="Arial" w:hAnsi="Arial" w:cs="Arial"/>
          <w:b w:val="0"/>
          <w:bCs/>
          <w:caps w:val="0"/>
          <w:sz w:val="20"/>
        </w:rPr>
        <w:t xml:space="preserve">While our findings of high resistance to ampicillin and chloramphenicol align with </w:t>
      </w:r>
      <w:r w:rsidR="00244272" w:rsidRPr="002C4FF4">
        <w:rPr>
          <w:rFonts w:ascii="Arial" w:hAnsi="Arial" w:cs="Arial"/>
          <w:b w:val="0"/>
          <w:bCs/>
          <w:caps w:val="0"/>
          <w:sz w:val="20"/>
        </w:rPr>
        <w:t>[15],</w:t>
      </w:r>
      <w:r w:rsidRPr="002C4FF4">
        <w:rPr>
          <w:rFonts w:ascii="Arial" w:hAnsi="Arial" w:cs="Arial"/>
          <w:b w:val="0"/>
          <w:bCs/>
          <w:caps w:val="0"/>
          <w:sz w:val="20"/>
        </w:rPr>
        <w:t xml:space="preserve"> we observed notably higher resistance to ciprofloxacin (48.0% vs 19.6%) and cefoxitin (46.0% vs 17.7%) compared to their study. Similarly, our ciprofloxacin resistance rates e</w:t>
      </w:r>
      <w:r w:rsidR="0079176D" w:rsidRPr="002C4FF4">
        <w:rPr>
          <w:rFonts w:ascii="Arial" w:hAnsi="Arial" w:cs="Arial"/>
          <w:b w:val="0"/>
          <w:bCs/>
          <w:caps w:val="0"/>
          <w:sz w:val="20"/>
        </w:rPr>
        <w:t xml:space="preserve">xceeded those reported by </w:t>
      </w:r>
      <w:r w:rsidR="0035388B" w:rsidRPr="002C4FF4">
        <w:rPr>
          <w:rFonts w:ascii="Arial" w:hAnsi="Arial" w:cs="Arial"/>
          <w:b w:val="0"/>
          <w:bCs/>
          <w:caps w:val="0"/>
          <w:sz w:val="20"/>
        </w:rPr>
        <w:t>[16]</w:t>
      </w:r>
      <w:r w:rsidRPr="002C4FF4">
        <w:rPr>
          <w:rFonts w:ascii="Arial" w:hAnsi="Arial" w:cs="Arial"/>
          <w:b w:val="0"/>
          <w:bCs/>
          <w:sz w:val="20"/>
        </w:rPr>
        <w:t xml:space="preserve"> (27.8%). </w:t>
      </w:r>
      <w:r w:rsidRPr="002C4FF4">
        <w:rPr>
          <w:rFonts w:ascii="Arial" w:hAnsi="Arial" w:cs="Arial"/>
          <w:b w:val="0"/>
          <w:bCs/>
          <w:caps w:val="0"/>
          <w:sz w:val="20"/>
        </w:rPr>
        <w:t>Notably, ofloxacin-ciprofloxacin demonstrated strong antimicrobial activity (36.0% resistance), suggesting this combination may represent a more effective treatment option against local </w:t>
      </w:r>
      <w:r w:rsidR="0035388B" w:rsidRPr="002C4FF4">
        <w:rPr>
          <w:rFonts w:ascii="Arial" w:hAnsi="Arial" w:cs="Arial"/>
          <w:b w:val="0"/>
          <w:bCs/>
          <w:i/>
          <w:iCs/>
          <w:caps w:val="0"/>
          <w:sz w:val="20"/>
        </w:rPr>
        <w:t>S. a</w:t>
      </w:r>
      <w:r w:rsidRPr="002C4FF4">
        <w:rPr>
          <w:rFonts w:ascii="Arial" w:hAnsi="Arial" w:cs="Arial"/>
          <w:b w:val="0"/>
          <w:bCs/>
          <w:i/>
          <w:iCs/>
          <w:caps w:val="0"/>
          <w:sz w:val="20"/>
        </w:rPr>
        <w:t>ureus</w:t>
      </w:r>
      <w:r w:rsidRPr="002C4FF4">
        <w:rPr>
          <w:rFonts w:ascii="Arial" w:hAnsi="Arial" w:cs="Arial"/>
          <w:b w:val="0"/>
          <w:bCs/>
          <w:caps w:val="0"/>
          <w:sz w:val="20"/>
        </w:rPr>
        <w:t> strains.</w:t>
      </w:r>
    </w:p>
    <w:p w14:paraId="6767BDD7" w14:textId="77777777" w:rsidR="00CD012C" w:rsidRPr="00CD012C" w:rsidRDefault="00CD012C" w:rsidP="00CD012C">
      <w:pPr>
        <w:pStyle w:val="ConcHead"/>
        <w:spacing w:after="0"/>
        <w:jc w:val="both"/>
        <w:rPr>
          <w:rFonts w:ascii="Arial" w:hAnsi="Arial" w:cs="Arial"/>
          <w:b w:val="0"/>
          <w:bCs/>
        </w:rPr>
      </w:pPr>
    </w:p>
    <w:p w14:paraId="11EAC30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649199E" w14:textId="77777777" w:rsidR="00790ADA" w:rsidRPr="00FB3A86" w:rsidRDefault="00790ADA" w:rsidP="00441B6F">
      <w:pPr>
        <w:pStyle w:val="ConcHead"/>
        <w:spacing w:after="0"/>
        <w:jc w:val="both"/>
        <w:rPr>
          <w:rFonts w:ascii="Arial" w:hAnsi="Arial" w:cs="Arial"/>
        </w:rPr>
      </w:pPr>
    </w:p>
    <w:p w14:paraId="6D68AB12" w14:textId="77777777" w:rsidR="00C52CB9" w:rsidRPr="002C4FF4" w:rsidRDefault="002D3345" w:rsidP="00C52CB9">
      <w:pPr>
        <w:pStyle w:val="Body"/>
        <w:spacing w:after="0"/>
        <w:rPr>
          <w:rFonts w:ascii="Arial" w:hAnsi="Arial" w:cs="Arial"/>
          <w:b/>
        </w:rPr>
      </w:pPr>
      <w:r w:rsidRPr="002C4FF4">
        <w:rPr>
          <w:rFonts w:ascii="Arial" w:hAnsi="Arial" w:cs="Arial"/>
          <w:bCs/>
        </w:rPr>
        <w:t>The high prevalence of </w:t>
      </w:r>
      <w:r w:rsidRPr="002C4FF4">
        <w:rPr>
          <w:rFonts w:ascii="Arial" w:hAnsi="Arial" w:cs="Arial"/>
          <w:bCs/>
          <w:i/>
          <w:iCs/>
        </w:rPr>
        <w:t>Staphylococcus</w:t>
      </w:r>
      <w:r w:rsidRPr="002C4FF4">
        <w:rPr>
          <w:rFonts w:ascii="Arial" w:hAnsi="Arial" w:cs="Arial"/>
          <w:bCs/>
        </w:rPr>
        <w:t xml:space="preserve"> </w:t>
      </w:r>
      <w:r w:rsidRPr="002C4FF4">
        <w:rPr>
          <w:rFonts w:ascii="Arial" w:hAnsi="Arial" w:cs="Arial"/>
          <w:bCs/>
          <w:i/>
        </w:rPr>
        <w:t xml:space="preserve">aureus </w:t>
      </w:r>
      <w:r w:rsidRPr="002C4FF4">
        <w:rPr>
          <w:rFonts w:ascii="Arial" w:hAnsi="Arial" w:cs="Arial"/>
          <w:bCs/>
        </w:rPr>
        <w:t>and the emergence of resistant strains are concerning, particularly in hospital settings where suboptimal hygiene practices—common in many developing countries—may facilitate their transmission. These findings underscore the critical need for robust antimicrobial resistance (AMR) surveillance to monitor the evolution and spread of resistant strains in healthcare environments. Implementing targeted intervention strategies is essential to mitigate this growing public health threat.</w:t>
      </w:r>
    </w:p>
    <w:p w14:paraId="316C4C87" w14:textId="77777777" w:rsidR="000A4AB7" w:rsidRDefault="000A4AB7" w:rsidP="000A4AB7">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22C09336" w14:textId="77777777" w:rsidR="000A4AB7" w:rsidRPr="002B685A" w:rsidRDefault="000A4AB7" w:rsidP="000A4AB7">
      <w:pPr>
        <w:pStyle w:val="ReferHead"/>
        <w:spacing w:after="0"/>
        <w:jc w:val="both"/>
        <w:rPr>
          <w:rFonts w:ascii="Arial" w:hAnsi="Arial" w:cs="Arial"/>
          <w:bCs/>
        </w:rPr>
      </w:pPr>
    </w:p>
    <w:p w14:paraId="50DC52FC"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2F687B9E" w14:textId="77777777" w:rsidR="00484E6B" w:rsidRDefault="00484E6B" w:rsidP="000A4AB7">
      <w:pPr>
        <w:pStyle w:val="ReferHead"/>
        <w:spacing w:after="0"/>
        <w:jc w:val="both"/>
        <w:rPr>
          <w:rFonts w:ascii="Arial" w:hAnsi="Arial" w:cs="Arial"/>
          <w:bCs/>
        </w:rPr>
      </w:pPr>
    </w:p>
    <w:p w14:paraId="565B2FB8" w14:textId="77777777" w:rsidR="000A4AB7" w:rsidRDefault="000A4AB7" w:rsidP="000A4AB7">
      <w:pPr>
        <w:pStyle w:val="ReferHead"/>
        <w:spacing w:after="0"/>
        <w:jc w:val="both"/>
        <w:rPr>
          <w:rFonts w:ascii="Arial" w:hAnsi="Arial" w:cs="Arial"/>
          <w:bCs/>
        </w:rPr>
      </w:pPr>
      <w:r>
        <w:rPr>
          <w:rFonts w:ascii="Arial" w:hAnsi="Arial" w:cs="Arial"/>
          <w:bCs/>
        </w:rPr>
        <w:t xml:space="preserve">Ethical </w:t>
      </w:r>
      <w:r w:rsidR="00484E6B">
        <w:rPr>
          <w:rFonts w:ascii="Arial" w:hAnsi="Arial" w:cs="Arial"/>
          <w:bCs/>
        </w:rPr>
        <w:t>approval</w:t>
      </w:r>
    </w:p>
    <w:p w14:paraId="03427F16" w14:textId="77777777" w:rsidR="000A4AB7" w:rsidRPr="002B685A" w:rsidRDefault="000A4AB7" w:rsidP="000A4AB7">
      <w:pPr>
        <w:pStyle w:val="ReferHead"/>
        <w:spacing w:after="0"/>
        <w:jc w:val="both"/>
        <w:rPr>
          <w:rFonts w:ascii="Arial" w:hAnsi="Arial" w:cs="Arial"/>
          <w:bCs/>
        </w:rPr>
      </w:pPr>
    </w:p>
    <w:p w14:paraId="29122F48"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39ACB127" w14:textId="77777777" w:rsidR="00484E6B" w:rsidRDefault="00484E6B" w:rsidP="00484E6B">
      <w:pPr>
        <w:pStyle w:val="ReferHead"/>
        <w:spacing w:after="0"/>
        <w:jc w:val="both"/>
        <w:rPr>
          <w:rFonts w:ascii="Arial" w:hAnsi="Arial" w:cs="Arial"/>
          <w:b w:val="0"/>
          <w:caps w:val="0"/>
          <w:sz w:val="20"/>
        </w:rPr>
      </w:pPr>
    </w:p>
    <w:p w14:paraId="31150766" w14:textId="77777777" w:rsidR="00484E6B" w:rsidRPr="00EC727C" w:rsidRDefault="00484E6B" w:rsidP="00484E6B">
      <w:pPr>
        <w:rPr>
          <w:color w:val="000000" w:themeColor="text1"/>
        </w:rPr>
      </w:pPr>
      <w:r w:rsidRPr="00EC727C">
        <w:rPr>
          <w:color w:val="000000" w:themeColor="text1"/>
        </w:rPr>
        <w:t>Disclaimer (Artificial intelligence)</w:t>
      </w:r>
    </w:p>
    <w:p w14:paraId="0EC9B2EB" w14:textId="77777777" w:rsidR="00484E6B" w:rsidRPr="00EC727C" w:rsidRDefault="00484E6B" w:rsidP="00484E6B">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6AE19332" w14:textId="77777777" w:rsidR="000A4AB7" w:rsidRDefault="000A4AB7" w:rsidP="000A4AB7">
      <w:pPr>
        <w:pStyle w:val="ReferHead"/>
        <w:spacing w:after="0"/>
        <w:jc w:val="both"/>
        <w:rPr>
          <w:rFonts w:ascii="Arial" w:hAnsi="Arial" w:cs="Arial"/>
        </w:rPr>
      </w:pPr>
    </w:p>
    <w:p w14:paraId="6AD8DD59" w14:textId="77777777" w:rsidR="000A4AB7" w:rsidRDefault="000A4AB7" w:rsidP="000A4AB7">
      <w:pPr>
        <w:pStyle w:val="ReferHead"/>
        <w:spacing w:after="0"/>
        <w:jc w:val="both"/>
        <w:rPr>
          <w:rFonts w:ascii="Arial" w:hAnsi="Arial" w:cs="Arial"/>
        </w:rPr>
      </w:pPr>
      <w:r w:rsidRPr="00FB3A86">
        <w:rPr>
          <w:rFonts w:ascii="Arial" w:hAnsi="Arial" w:cs="Arial"/>
        </w:rPr>
        <w:t>References</w:t>
      </w:r>
    </w:p>
    <w:p w14:paraId="1CB086A9" w14:textId="77777777" w:rsidR="00AD51AA" w:rsidRPr="00284C4C" w:rsidRDefault="00AD51AA" w:rsidP="00AD51AA">
      <w:pPr>
        <w:pStyle w:val="Body"/>
        <w:spacing w:after="0"/>
        <w:rPr>
          <w:rFonts w:ascii="Arial" w:hAnsi="Arial" w:cs="Arial"/>
          <w:i/>
          <w:u w:val="single"/>
        </w:rPr>
      </w:pPr>
    </w:p>
    <w:p w14:paraId="3B2AC774" w14:textId="77777777" w:rsidR="00690F67" w:rsidRPr="00690F67" w:rsidRDefault="00690F67" w:rsidP="00690F67">
      <w:pPr>
        <w:jc w:val="both"/>
        <w:rPr>
          <w:rFonts w:ascii="Arial" w:hAnsi="Arial" w:cs="Arial"/>
        </w:rPr>
      </w:pPr>
      <w:r w:rsidRPr="00690F67">
        <w:rPr>
          <w:rFonts w:ascii="Arial" w:hAnsi="Arial" w:cs="Arial"/>
        </w:rPr>
        <w:t>1. Salam, M. A., Al-Amin, M. Y., Salam, M. T., Pawar, J. S., Akhter, N., Rabaan, A. A., &amp; Alqumber, M. A. (2023). Antimicrobial resistance: a growing serious threat for global public health. In </w:t>
      </w:r>
      <w:r w:rsidRPr="00690F67">
        <w:rPr>
          <w:rFonts w:ascii="Arial" w:hAnsi="Arial" w:cs="Arial"/>
          <w:i/>
          <w:iCs/>
        </w:rPr>
        <w:t>Healthcare</w:t>
      </w:r>
      <w:r w:rsidRPr="00690F67">
        <w:rPr>
          <w:rFonts w:ascii="Arial" w:hAnsi="Arial" w:cs="Arial"/>
        </w:rPr>
        <w:t> (Vol. 11, No. 13, p. 1946). Multidisciplinary Digital Publishing Institute.</w:t>
      </w:r>
    </w:p>
    <w:p w14:paraId="7332809C" w14:textId="77777777" w:rsidR="00690F67" w:rsidRPr="00690F67" w:rsidRDefault="00690F67" w:rsidP="00690F67">
      <w:pPr>
        <w:jc w:val="both"/>
        <w:rPr>
          <w:rFonts w:ascii="Arial" w:hAnsi="Arial" w:cs="Arial"/>
        </w:rPr>
      </w:pPr>
      <w:r w:rsidRPr="00690F67">
        <w:rPr>
          <w:rFonts w:ascii="Arial" w:hAnsi="Arial" w:cs="Arial"/>
        </w:rPr>
        <w:t>2. Habboush, Y., Yarrarapu, S. N. S., &amp; Guzman, N. (2018). Infection control.</w:t>
      </w:r>
    </w:p>
    <w:p w14:paraId="737CC7D8" w14:textId="77777777" w:rsidR="00690F67" w:rsidRPr="00690F67" w:rsidRDefault="00690F67" w:rsidP="00690F67">
      <w:pPr>
        <w:jc w:val="both"/>
        <w:rPr>
          <w:rFonts w:ascii="Arial" w:hAnsi="Arial" w:cs="Arial"/>
        </w:rPr>
      </w:pPr>
      <w:r w:rsidRPr="00690F67">
        <w:rPr>
          <w:rFonts w:ascii="Arial" w:hAnsi="Arial" w:cs="Arial"/>
        </w:rPr>
        <w:t xml:space="preserve">3. Collignon PJ, McEwen SA. One health–Its importance in helping to better control antimicrobial resistance. Trop Med Infect Dis. 2019;4(1):22. https://doi.org/10.3390/ tropicalmed4010022 PMid:30700019 PMCid:PMC6473376 </w:t>
      </w:r>
    </w:p>
    <w:p w14:paraId="150BAE52" w14:textId="77777777" w:rsidR="00690F67" w:rsidRPr="00690F67" w:rsidRDefault="00690F67" w:rsidP="00690F67">
      <w:pPr>
        <w:jc w:val="both"/>
        <w:rPr>
          <w:rFonts w:ascii="Arial" w:hAnsi="Arial" w:cs="Arial"/>
        </w:rPr>
      </w:pPr>
      <w:r w:rsidRPr="00690F67">
        <w:rPr>
          <w:rFonts w:ascii="Arial" w:hAnsi="Arial" w:cs="Arial"/>
        </w:rPr>
        <w:t>4. Segun Dada, Babatunde Odetoyin, Stella Adeyemo, Olarinde Olaniran (2023). High prevalence of multidrug-resistant bacteria in fomites in a tertiary institution in Southwestern Nigeria. Journal of Contemporary Studies in Epidemiology and Public Health. 4(2), ep23006</w:t>
      </w:r>
    </w:p>
    <w:p w14:paraId="7C2B3536" w14:textId="77777777" w:rsidR="00690F67" w:rsidRPr="00690F67" w:rsidRDefault="00690F67" w:rsidP="00690F67">
      <w:pPr>
        <w:jc w:val="both"/>
        <w:rPr>
          <w:rFonts w:ascii="Arial" w:hAnsi="Arial" w:cs="Arial"/>
        </w:rPr>
      </w:pPr>
      <w:r w:rsidRPr="00690F67">
        <w:rPr>
          <w:rFonts w:ascii="Arial" w:hAnsi="Arial" w:cs="Arial"/>
        </w:rPr>
        <w:t>5.  Antimicrobial Resistance Collaborators. (2022). Global burden of bacterial antimicrobial resistance in 2019: a systematic analysis. The Lancet; 399(10325): P629-655. DOI: </w:t>
      </w:r>
      <w:hyperlink r:id="rId15" w:history="1">
        <w:r w:rsidRPr="00690F67">
          <w:rPr>
            <w:rFonts w:ascii="Arial" w:hAnsi="Arial" w:cs="Arial"/>
            <w:color w:val="0563C1"/>
            <w:u w:val="single"/>
          </w:rPr>
          <w:t>https://doi.org/10.1016/S0140-6736(21)02724-0</w:t>
        </w:r>
      </w:hyperlink>
    </w:p>
    <w:p w14:paraId="20A54604" w14:textId="77777777" w:rsidR="00690F67" w:rsidRPr="00690F67" w:rsidRDefault="00690F67" w:rsidP="00690F67">
      <w:pPr>
        <w:jc w:val="both"/>
        <w:rPr>
          <w:rFonts w:ascii="Arial" w:hAnsi="Arial" w:cs="Arial"/>
        </w:rPr>
      </w:pPr>
      <w:r w:rsidRPr="00690F67">
        <w:rPr>
          <w:rFonts w:ascii="Arial" w:hAnsi="Arial" w:cs="Arial"/>
        </w:rPr>
        <w:t xml:space="preserve">6. Akinrotoye, K. P., Bankole, M. O., Akinduti, P. A., &amp; Lanlokun, O. A. (2019). Antibiotic resistance profiles of </w:t>
      </w:r>
      <w:r w:rsidRPr="00690F67">
        <w:rPr>
          <w:rFonts w:ascii="Arial" w:hAnsi="Arial" w:cs="Arial"/>
          <w:i/>
        </w:rPr>
        <w:t>Staphylococcus aureus</w:t>
      </w:r>
      <w:r w:rsidRPr="00690F67">
        <w:rPr>
          <w:rFonts w:ascii="Arial" w:hAnsi="Arial" w:cs="Arial"/>
        </w:rPr>
        <w:t xml:space="preserve"> isolated from fomites in community schools within abeokuta environs leading to detection of MRSA. </w:t>
      </w:r>
      <w:r w:rsidRPr="00690F67">
        <w:rPr>
          <w:rFonts w:ascii="Arial" w:hAnsi="Arial" w:cs="Arial"/>
          <w:i/>
          <w:iCs/>
        </w:rPr>
        <w:t>Bioscience Methods</w:t>
      </w:r>
      <w:r w:rsidRPr="00690F67">
        <w:rPr>
          <w:rFonts w:ascii="Arial" w:hAnsi="Arial" w:cs="Arial"/>
        </w:rPr>
        <w:t>, </w:t>
      </w:r>
      <w:r w:rsidRPr="00690F67">
        <w:rPr>
          <w:rFonts w:ascii="Arial" w:hAnsi="Arial" w:cs="Arial"/>
          <w:i/>
          <w:iCs/>
        </w:rPr>
        <w:t>10</w:t>
      </w:r>
      <w:r w:rsidRPr="00690F67">
        <w:rPr>
          <w:rFonts w:ascii="Arial" w:hAnsi="Arial" w:cs="Arial"/>
        </w:rPr>
        <w:t>.</w:t>
      </w:r>
    </w:p>
    <w:p w14:paraId="7F7BC26B" w14:textId="77777777" w:rsidR="00690F67" w:rsidRPr="00690F67" w:rsidRDefault="00690F67" w:rsidP="00690F67">
      <w:pPr>
        <w:jc w:val="both"/>
        <w:rPr>
          <w:rFonts w:ascii="Arial" w:hAnsi="Arial" w:cs="Arial"/>
        </w:rPr>
      </w:pPr>
      <w:r w:rsidRPr="00690F67">
        <w:rPr>
          <w:rFonts w:ascii="Arial" w:hAnsi="Arial" w:cs="Arial"/>
        </w:rPr>
        <w:t xml:space="preserve">7. Jaradat, Z. W., Ababneh, Q. O., Sha’aban, S. T., Alkofahi, A. A., Assaleh, D., &amp; Al Shara, A. (2020). Methicillin resistant </w:t>
      </w:r>
      <w:r w:rsidRPr="00690F67">
        <w:rPr>
          <w:rFonts w:ascii="Arial" w:hAnsi="Arial" w:cs="Arial"/>
          <w:i/>
        </w:rPr>
        <w:t>Staphylococcus aureus</w:t>
      </w:r>
      <w:r w:rsidRPr="00690F67">
        <w:rPr>
          <w:rFonts w:ascii="Arial" w:hAnsi="Arial" w:cs="Arial"/>
        </w:rPr>
        <w:t xml:space="preserve"> and public fomites: a review. </w:t>
      </w:r>
      <w:r w:rsidRPr="00690F67">
        <w:rPr>
          <w:rFonts w:ascii="Arial" w:hAnsi="Arial" w:cs="Arial"/>
          <w:i/>
          <w:iCs/>
        </w:rPr>
        <w:t>Pathogens and Global Health</w:t>
      </w:r>
      <w:r w:rsidRPr="00690F67">
        <w:rPr>
          <w:rFonts w:ascii="Arial" w:hAnsi="Arial" w:cs="Arial"/>
        </w:rPr>
        <w:t>, </w:t>
      </w:r>
      <w:r w:rsidRPr="00690F67">
        <w:rPr>
          <w:rFonts w:ascii="Arial" w:hAnsi="Arial" w:cs="Arial"/>
          <w:i/>
          <w:iCs/>
        </w:rPr>
        <w:t>114</w:t>
      </w:r>
      <w:r w:rsidRPr="00690F67">
        <w:rPr>
          <w:rFonts w:ascii="Arial" w:hAnsi="Arial" w:cs="Arial"/>
        </w:rPr>
        <w:t>(8), 426-450.</w:t>
      </w:r>
    </w:p>
    <w:p w14:paraId="49DE8133" w14:textId="77777777" w:rsidR="00690F67" w:rsidRPr="00690F67" w:rsidRDefault="00690F67" w:rsidP="00690F67">
      <w:pPr>
        <w:jc w:val="both"/>
        <w:rPr>
          <w:rFonts w:ascii="Arial" w:hAnsi="Arial" w:cs="Arial"/>
        </w:rPr>
      </w:pPr>
      <w:r w:rsidRPr="00690F67">
        <w:rPr>
          <w:rFonts w:ascii="Arial" w:hAnsi="Arial" w:cs="Arial"/>
        </w:rPr>
        <w:t xml:space="preserve">8. Orike, E. L., Olajugbagbe, T. E., Animasahun, T. O., &amp; Abdulraheem, M. (2024). The Prevalence and Antibiotic-resistant Profile of </w:t>
      </w:r>
      <w:r w:rsidRPr="00690F67">
        <w:rPr>
          <w:rFonts w:ascii="Arial" w:hAnsi="Arial" w:cs="Arial"/>
          <w:i/>
        </w:rPr>
        <w:t>Staphylococcus aureus</w:t>
      </w:r>
      <w:r w:rsidRPr="00690F67">
        <w:rPr>
          <w:rFonts w:ascii="Arial" w:hAnsi="Arial" w:cs="Arial"/>
        </w:rPr>
        <w:t xml:space="preserve"> from Fomites in a Tertiary Institution in Ibadan, Oyo State, Nigeria. </w:t>
      </w:r>
      <w:r w:rsidRPr="00690F67">
        <w:rPr>
          <w:rFonts w:ascii="Arial" w:hAnsi="Arial" w:cs="Arial"/>
          <w:i/>
          <w:iCs/>
        </w:rPr>
        <w:t>Asian Journal of Research in Infectious Diseases</w:t>
      </w:r>
      <w:r w:rsidRPr="00690F67">
        <w:rPr>
          <w:rFonts w:ascii="Arial" w:hAnsi="Arial" w:cs="Arial"/>
        </w:rPr>
        <w:t>, </w:t>
      </w:r>
      <w:r w:rsidRPr="00690F67">
        <w:rPr>
          <w:rFonts w:ascii="Arial" w:hAnsi="Arial" w:cs="Arial"/>
          <w:i/>
          <w:iCs/>
        </w:rPr>
        <w:t>15</w:t>
      </w:r>
      <w:r w:rsidRPr="00690F67">
        <w:rPr>
          <w:rFonts w:ascii="Arial" w:hAnsi="Arial" w:cs="Arial"/>
        </w:rPr>
        <w:t>(12), 81-88.</w:t>
      </w:r>
    </w:p>
    <w:p w14:paraId="780F64F4" w14:textId="77777777" w:rsidR="00690F67" w:rsidRPr="00690F67" w:rsidRDefault="00690F67" w:rsidP="00690F67">
      <w:pPr>
        <w:jc w:val="both"/>
        <w:rPr>
          <w:rFonts w:ascii="Arial" w:hAnsi="Arial" w:cs="Arial"/>
        </w:rPr>
      </w:pPr>
      <w:r w:rsidRPr="00690F67">
        <w:rPr>
          <w:rFonts w:ascii="Arial" w:hAnsi="Arial" w:cs="Arial"/>
        </w:rPr>
        <w:t xml:space="preserve">9. Ali, M., Diso, S. U., Zage, A. U., Muhammad, A. A., &amp; Garba, M. (2017). Characterization and determination of antimicrobial sensitivity pattern of </w:t>
      </w:r>
      <w:r w:rsidRPr="00690F67">
        <w:rPr>
          <w:rFonts w:ascii="Arial" w:hAnsi="Arial" w:cs="Arial"/>
          <w:i/>
        </w:rPr>
        <w:t>Staphylococcus aureus</w:t>
      </w:r>
      <w:r w:rsidRPr="00690F67">
        <w:rPr>
          <w:rFonts w:ascii="Arial" w:hAnsi="Arial" w:cs="Arial"/>
        </w:rPr>
        <w:t xml:space="preserve"> associated with urinary tract infection. </w:t>
      </w:r>
      <w:r w:rsidRPr="00690F67">
        <w:rPr>
          <w:rFonts w:ascii="Arial" w:hAnsi="Arial" w:cs="Arial"/>
          <w:i/>
          <w:iCs/>
        </w:rPr>
        <w:t>Journal of Advances in Biology &amp; Biotechnology</w:t>
      </w:r>
      <w:r w:rsidRPr="00690F67">
        <w:rPr>
          <w:rFonts w:ascii="Arial" w:hAnsi="Arial" w:cs="Arial"/>
        </w:rPr>
        <w:t>, </w:t>
      </w:r>
      <w:r w:rsidRPr="00690F67">
        <w:rPr>
          <w:rFonts w:ascii="Arial" w:hAnsi="Arial" w:cs="Arial"/>
          <w:i/>
          <w:iCs/>
        </w:rPr>
        <w:t>12</w:t>
      </w:r>
      <w:r w:rsidRPr="00690F67">
        <w:rPr>
          <w:rFonts w:ascii="Arial" w:hAnsi="Arial" w:cs="Arial"/>
        </w:rPr>
        <w:t>(4), 1-6.</w:t>
      </w:r>
    </w:p>
    <w:p w14:paraId="01A0E645" w14:textId="77777777" w:rsidR="00690F67" w:rsidRPr="00690F67" w:rsidRDefault="00690F67" w:rsidP="00690F67">
      <w:pPr>
        <w:jc w:val="both"/>
        <w:rPr>
          <w:rFonts w:ascii="Arial" w:hAnsi="Arial" w:cs="Arial"/>
        </w:rPr>
      </w:pPr>
      <w:r w:rsidRPr="00690F67">
        <w:rPr>
          <w:rFonts w:ascii="Arial" w:hAnsi="Arial" w:cs="Arial"/>
        </w:rPr>
        <w:t xml:space="preserve">10. Popovici, r., &amp; Baldea, c. (2023). The Catalase Test for </w:t>
      </w:r>
      <w:r w:rsidRPr="00690F67">
        <w:rPr>
          <w:rFonts w:ascii="Arial" w:hAnsi="Arial" w:cs="Arial"/>
          <w:i/>
        </w:rPr>
        <w:t>Staphylococcus aureus</w:t>
      </w:r>
      <w:r w:rsidRPr="00690F67">
        <w:rPr>
          <w:rFonts w:ascii="Arial" w:hAnsi="Arial" w:cs="Arial"/>
        </w:rPr>
        <w:t>. </w:t>
      </w:r>
      <w:r w:rsidRPr="00690F67">
        <w:rPr>
          <w:rFonts w:ascii="Arial" w:hAnsi="Arial" w:cs="Arial"/>
          <w:i/>
          <w:iCs/>
        </w:rPr>
        <w:t>Analele Universitatii din Oradea, Fascicula Ecotoxicologie, Zootehnie si Tehnologii în Industria Alimentara</w:t>
      </w:r>
      <w:r w:rsidRPr="00690F67">
        <w:rPr>
          <w:rFonts w:ascii="Arial" w:hAnsi="Arial" w:cs="Arial"/>
        </w:rPr>
        <w:t>, </w:t>
      </w:r>
      <w:r w:rsidRPr="00690F67">
        <w:rPr>
          <w:rFonts w:ascii="Arial" w:hAnsi="Arial" w:cs="Arial"/>
          <w:i/>
          <w:iCs/>
        </w:rPr>
        <w:t>22</w:t>
      </w:r>
      <w:r w:rsidRPr="00690F67">
        <w:rPr>
          <w:rFonts w:ascii="Arial" w:hAnsi="Arial" w:cs="Arial"/>
        </w:rPr>
        <w:t>.</w:t>
      </w:r>
    </w:p>
    <w:p w14:paraId="14AEA1D6" w14:textId="77777777" w:rsidR="00690F67" w:rsidRPr="00690F67" w:rsidRDefault="00690F67" w:rsidP="00690F67">
      <w:pPr>
        <w:jc w:val="both"/>
        <w:rPr>
          <w:rFonts w:ascii="Arial" w:hAnsi="Arial" w:cs="Arial"/>
        </w:rPr>
      </w:pPr>
      <w:r w:rsidRPr="00690F67">
        <w:rPr>
          <w:rFonts w:ascii="Arial" w:hAnsi="Arial" w:cs="Arial"/>
        </w:rPr>
        <w:t xml:space="preserve">11. Rakotovao-Ravahatra, Z. D., Randriatsarafara, F. M., Milasoanjara, R. N., Ranaivosoa, M. K., Rakotovao, A. L., &amp; Rasamindrakotroka, A. (2019). Assessment of the coagulase test in the identification of </w:t>
      </w:r>
      <w:r w:rsidRPr="00690F67">
        <w:rPr>
          <w:rFonts w:ascii="Arial" w:hAnsi="Arial" w:cs="Arial"/>
          <w:i/>
        </w:rPr>
        <w:t>Staphylococcus aureus</w:t>
      </w:r>
      <w:r w:rsidRPr="00690F67">
        <w:rPr>
          <w:rFonts w:ascii="Arial" w:hAnsi="Arial" w:cs="Arial"/>
        </w:rPr>
        <w:t xml:space="preserve"> strains. </w:t>
      </w:r>
      <w:r w:rsidRPr="00690F67">
        <w:rPr>
          <w:rFonts w:ascii="Arial" w:hAnsi="Arial" w:cs="Arial"/>
          <w:i/>
          <w:iCs/>
        </w:rPr>
        <w:t>Journal of Biotechnology and Biomedicine</w:t>
      </w:r>
      <w:r w:rsidRPr="00690F67">
        <w:rPr>
          <w:rFonts w:ascii="Arial" w:hAnsi="Arial" w:cs="Arial"/>
        </w:rPr>
        <w:t>, </w:t>
      </w:r>
      <w:r w:rsidRPr="00690F67">
        <w:rPr>
          <w:rFonts w:ascii="Arial" w:hAnsi="Arial" w:cs="Arial"/>
          <w:i/>
          <w:iCs/>
        </w:rPr>
        <w:t>2</w:t>
      </w:r>
      <w:r w:rsidRPr="00690F67">
        <w:rPr>
          <w:rFonts w:ascii="Arial" w:hAnsi="Arial" w:cs="Arial"/>
        </w:rPr>
        <w:t>(3), 105-111.</w:t>
      </w:r>
    </w:p>
    <w:p w14:paraId="0A834E23" w14:textId="77777777" w:rsidR="00690F67" w:rsidRPr="00690F67" w:rsidRDefault="00690F67" w:rsidP="00690F67">
      <w:pPr>
        <w:jc w:val="both"/>
        <w:rPr>
          <w:rFonts w:ascii="Arial" w:hAnsi="Arial" w:cs="Arial"/>
        </w:rPr>
      </w:pPr>
      <w:r w:rsidRPr="00690F67">
        <w:rPr>
          <w:rFonts w:ascii="Arial" w:hAnsi="Arial" w:cs="Arial"/>
        </w:rPr>
        <w:t xml:space="preserve">12. Vandecandelaere, I., Van Nieuwerburgh, F., Deforce, D., &amp; Coenye, T. (2017). Metabolic activity, urease production, antibiotic resistance and virulence in dual species biofilms of Staphylococcus epidermidis and </w:t>
      </w:r>
      <w:r w:rsidRPr="00690F67">
        <w:rPr>
          <w:rFonts w:ascii="Arial" w:hAnsi="Arial" w:cs="Arial"/>
          <w:i/>
        </w:rPr>
        <w:t>Staphylococcus aureus</w:t>
      </w:r>
      <w:r w:rsidRPr="00690F67">
        <w:rPr>
          <w:rFonts w:ascii="Arial" w:hAnsi="Arial" w:cs="Arial"/>
        </w:rPr>
        <w:t>. </w:t>
      </w:r>
      <w:r w:rsidRPr="00690F67">
        <w:rPr>
          <w:rFonts w:ascii="Arial" w:hAnsi="Arial" w:cs="Arial"/>
          <w:i/>
          <w:iCs/>
        </w:rPr>
        <w:t>PLoS One</w:t>
      </w:r>
      <w:r w:rsidRPr="00690F67">
        <w:rPr>
          <w:rFonts w:ascii="Arial" w:hAnsi="Arial" w:cs="Arial"/>
        </w:rPr>
        <w:t>, </w:t>
      </w:r>
      <w:r w:rsidRPr="00690F67">
        <w:rPr>
          <w:rFonts w:ascii="Arial" w:hAnsi="Arial" w:cs="Arial"/>
          <w:i/>
          <w:iCs/>
        </w:rPr>
        <w:t>12</w:t>
      </w:r>
      <w:r w:rsidRPr="00690F67">
        <w:rPr>
          <w:rFonts w:ascii="Arial" w:hAnsi="Arial" w:cs="Arial"/>
        </w:rPr>
        <w:t>(3), e0172700.</w:t>
      </w:r>
    </w:p>
    <w:p w14:paraId="6A5946F4" w14:textId="77777777" w:rsidR="00690F67" w:rsidRPr="00690F67" w:rsidRDefault="00690F67" w:rsidP="00690F67">
      <w:pPr>
        <w:jc w:val="both"/>
        <w:rPr>
          <w:rFonts w:ascii="Arial" w:hAnsi="Arial" w:cs="Arial"/>
        </w:rPr>
      </w:pPr>
      <w:r w:rsidRPr="00690F67">
        <w:rPr>
          <w:rFonts w:ascii="Arial" w:hAnsi="Arial" w:cs="Arial"/>
        </w:rPr>
        <w:t>13. Shoaib, M., Muzammil, I., Hammad, M., Bhutta, Z. A., &amp; Yaseen, I. (2020). A mini-review on commonly used biochemical tests for identification of bacteria. </w:t>
      </w:r>
      <w:r w:rsidRPr="00690F67">
        <w:rPr>
          <w:rFonts w:ascii="Arial" w:hAnsi="Arial" w:cs="Arial"/>
          <w:i/>
          <w:iCs/>
        </w:rPr>
        <w:t>International Journal of Research Publications</w:t>
      </w:r>
      <w:r w:rsidRPr="00690F67">
        <w:rPr>
          <w:rFonts w:ascii="Arial" w:hAnsi="Arial" w:cs="Arial"/>
        </w:rPr>
        <w:t>, </w:t>
      </w:r>
      <w:r w:rsidRPr="00690F67">
        <w:rPr>
          <w:rFonts w:ascii="Arial" w:hAnsi="Arial" w:cs="Arial"/>
          <w:i/>
          <w:iCs/>
        </w:rPr>
        <w:t>54</w:t>
      </w:r>
      <w:r w:rsidRPr="00690F67">
        <w:rPr>
          <w:rFonts w:ascii="Arial" w:hAnsi="Arial" w:cs="Arial"/>
        </w:rPr>
        <w:t>(1), 1-7.</w:t>
      </w:r>
    </w:p>
    <w:p w14:paraId="7E03E39A" w14:textId="77777777" w:rsidR="00690F67" w:rsidRPr="00690F67" w:rsidRDefault="00690F67" w:rsidP="00690F67">
      <w:pPr>
        <w:jc w:val="both"/>
        <w:rPr>
          <w:rFonts w:ascii="Arial" w:hAnsi="Arial" w:cs="Arial"/>
        </w:rPr>
      </w:pPr>
      <w:r w:rsidRPr="00690F67">
        <w:rPr>
          <w:rFonts w:ascii="Arial" w:hAnsi="Arial" w:cs="Arial"/>
        </w:rPr>
        <w:t>14. CLSI. Performance Standards for Antimicrobial Susceptibility Testing. 30th ed. CLSI supplement M100.</w:t>
      </w:r>
    </w:p>
    <w:p w14:paraId="763F951C" w14:textId="77777777" w:rsidR="00690F67" w:rsidRPr="00690F67" w:rsidRDefault="00690F67" w:rsidP="00690F67">
      <w:pPr>
        <w:jc w:val="both"/>
        <w:rPr>
          <w:rFonts w:ascii="Arial" w:hAnsi="Arial" w:cs="Arial"/>
        </w:rPr>
      </w:pPr>
      <w:r w:rsidRPr="00690F67">
        <w:rPr>
          <w:rFonts w:ascii="Arial" w:hAnsi="Arial" w:cs="Arial"/>
        </w:rPr>
        <w:t>Wayne, PA: Clinical and Laboratory Standards Institute; 2020.</w:t>
      </w:r>
    </w:p>
    <w:p w14:paraId="00485148" w14:textId="77777777" w:rsidR="00690F67" w:rsidRPr="00690F67" w:rsidRDefault="00690F67" w:rsidP="00690F67">
      <w:pPr>
        <w:jc w:val="both"/>
        <w:rPr>
          <w:rFonts w:ascii="Arial" w:hAnsi="Arial" w:cs="Arial"/>
        </w:rPr>
      </w:pPr>
      <w:r w:rsidRPr="00690F67">
        <w:rPr>
          <w:rFonts w:ascii="Arial" w:hAnsi="Arial" w:cs="Arial"/>
        </w:rPr>
        <w:t>15. Nwankwo, I. U., Edward, K. C., &amp; Udensi, C. G. (2022). A case study on antimicrobial resistance of bacterial isolates from high-touched surfaces in hospitals in Madonna Catholic Hospital, Abia State. </w:t>
      </w:r>
      <w:r w:rsidRPr="00690F67">
        <w:rPr>
          <w:rFonts w:ascii="Arial" w:hAnsi="Arial" w:cs="Arial"/>
          <w:i/>
          <w:iCs/>
        </w:rPr>
        <w:t>Stamford Journal of Microbiology</w:t>
      </w:r>
      <w:r w:rsidRPr="00690F67">
        <w:rPr>
          <w:rFonts w:ascii="Arial" w:hAnsi="Arial" w:cs="Arial"/>
        </w:rPr>
        <w:t>, </w:t>
      </w:r>
      <w:r w:rsidRPr="00690F67">
        <w:rPr>
          <w:rFonts w:ascii="Arial" w:hAnsi="Arial" w:cs="Arial"/>
          <w:i/>
          <w:iCs/>
        </w:rPr>
        <w:t>12</w:t>
      </w:r>
      <w:r w:rsidRPr="00690F67">
        <w:rPr>
          <w:rFonts w:ascii="Arial" w:hAnsi="Arial" w:cs="Arial"/>
        </w:rPr>
        <w:t>(1), 1-7.</w:t>
      </w:r>
    </w:p>
    <w:p w14:paraId="7162DF3D" w14:textId="77777777" w:rsidR="00690F67" w:rsidRPr="00690F67" w:rsidRDefault="00690F67" w:rsidP="00690F67">
      <w:pPr>
        <w:jc w:val="both"/>
      </w:pPr>
      <w:r w:rsidRPr="00690F67">
        <w:rPr>
          <w:rFonts w:ascii="Arial" w:hAnsi="Arial" w:cs="Arial"/>
        </w:rPr>
        <w:t xml:space="preserve">16. </w:t>
      </w:r>
      <w:r w:rsidRPr="00690F67">
        <w:t>Angel, O. D., Kadarko, P. S., Muazu, J. S., Bassey, B. E., Helma, A. R., Haruna, N. I., &amp; Boyi, N. Y. (2019). Antimicrobial resistance profile and molecular detection of MecA gene in methicillin resistant Staphylococcus aureus from patients in selected general hospitals in Abuja municipal, Nigeria. </w:t>
      </w:r>
      <w:r w:rsidRPr="00690F67">
        <w:rPr>
          <w:i/>
          <w:iCs/>
        </w:rPr>
        <w:t>GSC Biological and Pharmaceutical Sciences</w:t>
      </w:r>
      <w:r w:rsidRPr="00690F67">
        <w:t>, </w:t>
      </w:r>
      <w:r w:rsidRPr="00690F67">
        <w:rPr>
          <w:i/>
          <w:iCs/>
        </w:rPr>
        <w:t>7</w:t>
      </w:r>
      <w:r w:rsidRPr="00690F67">
        <w:t>(3), 093-106.</w:t>
      </w:r>
    </w:p>
    <w:p w14:paraId="791B2E2E" w14:textId="77777777" w:rsidR="00690F67" w:rsidRPr="00690F67" w:rsidRDefault="00690F67" w:rsidP="00690F67">
      <w:pPr>
        <w:jc w:val="both"/>
      </w:pPr>
      <w:r w:rsidRPr="00690F67">
        <w:t>17.</w:t>
      </w:r>
      <w:r w:rsidRPr="00690F67">
        <w:rPr>
          <w:rFonts w:ascii="Arial" w:eastAsia="Calibri" w:hAnsi="Arial" w:cs="Arial"/>
          <w:color w:val="222222"/>
          <w:shd w:val="clear" w:color="auto" w:fill="FFFFFF"/>
        </w:rPr>
        <w:t xml:space="preserve"> </w:t>
      </w:r>
      <w:r w:rsidRPr="00690F67">
        <w:t>Abdullahi, N., &amp; Iregbu, K. C. (2018). Methicillin</w:t>
      </w:r>
      <w:r w:rsidRPr="00690F67">
        <w:noBreakHyphen/>
        <w:t xml:space="preserve">Resistant </w:t>
      </w:r>
      <w:r w:rsidRPr="00690F67">
        <w:rPr>
          <w:i/>
        </w:rPr>
        <w:t>Staphylococcus aureus</w:t>
      </w:r>
      <w:r w:rsidRPr="00690F67">
        <w:t xml:space="preserve"> in a Central Nigeria Tertiary Hospital. </w:t>
      </w:r>
      <w:r w:rsidRPr="00690F67">
        <w:rPr>
          <w:i/>
          <w:iCs/>
        </w:rPr>
        <w:t>Annals of Tropical Pathology</w:t>
      </w:r>
      <w:r w:rsidRPr="00690F67">
        <w:t>, </w:t>
      </w:r>
      <w:r w:rsidRPr="00690F67">
        <w:rPr>
          <w:i/>
          <w:iCs/>
        </w:rPr>
        <w:t>9</w:t>
      </w:r>
      <w:r w:rsidRPr="00690F67">
        <w:t>(1), 6-10.</w:t>
      </w:r>
    </w:p>
    <w:p w14:paraId="22C78F14" w14:textId="77777777" w:rsidR="00690F67" w:rsidRPr="00690F67" w:rsidRDefault="00690F67" w:rsidP="00690F67">
      <w:pPr>
        <w:jc w:val="both"/>
      </w:pPr>
      <w:r w:rsidRPr="00690F67">
        <w:lastRenderedPageBreak/>
        <w:t xml:space="preserve">18. Turner, N. A., Sharma-Kuinkel, B. K., Maskarinec, S. A., Eichenberger, E. M., Shah, P. P., Carugati, M., &amp; Fowler Jr, V. G. (2019). Methicillin-resistant </w:t>
      </w:r>
      <w:r w:rsidRPr="00690F67">
        <w:rPr>
          <w:i/>
        </w:rPr>
        <w:t>Staphylococcus aureus</w:t>
      </w:r>
      <w:r w:rsidRPr="00690F67">
        <w:t>: an overview of basic and clinical research. </w:t>
      </w:r>
      <w:r w:rsidRPr="00690F67">
        <w:rPr>
          <w:i/>
          <w:iCs/>
        </w:rPr>
        <w:t>Nature Reviews Microbiology</w:t>
      </w:r>
      <w:r w:rsidRPr="00690F67">
        <w:t>, </w:t>
      </w:r>
      <w:r w:rsidRPr="00690F67">
        <w:rPr>
          <w:i/>
          <w:iCs/>
        </w:rPr>
        <w:t>17</w:t>
      </w:r>
      <w:r w:rsidRPr="00690F67">
        <w:t>(4), 203-218.</w:t>
      </w:r>
    </w:p>
    <w:p w14:paraId="5CC8A930" w14:textId="77777777" w:rsidR="00690F67" w:rsidRPr="00690F67" w:rsidRDefault="00690F67" w:rsidP="00690F67">
      <w:pPr>
        <w:jc w:val="both"/>
      </w:pPr>
      <w:r w:rsidRPr="00690F67">
        <w:t xml:space="preserve">19. Yousefi M, Pourmand MR, Fallah F, Hashemi A, Mashhadi R, Nazari-Alam A. Characterization of </w:t>
      </w:r>
      <w:r w:rsidRPr="00690F67">
        <w:rPr>
          <w:i/>
        </w:rPr>
        <w:t>Staphylococcus aureus</w:t>
      </w:r>
      <w:r w:rsidRPr="00690F67">
        <w:t xml:space="preserve"> Biofilm Formation in Urinary Tract Infection. Iran J Public Health. 2016 Apr;45(4):485-93. PMID: 27252918; PMCID: PMC4888176.</w:t>
      </w:r>
    </w:p>
    <w:p w14:paraId="190F75C0" w14:textId="77777777" w:rsidR="00790ADA" w:rsidRPr="00FB3A86" w:rsidRDefault="00790ADA" w:rsidP="00441B6F">
      <w:pPr>
        <w:pStyle w:val="Body"/>
        <w:spacing w:after="0"/>
        <w:rPr>
          <w:rFonts w:ascii="Arial" w:hAnsi="Arial" w:cs="Arial"/>
        </w:rPr>
      </w:pPr>
    </w:p>
    <w:p w14:paraId="02E551A4" w14:textId="77777777" w:rsidR="00B01FCD" w:rsidRPr="00FB3A86" w:rsidRDefault="00B01FCD" w:rsidP="00441B6F">
      <w:pPr>
        <w:pStyle w:val="Appendix"/>
        <w:spacing w:after="0"/>
        <w:jc w:val="both"/>
        <w:rPr>
          <w:rFonts w:ascii="Arial" w:hAnsi="Arial" w:cs="Arial"/>
          <w:b w:val="0"/>
        </w:rPr>
      </w:pPr>
    </w:p>
    <w:sectPr w:rsidR="00B01FCD" w:rsidRPr="00FB3A86" w:rsidSect="00D2147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or Saber" w:date="2025-07-16T22:14:00Z" w:initials="NS">
    <w:p w14:paraId="611F5232" w14:textId="77777777" w:rsidR="006B43F0" w:rsidRDefault="006B43F0" w:rsidP="006B43F0">
      <w:pPr>
        <w:pStyle w:val="CommentText"/>
      </w:pPr>
      <w:r>
        <w:rPr>
          <w:rStyle w:val="CommentReference"/>
        </w:rPr>
        <w:annotationRef/>
      </w:r>
      <w:r>
        <w:rPr>
          <w:lang w:val="en-US"/>
        </w:rPr>
        <w:t xml:space="preserve">Type: Fomites. </w:t>
      </w:r>
    </w:p>
  </w:comment>
  <w:comment w:id="1" w:author="Noor Saber" w:date="2025-07-16T22:17:00Z" w:initials="NS">
    <w:p w14:paraId="7ADAA52A" w14:textId="77777777" w:rsidR="006B43F0" w:rsidRDefault="006B43F0" w:rsidP="006B43F0">
      <w:pPr>
        <w:pStyle w:val="CommentText"/>
      </w:pPr>
      <w:r>
        <w:rPr>
          <w:rStyle w:val="CommentReference"/>
        </w:rPr>
        <w:annotationRef/>
      </w:r>
      <w:r>
        <w:rPr>
          <w:lang w:val="en-US"/>
        </w:rPr>
        <w:t xml:space="preserve">What is the different between swab samples or sterile swab? </w:t>
      </w:r>
    </w:p>
  </w:comment>
  <w:comment w:id="2" w:author="Noor Saber" w:date="2025-07-16T22:19:00Z" w:initials="NS">
    <w:p w14:paraId="24931336" w14:textId="77777777" w:rsidR="006B43F0" w:rsidRDefault="006B43F0" w:rsidP="006B43F0">
      <w:pPr>
        <w:pStyle w:val="CommentText"/>
      </w:pPr>
      <w:r>
        <w:rPr>
          <w:rStyle w:val="CommentReference"/>
        </w:rPr>
        <w:annotationRef/>
      </w:r>
      <w:r>
        <w:rPr>
          <w:lang w:val="en-US"/>
        </w:rPr>
        <w:t xml:space="preserve">By who? </w:t>
      </w:r>
      <w:r>
        <w:rPr>
          <w:lang w:val="en-US"/>
        </w:rPr>
        <w:br/>
      </w:r>
      <w:r>
        <w:rPr>
          <w:lang w:val="en-US"/>
        </w:rPr>
        <w:br/>
        <w:t xml:space="preserve">you can say Orike., et al (8). Or correct it by naming their method then cite the reference. </w:t>
      </w:r>
    </w:p>
  </w:comment>
  <w:comment w:id="3" w:author="Noor Saber" w:date="2025-07-16T22:22:00Z" w:initials="NS">
    <w:p w14:paraId="0E2CEF82" w14:textId="77777777" w:rsidR="007D0F82" w:rsidRDefault="007D0F82" w:rsidP="007D0F82">
      <w:pPr>
        <w:pStyle w:val="CommentText"/>
      </w:pPr>
      <w:r>
        <w:rPr>
          <w:rStyle w:val="CommentReference"/>
        </w:rPr>
        <w:annotationRef/>
      </w:r>
      <w:r>
        <w:rPr>
          <w:lang w:val="en-US"/>
        </w:rPr>
        <w:t>This kit for Enterobacteriaceae which is gram negative, how you use it for S. aureus which is gram positive!</w:t>
      </w:r>
    </w:p>
  </w:comment>
  <w:comment w:id="4" w:author="Noor Saber" w:date="2025-07-16T22:28:00Z" w:initials="NS">
    <w:p w14:paraId="07F75C15" w14:textId="77777777" w:rsidR="007D0F82" w:rsidRDefault="007D0F82" w:rsidP="007D0F82">
      <w:pPr>
        <w:pStyle w:val="CommentText"/>
      </w:pPr>
      <w:r>
        <w:rPr>
          <w:rStyle w:val="CommentReference"/>
        </w:rPr>
        <w:annotationRef/>
      </w:r>
      <w:r>
        <w:rPr>
          <w:lang w:val="en-US"/>
        </w:rPr>
        <w:t>Delete oxidase and citrate utilization from the staph workflow.</w:t>
      </w:r>
    </w:p>
    <w:p w14:paraId="2F905376" w14:textId="77777777" w:rsidR="007D0F82" w:rsidRDefault="007D0F82" w:rsidP="007D0F82">
      <w:pPr>
        <w:pStyle w:val="CommentText"/>
      </w:pPr>
      <w:r>
        <w:rPr>
          <w:lang w:val="en-US"/>
        </w:rPr>
        <w:t xml:space="preserve">Clarify that MSA mannitol-fermentation plus coagulase is sufficient for routine </w:t>
      </w:r>
      <w:r>
        <w:rPr>
          <w:i/>
          <w:iCs/>
          <w:lang w:val="en-US"/>
        </w:rPr>
        <w:t>S. aureus</w:t>
      </w:r>
      <w:r>
        <w:rPr>
          <w:lang w:val="en-US"/>
        </w:rPr>
        <w:t xml:space="preserve"> confirmation</w:t>
      </w:r>
    </w:p>
  </w:comment>
  <w:comment w:id="5" w:author="Noor Saber" w:date="2025-07-16T22:29:00Z" w:initials="NS">
    <w:p w14:paraId="2C01CA12" w14:textId="77777777" w:rsidR="007D0F82" w:rsidRDefault="007D0F82" w:rsidP="007D0F82">
      <w:pPr>
        <w:pStyle w:val="CommentText"/>
      </w:pPr>
      <w:r>
        <w:rPr>
          <w:rStyle w:val="CommentReference"/>
        </w:rPr>
        <w:annotationRef/>
      </w:r>
      <w:r>
        <w:rPr>
          <w:lang w:val="en-US"/>
        </w:rPr>
        <w:t>Clinical and Laboratory Standards Institute guidelines  (CLSI)</w:t>
      </w:r>
    </w:p>
  </w:comment>
  <w:comment w:id="6" w:author="Noor Saber" w:date="2025-07-16T22:36:00Z" w:initials="NS">
    <w:p w14:paraId="3E8A5165" w14:textId="77777777" w:rsidR="00532C86" w:rsidRDefault="00532C86" w:rsidP="00532C86">
      <w:pPr>
        <w:pStyle w:val="CommentText"/>
      </w:pPr>
      <w:r>
        <w:rPr>
          <w:rStyle w:val="CommentReference"/>
        </w:rPr>
        <w:annotationRef/>
      </w:r>
      <w:r>
        <w:rPr>
          <w:lang w:val="en-US"/>
        </w:rPr>
        <w:t>What antibiotic you use?, mention them along with their abbreviations !</w:t>
      </w:r>
    </w:p>
  </w:comment>
  <w:comment w:id="7" w:author="Noor Saber" w:date="2025-07-16T22:35:00Z" w:initials="NS">
    <w:p w14:paraId="52D1FA4F" w14:textId="77777777" w:rsidR="00532C86" w:rsidRDefault="00532C86" w:rsidP="00532C86">
      <w:pPr>
        <w:pStyle w:val="CommentText"/>
      </w:pPr>
      <w:r>
        <w:rPr>
          <w:rStyle w:val="CommentReference"/>
        </w:rPr>
        <w:annotationRef/>
      </w:r>
      <w:r>
        <w:rPr>
          <w:lang w:val="en-US"/>
        </w:rPr>
        <w:t xml:space="preserve">Since the total of S. aureus is 50 isolates, why you use 5/77, 22/150 etc. </w:t>
      </w:r>
      <w:r>
        <w:rPr>
          <w:lang w:val="en-US"/>
        </w:rPr>
        <w:br/>
        <w:t xml:space="preserve">please consider using the total numbers of positive cultures  for all your percentages and comparison. Its not clear to indicate it in this way </w:t>
      </w:r>
    </w:p>
  </w:comment>
  <w:comment w:id="8" w:author="Noor Saber" w:date="2025-07-16T22:38:00Z" w:initials="NS">
    <w:p w14:paraId="3D557FE7" w14:textId="77777777" w:rsidR="00532C86" w:rsidRDefault="00532C86" w:rsidP="00532C86">
      <w:pPr>
        <w:pStyle w:val="CommentText"/>
      </w:pPr>
      <w:r>
        <w:rPr>
          <w:rStyle w:val="CommentReference"/>
        </w:rPr>
        <w:annotationRef/>
      </w:r>
      <w:r>
        <w:rPr>
          <w:lang w:val="en-US"/>
        </w:rPr>
        <w:t>What are these abbreviations, please indicate them in the Methodology and illustrate why you choose it in your study? Does it consider important in your country, on what bases?</w:t>
      </w:r>
    </w:p>
  </w:comment>
  <w:comment w:id="9" w:author="Noor Saber" w:date="2025-07-16T22:40:00Z" w:initials="NS">
    <w:p w14:paraId="4A65E71E" w14:textId="77777777" w:rsidR="00532C86" w:rsidRDefault="00532C86" w:rsidP="00532C86">
      <w:pPr>
        <w:pStyle w:val="CommentText"/>
      </w:pPr>
      <w:r>
        <w:rPr>
          <w:rStyle w:val="CommentReference"/>
        </w:rPr>
        <w:annotationRef/>
      </w:r>
      <w:r>
        <w:rPr>
          <w:lang w:val="en-US"/>
        </w:rPr>
        <w:t>Use unified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1F5232" w15:done="0"/>
  <w15:commentEx w15:paraId="7ADAA52A" w15:done="0"/>
  <w15:commentEx w15:paraId="24931336" w15:done="0"/>
  <w15:commentEx w15:paraId="0E2CEF82" w15:done="0"/>
  <w15:commentEx w15:paraId="2F905376" w15:done="0"/>
  <w15:commentEx w15:paraId="2C01CA12" w15:done="0"/>
  <w15:commentEx w15:paraId="3E8A5165" w15:done="0"/>
  <w15:commentEx w15:paraId="52D1FA4F" w15:done="0"/>
  <w15:commentEx w15:paraId="3D557FE7" w15:done="0"/>
  <w15:commentEx w15:paraId="4A65E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C94D6" w16cex:dateUtc="2025-07-16T19:14:00Z"/>
  <w16cex:commentExtensible w16cex:durableId="3410B58B" w16cex:dateUtc="2025-07-16T19:17:00Z"/>
  <w16cex:commentExtensible w16cex:durableId="4D169379" w16cex:dateUtc="2025-07-16T19:19:00Z"/>
  <w16cex:commentExtensible w16cex:durableId="0416EEF0" w16cex:dateUtc="2025-07-16T19:22:00Z"/>
  <w16cex:commentExtensible w16cex:durableId="3C044C40" w16cex:dateUtc="2025-07-16T19:28:00Z"/>
  <w16cex:commentExtensible w16cex:durableId="6D4B58FC" w16cex:dateUtc="2025-07-16T19:29:00Z"/>
  <w16cex:commentExtensible w16cex:durableId="7B8DFB9D" w16cex:dateUtc="2025-07-16T19:36:00Z"/>
  <w16cex:commentExtensible w16cex:durableId="381824FF" w16cex:dateUtc="2025-07-16T19:35:00Z"/>
  <w16cex:commentExtensible w16cex:durableId="1BDB2D20" w16cex:dateUtc="2025-07-16T19:38:00Z"/>
  <w16cex:commentExtensible w16cex:durableId="67A1CF02" w16cex:dateUtc="2025-07-16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1F5232" w16cid:durableId="24DC94D6"/>
  <w16cid:commentId w16cid:paraId="7ADAA52A" w16cid:durableId="3410B58B"/>
  <w16cid:commentId w16cid:paraId="24931336" w16cid:durableId="4D169379"/>
  <w16cid:commentId w16cid:paraId="0E2CEF82" w16cid:durableId="0416EEF0"/>
  <w16cid:commentId w16cid:paraId="2F905376" w16cid:durableId="3C044C40"/>
  <w16cid:commentId w16cid:paraId="2C01CA12" w16cid:durableId="6D4B58FC"/>
  <w16cid:commentId w16cid:paraId="3E8A5165" w16cid:durableId="7B8DFB9D"/>
  <w16cid:commentId w16cid:paraId="52D1FA4F" w16cid:durableId="381824FF"/>
  <w16cid:commentId w16cid:paraId="3D557FE7" w16cid:durableId="1BDB2D20"/>
  <w16cid:commentId w16cid:paraId="4A65E71E" w16cid:durableId="67A1C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C57C" w14:textId="77777777" w:rsidR="00D924FB" w:rsidRDefault="00D924FB" w:rsidP="00C37E61">
      <w:r>
        <w:separator/>
      </w:r>
    </w:p>
  </w:endnote>
  <w:endnote w:type="continuationSeparator" w:id="0">
    <w:p w14:paraId="33108CBD" w14:textId="77777777" w:rsidR="00D924FB" w:rsidRDefault="00D924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D0E0" w14:textId="77777777" w:rsidR="00FC4AA8" w:rsidRDefault="00FC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F6E9" w14:textId="77777777" w:rsidR="0079176D" w:rsidRPr="00C37E61" w:rsidRDefault="0079176D"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4200" w14:textId="77777777" w:rsidR="00FC4AA8" w:rsidRDefault="00FC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F289" w14:textId="77777777" w:rsidR="00D924FB" w:rsidRDefault="00D924FB" w:rsidP="00C37E61">
      <w:r>
        <w:separator/>
      </w:r>
    </w:p>
  </w:footnote>
  <w:footnote w:type="continuationSeparator" w:id="0">
    <w:p w14:paraId="2FFDBD0A" w14:textId="77777777" w:rsidR="00D924FB" w:rsidRDefault="00D924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1B58" w14:textId="7FA5BAB0" w:rsidR="00FC4AA8" w:rsidRDefault="00000000">
    <w:pPr>
      <w:pStyle w:val="Header"/>
    </w:pPr>
    <w:r>
      <w:rPr>
        <w:noProof/>
      </w:rPr>
      <w:pict w14:anchorId="3B21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A3E1" w14:textId="48049449" w:rsidR="00FC4AA8" w:rsidRDefault="00000000">
    <w:pPr>
      <w:pStyle w:val="Header"/>
    </w:pPr>
    <w:r>
      <w:rPr>
        <w:noProof/>
      </w:rPr>
      <w:pict w14:anchorId="4E345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E7B0" w14:textId="0F6015A5" w:rsidR="00FC4AA8" w:rsidRDefault="00000000">
    <w:pPr>
      <w:pStyle w:val="Header"/>
    </w:pPr>
    <w:r>
      <w:rPr>
        <w:noProof/>
      </w:rPr>
      <w:pict w14:anchorId="5E7D7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5"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A1313"/>
    <w:multiLevelType w:val="multilevel"/>
    <w:tmpl w:val="D2F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4D1FE6"/>
    <w:multiLevelType w:val="multilevel"/>
    <w:tmpl w:val="F114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75774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68659294">
    <w:abstractNumId w:val="17"/>
  </w:num>
  <w:num w:numId="3" w16cid:durableId="115220789">
    <w:abstractNumId w:val="25"/>
  </w:num>
  <w:num w:numId="4" w16cid:durableId="4524849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43315315">
    <w:abstractNumId w:val="8"/>
  </w:num>
  <w:num w:numId="6" w16cid:durableId="124354012">
    <w:abstractNumId w:val="7"/>
  </w:num>
  <w:num w:numId="7" w16cid:durableId="1547329268">
    <w:abstractNumId w:val="2"/>
  </w:num>
  <w:num w:numId="8" w16cid:durableId="1115755250">
    <w:abstractNumId w:val="14"/>
  </w:num>
  <w:num w:numId="9" w16cid:durableId="316957179">
    <w:abstractNumId w:val="27"/>
  </w:num>
  <w:num w:numId="10" w16cid:durableId="1048996019">
    <w:abstractNumId w:val="3"/>
  </w:num>
  <w:num w:numId="11" w16cid:durableId="1833450600">
    <w:abstractNumId w:val="20"/>
  </w:num>
  <w:num w:numId="12" w16cid:durableId="240406294">
    <w:abstractNumId w:val="4"/>
  </w:num>
  <w:num w:numId="13" w16cid:durableId="1449008164">
    <w:abstractNumId w:val="19"/>
  </w:num>
  <w:num w:numId="14" w16cid:durableId="1258640884">
    <w:abstractNumId w:val="10"/>
  </w:num>
  <w:num w:numId="15" w16cid:durableId="162086628">
    <w:abstractNumId w:val="23"/>
  </w:num>
  <w:num w:numId="16" w16cid:durableId="160394325">
    <w:abstractNumId w:val="6"/>
  </w:num>
  <w:num w:numId="17" w16cid:durableId="1574702692">
    <w:abstractNumId w:val="24"/>
  </w:num>
  <w:num w:numId="18" w16cid:durableId="850340831">
    <w:abstractNumId w:val="16"/>
  </w:num>
  <w:num w:numId="19" w16cid:durableId="2101637175">
    <w:abstractNumId w:val="30"/>
  </w:num>
  <w:num w:numId="20" w16cid:durableId="2126534869">
    <w:abstractNumId w:val="13"/>
  </w:num>
  <w:num w:numId="21" w16cid:durableId="1461609277">
    <w:abstractNumId w:val="11"/>
  </w:num>
  <w:num w:numId="22" w16cid:durableId="1117875104">
    <w:abstractNumId w:val="15"/>
  </w:num>
  <w:num w:numId="23" w16cid:durableId="223806910">
    <w:abstractNumId w:val="21"/>
  </w:num>
  <w:num w:numId="24" w16cid:durableId="58330424">
    <w:abstractNumId w:val="28"/>
  </w:num>
  <w:num w:numId="25" w16cid:durableId="104160809">
    <w:abstractNumId w:val="5"/>
  </w:num>
  <w:num w:numId="26" w16cid:durableId="476185270">
    <w:abstractNumId w:val="18"/>
  </w:num>
  <w:num w:numId="27" w16cid:durableId="1168248057">
    <w:abstractNumId w:val="22"/>
  </w:num>
  <w:num w:numId="28" w16cid:durableId="872038159">
    <w:abstractNumId w:val="29"/>
  </w:num>
  <w:num w:numId="29" w16cid:durableId="151676989">
    <w:abstractNumId w:val="26"/>
  </w:num>
  <w:num w:numId="30" w16cid:durableId="792283948">
    <w:abstractNumId w:val="12"/>
  </w:num>
  <w:num w:numId="31" w16cid:durableId="1978678665">
    <w:abstractNumId w:val="9"/>
  </w:num>
  <w:num w:numId="32" w16cid:durableId="15709676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or Saber">
    <w15:presenceInfo w15:providerId="Windows Live" w15:userId="2d652375bc2b3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DA2"/>
    <w:rsid w:val="00030174"/>
    <w:rsid w:val="0003267F"/>
    <w:rsid w:val="0004579C"/>
    <w:rsid w:val="00050ACF"/>
    <w:rsid w:val="000A47FA"/>
    <w:rsid w:val="000A4AB7"/>
    <w:rsid w:val="000A65D3"/>
    <w:rsid w:val="000B1E33"/>
    <w:rsid w:val="000D689F"/>
    <w:rsid w:val="000E68A5"/>
    <w:rsid w:val="000E7B7B"/>
    <w:rsid w:val="000E7D62"/>
    <w:rsid w:val="00103357"/>
    <w:rsid w:val="0012252A"/>
    <w:rsid w:val="00123C9F"/>
    <w:rsid w:val="00126190"/>
    <w:rsid w:val="00130F17"/>
    <w:rsid w:val="001320BF"/>
    <w:rsid w:val="00156CA0"/>
    <w:rsid w:val="00163BC4"/>
    <w:rsid w:val="0018330C"/>
    <w:rsid w:val="00191062"/>
    <w:rsid w:val="00192B72"/>
    <w:rsid w:val="001A29D8"/>
    <w:rsid w:val="001A5CAA"/>
    <w:rsid w:val="001B0427"/>
    <w:rsid w:val="001D3A51"/>
    <w:rsid w:val="001E10D2"/>
    <w:rsid w:val="001E25B4"/>
    <w:rsid w:val="001E44FE"/>
    <w:rsid w:val="00200595"/>
    <w:rsid w:val="0020187A"/>
    <w:rsid w:val="00204835"/>
    <w:rsid w:val="00231920"/>
    <w:rsid w:val="0023195C"/>
    <w:rsid w:val="0024282C"/>
    <w:rsid w:val="00244272"/>
    <w:rsid w:val="002460DC"/>
    <w:rsid w:val="00250985"/>
    <w:rsid w:val="002556F6"/>
    <w:rsid w:val="00255C3E"/>
    <w:rsid w:val="00283105"/>
    <w:rsid w:val="00284C4C"/>
    <w:rsid w:val="00287E68"/>
    <w:rsid w:val="00296529"/>
    <w:rsid w:val="002B27FB"/>
    <w:rsid w:val="002B685A"/>
    <w:rsid w:val="002C4FF4"/>
    <w:rsid w:val="002C57D2"/>
    <w:rsid w:val="002D3345"/>
    <w:rsid w:val="002E0D56"/>
    <w:rsid w:val="00315186"/>
    <w:rsid w:val="0033343E"/>
    <w:rsid w:val="003512C2"/>
    <w:rsid w:val="0035388B"/>
    <w:rsid w:val="00371FB6"/>
    <w:rsid w:val="00375E14"/>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90D"/>
    <w:rsid w:val="00471A80"/>
    <w:rsid w:val="00484E6B"/>
    <w:rsid w:val="004863BD"/>
    <w:rsid w:val="004D305E"/>
    <w:rsid w:val="004D4277"/>
    <w:rsid w:val="00502516"/>
    <w:rsid w:val="00505F06"/>
    <w:rsid w:val="00506828"/>
    <w:rsid w:val="0053056E"/>
    <w:rsid w:val="00532C86"/>
    <w:rsid w:val="00554FC3"/>
    <w:rsid w:val="00554FDA"/>
    <w:rsid w:val="005B40CE"/>
    <w:rsid w:val="005C784C"/>
    <w:rsid w:val="005D1399"/>
    <w:rsid w:val="005D17F6"/>
    <w:rsid w:val="005E5539"/>
    <w:rsid w:val="00602BF5"/>
    <w:rsid w:val="00617FDD"/>
    <w:rsid w:val="00621B70"/>
    <w:rsid w:val="00633614"/>
    <w:rsid w:val="00633F68"/>
    <w:rsid w:val="00636EB2"/>
    <w:rsid w:val="006375B8"/>
    <w:rsid w:val="0066510A"/>
    <w:rsid w:val="00673F9F"/>
    <w:rsid w:val="00686953"/>
    <w:rsid w:val="00687DEA"/>
    <w:rsid w:val="00687E67"/>
    <w:rsid w:val="00690F67"/>
    <w:rsid w:val="006967F7"/>
    <w:rsid w:val="006A250C"/>
    <w:rsid w:val="006B21D3"/>
    <w:rsid w:val="006B4006"/>
    <w:rsid w:val="006B43F0"/>
    <w:rsid w:val="006B57D0"/>
    <w:rsid w:val="006D30FF"/>
    <w:rsid w:val="006D6940"/>
    <w:rsid w:val="006E657C"/>
    <w:rsid w:val="006F11EC"/>
    <w:rsid w:val="0070082C"/>
    <w:rsid w:val="00734FF6"/>
    <w:rsid w:val="007369E6"/>
    <w:rsid w:val="00746E59"/>
    <w:rsid w:val="00754C9A"/>
    <w:rsid w:val="0075599A"/>
    <w:rsid w:val="00761D52"/>
    <w:rsid w:val="0077749E"/>
    <w:rsid w:val="00790ADA"/>
    <w:rsid w:val="0079176D"/>
    <w:rsid w:val="007A4D2E"/>
    <w:rsid w:val="007D0F82"/>
    <w:rsid w:val="007D2288"/>
    <w:rsid w:val="007E088F"/>
    <w:rsid w:val="007F7B32"/>
    <w:rsid w:val="00804BC2"/>
    <w:rsid w:val="0081431A"/>
    <w:rsid w:val="0083216F"/>
    <w:rsid w:val="00860000"/>
    <w:rsid w:val="00863BD3"/>
    <w:rsid w:val="008641ED"/>
    <w:rsid w:val="00866D66"/>
    <w:rsid w:val="008671C6"/>
    <w:rsid w:val="00875803"/>
    <w:rsid w:val="00890215"/>
    <w:rsid w:val="008B459E"/>
    <w:rsid w:val="008C6F5D"/>
    <w:rsid w:val="008E13AE"/>
    <w:rsid w:val="008E1506"/>
    <w:rsid w:val="008E710C"/>
    <w:rsid w:val="008F69D6"/>
    <w:rsid w:val="00902823"/>
    <w:rsid w:val="00915CA6"/>
    <w:rsid w:val="00927834"/>
    <w:rsid w:val="009367A5"/>
    <w:rsid w:val="009500A6"/>
    <w:rsid w:val="00957C18"/>
    <w:rsid w:val="009659BA"/>
    <w:rsid w:val="00970435"/>
    <w:rsid w:val="00983040"/>
    <w:rsid w:val="009963C1"/>
    <w:rsid w:val="009B3FB9"/>
    <w:rsid w:val="009C2465"/>
    <w:rsid w:val="009D26CF"/>
    <w:rsid w:val="009D35A0"/>
    <w:rsid w:val="009D7EB7"/>
    <w:rsid w:val="009E048A"/>
    <w:rsid w:val="009E08E9"/>
    <w:rsid w:val="009E3947"/>
    <w:rsid w:val="009E3DB9"/>
    <w:rsid w:val="009E6E35"/>
    <w:rsid w:val="009F0EDA"/>
    <w:rsid w:val="009F4449"/>
    <w:rsid w:val="00A03B96"/>
    <w:rsid w:val="00A05B19"/>
    <w:rsid w:val="00A1134E"/>
    <w:rsid w:val="00A24E7E"/>
    <w:rsid w:val="00A258C3"/>
    <w:rsid w:val="00A347C0"/>
    <w:rsid w:val="00A51431"/>
    <w:rsid w:val="00A539AD"/>
    <w:rsid w:val="00A75D43"/>
    <w:rsid w:val="00A94063"/>
    <w:rsid w:val="00AA6219"/>
    <w:rsid w:val="00AA74E0"/>
    <w:rsid w:val="00AB703F"/>
    <w:rsid w:val="00AC6BB8"/>
    <w:rsid w:val="00AD51AA"/>
    <w:rsid w:val="00AE008F"/>
    <w:rsid w:val="00AE530A"/>
    <w:rsid w:val="00AF0D2E"/>
    <w:rsid w:val="00B01FCD"/>
    <w:rsid w:val="00B1776C"/>
    <w:rsid w:val="00B22C60"/>
    <w:rsid w:val="00B52583"/>
    <w:rsid w:val="00B52896"/>
    <w:rsid w:val="00B63F58"/>
    <w:rsid w:val="00B95236"/>
    <w:rsid w:val="00B96BD9"/>
    <w:rsid w:val="00BA1B01"/>
    <w:rsid w:val="00BA2641"/>
    <w:rsid w:val="00BA4D9A"/>
    <w:rsid w:val="00BB37AA"/>
    <w:rsid w:val="00BB623B"/>
    <w:rsid w:val="00BC53A0"/>
    <w:rsid w:val="00BE62AD"/>
    <w:rsid w:val="00BF121F"/>
    <w:rsid w:val="00BF1F80"/>
    <w:rsid w:val="00C11F62"/>
    <w:rsid w:val="00C166EF"/>
    <w:rsid w:val="00C17EB0"/>
    <w:rsid w:val="00C27F5F"/>
    <w:rsid w:val="00C30A0F"/>
    <w:rsid w:val="00C37E61"/>
    <w:rsid w:val="00C44033"/>
    <w:rsid w:val="00C52CB9"/>
    <w:rsid w:val="00C70871"/>
    <w:rsid w:val="00C70F1B"/>
    <w:rsid w:val="00C71A47"/>
    <w:rsid w:val="00C7464C"/>
    <w:rsid w:val="00C85588"/>
    <w:rsid w:val="00CD012C"/>
    <w:rsid w:val="00CD6755"/>
    <w:rsid w:val="00CD6856"/>
    <w:rsid w:val="00CE0089"/>
    <w:rsid w:val="00CE591A"/>
    <w:rsid w:val="00CE793C"/>
    <w:rsid w:val="00CF193C"/>
    <w:rsid w:val="00CF3989"/>
    <w:rsid w:val="00D173F1"/>
    <w:rsid w:val="00D21473"/>
    <w:rsid w:val="00D21DE2"/>
    <w:rsid w:val="00D74CB0"/>
    <w:rsid w:val="00D8295D"/>
    <w:rsid w:val="00D924FB"/>
    <w:rsid w:val="00DC2A65"/>
    <w:rsid w:val="00DE15F0"/>
    <w:rsid w:val="00DE5663"/>
    <w:rsid w:val="00DE78AA"/>
    <w:rsid w:val="00E053D0"/>
    <w:rsid w:val="00E11F48"/>
    <w:rsid w:val="00E125CE"/>
    <w:rsid w:val="00E15994"/>
    <w:rsid w:val="00E3114E"/>
    <w:rsid w:val="00E31A70"/>
    <w:rsid w:val="00E35B02"/>
    <w:rsid w:val="00E3722E"/>
    <w:rsid w:val="00E66496"/>
    <w:rsid w:val="00E66B35"/>
    <w:rsid w:val="00E66E10"/>
    <w:rsid w:val="00E769F6"/>
    <w:rsid w:val="00E8407C"/>
    <w:rsid w:val="00E84F3C"/>
    <w:rsid w:val="00E85318"/>
    <w:rsid w:val="00EA012C"/>
    <w:rsid w:val="00EC6A55"/>
    <w:rsid w:val="00ED0288"/>
    <w:rsid w:val="00EE52CB"/>
    <w:rsid w:val="00EF581D"/>
    <w:rsid w:val="00EF7FD8"/>
    <w:rsid w:val="00F06F59"/>
    <w:rsid w:val="00F17988"/>
    <w:rsid w:val="00F379D2"/>
    <w:rsid w:val="00F469F0"/>
    <w:rsid w:val="00F53273"/>
    <w:rsid w:val="00F73C15"/>
    <w:rsid w:val="00F755E4"/>
    <w:rsid w:val="00F77D02"/>
    <w:rsid w:val="00FB3A86"/>
    <w:rsid w:val="00FC4AA8"/>
    <w:rsid w:val="00FD36C8"/>
    <w:rsid w:val="00FE1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422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1AA"/>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70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AD51AA"/>
    <w:rPr>
      <w:rFonts w:ascii="Helvetica" w:hAnsi="Helvetica"/>
    </w:rPr>
  </w:style>
  <w:style w:type="character" w:customStyle="1" w:styleId="Heading3Char">
    <w:name w:val="Heading 3 Char"/>
    <w:basedOn w:val="DefaultParagraphFont"/>
    <w:link w:val="Heading3"/>
    <w:semiHidden/>
    <w:rsid w:val="00C7087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6B43F0"/>
    <w:rPr>
      <w:rFonts w:ascii="Helvetica" w:hAnsi="Helvetica"/>
      <w:b/>
      <w:bCs/>
      <w:lang w:val="en-US" w:eastAsia="en-US"/>
    </w:rPr>
  </w:style>
  <w:style w:type="character" w:customStyle="1" w:styleId="CommentSubjectChar">
    <w:name w:val="Comment Subject Char"/>
    <w:basedOn w:val="CommentTextChar"/>
    <w:link w:val="CommentSubject"/>
    <w:semiHidden/>
    <w:rsid w:val="006B43F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376616">
      <w:bodyDiv w:val="1"/>
      <w:marLeft w:val="0"/>
      <w:marRight w:val="0"/>
      <w:marTop w:val="0"/>
      <w:marBottom w:val="0"/>
      <w:divBdr>
        <w:top w:val="none" w:sz="0" w:space="0" w:color="auto"/>
        <w:left w:val="none" w:sz="0" w:space="0" w:color="auto"/>
        <w:bottom w:val="none" w:sz="0" w:space="0" w:color="auto"/>
        <w:right w:val="none" w:sz="0" w:space="0" w:color="auto"/>
      </w:divBdr>
    </w:div>
    <w:div w:id="1235479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5743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1906488">
      <w:bodyDiv w:val="1"/>
      <w:marLeft w:val="0"/>
      <w:marRight w:val="0"/>
      <w:marTop w:val="0"/>
      <w:marBottom w:val="0"/>
      <w:divBdr>
        <w:top w:val="none" w:sz="0" w:space="0" w:color="auto"/>
        <w:left w:val="none" w:sz="0" w:space="0" w:color="auto"/>
        <w:bottom w:val="none" w:sz="0" w:space="0" w:color="auto"/>
        <w:right w:val="none" w:sz="0" w:space="0" w:color="auto"/>
      </w:divBdr>
      <w:divsChild>
        <w:div w:id="1009524431">
          <w:marLeft w:val="0"/>
          <w:marRight w:val="0"/>
          <w:marTop w:val="15"/>
          <w:marBottom w:val="0"/>
          <w:divBdr>
            <w:top w:val="single" w:sz="48" w:space="0" w:color="auto"/>
            <w:left w:val="single" w:sz="48" w:space="0" w:color="auto"/>
            <w:bottom w:val="single" w:sz="48" w:space="0" w:color="auto"/>
            <w:right w:val="single" w:sz="48" w:space="0" w:color="auto"/>
          </w:divBdr>
          <w:divsChild>
            <w:div w:id="2693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98445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41517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5965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15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504090">
      <w:bodyDiv w:val="1"/>
      <w:marLeft w:val="0"/>
      <w:marRight w:val="0"/>
      <w:marTop w:val="0"/>
      <w:marBottom w:val="0"/>
      <w:divBdr>
        <w:top w:val="none" w:sz="0" w:space="0" w:color="auto"/>
        <w:left w:val="none" w:sz="0" w:space="0" w:color="auto"/>
        <w:bottom w:val="none" w:sz="0" w:space="0" w:color="auto"/>
        <w:right w:val="none" w:sz="0" w:space="0" w:color="auto"/>
      </w:divBdr>
    </w:div>
    <w:div w:id="19074962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229660">
      <w:bodyDiv w:val="1"/>
      <w:marLeft w:val="0"/>
      <w:marRight w:val="0"/>
      <w:marTop w:val="0"/>
      <w:marBottom w:val="0"/>
      <w:divBdr>
        <w:top w:val="none" w:sz="0" w:space="0" w:color="auto"/>
        <w:left w:val="none" w:sz="0" w:space="0" w:color="auto"/>
        <w:bottom w:val="none" w:sz="0" w:space="0" w:color="auto"/>
        <w:right w:val="none" w:sz="0" w:space="0" w:color="auto"/>
      </w:divBdr>
    </w:div>
    <w:div w:id="20375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140-6736(21)02724-0"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EB39-AA35-4307-9413-2B1C6B36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4797</TotalTime>
  <Pages>9</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Noor Saber</cp:lastModifiedBy>
  <cp:revision>41</cp:revision>
  <cp:lastPrinted>1999-07-06T11:00:00Z</cp:lastPrinted>
  <dcterms:created xsi:type="dcterms:W3CDTF">2014-10-25T14:34:00Z</dcterms:created>
  <dcterms:modified xsi:type="dcterms:W3CDTF">2025-07-16T19:40:00Z</dcterms:modified>
</cp:coreProperties>
</file>