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75EF8" w14:textId="793204B4" w:rsidR="00F940A4" w:rsidRDefault="00825325">
      <w:pPr>
        <w:spacing w:line="360" w:lineRule="auto"/>
        <w:jc w:val="both"/>
        <w:rPr>
          <w:rFonts w:ascii="Times New Roman" w:hAnsi="Times New Roman"/>
          <w:sz w:val="24"/>
          <w:szCs w:val="24"/>
        </w:rPr>
      </w:pPr>
      <w:r>
        <w:rPr>
          <w:rFonts w:ascii="Times New Roman" w:hAnsi="Times New Roman"/>
          <w:sz w:val="24"/>
          <w:szCs w:val="24"/>
        </w:rPr>
        <w:t>Antioxidant and Physiological Responses to Ginger and Turmeric in Cadmium-Treated Female Rats: Implications for Oxidative Stress and Weight Modulation</w:t>
      </w:r>
    </w:p>
    <w:p w14:paraId="28577011" w14:textId="15B4311C" w:rsidR="00F940A4" w:rsidRDefault="00F940A4">
      <w:pPr>
        <w:spacing w:line="360" w:lineRule="auto"/>
        <w:jc w:val="both"/>
        <w:rPr>
          <w:rFonts w:ascii="Times New Roman" w:hAnsi="Times New Roman"/>
          <w:sz w:val="24"/>
          <w:szCs w:val="24"/>
        </w:rPr>
      </w:pPr>
    </w:p>
    <w:p w14:paraId="3D730D53" w14:textId="77777777" w:rsidR="00F940A4" w:rsidRDefault="00825325" w:rsidP="0017601B">
      <w:pPr>
        <w:spacing w:after="0" w:line="240" w:lineRule="auto"/>
        <w:jc w:val="both"/>
        <w:rPr>
          <w:rFonts w:ascii="Times New Roman" w:hAnsi="Times New Roman"/>
          <w:sz w:val="24"/>
          <w:szCs w:val="24"/>
        </w:rPr>
      </w:pPr>
      <w:r>
        <w:rPr>
          <w:rFonts w:ascii="Times New Roman" w:hAnsi="Times New Roman"/>
          <w:b/>
          <w:bCs/>
          <w:sz w:val="24"/>
          <w:szCs w:val="24"/>
        </w:rPr>
        <w:t>Abstract</w:t>
      </w:r>
    </w:p>
    <w:p w14:paraId="1585CEB3" w14:textId="4CDE13CA" w:rsidR="00F940A4" w:rsidRDefault="00825325" w:rsidP="00420C88">
      <w:pPr>
        <w:spacing w:after="0" w:line="240" w:lineRule="auto"/>
        <w:jc w:val="both"/>
        <w:rPr>
          <w:rFonts w:ascii="Times New Roman" w:hAnsi="Times New Roman"/>
          <w:sz w:val="24"/>
          <w:szCs w:val="24"/>
        </w:rPr>
      </w:pPr>
      <w:r>
        <w:rPr>
          <w:rFonts w:ascii="Times New Roman" w:hAnsi="Times New Roman"/>
          <w:sz w:val="24"/>
          <w:szCs w:val="24"/>
        </w:rPr>
        <w:t>Aim:</w:t>
      </w:r>
      <w:r w:rsidR="00420C88">
        <w:rPr>
          <w:rFonts w:ascii="Times New Roman" w:hAnsi="Times New Roman"/>
          <w:sz w:val="24"/>
          <w:szCs w:val="24"/>
        </w:rPr>
        <w:t xml:space="preserve"> </w:t>
      </w:r>
      <w:r>
        <w:rPr>
          <w:rFonts w:ascii="Times New Roman" w:hAnsi="Times New Roman"/>
          <w:sz w:val="24"/>
          <w:szCs w:val="24"/>
        </w:rPr>
        <w:t>This study investigated the protective effects of turmeric (</w:t>
      </w:r>
      <w:r>
        <w:rPr>
          <w:rFonts w:ascii="Times New Roman" w:hAnsi="Times New Roman"/>
          <w:i/>
          <w:iCs/>
          <w:sz w:val="24"/>
          <w:szCs w:val="24"/>
        </w:rPr>
        <w:t>Curcuma longa</w:t>
      </w:r>
      <w:r>
        <w:rPr>
          <w:rFonts w:ascii="Times New Roman" w:hAnsi="Times New Roman"/>
          <w:sz w:val="24"/>
          <w:szCs w:val="24"/>
        </w:rPr>
        <w:t>) and ginger (</w:t>
      </w:r>
      <w:r>
        <w:rPr>
          <w:rFonts w:ascii="Times New Roman" w:hAnsi="Times New Roman"/>
          <w:i/>
          <w:iCs/>
          <w:sz w:val="24"/>
          <w:szCs w:val="24"/>
        </w:rPr>
        <w:t>Zingiber officinale</w:t>
      </w:r>
      <w:r>
        <w:rPr>
          <w:rFonts w:ascii="Times New Roman" w:hAnsi="Times New Roman"/>
          <w:sz w:val="24"/>
          <w:szCs w:val="24"/>
        </w:rPr>
        <w:t>)—individually and in combination—on cadmium chloride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)-induced oxidative stress and body weight alterations in female Wistar rats.</w:t>
      </w:r>
    </w:p>
    <w:p w14:paraId="3AC3642A" w14:textId="795CF2DE" w:rsidR="00F940A4" w:rsidRDefault="00825325" w:rsidP="00420C88">
      <w:pPr>
        <w:spacing w:after="0" w:line="240" w:lineRule="auto"/>
        <w:jc w:val="both"/>
        <w:rPr>
          <w:rFonts w:ascii="Times New Roman" w:hAnsi="Times New Roman"/>
          <w:sz w:val="24"/>
          <w:szCs w:val="24"/>
        </w:rPr>
      </w:pPr>
      <w:r>
        <w:rPr>
          <w:rFonts w:ascii="Times New Roman" w:hAnsi="Times New Roman"/>
          <w:sz w:val="24"/>
          <w:szCs w:val="24"/>
        </w:rPr>
        <w:t>Methods:</w:t>
      </w:r>
      <w:r w:rsidR="00420C88">
        <w:rPr>
          <w:rFonts w:ascii="Times New Roman" w:hAnsi="Times New Roman"/>
          <w:sz w:val="24"/>
          <w:szCs w:val="24"/>
        </w:rPr>
        <w:t xml:space="preserve"> </w:t>
      </w:r>
      <w:r>
        <w:rPr>
          <w:rFonts w:ascii="Times New Roman" w:hAnsi="Times New Roman"/>
          <w:sz w:val="24"/>
          <w:szCs w:val="24"/>
        </w:rPr>
        <w:t xml:space="preserve">Thirty female albino </w:t>
      </w:r>
      <w:proofErr w:type="spellStart"/>
      <w:r>
        <w:rPr>
          <w:rFonts w:ascii="Times New Roman" w:hAnsi="Times New Roman"/>
          <w:sz w:val="24"/>
          <w:szCs w:val="24"/>
        </w:rPr>
        <w:t>Wistar</w:t>
      </w:r>
      <w:proofErr w:type="spellEnd"/>
      <w:r>
        <w:rPr>
          <w:rFonts w:ascii="Times New Roman" w:hAnsi="Times New Roman"/>
          <w:sz w:val="24"/>
          <w:szCs w:val="24"/>
        </w:rPr>
        <w:t xml:space="preserve"> rats were randomly assigned into five groups (n = 6): control, cadmium-only (5 mg/kg, </w:t>
      </w:r>
      <w:proofErr w:type="spellStart"/>
      <w:r>
        <w:rPr>
          <w:rFonts w:ascii="Times New Roman" w:hAnsi="Times New Roman"/>
          <w:sz w:val="24"/>
          <w:szCs w:val="24"/>
        </w:rPr>
        <w:t>i.p</w:t>
      </w:r>
      <w:proofErr w:type="spellEnd"/>
      <w:r>
        <w:rPr>
          <w:rFonts w:ascii="Times New Roman" w:hAnsi="Times New Roman"/>
          <w:sz w:val="24"/>
          <w:szCs w:val="24"/>
        </w:rPr>
        <w:t xml:space="preserve">.), cadmium + turmeric (200 mg/kg), cadmium + ginger (200 mg/kg), and cadmium + turmeric + ginger (200 mg/kg each). </w:t>
      </w:r>
      <w:commentRangeStart w:id="0"/>
      <w:r>
        <w:rPr>
          <w:rFonts w:ascii="Times New Roman" w:hAnsi="Times New Roman"/>
          <w:sz w:val="24"/>
          <w:szCs w:val="24"/>
        </w:rPr>
        <w:t xml:space="preserve">Treatments </w:t>
      </w:r>
      <w:commentRangeEnd w:id="0"/>
      <w:r w:rsidR="003E436F">
        <w:rPr>
          <w:rStyle w:val="CommentReference"/>
        </w:rPr>
        <w:commentReference w:id="0"/>
      </w:r>
      <w:r>
        <w:rPr>
          <w:rFonts w:ascii="Times New Roman" w:hAnsi="Times New Roman"/>
          <w:sz w:val="24"/>
          <w:szCs w:val="24"/>
        </w:rPr>
        <w:t>were administered for 15 consecutive days. Body weight changes were recorded. Serum antioxidant parameters—including superoxide dismutase (SOD), catalase (CAT), glutathione peroxidase (</w:t>
      </w:r>
      <w:proofErr w:type="spellStart"/>
      <w:r>
        <w:rPr>
          <w:rFonts w:ascii="Times New Roman" w:hAnsi="Times New Roman"/>
          <w:sz w:val="24"/>
          <w:szCs w:val="24"/>
        </w:rPr>
        <w:t>GPx</w:t>
      </w:r>
      <w:proofErr w:type="spellEnd"/>
      <w:r>
        <w:rPr>
          <w:rFonts w:ascii="Times New Roman" w:hAnsi="Times New Roman"/>
          <w:sz w:val="24"/>
          <w:szCs w:val="24"/>
        </w:rPr>
        <w:t xml:space="preserve">), and </w:t>
      </w:r>
      <w:proofErr w:type="spellStart"/>
      <w:r>
        <w:rPr>
          <w:rFonts w:ascii="Times New Roman" w:hAnsi="Times New Roman"/>
          <w:sz w:val="24"/>
          <w:szCs w:val="24"/>
        </w:rPr>
        <w:t>malondialdehyde</w:t>
      </w:r>
      <w:proofErr w:type="spellEnd"/>
      <w:r>
        <w:rPr>
          <w:rFonts w:ascii="Times New Roman" w:hAnsi="Times New Roman"/>
          <w:sz w:val="24"/>
          <w:szCs w:val="24"/>
        </w:rPr>
        <w:t xml:space="preserve"> (MDA)—were assayed using standard spectrophotometric methods.</w:t>
      </w:r>
    </w:p>
    <w:p w14:paraId="47115927" w14:textId="02E5E8A0" w:rsidR="00F940A4" w:rsidRPr="00420C88" w:rsidRDefault="00825325" w:rsidP="00420C88">
      <w:pPr>
        <w:spacing w:after="0" w:line="240" w:lineRule="auto"/>
        <w:jc w:val="both"/>
        <w:rPr>
          <w:rFonts w:ascii="Times New Roman" w:hAnsi="Times New Roman"/>
          <w:b/>
          <w:bCs/>
          <w:sz w:val="24"/>
          <w:szCs w:val="24"/>
        </w:rPr>
      </w:pPr>
      <w:r>
        <w:rPr>
          <w:rFonts w:ascii="Times New Roman" w:hAnsi="Times New Roman"/>
          <w:sz w:val="24"/>
          <w:szCs w:val="24"/>
        </w:rPr>
        <w:t>Results</w:t>
      </w:r>
      <w:r>
        <w:rPr>
          <w:rFonts w:ascii="Times New Roman" w:hAnsi="Times New Roman"/>
          <w:b/>
          <w:bCs/>
          <w:sz w:val="24"/>
          <w:szCs w:val="24"/>
        </w:rPr>
        <w:t>:</w:t>
      </w:r>
      <w:r w:rsidR="003C351E">
        <w:rPr>
          <w:rFonts w:ascii="Times New Roman" w:hAnsi="Times New Roman"/>
          <w:b/>
          <w:bCs/>
          <w:sz w:val="24"/>
          <w:szCs w:val="24"/>
        </w:rPr>
        <w:t xml:space="preserve"> </w:t>
      </w:r>
      <w:r>
        <w:rPr>
          <w:rFonts w:ascii="Times New Roman" w:hAnsi="Times New Roman"/>
          <w:sz w:val="24"/>
          <w:szCs w:val="24"/>
        </w:rPr>
        <w:t>Cadmium administration significantly reduced body weight and antioxidant enzyme activities (SOD, CAT) while increasing MDA levels (</w:t>
      </w:r>
      <w:r>
        <w:rPr>
          <w:rFonts w:ascii="Times New Roman" w:hAnsi="Times New Roman"/>
          <w:i/>
          <w:iCs/>
          <w:sz w:val="24"/>
          <w:szCs w:val="24"/>
        </w:rPr>
        <w:t>p</w:t>
      </w:r>
      <w:r>
        <w:rPr>
          <w:rFonts w:ascii="Times New Roman" w:hAnsi="Times New Roman"/>
          <w:sz w:val="24"/>
          <w:szCs w:val="24"/>
        </w:rPr>
        <w:t xml:space="preserve">&lt; 0.05), indicating oxidative stress. Co-treatment with turmeric and ginger, especially in combination, restored antioxidant enzyme activity and lowered MDA levels toward control values. Turmeric alone preserved body weight, while ginger-treated rats showed moderate weight loss. </w:t>
      </w:r>
      <w:proofErr w:type="spellStart"/>
      <w:r>
        <w:rPr>
          <w:rFonts w:ascii="Times New Roman" w:hAnsi="Times New Roman"/>
          <w:sz w:val="24"/>
          <w:szCs w:val="24"/>
        </w:rPr>
        <w:t>GPx</w:t>
      </w:r>
      <w:proofErr w:type="spellEnd"/>
      <w:r>
        <w:rPr>
          <w:rFonts w:ascii="Times New Roman" w:hAnsi="Times New Roman"/>
          <w:sz w:val="24"/>
          <w:szCs w:val="24"/>
        </w:rPr>
        <w:t xml:space="preserve"> activity exhibited a non-significant upward trend in treatment groups.</w:t>
      </w:r>
    </w:p>
    <w:p w14:paraId="3A2D22AD" w14:textId="158A654D" w:rsidR="00F940A4" w:rsidRPr="00420C88" w:rsidRDefault="00825325" w:rsidP="00420C88">
      <w:pPr>
        <w:spacing w:after="0" w:line="240" w:lineRule="auto"/>
        <w:jc w:val="both"/>
        <w:rPr>
          <w:rFonts w:ascii="Times New Roman" w:hAnsi="Times New Roman"/>
          <w:b/>
          <w:bCs/>
          <w:sz w:val="24"/>
          <w:szCs w:val="24"/>
        </w:rPr>
      </w:pPr>
      <w:r>
        <w:rPr>
          <w:rFonts w:ascii="Times New Roman" w:hAnsi="Times New Roman"/>
          <w:sz w:val="24"/>
          <w:szCs w:val="24"/>
        </w:rPr>
        <w:t>Conclusion</w:t>
      </w:r>
      <w:r>
        <w:rPr>
          <w:rFonts w:ascii="Times New Roman" w:hAnsi="Times New Roman"/>
          <w:b/>
          <w:bCs/>
          <w:sz w:val="24"/>
          <w:szCs w:val="24"/>
        </w:rPr>
        <w:t>:</w:t>
      </w:r>
      <w:r w:rsidR="00420C88">
        <w:rPr>
          <w:rFonts w:ascii="Times New Roman" w:hAnsi="Times New Roman"/>
          <w:b/>
          <w:bCs/>
          <w:sz w:val="24"/>
          <w:szCs w:val="24"/>
        </w:rPr>
        <w:t xml:space="preserve"> </w:t>
      </w:r>
      <w:r>
        <w:rPr>
          <w:rFonts w:ascii="Times New Roman" w:hAnsi="Times New Roman"/>
          <w:sz w:val="24"/>
          <w:szCs w:val="24"/>
        </w:rPr>
        <w:t>Turmeric and ginger mitigate cadmium-induced oxidative damage and weight loss through their antioxidant properties. The combination therapy demonstrated synergistic efficacy, suggesting potential for natural product-based interventions in cadmium toxicity and oxidative stress-related disorders. Further studies are recommended to elucidate underlying mechanisms and optimize dosage strategies.</w:t>
      </w:r>
    </w:p>
    <w:p w14:paraId="6D1A6872" w14:textId="5204E5CE" w:rsidR="00F940A4" w:rsidRDefault="00825325" w:rsidP="0017601B">
      <w:pPr>
        <w:spacing w:after="0" w:line="240" w:lineRule="auto"/>
        <w:jc w:val="both"/>
        <w:rPr>
          <w:rFonts w:ascii="Times New Roman" w:hAnsi="Times New Roman"/>
          <w:i/>
          <w:sz w:val="24"/>
          <w:szCs w:val="24"/>
        </w:rPr>
      </w:pPr>
      <w:r>
        <w:rPr>
          <w:rFonts w:ascii="Times New Roman" w:hAnsi="Times New Roman"/>
          <w:b/>
          <w:bCs/>
          <w:sz w:val="24"/>
          <w:szCs w:val="24"/>
        </w:rPr>
        <w:t xml:space="preserve">Keyword: </w:t>
      </w:r>
      <w:commentRangeStart w:id="1"/>
      <w:r>
        <w:rPr>
          <w:rFonts w:ascii="Times New Roman" w:hAnsi="Times New Roman"/>
          <w:i/>
          <w:sz w:val="24"/>
          <w:szCs w:val="24"/>
        </w:rPr>
        <w:t>Cadmium toxicity, Oxidative stress, Antioxidant enzymes, Turmeric (Curcuma longa), Ginger (Zingiber officinale), Body weight modulation, Lipid peroxidation</w:t>
      </w:r>
      <w:commentRangeEnd w:id="1"/>
      <w:r w:rsidR="00BD3472">
        <w:rPr>
          <w:rStyle w:val="CommentReference"/>
        </w:rPr>
        <w:commentReference w:id="1"/>
      </w:r>
    </w:p>
    <w:p w14:paraId="36EED4DB" w14:textId="77777777" w:rsidR="0017601B" w:rsidRDefault="0017601B" w:rsidP="0017601B">
      <w:pPr>
        <w:spacing w:after="0" w:line="240" w:lineRule="auto"/>
        <w:jc w:val="both"/>
        <w:rPr>
          <w:rFonts w:ascii="Times New Roman" w:hAnsi="Times New Roman"/>
          <w:i/>
          <w:sz w:val="24"/>
          <w:szCs w:val="24"/>
        </w:rPr>
      </w:pPr>
    </w:p>
    <w:p w14:paraId="2925E124" w14:textId="77777777" w:rsidR="00F940A4" w:rsidRDefault="00825325" w:rsidP="0017601B">
      <w:pPr>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bCs/>
          <w:sz w:val="24"/>
          <w:szCs w:val="24"/>
        </w:rPr>
        <w:t>Introduction</w:t>
      </w:r>
    </w:p>
    <w:p w14:paraId="2D3AE225" w14:textId="31044321" w:rsidR="00F940A4" w:rsidRDefault="0017601B" w:rsidP="0017601B">
      <w:pPr>
        <w:spacing w:after="0" w:line="240" w:lineRule="auto"/>
        <w:jc w:val="both"/>
        <w:rPr>
          <w:rFonts w:ascii="Times New Roman" w:hAnsi="Times New Roman"/>
          <w:sz w:val="24"/>
          <w:szCs w:val="24"/>
        </w:rPr>
      </w:pPr>
      <w:commentRangeStart w:id="2"/>
      <w:r>
        <w:rPr>
          <w:rFonts w:ascii="Times New Roman" w:hAnsi="Times New Roman"/>
          <w:sz w:val="24"/>
          <w:szCs w:val="24"/>
        </w:rPr>
        <w:t xml:space="preserve">               </w:t>
      </w:r>
      <w:commentRangeEnd w:id="2"/>
      <w:r>
        <w:rPr>
          <w:rStyle w:val="CommentReference"/>
        </w:rPr>
        <w:commentReference w:id="2"/>
      </w:r>
      <w:r w:rsidR="00825325">
        <w:rPr>
          <w:rFonts w:ascii="Times New Roman" w:hAnsi="Times New Roman"/>
          <w:sz w:val="24"/>
          <w:szCs w:val="24"/>
        </w:rPr>
        <w:t xml:space="preserve">Cadmium (Cd) is a toxic heavy metal and an established environmental pollutant that poses a serious threat to human and animal health (Genchi </w:t>
      </w:r>
      <w:r w:rsidR="00825325">
        <w:rPr>
          <w:rFonts w:ascii="Times New Roman" w:hAnsi="Times New Roman"/>
          <w:i/>
          <w:iCs/>
          <w:sz w:val="24"/>
          <w:szCs w:val="24"/>
        </w:rPr>
        <w:t>et al</w:t>
      </w:r>
      <w:r w:rsidR="00825325">
        <w:rPr>
          <w:rFonts w:ascii="Times New Roman" w:hAnsi="Times New Roman"/>
          <w:sz w:val="24"/>
          <w:szCs w:val="24"/>
        </w:rPr>
        <w:t xml:space="preserve">., 2020). It is widely distributed in the environment due to industrial emissions, contaminated water, fertilizers, and cigarette smoke </w:t>
      </w:r>
      <w:commentRangeStart w:id="3"/>
      <w:r w:rsidR="00825325">
        <w:rPr>
          <w:rFonts w:ascii="Times New Roman" w:hAnsi="Times New Roman"/>
          <w:sz w:val="24"/>
          <w:szCs w:val="24"/>
        </w:rPr>
        <w:t>(</w:t>
      </w:r>
      <w:proofErr w:type="spellStart"/>
      <w:r w:rsidR="00825325">
        <w:rPr>
          <w:rFonts w:ascii="Times New Roman" w:hAnsi="Times New Roman"/>
          <w:sz w:val="24"/>
          <w:szCs w:val="24"/>
        </w:rPr>
        <w:t>Sharma</w:t>
      </w:r>
      <w:r w:rsidR="00825325">
        <w:rPr>
          <w:rFonts w:ascii="Times New Roman" w:hAnsi="Times New Roman"/>
          <w:i/>
          <w:iCs/>
          <w:sz w:val="24"/>
          <w:szCs w:val="24"/>
        </w:rPr>
        <w:t>et</w:t>
      </w:r>
      <w:proofErr w:type="spellEnd"/>
      <w:r w:rsidR="00825325">
        <w:rPr>
          <w:rFonts w:ascii="Times New Roman" w:hAnsi="Times New Roman"/>
          <w:i/>
          <w:iCs/>
          <w:sz w:val="24"/>
          <w:szCs w:val="24"/>
        </w:rPr>
        <w:t xml:space="preserve"> al.</w:t>
      </w:r>
      <w:r w:rsidR="00825325">
        <w:rPr>
          <w:rFonts w:ascii="Times New Roman" w:hAnsi="Times New Roman"/>
          <w:sz w:val="24"/>
          <w:szCs w:val="24"/>
        </w:rPr>
        <w:t xml:space="preserve">, 2023). </w:t>
      </w:r>
      <w:commentRangeEnd w:id="3"/>
      <w:r w:rsidR="00F07096">
        <w:rPr>
          <w:rStyle w:val="CommentReference"/>
        </w:rPr>
        <w:commentReference w:id="3"/>
      </w:r>
      <w:r w:rsidR="00825325">
        <w:rPr>
          <w:rFonts w:ascii="Times New Roman" w:hAnsi="Times New Roman"/>
          <w:sz w:val="24"/>
          <w:szCs w:val="24"/>
        </w:rPr>
        <w:t xml:space="preserve">Chronic exposure to cadmium, even at low doses, is associated with bioaccumulation in soft tissues such as the liver, kidneys, and reproductive organs (Peana </w:t>
      </w:r>
      <w:r w:rsidR="00825325">
        <w:rPr>
          <w:rFonts w:ascii="Times New Roman" w:hAnsi="Times New Roman"/>
          <w:i/>
          <w:iCs/>
          <w:sz w:val="24"/>
          <w:szCs w:val="24"/>
        </w:rPr>
        <w:t>et al</w:t>
      </w:r>
      <w:r w:rsidR="00825325">
        <w:rPr>
          <w:rFonts w:ascii="Times New Roman" w:hAnsi="Times New Roman"/>
          <w:sz w:val="24"/>
          <w:szCs w:val="24"/>
        </w:rPr>
        <w:t xml:space="preserve">., 2022). One of the most detrimental effects of cadmium toxicity is its ability to induce oxidative stress,  characterized by the overproduction of reactive oxygen species (ROS), lipid peroxidation, and depletion of antioxidant defense systems (Branca </w:t>
      </w:r>
      <w:r w:rsidR="00825325">
        <w:rPr>
          <w:rFonts w:ascii="Times New Roman" w:hAnsi="Times New Roman"/>
          <w:i/>
          <w:iCs/>
          <w:sz w:val="24"/>
          <w:szCs w:val="24"/>
        </w:rPr>
        <w:t>et al</w:t>
      </w:r>
      <w:r w:rsidR="00825325">
        <w:rPr>
          <w:rFonts w:ascii="Times New Roman" w:hAnsi="Times New Roman"/>
          <w:sz w:val="24"/>
          <w:szCs w:val="24"/>
        </w:rPr>
        <w:t>., 2020).</w:t>
      </w:r>
    </w:p>
    <w:p w14:paraId="47026488" w14:textId="522E0FC5" w:rsidR="00F940A4" w:rsidRDefault="00420C88">
      <w:pPr>
        <w:spacing w:line="240" w:lineRule="auto"/>
        <w:jc w:val="both"/>
        <w:rPr>
          <w:rFonts w:ascii="Times New Roman" w:hAnsi="Times New Roman"/>
          <w:sz w:val="24"/>
          <w:szCs w:val="24"/>
        </w:rPr>
      </w:pPr>
      <w:commentRangeStart w:id="4"/>
      <w:r>
        <w:rPr>
          <w:rFonts w:ascii="Times New Roman" w:hAnsi="Times New Roman"/>
          <w:sz w:val="24"/>
          <w:szCs w:val="24"/>
        </w:rPr>
        <w:t xml:space="preserve">               </w:t>
      </w:r>
      <w:commentRangeEnd w:id="4"/>
      <w:r>
        <w:rPr>
          <w:rStyle w:val="CommentReference"/>
        </w:rPr>
        <w:commentReference w:id="4"/>
      </w:r>
      <w:r w:rsidR="00825325">
        <w:rPr>
          <w:rFonts w:ascii="Times New Roman" w:hAnsi="Times New Roman"/>
          <w:sz w:val="24"/>
          <w:szCs w:val="24"/>
        </w:rPr>
        <w:t>Cadmium-induced oxidative stress disrupts cellular redox balance and impairs key antioxidant enzymes including superoxide dismutase (SOD), catalase (CAT) and glutathione peroxidase (</w:t>
      </w:r>
      <w:proofErr w:type="spellStart"/>
      <w:r w:rsidR="00825325">
        <w:rPr>
          <w:rFonts w:ascii="Times New Roman" w:hAnsi="Times New Roman"/>
          <w:sz w:val="24"/>
          <w:szCs w:val="24"/>
        </w:rPr>
        <w:t>GPx</w:t>
      </w:r>
      <w:proofErr w:type="spellEnd"/>
      <w:r w:rsidR="00825325">
        <w:rPr>
          <w:rFonts w:ascii="Times New Roman" w:hAnsi="Times New Roman"/>
          <w:sz w:val="24"/>
          <w:szCs w:val="24"/>
        </w:rPr>
        <w:t xml:space="preserve">), while simultaneously increasing levels of malondialdehyde (MDA), a biomarker of lipid peroxidation (Li </w:t>
      </w:r>
      <w:r w:rsidR="00825325">
        <w:rPr>
          <w:rFonts w:ascii="Times New Roman" w:hAnsi="Times New Roman"/>
          <w:i/>
          <w:iCs/>
          <w:sz w:val="24"/>
          <w:szCs w:val="24"/>
        </w:rPr>
        <w:t>et al.</w:t>
      </w:r>
      <w:r w:rsidR="00825325">
        <w:rPr>
          <w:rFonts w:ascii="Times New Roman" w:hAnsi="Times New Roman"/>
          <w:sz w:val="24"/>
          <w:szCs w:val="24"/>
        </w:rPr>
        <w:t xml:space="preserve">, 2016; Wang </w:t>
      </w:r>
      <w:r w:rsidR="00825325">
        <w:rPr>
          <w:rFonts w:ascii="Times New Roman" w:hAnsi="Times New Roman"/>
          <w:i/>
          <w:sz w:val="24"/>
          <w:szCs w:val="24"/>
        </w:rPr>
        <w:t>et al</w:t>
      </w:r>
      <w:r w:rsidR="00825325">
        <w:rPr>
          <w:rFonts w:ascii="Times New Roman" w:hAnsi="Times New Roman"/>
          <w:sz w:val="24"/>
          <w:szCs w:val="24"/>
        </w:rPr>
        <w:t xml:space="preserve">., 2011).. Furthermore, cadmium exposure has been associated with weight loss, impaired metabolic activity, and general physiological deterioration (Zhu </w:t>
      </w:r>
      <w:r w:rsidR="00825325">
        <w:rPr>
          <w:rFonts w:ascii="Times New Roman" w:hAnsi="Times New Roman"/>
          <w:i/>
          <w:iCs/>
          <w:sz w:val="24"/>
          <w:szCs w:val="24"/>
        </w:rPr>
        <w:t>et al</w:t>
      </w:r>
      <w:r w:rsidR="00825325">
        <w:rPr>
          <w:rFonts w:ascii="Times New Roman" w:hAnsi="Times New Roman"/>
          <w:sz w:val="24"/>
          <w:szCs w:val="24"/>
        </w:rPr>
        <w:t>., 2024).</w:t>
      </w:r>
    </w:p>
    <w:p w14:paraId="41D78CFF" w14:textId="1A84BAE1" w:rsidR="00F940A4" w:rsidRDefault="0017601B">
      <w:pPr>
        <w:spacing w:line="240" w:lineRule="auto"/>
        <w:jc w:val="both"/>
        <w:rPr>
          <w:rFonts w:ascii="Times New Roman" w:hAnsi="Times New Roman"/>
          <w:sz w:val="24"/>
          <w:szCs w:val="24"/>
        </w:rPr>
      </w:pPr>
      <w:commentRangeStart w:id="5"/>
      <w:r>
        <w:rPr>
          <w:rFonts w:ascii="Times New Roman" w:hAnsi="Times New Roman"/>
          <w:sz w:val="24"/>
          <w:szCs w:val="24"/>
        </w:rPr>
        <w:lastRenderedPageBreak/>
        <w:t xml:space="preserve">               </w:t>
      </w:r>
      <w:commentRangeEnd w:id="5"/>
      <w:r>
        <w:rPr>
          <w:rStyle w:val="CommentReference"/>
        </w:rPr>
        <w:commentReference w:id="5"/>
      </w:r>
      <w:r w:rsidR="00825325">
        <w:rPr>
          <w:rFonts w:ascii="Times New Roman" w:hAnsi="Times New Roman"/>
          <w:sz w:val="24"/>
          <w:szCs w:val="24"/>
        </w:rPr>
        <w:t xml:space="preserve">Recent scientific interest has turned toward </w:t>
      </w:r>
      <w:commentRangeStart w:id="6"/>
      <w:r w:rsidR="00825325">
        <w:rPr>
          <w:rFonts w:ascii="Times New Roman" w:hAnsi="Times New Roman"/>
          <w:sz w:val="24"/>
          <w:szCs w:val="24"/>
        </w:rPr>
        <w:t xml:space="preserve">the use of </w:t>
      </w:r>
      <w:commentRangeEnd w:id="6"/>
      <w:r w:rsidR="00F07096">
        <w:rPr>
          <w:rStyle w:val="CommentReference"/>
        </w:rPr>
        <w:commentReference w:id="6"/>
      </w:r>
      <w:r w:rsidR="00825325">
        <w:rPr>
          <w:rFonts w:ascii="Times New Roman" w:hAnsi="Times New Roman"/>
          <w:sz w:val="24"/>
          <w:szCs w:val="24"/>
        </w:rPr>
        <w:t>natural products and phytochemicals as protective agents against heavy metal toxicity (</w:t>
      </w:r>
      <w:commentRangeStart w:id="7"/>
      <w:proofErr w:type="spellStart"/>
      <w:r w:rsidR="00825325">
        <w:rPr>
          <w:rFonts w:ascii="Times New Roman" w:hAnsi="Times New Roman"/>
          <w:sz w:val="24"/>
          <w:szCs w:val="24"/>
        </w:rPr>
        <w:t>Isamoh</w:t>
      </w:r>
      <w:proofErr w:type="spellEnd"/>
      <w:r w:rsidR="00825325">
        <w:rPr>
          <w:rFonts w:ascii="Times New Roman" w:hAnsi="Times New Roman"/>
          <w:sz w:val="24"/>
          <w:szCs w:val="24"/>
        </w:rPr>
        <w:t xml:space="preserve"> et al., 2024</w:t>
      </w:r>
      <w:proofErr w:type="gramStart"/>
      <w:r w:rsidR="00825325">
        <w:rPr>
          <w:rFonts w:ascii="Times New Roman" w:hAnsi="Times New Roman"/>
          <w:sz w:val="24"/>
          <w:szCs w:val="24"/>
        </w:rPr>
        <w:t xml:space="preserve">;  </w:t>
      </w:r>
      <w:commentRangeEnd w:id="7"/>
      <w:proofErr w:type="gramEnd"/>
      <w:r w:rsidR="00F07096">
        <w:rPr>
          <w:rStyle w:val="CommentReference"/>
        </w:rPr>
        <w:commentReference w:id="7"/>
      </w:r>
      <w:proofErr w:type="spellStart"/>
      <w:r w:rsidR="00825325">
        <w:rPr>
          <w:rFonts w:ascii="Times New Roman" w:hAnsi="Times New Roman"/>
          <w:sz w:val="24"/>
          <w:szCs w:val="24"/>
        </w:rPr>
        <w:t>Umoh</w:t>
      </w:r>
      <w:proofErr w:type="spellEnd"/>
      <w:r w:rsidR="00825325">
        <w:rPr>
          <w:rFonts w:ascii="Times New Roman" w:hAnsi="Times New Roman"/>
          <w:sz w:val="24"/>
          <w:szCs w:val="24"/>
        </w:rPr>
        <w:t xml:space="preserve"> </w:t>
      </w:r>
      <w:r w:rsidR="00825325">
        <w:rPr>
          <w:rFonts w:ascii="Times New Roman" w:hAnsi="Times New Roman"/>
          <w:i/>
          <w:iCs/>
          <w:sz w:val="24"/>
          <w:szCs w:val="24"/>
        </w:rPr>
        <w:t>et al.</w:t>
      </w:r>
      <w:r w:rsidR="00825325">
        <w:rPr>
          <w:rFonts w:ascii="Times New Roman" w:hAnsi="Times New Roman"/>
          <w:sz w:val="24"/>
          <w:szCs w:val="24"/>
        </w:rPr>
        <w:t xml:space="preserve">, 2024). Among these, turmeric (Curcuma longa) and ginger (Zingiber officinale) have been recognized for their potent antioxidant, anti-inflammatory, and detoxifying properties (Ramadan </w:t>
      </w:r>
      <w:r w:rsidR="00825325">
        <w:rPr>
          <w:rFonts w:ascii="Times New Roman" w:hAnsi="Times New Roman"/>
          <w:i/>
          <w:iCs/>
          <w:sz w:val="24"/>
          <w:szCs w:val="24"/>
        </w:rPr>
        <w:t>et al</w:t>
      </w:r>
      <w:r w:rsidR="00825325">
        <w:rPr>
          <w:rFonts w:ascii="Times New Roman" w:hAnsi="Times New Roman"/>
          <w:sz w:val="24"/>
          <w:szCs w:val="24"/>
        </w:rPr>
        <w:t xml:space="preserve">., 2011; Zhou </w:t>
      </w:r>
      <w:r w:rsidR="00825325">
        <w:rPr>
          <w:rFonts w:ascii="Times New Roman" w:hAnsi="Times New Roman"/>
          <w:i/>
          <w:iCs/>
          <w:sz w:val="24"/>
          <w:szCs w:val="24"/>
        </w:rPr>
        <w:t>et al</w:t>
      </w:r>
      <w:r w:rsidR="00825325">
        <w:rPr>
          <w:rFonts w:ascii="Times New Roman" w:hAnsi="Times New Roman"/>
          <w:sz w:val="24"/>
          <w:szCs w:val="24"/>
        </w:rPr>
        <w:t xml:space="preserve">., 2022). Curcumin, the active constituent of turmeric, has been shown to modulate oxidative pathways and restore redox balance, while gingerol in ginger exhibits strong radical-scavenging activity and supports cellular antioxidant responses (Sharifi-Rad </w:t>
      </w:r>
      <w:r w:rsidR="00825325">
        <w:rPr>
          <w:rFonts w:ascii="Times New Roman" w:hAnsi="Times New Roman"/>
          <w:i/>
          <w:iCs/>
          <w:sz w:val="24"/>
          <w:szCs w:val="24"/>
        </w:rPr>
        <w:t>et al.</w:t>
      </w:r>
      <w:r w:rsidR="00825325">
        <w:rPr>
          <w:rFonts w:ascii="Times New Roman" w:hAnsi="Times New Roman"/>
          <w:sz w:val="24"/>
          <w:szCs w:val="24"/>
        </w:rPr>
        <w:t xml:space="preserve">, 2020; </w:t>
      </w:r>
      <w:proofErr w:type="spellStart"/>
      <w:r w:rsidR="00825325">
        <w:rPr>
          <w:rFonts w:ascii="Times New Roman" w:hAnsi="Times New Roman"/>
          <w:sz w:val="24"/>
          <w:szCs w:val="24"/>
        </w:rPr>
        <w:t>Ayustaningwarno</w:t>
      </w:r>
      <w:proofErr w:type="spellEnd"/>
      <w:r w:rsidR="00825325">
        <w:rPr>
          <w:rFonts w:ascii="Times New Roman" w:hAnsi="Times New Roman"/>
          <w:sz w:val="24"/>
          <w:szCs w:val="24"/>
        </w:rPr>
        <w:t xml:space="preserve"> </w:t>
      </w:r>
      <w:r w:rsidR="00825325">
        <w:rPr>
          <w:rFonts w:ascii="Times New Roman" w:hAnsi="Times New Roman"/>
          <w:i/>
          <w:iCs/>
          <w:sz w:val="24"/>
          <w:szCs w:val="24"/>
        </w:rPr>
        <w:t>et al</w:t>
      </w:r>
      <w:r w:rsidR="00825325">
        <w:rPr>
          <w:rFonts w:ascii="Times New Roman" w:hAnsi="Times New Roman"/>
          <w:sz w:val="24"/>
          <w:szCs w:val="24"/>
        </w:rPr>
        <w:t>., 2024).</w:t>
      </w:r>
    </w:p>
    <w:p w14:paraId="0548F971" w14:textId="1AE1F0AB" w:rsidR="00F940A4" w:rsidRDefault="0017601B">
      <w:pPr>
        <w:spacing w:line="240" w:lineRule="auto"/>
        <w:jc w:val="both"/>
        <w:rPr>
          <w:rFonts w:ascii="Times New Roman" w:hAnsi="Times New Roman"/>
          <w:sz w:val="24"/>
          <w:szCs w:val="24"/>
        </w:rPr>
      </w:pPr>
      <w:commentRangeStart w:id="8"/>
      <w:r>
        <w:rPr>
          <w:rFonts w:ascii="Times New Roman" w:hAnsi="Times New Roman"/>
          <w:sz w:val="24"/>
          <w:szCs w:val="24"/>
        </w:rPr>
        <w:t xml:space="preserve">              </w:t>
      </w:r>
      <w:commentRangeEnd w:id="8"/>
      <w:r>
        <w:rPr>
          <w:rStyle w:val="CommentReference"/>
        </w:rPr>
        <w:commentReference w:id="8"/>
      </w:r>
      <w:r w:rsidR="00825325">
        <w:rPr>
          <w:rFonts w:ascii="Times New Roman" w:hAnsi="Times New Roman"/>
          <w:sz w:val="24"/>
          <w:szCs w:val="24"/>
        </w:rPr>
        <w:t>Although prior studies have demonstrated the individual antioxidative effects of turmeric and ginger in various toxicological models, few have investigated their combined efficacy, particularly in cadmium-induced models involving both biochemical (oxidative stress) and physiological (body weight) parameters.</w:t>
      </w:r>
    </w:p>
    <w:p w14:paraId="5B961F9E" w14:textId="377FF94D" w:rsidR="00F940A4" w:rsidRDefault="00A93411">
      <w:pPr>
        <w:spacing w:line="240" w:lineRule="auto"/>
        <w:jc w:val="both"/>
        <w:rPr>
          <w:rFonts w:ascii="Times New Roman" w:hAnsi="Times New Roman"/>
          <w:sz w:val="24"/>
          <w:szCs w:val="24"/>
        </w:rPr>
      </w:pPr>
      <w:commentRangeStart w:id="9"/>
      <w:r>
        <w:rPr>
          <w:rFonts w:ascii="Times New Roman" w:hAnsi="Times New Roman"/>
          <w:sz w:val="24"/>
          <w:szCs w:val="24"/>
        </w:rPr>
        <w:t xml:space="preserve">               </w:t>
      </w:r>
      <w:commentRangeEnd w:id="9"/>
      <w:r>
        <w:rPr>
          <w:rStyle w:val="CommentReference"/>
        </w:rPr>
        <w:commentReference w:id="9"/>
      </w:r>
      <w:r w:rsidR="00825325">
        <w:rPr>
          <w:rFonts w:ascii="Times New Roman" w:hAnsi="Times New Roman"/>
          <w:sz w:val="24"/>
          <w:szCs w:val="24"/>
        </w:rPr>
        <w:t>Cadmium chloride (</w:t>
      </w:r>
      <w:proofErr w:type="spellStart"/>
      <w:r w:rsidR="00825325">
        <w:rPr>
          <w:rFonts w:ascii="Times New Roman" w:hAnsi="Times New Roman"/>
          <w:sz w:val="24"/>
          <w:szCs w:val="24"/>
        </w:rPr>
        <w:t>CdCl</w:t>
      </w:r>
      <w:proofErr w:type="spellEnd"/>
      <w:r w:rsidR="00825325">
        <w:rPr>
          <w:sz w:val="24"/>
          <w:szCs w:val="24"/>
        </w:rPr>
        <w:t>₂</w:t>
      </w:r>
      <w:r w:rsidR="00825325">
        <w:rPr>
          <w:rFonts w:ascii="Times New Roman" w:hAnsi="Times New Roman"/>
          <w:sz w:val="24"/>
          <w:szCs w:val="24"/>
        </w:rPr>
        <w:t xml:space="preserve">) is a well-known environmental toxicant whose toxic effects are primarily mediated through oxidative stress pathways (Qu &amp; Zheng, 2024). When absorbed into biological systems, cadmium interferes with essential cellular functions by generating reactive oxygen species (ROS) and inhibiting the antioxidant defense mechanisms of cells (Unsal </w:t>
      </w:r>
      <w:r w:rsidR="00825325">
        <w:rPr>
          <w:rFonts w:ascii="Times New Roman" w:hAnsi="Times New Roman"/>
          <w:i/>
          <w:iCs/>
          <w:sz w:val="24"/>
          <w:szCs w:val="24"/>
        </w:rPr>
        <w:t>et al</w:t>
      </w:r>
      <w:r w:rsidR="00825325">
        <w:rPr>
          <w:rFonts w:ascii="Times New Roman" w:hAnsi="Times New Roman"/>
          <w:sz w:val="24"/>
          <w:szCs w:val="24"/>
        </w:rPr>
        <w:t xml:space="preserve">., 2020). These changes contribute to cellular damage, lipid peroxidation, enzyme inactivation, and metabolic dysfunction </w:t>
      </w:r>
      <w:commentRangeStart w:id="10"/>
      <w:r w:rsidR="00825325">
        <w:rPr>
          <w:rFonts w:ascii="Times New Roman" w:hAnsi="Times New Roman"/>
          <w:sz w:val="24"/>
          <w:szCs w:val="24"/>
        </w:rPr>
        <w:t>(</w:t>
      </w:r>
      <w:proofErr w:type="spellStart"/>
      <w:r w:rsidR="00825325">
        <w:rPr>
          <w:rFonts w:ascii="Times New Roman" w:hAnsi="Times New Roman"/>
          <w:sz w:val="24"/>
          <w:szCs w:val="24"/>
        </w:rPr>
        <w:t>Isamoh</w:t>
      </w:r>
      <w:r w:rsidR="00825325">
        <w:rPr>
          <w:rFonts w:ascii="Times New Roman" w:hAnsi="Times New Roman"/>
          <w:i/>
          <w:iCs/>
          <w:sz w:val="24"/>
          <w:szCs w:val="24"/>
        </w:rPr>
        <w:t>et</w:t>
      </w:r>
      <w:proofErr w:type="spellEnd"/>
      <w:r w:rsidR="00825325">
        <w:rPr>
          <w:rFonts w:ascii="Times New Roman" w:hAnsi="Times New Roman"/>
          <w:i/>
          <w:iCs/>
          <w:sz w:val="24"/>
          <w:szCs w:val="24"/>
        </w:rPr>
        <w:t xml:space="preserve"> al.</w:t>
      </w:r>
      <w:r w:rsidR="00825325">
        <w:rPr>
          <w:rFonts w:ascii="Times New Roman" w:hAnsi="Times New Roman"/>
          <w:sz w:val="24"/>
          <w:szCs w:val="24"/>
        </w:rPr>
        <w:t xml:space="preserve">, 2024). </w:t>
      </w:r>
      <w:commentRangeEnd w:id="10"/>
      <w:r w:rsidR="00F07096">
        <w:rPr>
          <w:rStyle w:val="CommentReference"/>
        </w:rPr>
        <w:commentReference w:id="10"/>
      </w:r>
      <w:r w:rsidR="00825325">
        <w:rPr>
          <w:rFonts w:ascii="Times New Roman" w:hAnsi="Times New Roman"/>
          <w:sz w:val="24"/>
          <w:szCs w:val="24"/>
        </w:rPr>
        <w:t xml:space="preserve">One of the hallmark consequences of cadmium toxicity is the disturbance in antioxidant homeostasis, often observed as decreased activities of SOD, CAT, and </w:t>
      </w:r>
      <w:proofErr w:type="spellStart"/>
      <w:r w:rsidR="00825325">
        <w:rPr>
          <w:rFonts w:ascii="Times New Roman" w:hAnsi="Times New Roman"/>
          <w:sz w:val="24"/>
          <w:szCs w:val="24"/>
        </w:rPr>
        <w:t>GPx</w:t>
      </w:r>
      <w:proofErr w:type="spellEnd"/>
      <w:r w:rsidR="00825325">
        <w:rPr>
          <w:rFonts w:ascii="Times New Roman" w:hAnsi="Times New Roman"/>
          <w:sz w:val="24"/>
          <w:szCs w:val="24"/>
        </w:rPr>
        <w:t>, alongside elevated MDA levels (</w:t>
      </w:r>
      <w:proofErr w:type="spellStart"/>
      <w:r w:rsidR="00825325">
        <w:rPr>
          <w:rFonts w:ascii="Times New Roman" w:hAnsi="Times New Roman"/>
          <w:sz w:val="24"/>
          <w:szCs w:val="24"/>
        </w:rPr>
        <w:t>Taysı</w:t>
      </w:r>
      <w:proofErr w:type="spellEnd"/>
      <w:r w:rsidR="00825325">
        <w:rPr>
          <w:rFonts w:ascii="Times New Roman" w:hAnsi="Times New Roman"/>
          <w:sz w:val="24"/>
          <w:szCs w:val="24"/>
        </w:rPr>
        <w:t>, 2024).</w:t>
      </w:r>
    </w:p>
    <w:p w14:paraId="2947D9C0" w14:textId="2315E0A6" w:rsidR="00F940A4" w:rsidRDefault="00A93411">
      <w:pPr>
        <w:spacing w:line="240" w:lineRule="auto"/>
        <w:jc w:val="both"/>
        <w:rPr>
          <w:rFonts w:ascii="Times New Roman" w:hAnsi="Times New Roman"/>
          <w:sz w:val="24"/>
          <w:szCs w:val="24"/>
        </w:rPr>
      </w:pPr>
      <w:commentRangeStart w:id="11"/>
      <w:r>
        <w:rPr>
          <w:rFonts w:ascii="Times New Roman" w:hAnsi="Times New Roman"/>
          <w:sz w:val="24"/>
          <w:szCs w:val="24"/>
        </w:rPr>
        <w:t xml:space="preserve">               </w:t>
      </w:r>
      <w:commentRangeEnd w:id="11"/>
      <w:r>
        <w:rPr>
          <w:rStyle w:val="CommentReference"/>
        </w:rPr>
        <w:commentReference w:id="11"/>
      </w:r>
      <w:r w:rsidR="00825325">
        <w:rPr>
          <w:rFonts w:ascii="Times New Roman" w:hAnsi="Times New Roman"/>
          <w:sz w:val="24"/>
          <w:szCs w:val="24"/>
        </w:rPr>
        <w:t xml:space="preserve">Cadmium exposure has also been shown to cause a decline in body weight, likely due to anorexia, gastrointestinal disturbances, and oxidative injury to metabolic tissues </w:t>
      </w:r>
      <w:commentRangeStart w:id="12"/>
      <w:r w:rsidR="00825325">
        <w:rPr>
          <w:rFonts w:ascii="Times New Roman" w:hAnsi="Times New Roman"/>
          <w:sz w:val="24"/>
          <w:szCs w:val="24"/>
        </w:rPr>
        <w:t>(</w:t>
      </w:r>
      <w:proofErr w:type="spellStart"/>
      <w:r w:rsidR="00825325">
        <w:rPr>
          <w:rFonts w:ascii="Times New Roman" w:hAnsi="Times New Roman"/>
          <w:sz w:val="24"/>
          <w:szCs w:val="24"/>
        </w:rPr>
        <w:t>Green</w:t>
      </w:r>
      <w:r w:rsidR="00825325">
        <w:rPr>
          <w:rFonts w:ascii="Times New Roman" w:hAnsi="Times New Roman"/>
          <w:i/>
          <w:iCs/>
          <w:sz w:val="24"/>
          <w:szCs w:val="24"/>
        </w:rPr>
        <w:t>et</w:t>
      </w:r>
      <w:proofErr w:type="spellEnd"/>
      <w:r w:rsidR="00825325">
        <w:rPr>
          <w:rFonts w:ascii="Times New Roman" w:hAnsi="Times New Roman"/>
          <w:i/>
          <w:iCs/>
          <w:sz w:val="24"/>
          <w:szCs w:val="24"/>
        </w:rPr>
        <w:t xml:space="preserve"> al.,</w:t>
      </w:r>
      <w:r w:rsidR="00825325">
        <w:rPr>
          <w:rFonts w:ascii="Times New Roman" w:hAnsi="Times New Roman"/>
          <w:sz w:val="24"/>
          <w:szCs w:val="24"/>
        </w:rPr>
        <w:t xml:space="preserve"> </w:t>
      </w:r>
      <w:commentRangeEnd w:id="12"/>
      <w:r w:rsidR="007471A9">
        <w:rPr>
          <w:rStyle w:val="CommentReference"/>
        </w:rPr>
        <w:commentReference w:id="12"/>
      </w:r>
      <w:r w:rsidR="00825325">
        <w:rPr>
          <w:rFonts w:ascii="Times New Roman" w:hAnsi="Times New Roman"/>
          <w:sz w:val="24"/>
          <w:szCs w:val="24"/>
        </w:rPr>
        <w:t>2018). Monitoring body weight alongside oxidative markers provides a reliable indicator of systemic toxicity and the potential restorative effects of therapeutic interventions.</w:t>
      </w:r>
    </w:p>
    <w:p w14:paraId="44795D10" w14:textId="29080E26" w:rsidR="00F940A4" w:rsidRDefault="00A93411">
      <w:pPr>
        <w:spacing w:line="240" w:lineRule="auto"/>
        <w:jc w:val="both"/>
        <w:rPr>
          <w:rFonts w:ascii="Times New Roman" w:hAnsi="Times New Roman"/>
          <w:sz w:val="24"/>
          <w:szCs w:val="24"/>
        </w:rPr>
      </w:pPr>
      <w:commentRangeStart w:id="13"/>
      <w:r>
        <w:rPr>
          <w:rFonts w:ascii="Times New Roman" w:hAnsi="Times New Roman"/>
          <w:sz w:val="24"/>
          <w:szCs w:val="24"/>
        </w:rPr>
        <w:t xml:space="preserve">                 </w:t>
      </w:r>
      <w:commentRangeEnd w:id="13"/>
      <w:r>
        <w:rPr>
          <w:rStyle w:val="CommentReference"/>
        </w:rPr>
        <w:commentReference w:id="13"/>
      </w:r>
      <w:r w:rsidR="00825325">
        <w:rPr>
          <w:rFonts w:ascii="Times New Roman" w:hAnsi="Times New Roman"/>
          <w:sz w:val="24"/>
          <w:szCs w:val="24"/>
        </w:rPr>
        <w:t xml:space="preserve">In the search for safe and effective antidotes to cadmium toxicity, natural plant-based antioxidants have received considerable attention. </w:t>
      </w:r>
      <w:commentRangeStart w:id="14"/>
      <w:proofErr w:type="spellStart"/>
      <w:r w:rsidR="00825325">
        <w:rPr>
          <w:rFonts w:ascii="Times New Roman" w:hAnsi="Times New Roman"/>
          <w:sz w:val="24"/>
          <w:szCs w:val="24"/>
        </w:rPr>
        <w:t>Turmericand</w:t>
      </w:r>
      <w:commentRangeEnd w:id="14"/>
      <w:proofErr w:type="spellEnd"/>
      <w:r w:rsidR="007471A9">
        <w:rPr>
          <w:rStyle w:val="CommentReference"/>
        </w:rPr>
        <w:commentReference w:id="14"/>
      </w:r>
      <w:r w:rsidR="00825325">
        <w:rPr>
          <w:rFonts w:ascii="Times New Roman" w:hAnsi="Times New Roman"/>
          <w:sz w:val="24"/>
          <w:szCs w:val="24"/>
        </w:rPr>
        <w:t xml:space="preserve"> ginger, two widely used culinary and medicinal rhizomes, contain phytochemicals such as curcumin, gingerols, and shogaols, which are known for their free radical scavenging, enzyme-modulating, and anti-</w:t>
      </w:r>
      <w:commentRangeStart w:id="15"/>
      <w:proofErr w:type="spellStart"/>
      <w:r w:rsidR="00825325">
        <w:rPr>
          <w:rFonts w:ascii="Times New Roman" w:hAnsi="Times New Roman"/>
          <w:sz w:val="24"/>
          <w:szCs w:val="24"/>
        </w:rPr>
        <w:t>inflammatoryeffects</w:t>
      </w:r>
      <w:commentRangeEnd w:id="15"/>
      <w:proofErr w:type="spellEnd"/>
      <w:r w:rsidR="005F37C4">
        <w:rPr>
          <w:rStyle w:val="CommentReference"/>
        </w:rPr>
        <w:commentReference w:id="15"/>
      </w:r>
      <w:r w:rsidR="00825325">
        <w:rPr>
          <w:rFonts w:ascii="Times New Roman" w:hAnsi="Times New Roman"/>
          <w:sz w:val="24"/>
          <w:szCs w:val="24"/>
        </w:rPr>
        <w:t xml:space="preserve"> </w:t>
      </w:r>
      <w:commentRangeStart w:id="16"/>
      <w:r w:rsidR="00825325">
        <w:rPr>
          <w:rFonts w:ascii="Times New Roman" w:hAnsi="Times New Roman"/>
          <w:sz w:val="24"/>
          <w:szCs w:val="24"/>
        </w:rPr>
        <w:t>(</w:t>
      </w:r>
      <w:proofErr w:type="spellStart"/>
      <w:r w:rsidR="00825325">
        <w:rPr>
          <w:rFonts w:ascii="Times New Roman" w:hAnsi="Times New Roman"/>
          <w:sz w:val="24"/>
          <w:szCs w:val="24"/>
        </w:rPr>
        <w:t>Ajanaku</w:t>
      </w:r>
      <w:r w:rsidR="00825325">
        <w:rPr>
          <w:rFonts w:ascii="Times New Roman" w:hAnsi="Times New Roman"/>
          <w:i/>
          <w:iCs/>
          <w:sz w:val="24"/>
          <w:szCs w:val="24"/>
        </w:rPr>
        <w:t>et</w:t>
      </w:r>
      <w:proofErr w:type="spellEnd"/>
      <w:r w:rsidR="00825325">
        <w:rPr>
          <w:rFonts w:ascii="Times New Roman" w:hAnsi="Times New Roman"/>
          <w:i/>
          <w:iCs/>
          <w:sz w:val="24"/>
          <w:szCs w:val="24"/>
        </w:rPr>
        <w:t xml:space="preserve"> al</w:t>
      </w:r>
      <w:r w:rsidR="00825325">
        <w:rPr>
          <w:rFonts w:ascii="Times New Roman" w:hAnsi="Times New Roman"/>
          <w:sz w:val="24"/>
          <w:szCs w:val="24"/>
        </w:rPr>
        <w:t xml:space="preserve">., 2022; </w:t>
      </w:r>
      <w:proofErr w:type="spellStart"/>
      <w:r w:rsidR="00825325">
        <w:rPr>
          <w:rFonts w:ascii="Times New Roman" w:hAnsi="Times New Roman"/>
          <w:sz w:val="24"/>
          <w:szCs w:val="24"/>
        </w:rPr>
        <w:t>Ballester</w:t>
      </w:r>
      <w:r w:rsidR="00825325">
        <w:rPr>
          <w:rFonts w:ascii="Times New Roman" w:hAnsi="Times New Roman"/>
          <w:i/>
          <w:iCs/>
          <w:sz w:val="24"/>
          <w:szCs w:val="24"/>
        </w:rPr>
        <w:t>et</w:t>
      </w:r>
      <w:proofErr w:type="spellEnd"/>
      <w:r w:rsidR="00825325">
        <w:rPr>
          <w:rFonts w:ascii="Times New Roman" w:hAnsi="Times New Roman"/>
          <w:i/>
          <w:iCs/>
          <w:sz w:val="24"/>
          <w:szCs w:val="24"/>
        </w:rPr>
        <w:t xml:space="preserve"> al.</w:t>
      </w:r>
      <w:r w:rsidR="00825325">
        <w:rPr>
          <w:rFonts w:ascii="Times New Roman" w:hAnsi="Times New Roman"/>
          <w:sz w:val="24"/>
          <w:szCs w:val="24"/>
        </w:rPr>
        <w:t xml:space="preserve">, 2023). </w:t>
      </w:r>
      <w:commentRangeEnd w:id="16"/>
      <w:r w:rsidR="009C5236">
        <w:rPr>
          <w:rStyle w:val="CommentReference"/>
        </w:rPr>
        <w:commentReference w:id="16"/>
      </w:r>
      <w:r w:rsidR="00825325">
        <w:rPr>
          <w:rFonts w:ascii="Times New Roman" w:hAnsi="Times New Roman"/>
          <w:sz w:val="24"/>
          <w:szCs w:val="24"/>
        </w:rPr>
        <w:t>These compounds have been shown to enhance antioxidant enzyme activity, reduce lipid peroxidation, and mitigate tissue damage in chemically induced toxicity models.</w:t>
      </w:r>
    </w:p>
    <w:p w14:paraId="7EF3FF22" w14:textId="14AEE324" w:rsidR="00F940A4" w:rsidRDefault="00A93411" w:rsidP="003C351E">
      <w:pPr>
        <w:spacing w:after="0" w:line="240" w:lineRule="auto"/>
        <w:jc w:val="both"/>
        <w:rPr>
          <w:rFonts w:ascii="Times New Roman" w:hAnsi="Times New Roman"/>
          <w:sz w:val="24"/>
          <w:szCs w:val="24"/>
        </w:rPr>
      </w:pPr>
      <w:commentRangeStart w:id="17"/>
      <w:r>
        <w:rPr>
          <w:rFonts w:ascii="Times New Roman" w:hAnsi="Times New Roman"/>
          <w:sz w:val="24"/>
          <w:szCs w:val="24"/>
        </w:rPr>
        <w:t xml:space="preserve">                 </w:t>
      </w:r>
      <w:commentRangeEnd w:id="17"/>
      <w:r>
        <w:rPr>
          <w:rStyle w:val="CommentReference"/>
        </w:rPr>
        <w:commentReference w:id="17"/>
      </w:r>
      <w:r w:rsidR="00825325">
        <w:rPr>
          <w:rFonts w:ascii="Times New Roman" w:hAnsi="Times New Roman"/>
          <w:sz w:val="24"/>
          <w:szCs w:val="24"/>
        </w:rPr>
        <w:t xml:space="preserve">However, the combined protective </w:t>
      </w:r>
      <w:commentRangeStart w:id="18"/>
      <w:proofErr w:type="spellStart"/>
      <w:r w:rsidR="00825325">
        <w:rPr>
          <w:rFonts w:ascii="Times New Roman" w:hAnsi="Times New Roman"/>
          <w:sz w:val="24"/>
          <w:szCs w:val="24"/>
        </w:rPr>
        <w:t>potentialof</w:t>
      </w:r>
      <w:commentRangeEnd w:id="18"/>
      <w:proofErr w:type="spellEnd"/>
      <w:r w:rsidR="009C5236">
        <w:rPr>
          <w:rStyle w:val="CommentReference"/>
        </w:rPr>
        <w:commentReference w:id="18"/>
      </w:r>
      <w:r w:rsidR="00825325">
        <w:rPr>
          <w:rFonts w:ascii="Times New Roman" w:hAnsi="Times New Roman"/>
          <w:sz w:val="24"/>
          <w:szCs w:val="24"/>
        </w:rPr>
        <w:t xml:space="preserve"> turmeric and ginger against cadmium chloride-induced alterations in both oxidative stress </w:t>
      </w:r>
      <w:commentRangeStart w:id="19"/>
      <w:proofErr w:type="spellStart"/>
      <w:r w:rsidR="00825325">
        <w:rPr>
          <w:rFonts w:ascii="Times New Roman" w:hAnsi="Times New Roman"/>
          <w:sz w:val="24"/>
          <w:szCs w:val="24"/>
        </w:rPr>
        <w:t>biomarkersand</w:t>
      </w:r>
      <w:commentRangeEnd w:id="19"/>
      <w:proofErr w:type="spellEnd"/>
      <w:r w:rsidR="009C5236">
        <w:rPr>
          <w:rStyle w:val="CommentReference"/>
        </w:rPr>
        <w:commentReference w:id="19"/>
      </w:r>
      <w:r w:rsidR="00825325">
        <w:rPr>
          <w:rFonts w:ascii="Times New Roman" w:hAnsi="Times New Roman"/>
          <w:sz w:val="24"/>
          <w:szCs w:val="24"/>
        </w:rPr>
        <w:t xml:space="preserve"> body weight dynamics has not been fully explored. This study, therefore, seeks to investigate the antioxidant and body weight modulatory </w:t>
      </w:r>
      <w:commentRangeStart w:id="20"/>
      <w:proofErr w:type="spellStart"/>
      <w:r w:rsidR="00825325">
        <w:rPr>
          <w:rFonts w:ascii="Times New Roman" w:hAnsi="Times New Roman"/>
          <w:sz w:val="24"/>
          <w:szCs w:val="24"/>
        </w:rPr>
        <w:t>effectsof</w:t>
      </w:r>
      <w:proofErr w:type="spellEnd"/>
      <w:r w:rsidR="00825325">
        <w:rPr>
          <w:rFonts w:ascii="Times New Roman" w:hAnsi="Times New Roman"/>
          <w:sz w:val="24"/>
          <w:szCs w:val="24"/>
        </w:rPr>
        <w:t xml:space="preserve"> </w:t>
      </w:r>
      <w:commentRangeEnd w:id="20"/>
      <w:r w:rsidR="009C5236">
        <w:rPr>
          <w:rStyle w:val="CommentReference"/>
        </w:rPr>
        <w:commentReference w:id="20"/>
      </w:r>
      <w:r w:rsidR="00825325">
        <w:rPr>
          <w:rFonts w:ascii="Times New Roman" w:hAnsi="Times New Roman"/>
          <w:sz w:val="24"/>
          <w:szCs w:val="24"/>
        </w:rPr>
        <w:t xml:space="preserve">ginger and turmeric in cadmium-treated female rats, using a combination of biochemical and morphological </w:t>
      </w:r>
      <w:commentRangeStart w:id="21"/>
      <w:proofErr w:type="spellStart"/>
      <w:r w:rsidR="00825325">
        <w:rPr>
          <w:rFonts w:ascii="Times New Roman" w:hAnsi="Times New Roman"/>
          <w:sz w:val="24"/>
          <w:szCs w:val="24"/>
        </w:rPr>
        <w:t>assessmentsto</w:t>
      </w:r>
      <w:commentRangeEnd w:id="21"/>
      <w:proofErr w:type="spellEnd"/>
      <w:r w:rsidR="009C5236">
        <w:rPr>
          <w:rStyle w:val="CommentReference"/>
        </w:rPr>
        <w:commentReference w:id="21"/>
      </w:r>
      <w:r w:rsidR="00825325">
        <w:rPr>
          <w:rFonts w:ascii="Times New Roman" w:hAnsi="Times New Roman"/>
          <w:sz w:val="24"/>
          <w:szCs w:val="24"/>
        </w:rPr>
        <w:t xml:space="preserve"> evaluate their restorative efficacy.</w:t>
      </w:r>
    </w:p>
    <w:p w14:paraId="359F3528" w14:textId="77777777" w:rsidR="003C351E" w:rsidRDefault="003C351E" w:rsidP="003C351E">
      <w:pPr>
        <w:spacing w:after="0" w:line="240" w:lineRule="auto"/>
        <w:jc w:val="both"/>
        <w:rPr>
          <w:rFonts w:ascii="Times New Roman" w:hAnsi="Times New Roman"/>
          <w:sz w:val="24"/>
          <w:szCs w:val="24"/>
        </w:rPr>
      </w:pPr>
    </w:p>
    <w:p w14:paraId="718FB0C3" w14:textId="77777777" w:rsidR="00F940A4" w:rsidRDefault="00825325" w:rsidP="003C351E">
      <w:pPr>
        <w:spacing w:after="0" w:line="240" w:lineRule="auto"/>
        <w:jc w:val="both"/>
        <w:rPr>
          <w:rFonts w:ascii="Times New Roman" w:hAnsi="Times New Roman"/>
          <w:b/>
          <w:bCs/>
          <w:sz w:val="24"/>
          <w:szCs w:val="24"/>
        </w:rPr>
      </w:pPr>
      <w:r>
        <w:rPr>
          <w:rFonts w:ascii="Times New Roman" w:hAnsi="Times New Roman"/>
          <w:b/>
          <w:bCs/>
          <w:sz w:val="24"/>
          <w:szCs w:val="24"/>
        </w:rPr>
        <w:t xml:space="preserve">2. Materials and Methods </w:t>
      </w:r>
    </w:p>
    <w:p w14:paraId="307D1AF5" w14:textId="77777777" w:rsidR="00F940A4" w:rsidRDefault="00825325" w:rsidP="003C351E">
      <w:pPr>
        <w:spacing w:after="0" w:line="240" w:lineRule="auto"/>
        <w:jc w:val="both"/>
        <w:rPr>
          <w:rFonts w:ascii="Times New Roman" w:hAnsi="Times New Roman"/>
          <w:sz w:val="24"/>
          <w:szCs w:val="24"/>
        </w:rPr>
      </w:pPr>
      <w:r>
        <w:rPr>
          <w:rFonts w:ascii="Times New Roman" w:hAnsi="Times New Roman"/>
          <w:sz w:val="24"/>
          <w:szCs w:val="24"/>
        </w:rPr>
        <w:t>2.1. Experimental Animals</w:t>
      </w:r>
    </w:p>
    <w:p w14:paraId="4A7FF50E" w14:textId="0B91A068" w:rsidR="00F940A4" w:rsidRDefault="00825325" w:rsidP="003C351E">
      <w:pPr>
        <w:spacing w:after="0" w:line="240" w:lineRule="auto"/>
        <w:ind w:firstLine="720"/>
        <w:jc w:val="both"/>
        <w:rPr>
          <w:rFonts w:ascii="Times New Roman" w:hAnsi="Times New Roman"/>
          <w:sz w:val="24"/>
          <w:szCs w:val="24"/>
        </w:rPr>
      </w:pPr>
      <w:r>
        <w:rPr>
          <w:rFonts w:ascii="Times New Roman" w:hAnsi="Times New Roman"/>
          <w:sz w:val="24"/>
          <w:szCs w:val="24"/>
        </w:rPr>
        <w:t xml:space="preserve">Twenty-five (25) female albino Wistar rats (120–180 g) were obtained from the animal house, College of Medical Sciences, University of Calabar. The animals were housed in wooden cages with wire mesh covers under standard laboratory conditions: room temperature (25 ± 2 °C), relative humidity (50 ± 5%), and a 12-hour light/dark cycle. They were fed </w:t>
      </w:r>
      <w:commentRangeStart w:id="22"/>
      <w:r>
        <w:rPr>
          <w:rFonts w:ascii="Times New Roman" w:hAnsi="Times New Roman"/>
          <w:sz w:val="24"/>
          <w:szCs w:val="24"/>
        </w:rPr>
        <w:t xml:space="preserve">standard </w:t>
      </w:r>
      <w:commentRangeEnd w:id="22"/>
      <w:r w:rsidR="00FD3024">
        <w:rPr>
          <w:rStyle w:val="CommentReference"/>
        </w:rPr>
        <w:commentReference w:id="22"/>
      </w:r>
      <w:r>
        <w:rPr>
          <w:rFonts w:ascii="Times New Roman" w:hAnsi="Times New Roman"/>
          <w:sz w:val="24"/>
          <w:szCs w:val="24"/>
        </w:rPr>
        <w:t xml:space="preserve">pellet diet </w:t>
      </w:r>
      <w:r>
        <w:rPr>
          <w:rFonts w:ascii="Times New Roman" w:hAnsi="Times New Roman"/>
          <w:sz w:val="24"/>
          <w:szCs w:val="24"/>
        </w:rPr>
        <w:lastRenderedPageBreak/>
        <w:t xml:space="preserve">and water </w:t>
      </w:r>
      <w:r>
        <w:rPr>
          <w:rFonts w:ascii="Times New Roman" w:hAnsi="Times New Roman"/>
          <w:i/>
          <w:iCs/>
          <w:sz w:val="24"/>
          <w:szCs w:val="24"/>
        </w:rPr>
        <w:t>ad libitum</w:t>
      </w:r>
      <w:r w:rsidR="00EE39A5">
        <w:rPr>
          <w:rFonts w:ascii="Times New Roman" w:hAnsi="Times New Roman"/>
          <w:i/>
          <w:iCs/>
          <w:sz w:val="24"/>
          <w:szCs w:val="24"/>
        </w:rPr>
        <w:t xml:space="preserve"> </w:t>
      </w:r>
      <w:commentRangeStart w:id="23"/>
      <w:r w:rsidR="00EE39A5" w:rsidRPr="00EE39A5">
        <w:rPr>
          <w:rFonts w:ascii="Times New Roman" w:hAnsi="Times New Roman"/>
          <w:sz w:val="24"/>
          <w:szCs w:val="24"/>
        </w:rPr>
        <w:t>(</w:t>
      </w:r>
      <w:proofErr w:type="spellStart"/>
      <w:r w:rsidR="004D4ED1">
        <w:rPr>
          <w:rFonts w:ascii="Times New Roman" w:hAnsi="Times New Roman"/>
          <w:sz w:val="24"/>
          <w:szCs w:val="24"/>
        </w:rPr>
        <w:t>Khaleel</w:t>
      </w:r>
      <w:proofErr w:type="spellEnd"/>
      <w:r w:rsidR="004D4ED1">
        <w:rPr>
          <w:rFonts w:ascii="Times New Roman" w:hAnsi="Times New Roman"/>
          <w:sz w:val="24"/>
          <w:szCs w:val="24"/>
        </w:rPr>
        <w:t>, 2019)</w:t>
      </w:r>
      <w:r w:rsidRPr="00EE39A5">
        <w:rPr>
          <w:rFonts w:ascii="Times New Roman" w:hAnsi="Times New Roman"/>
          <w:sz w:val="24"/>
          <w:szCs w:val="24"/>
        </w:rPr>
        <w:t xml:space="preserve">. </w:t>
      </w:r>
      <w:commentRangeEnd w:id="23"/>
      <w:r w:rsidR="004D4ED1">
        <w:rPr>
          <w:rStyle w:val="CommentReference"/>
        </w:rPr>
        <w:commentReference w:id="23"/>
      </w:r>
      <w:r>
        <w:rPr>
          <w:rFonts w:ascii="Times New Roman" w:hAnsi="Times New Roman"/>
          <w:sz w:val="24"/>
          <w:szCs w:val="24"/>
        </w:rPr>
        <w:t xml:space="preserve">Cages were lined with sawdust (sourced from Akim Timber Market, Calabar), which was changed daily to maintain hygiene and prevent infection. Animals were acclimatized for 14 days prior to the experiment. All procedures were approved by the Faculty Animal Research Ethics Committee, Faculty of Basic Medical Sciences, </w:t>
      </w:r>
      <w:proofErr w:type="gramStart"/>
      <w:r>
        <w:rPr>
          <w:rFonts w:ascii="Times New Roman" w:hAnsi="Times New Roman"/>
          <w:sz w:val="24"/>
          <w:szCs w:val="24"/>
        </w:rPr>
        <w:t>University</w:t>
      </w:r>
      <w:proofErr w:type="gramEnd"/>
      <w:r>
        <w:rPr>
          <w:rFonts w:ascii="Times New Roman" w:hAnsi="Times New Roman"/>
          <w:sz w:val="24"/>
          <w:szCs w:val="24"/>
        </w:rPr>
        <w:t xml:space="preserve"> of </w:t>
      </w:r>
      <w:proofErr w:type="spellStart"/>
      <w:r>
        <w:rPr>
          <w:rFonts w:ascii="Times New Roman" w:hAnsi="Times New Roman"/>
          <w:sz w:val="24"/>
          <w:szCs w:val="24"/>
        </w:rPr>
        <w:t>Calabar</w:t>
      </w:r>
      <w:proofErr w:type="spellEnd"/>
      <w:r>
        <w:rPr>
          <w:rFonts w:ascii="Times New Roman" w:hAnsi="Times New Roman"/>
          <w:sz w:val="24"/>
          <w:szCs w:val="24"/>
        </w:rPr>
        <w:t xml:space="preserve"> (Approval No: 217ANA2323).</w:t>
      </w:r>
    </w:p>
    <w:p w14:paraId="0122A067" w14:textId="77777777" w:rsidR="004D4ED1" w:rsidRDefault="004D4ED1" w:rsidP="003C351E">
      <w:pPr>
        <w:spacing w:after="0" w:line="240" w:lineRule="auto"/>
        <w:ind w:firstLine="720"/>
        <w:jc w:val="both"/>
        <w:rPr>
          <w:rFonts w:ascii="Times New Roman" w:hAnsi="Times New Roman"/>
          <w:sz w:val="24"/>
          <w:szCs w:val="24"/>
        </w:rPr>
      </w:pPr>
    </w:p>
    <w:p w14:paraId="29E901F0" w14:textId="77777777" w:rsidR="00F940A4" w:rsidRDefault="00825325" w:rsidP="004D4ED1">
      <w:pPr>
        <w:spacing w:after="0" w:line="240" w:lineRule="auto"/>
        <w:jc w:val="both"/>
        <w:rPr>
          <w:rFonts w:ascii="Times New Roman" w:hAnsi="Times New Roman"/>
          <w:sz w:val="24"/>
          <w:szCs w:val="24"/>
        </w:rPr>
      </w:pPr>
      <w:r>
        <w:rPr>
          <w:rFonts w:ascii="Times New Roman" w:hAnsi="Times New Roman"/>
          <w:sz w:val="24"/>
          <w:szCs w:val="24"/>
        </w:rPr>
        <w:t>2.2. Chemicals and Plant Extracts</w:t>
      </w:r>
    </w:p>
    <w:p w14:paraId="6AFC2495" w14:textId="77777777" w:rsidR="00F940A4" w:rsidRDefault="00825325">
      <w:pPr>
        <w:spacing w:line="240" w:lineRule="auto"/>
        <w:ind w:firstLine="720"/>
        <w:jc w:val="both"/>
        <w:rPr>
          <w:rFonts w:ascii="Times New Roman" w:hAnsi="Times New Roman"/>
          <w:sz w:val="24"/>
          <w:szCs w:val="24"/>
        </w:rPr>
      </w:pPr>
      <w:r>
        <w:rPr>
          <w:rFonts w:ascii="Times New Roman" w:hAnsi="Times New Roman"/>
          <w:sz w:val="24"/>
          <w:szCs w:val="24"/>
        </w:rPr>
        <w:t>Cadmium chloride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analytical grade) was purchased from Henan Alfa Chemical Co. Ltd, China, and freshly prepared in distilled water at a dose of 5 mg/kg body weight. Fresh rhizomes of ginger (</w:t>
      </w:r>
      <w:r>
        <w:rPr>
          <w:rFonts w:ascii="Times New Roman" w:hAnsi="Times New Roman"/>
          <w:i/>
          <w:iCs/>
          <w:sz w:val="24"/>
          <w:szCs w:val="24"/>
        </w:rPr>
        <w:t>Zingiber officinale</w:t>
      </w:r>
      <w:r>
        <w:rPr>
          <w:rFonts w:ascii="Times New Roman" w:hAnsi="Times New Roman"/>
          <w:sz w:val="24"/>
          <w:szCs w:val="24"/>
        </w:rPr>
        <w:t>) and turmeric (</w:t>
      </w:r>
      <w:r>
        <w:rPr>
          <w:rFonts w:ascii="Times New Roman" w:hAnsi="Times New Roman"/>
          <w:i/>
          <w:iCs/>
          <w:sz w:val="24"/>
          <w:szCs w:val="24"/>
        </w:rPr>
        <w:t>Curcuma longa</w:t>
      </w:r>
      <w:r>
        <w:rPr>
          <w:rFonts w:ascii="Times New Roman" w:hAnsi="Times New Roman"/>
          <w:sz w:val="24"/>
          <w:szCs w:val="24"/>
        </w:rPr>
        <w:t xml:space="preserve">) were obtained from </w:t>
      </w:r>
      <w:proofErr w:type="spellStart"/>
      <w:r>
        <w:rPr>
          <w:rFonts w:ascii="Times New Roman" w:hAnsi="Times New Roman"/>
          <w:sz w:val="24"/>
          <w:szCs w:val="24"/>
        </w:rPr>
        <w:t>Utugwang</w:t>
      </w:r>
      <w:proofErr w:type="spellEnd"/>
      <w:r>
        <w:rPr>
          <w:rFonts w:ascii="Times New Roman" w:hAnsi="Times New Roman"/>
          <w:sz w:val="24"/>
          <w:szCs w:val="24"/>
        </w:rPr>
        <w:t xml:space="preserve"> Market, </w:t>
      </w:r>
      <w:proofErr w:type="spellStart"/>
      <w:r>
        <w:rPr>
          <w:rFonts w:ascii="Times New Roman" w:hAnsi="Times New Roman"/>
          <w:sz w:val="24"/>
          <w:szCs w:val="24"/>
        </w:rPr>
        <w:t>Obudu</w:t>
      </w:r>
      <w:proofErr w:type="spellEnd"/>
      <w:r>
        <w:rPr>
          <w:rFonts w:ascii="Times New Roman" w:hAnsi="Times New Roman"/>
          <w:sz w:val="24"/>
          <w:szCs w:val="24"/>
        </w:rPr>
        <w:t xml:space="preserve"> LGA, Cross River State, and authenticated by Mr. Effa A. Effa (Department of Botany, University of Calabar). Voucher numbers Bot/Herb/UCC/178 (ginger) and Bot/Herb/UCC/177 (turmeric) were assigned.</w:t>
      </w:r>
    </w:p>
    <w:p w14:paraId="66146482" w14:textId="77777777" w:rsidR="00F940A4" w:rsidRDefault="00825325">
      <w:pPr>
        <w:spacing w:line="240" w:lineRule="auto"/>
        <w:ind w:firstLine="720"/>
        <w:jc w:val="both"/>
        <w:rPr>
          <w:rFonts w:ascii="Times New Roman" w:hAnsi="Times New Roman"/>
          <w:sz w:val="24"/>
          <w:szCs w:val="24"/>
        </w:rPr>
      </w:pPr>
      <w:r>
        <w:rPr>
          <w:rFonts w:ascii="Times New Roman" w:hAnsi="Times New Roman"/>
          <w:sz w:val="24"/>
          <w:szCs w:val="24"/>
        </w:rPr>
        <w:t>The rhizomes were washed, sliced, air-dried at 40 °C, and ground into powder. Aqueous extracts were obtained by soaking 100 g of the powdered material in 1 L distilled water for 48 hours. The mixture was filtered and concentrated under reduced pressure at 45 °C using a rotary evaporator, followed by drying in a vacuum water bath to yield 50 g of each crude extract. Extracts were stored at 4 °C and reconstituted in distilled water before use.</w:t>
      </w:r>
    </w:p>
    <w:p w14:paraId="3760BD26" w14:textId="77777777" w:rsidR="00F940A4" w:rsidRDefault="00825325" w:rsidP="00123E2D">
      <w:pPr>
        <w:spacing w:after="0" w:line="240" w:lineRule="auto"/>
        <w:ind w:firstLine="720"/>
        <w:jc w:val="both"/>
        <w:rPr>
          <w:rFonts w:ascii="Times New Roman" w:hAnsi="Times New Roman"/>
          <w:sz w:val="24"/>
          <w:szCs w:val="24"/>
        </w:rPr>
      </w:pPr>
      <w:r>
        <w:rPr>
          <w:rFonts w:ascii="Times New Roman" w:hAnsi="Times New Roman"/>
          <w:sz w:val="24"/>
          <w:szCs w:val="24"/>
        </w:rPr>
        <w:t xml:space="preserve">Commercial assay kits for CAT, SOD, </w:t>
      </w:r>
      <w:proofErr w:type="spellStart"/>
      <w:r>
        <w:rPr>
          <w:rFonts w:ascii="Times New Roman" w:hAnsi="Times New Roman"/>
          <w:sz w:val="24"/>
          <w:szCs w:val="24"/>
        </w:rPr>
        <w:t>GPx</w:t>
      </w:r>
      <w:proofErr w:type="spellEnd"/>
      <w:r>
        <w:rPr>
          <w:rFonts w:ascii="Times New Roman" w:hAnsi="Times New Roman"/>
          <w:sz w:val="24"/>
          <w:szCs w:val="24"/>
        </w:rPr>
        <w:t>, and MDA were obtained from Sigma-Aldrich.</w:t>
      </w:r>
    </w:p>
    <w:p w14:paraId="15452031" w14:textId="77777777" w:rsidR="00F940A4" w:rsidRDefault="00825325" w:rsidP="00123E2D">
      <w:pPr>
        <w:spacing w:after="0" w:line="240" w:lineRule="auto"/>
        <w:jc w:val="both"/>
        <w:rPr>
          <w:rFonts w:ascii="Times New Roman" w:hAnsi="Times New Roman"/>
          <w:sz w:val="24"/>
          <w:szCs w:val="24"/>
        </w:rPr>
      </w:pPr>
      <w:r>
        <w:rPr>
          <w:rFonts w:ascii="Times New Roman" w:hAnsi="Times New Roman"/>
          <w:sz w:val="24"/>
          <w:szCs w:val="24"/>
        </w:rPr>
        <w:t>2.3. Experimental Design</w:t>
      </w:r>
    </w:p>
    <w:p w14:paraId="17F0B2EC" w14:textId="77777777" w:rsidR="00F940A4" w:rsidRDefault="00825325" w:rsidP="00123E2D">
      <w:pPr>
        <w:spacing w:after="0" w:line="240" w:lineRule="auto"/>
        <w:jc w:val="both"/>
        <w:rPr>
          <w:rFonts w:ascii="Times New Roman" w:hAnsi="Times New Roman"/>
          <w:sz w:val="24"/>
          <w:szCs w:val="24"/>
        </w:rPr>
      </w:pPr>
      <w:commentRangeStart w:id="24"/>
      <w:r>
        <w:rPr>
          <w:rFonts w:ascii="Times New Roman" w:hAnsi="Times New Roman"/>
          <w:sz w:val="24"/>
          <w:szCs w:val="24"/>
        </w:rPr>
        <w:t>The 30 rats were randomly divided into five groups (n = 6 per group) as follows:</w:t>
      </w:r>
    </w:p>
    <w:p w14:paraId="080CC747" w14:textId="77777777" w:rsidR="00F940A4" w:rsidRDefault="00825325" w:rsidP="00123E2D">
      <w:pPr>
        <w:spacing w:after="0" w:line="240" w:lineRule="auto"/>
        <w:jc w:val="both"/>
        <w:rPr>
          <w:rFonts w:ascii="Times New Roman" w:hAnsi="Times New Roman"/>
          <w:sz w:val="24"/>
          <w:szCs w:val="24"/>
        </w:rPr>
      </w:pPr>
      <w:r>
        <w:rPr>
          <w:rFonts w:ascii="Times New Roman" w:hAnsi="Times New Roman"/>
          <w:sz w:val="24"/>
          <w:szCs w:val="24"/>
        </w:rPr>
        <w:t>Group I (Control): Distilled water only</w:t>
      </w:r>
    </w:p>
    <w:p w14:paraId="6D45A377" w14:textId="77777777" w:rsidR="00F940A4" w:rsidRDefault="00825325" w:rsidP="00123E2D">
      <w:pPr>
        <w:spacing w:after="0" w:line="240" w:lineRule="auto"/>
        <w:jc w:val="both"/>
        <w:rPr>
          <w:rFonts w:ascii="Times New Roman" w:hAnsi="Times New Roman"/>
          <w:sz w:val="24"/>
          <w:szCs w:val="24"/>
        </w:rPr>
      </w:pPr>
      <w:r>
        <w:rPr>
          <w:rFonts w:ascii="Times New Roman" w:hAnsi="Times New Roman"/>
          <w:sz w:val="24"/>
          <w:szCs w:val="24"/>
        </w:rPr>
        <w:t>Group II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only): Cadmium chloride (5 mg/kg)</w:t>
      </w:r>
    </w:p>
    <w:p w14:paraId="239D00AC" w14:textId="77777777" w:rsidR="00F940A4" w:rsidRDefault="00825325" w:rsidP="00123E2D">
      <w:pPr>
        <w:spacing w:after="0" w:line="240" w:lineRule="auto"/>
        <w:jc w:val="both"/>
        <w:rPr>
          <w:rFonts w:ascii="Times New Roman" w:hAnsi="Times New Roman"/>
          <w:sz w:val="24"/>
          <w:szCs w:val="24"/>
        </w:rPr>
      </w:pPr>
      <w:r>
        <w:rPr>
          <w:rFonts w:ascii="Times New Roman" w:hAnsi="Times New Roman"/>
          <w:sz w:val="24"/>
          <w:szCs w:val="24"/>
        </w:rPr>
        <w:t>Group III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 Turmeric):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(5 mg/kg) + Turmeric extract (200 mg/kg)</w:t>
      </w:r>
    </w:p>
    <w:p w14:paraId="592F8473" w14:textId="77777777" w:rsidR="00F940A4" w:rsidRDefault="00825325" w:rsidP="00123E2D">
      <w:pPr>
        <w:spacing w:after="0" w:line="240" w:lineRule="auto"/>
        <w:jc w:val="both"/>
        <w:rPr>
          <w:rFonts w:ascii="Times New Roman" w:hAnsi="Times New Roman"/>
          <w:sz w:val="24"/>
          <w:szCs w:val="24"/>
        </w:rPr>
      </w:pPr>
      <w:r>
        <w:rPr>
          <w:rFonts w:ascii="Times New Roman" w:hAnsi="Times New Roman"/>
          <w:sz w:val="24"/>
          <w:szCs w:val="24"/>
        </w:rPr>
        <w:t>Group IV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 Ginger):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(5 mg/kg) + Ginger extract (200 mg/kg)</w:t>
      </w:r>
    </w:p>
    <w:p w14:paraId="0EF911F0" w14:textId="77777777" w:rsidR="00F940A4" w:rsidRDefault="00825325" w:rsidP="00123E2D">
      <w:pPr>
        <w:spacing w:after="0" w:line="240" w:lineRule="auto"/>
        <w:jc w:val="both"/>
        <w:rPr>
          <w:rFonts w:ascii="Times New Roman" w:hAnsi="Times New Roman"/>
          <w:sz w:val="24"/>
          <w:szCs w:val="24"/>
        </w:rPr>
      </w:pPr>
      <w:r>
        <w:rPr>
          <w:rFonts w:ascii="Times New Roman" w:hAnsi="Times New Roman"/>
          <w:sz w:val="24"/>
          <w:szCs w:val="24"/>
        </w:rPr>
        <w:t>Group V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 Turmeric + Ginger): </w:t>
      </w:r>
      <w:proofErr w:type="spellStart"/>
      <w:r>
        <w:rPr>
          <w:rFonts w:ascii="Times New Roman" w:hAnsi="Times New Roman"/>
          <w:sz w:val="24"/>
          <w:szCs w:val="24"/>
        </w:rPr>
        <w:t>CdCl</w:t>
      </w:r>
      <w:proofErr w:type="spellEnd"/>
      <w:r>
        <w:rPr>
          <w:sz w:val="24"/>
          <w:szCs w:val="24"/>
        </w:rPr>
        <w:t>₂</w:t>
      </w:r>
      <w:r>
        <w:rPr>
          <w:rFonts w:ascii="Times New Roman" w:hAnsi="Times New Roman"/>
          <w:sz w:val="24"/>
          <w:szCs w:val="24"/>
        </w:rPr>
        <w:t xml:space="preserve"> (5 mg/kg) + Turmeric (200 mg/kg) + Ginger (200 mg/kg)</w:t>
      </w:r>
      <w:commentRangeEnd w:id="24"/>
      <w:r w:rsidR="004600B8">
        <w:rPr>
          <w:rStyle w:val="CommentReference"/>
        </w:rPr>
        <w:commentReference w:id="24"/>
      </w:r>
    </w:p>
    <w:p w14:paraId="0431D5B8" w14:textId="77777777" w:rsidR="00F940A4" w:rsidRDefault="00825325" w:rsidP="00123E2D">
      <w:pPr>
        <w:spacing w:after="0" w:line="240" w:lineRule="auto"/>
        <w:jc w:val="both"/>
        <w:rPr>
          <w:rFonts w:ascii="Times New Roman" w:hAnsi="Times New Roman"/>
          <w:sz w:val="24"/>
          <w:szCs w:val="24"/>
        </w:rPr>
      </w:pPr>
      <w:commentRangeStart w:id="25"/>
      <w:r>
        <w:rPr>
          <w:rFonts w:ascii="Times New Roman" w:hAnsi="Times New Roman"/>
          <w:sz w:val="24"/>
          <w:szCs w:val="24"/>
        </w:rPr>
        <w:t>Ginger and turmeric extracts were administered orally via orogastric tube once daily at 8:00 AM, while cadmium was administered intraperitoneally, both for 15 consecutive days.</w:t>
      </w:r>
      <w:commentRangeEnd w:id="25"/>
      <w:r w:rsidR="004600B8">
        <w:rPr>
          <w:rStyle w:val="CommentReference"/>
        </w:rPr>
        <w:commentReference w:id="25"/>
      </w:r>
    </w:p>
    <w:p w14:paraId="6D44A1B6" w14:textId="77777777" w:rsidR="003C351E" w:rsidRDefault="003C351E" w:rsidP="00123E2D">
      <w:pPr>
        <w:spacing w:after="0" w:line="240" w:lineRule="auto"/>
        <w:jc w:val="both"/>
        <w:rPr>
          <w:rFonts w:ascii="Times New Roman" w:hAnsi="Times New Roman"/>
          <w:sz w:val="24"/>
          <w:szCs w:val="24"/>
        </w:rPr>
      </w:pPr>
    </w:p>
    <w:p w14:paraId="06E0A9CC" w14:textId="77777777" w:rsidR="00F940A4" w:rsidRDefault="00825325" w:rsidP="00123E2D">
      <w:pPr>
        <w:spacing w:after="0" w:line="240" w:lineRule="auto"/>
        <w:jc w:val="both"/>
        <w:rPr>
          <w:rFonts w:ascii="Times New Roman" w:hAnsi="Times New Roman"/>
          <w:sz w:val="24"/>
          <w:szCs w:val="24"/>
        </w:rPr>
      </w:pPr>
      <w:r>
        <w:rPr>
          <w:rFonts w:ascii="Times New Roman" w:hAnsi="Times New Roman"/>
          <w:sz w:val="24"/>
          <w:szCs w:val="24"/>
        </w:rPr>
        <w:t>2.4. Body Weight Measurement</w:t>
      </w:r>
    </w:p>
    <w:p w14:paraId="73DEA231" w14:textId="77777777" w:rsidR="00F940A4" w:rsidRDefault="00825325" w:rsidP="00123E2D">
      <w:pPr>
        <w:spacing w:before="120" w:after="0" w:line="240" w:lineRule="auto"/>
        <w:ind w:firstLine="720"/>
        <w:jc w:val="both"/>
        <w:rPr>
          <w:rFonts w:ascii="Times New Roman" w:hAnsi="Times New Roman"/>
          <w:sz w:val="24"/>
          <w:szCs w:val="24"/>
        </w:rPr>
      </w:pPr>
      <w:r>
        <w:rPr>
          <w:rFonts w:ascii="Times New Roman" w:hAnsi="Times New Roman"/>
          <w:sz w:val="24"/>
          <w:szCs w:val="24"/>
        </w:rPr>
        <w:t xml:space="preserve">The weight of each rat was measured and recorded just </w:t>
      </w:r>
      <w:commentRangeStart w:id="26"/>
      <w:r>
        <w:rPr>
          <w:rFonts w:ascii="Times New Roman" w:hAnsi="Times New Roman"/>
          <w:sz w:val="24"/>
          <w:szCs w:val="24"/>
        </w:rPr>
        <w:t xml:space="preserve">prior to </w:t>
      </w:r>
      <w:commentRangeEnd w:id="26"/>
      <w:r w:rsidR="001E2063">
        <w:rPr>
          <w:rStyle w:val="CommentReference"/>
        </w:rPr>
        <w:commentReference w:id="26"/>
      </w:r>
      <w:r>
        <w:rPr>
          <w:rFonts w:ascii="Times New Roman" w:hAnsi="Times New Roman"/>
          <w:sz w:val="24"/>
          <w:szCs w:val="24"/>
        </w:rPr>
        <w:t>the commencement of administration and before termination of experiment using an electronic weighing balance using a digital weighing balance. The percentage change in body weight was calculated to evaluate the impact of cadmium and the effect of treatment.</w:t>
      </w:r>
    </w:p>
    <w:p w14:paraId="37C720DD" w14:textId="77777777" w:rsidR="003C351E" w:rsidRDefault="003C351E" w:rsidP="00123E2D">
      <w:pPr>
        <w:spacing w:before="120" w:after="0" w:line="240" w:lineRule="auto"/>
        <w:ind w:firstLine="720"/>
        <w:jc w:val="both"/>
        <w:rPr>
          <w:rFonts w:ascii="Times New Roman" w:hAnsi="Times New Roman"/>
          <w:sz w:val="24"/>
          <w:szCs w:val="24"/>
        </w:rPr>
      </w:pPr>
    </w:p>
    <w:p w14:paraId="3F011CA6"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2.5. Sample Collection</w:t>
      </w:r>
    </w:p>
    <w:p w14:paraId="28B4E70B"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Following 15 days of treatment, animals were fasted overnight and sacrificed on Day 16 under light anesthesia using 0.2 mL ketamine (</w:t>
      </w:r>
      <w:proofErr w:type="spellStart"/>
      <w:r>
        <w:rPr>
          <w:rFonts w:ascii="Times New Roman" w:hAnsi="Times New Roman"/>
          <w:sz w:val="24"/>
          <w:szCs w:val="24"/>
        </w:rPr>
        <w:t>i.p</w:t>
      </w:r>
      <w:proofErr w:type="spellEnd"/>
      <w:r>
        <w:rPr>
          <w:rFonts w:ascii="Times New Roman" w:hAnsi="Times New Roman"/>
          <w:sz w:val="24"/>
          <w:szCs w:val="24"/>
        </w:rPr>
        <w:t xml:space="preserve">.), as described by </w:t>
      </w:r>
      <w:proofErr w:type="spellStart"/>
      <w:r>
        <w:rPr>
          <w:rFonts w:ascii="Times New Roman" w:hAnsi="Times New Roman"/>
          <w:sz w:val="24"/>
          <w:szCs w:val="24"/>
        </w:rPr>
        <w:t>Anyiom</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 Blood samples were collected via cardiac puncture, allowed to clot, and centrifuged at 3000 rpm for 15 minutes. The resulting serum was separated and stored at −20 °C for further biochemical analyses.</w:t>
      </w:r>
    </w:p>
    <w:p w14:paraId="3F106990" w14:textId="77777777" w:rsidR="00F940A4" w:rsidRDefault="00825325" w:rsidP="00C4692E">
      <w:pPr>
        <w:spacing w:after="0" w:line="240" w:lineRule="auto"/>
        <w:jc w:val="both"/>
        <w:rPr>
          <w:rFonts w:ascii="Times New Roman" w:hAnsi="Times New Roman"/>
          <w:sz w:val="24"/>
          <w:szCs w:val="24"/>
        </w:rPr>
      </w:pPr>
      <w:r>
        <w:rPr>
          <w:rFonts w:ascii="Times New Roman" w:hAnsi="Times New Roman"/>
          <w:sz w:val="24"/>
          <w:szCs w:val="24"/>
        </w:rPr>
        <w:lastRenderedPageBreak/>
        <w:t>2.6. Biochemical Assays</w:t>
      </w:r>
    </w:p>
    <w:p w14:paraId="73AE879C" w14:textId="77777777" w:rsidR="00F940A4" w:rsidRDefault="00825325" w:rsidP="00C4692E">
      <w:pPr>
        <w:spacing w:after="0" w:line="240" w:lineRule="auto"/>
        <w:jc w:val="both"/>
        <w:rPr>
          <w:rFonts w:ascii="Times New Roman" w:hAnsi="Times New Roman"/>
          <w:sz w:val="24"/>
          <w:szCs w:val="24"/>
        </w:rPr>
      </w:pPr>
      <w:r>
        <w:rPr>
          <w:rFonts w:ascii="Times New Roman" w:hAnsi="Times New Roman"/>
          <w:sz w:val="24"/>
          <w:szCs w:val="24"/>
        </w:rPr>
        <w:t>Superoxide Dismutase (SOD) Activity</w:t>
      </w:r>
    </w:p>
    <w:p w14:paraId="099564C2" w14:textId="77777777" w:rsidR="00F940A4" w:rsidRDefault="00825325" w:rsidP="00C4692E">
      <w:pPr>
        <w:spacing w:after="0" w:line="240" w:lineRule="auto"/>
        <w:jc w:val="both"/>
        <w:rPr>
          <w:rFonts w:ascii="Times New Roman" w:hAnsi="Times New Roman"/>
          <w:sz w:val="24"/>
          <w:szCs w:val="24"/>
        </w:rPr>
      </w:pPr>
      <w:r>
        <w:rPr>
          <w:rFonts w:ascii="Times New Roman" w:hAnsi="Times New Roman"/>
          <w:sz w:val="24"/>
          <w:szCs w:val="24"/>
        </w:rPr>
        <w:t>SOD activity was assayed by its ability to inhibit the auto-oxidation of epinephrine, as described by Sun and Zigman (1978). The reaction mixture contained 0.05 M sodium carbonate buffer (pH 10.2), sample, and epinephrine in 0.005 N HCl. Absorbance was read at 480 nm over 5 minutes. Enzyme activity was calculated using a molar extinction coefficient (ε) of 4020 M</w:t>
      </w:r>
      <w:r>
        <w:rPr>
          <w:sz w:val="24"/>
          <w:szCs w:val="24"/>
        </w:rPr>
        <w:t>⁻</w:t>
      </w:r>
      <w:r>
        <w:rPr>
          <w:rFonts w:ascii="Times New Roman" w:hAnsi="Times New Roman"/>
          <w:sz w:val="24"/>
          <w:szCs w:val="24"/>
        </w:rPr>
        <w:t>¹cm</w:t>
      </w:r>
      <w:r>
        <w:rPr>
          <w:sz w:val="24"/>
          <w:szCs w:val="24"/>
        </w:rPr>
        <w:t>⁻</w:t>
      </w:r>
      <w:r>
        <w:rPr>
          <w:rFonts w:ascii="Times New Roman" w:hAnsi="Times New Roman"/>
          <w:sz w:val="24"/>
          <w:szCs w:val="24"/>
        </w:rPr>
        <w:t>¹.</w:t>
      </w:r>
    </w:p>
    <w:p w14:paraId="13CF5D41" w14:textId="77777777" w:rsidR="00C4692E" w:rsidRDefault="00C4692E" w:rsidP="00C4692E">
      <w:pPr>
        <w:spacing w:after="0" w:line="240" w:lineRule="auto"/>
        <w:jc w:val="both"/>
        <w:rPr>
          <w:rFonts w:ascii="Times New Roman" w:hAnsi="Times New Roman"/>
          <w:sz w:val="24"/>
          <w:szCs w:val="24"/>
        </w:rPr>
      </w:pPr>
    </w:p>
    <w:p w14:paraId="43472E55" w14:textId="77777777" w:rsidR="00F940A4" w:rsidRDefault="00825325" w:rsidP="00C4692E">
      <w:pPr>
        <w:spacing w:after="0" w:line="240" w:lineRule="auto"/>
        <w:jc w:val="both"/>
        <w:rPr>
          <w:rFonts w:ascii="Times New Roman" w:hAnsi="Times New Roman"/>
          <w:sz w:val="24"/>
          <w:szCs w:val="24"/>
        </w:rPr>
      </w:pPr>
      <w:r>
        <w:rPr>
          <w:rFonts w:ascii="Times New Roman" w:hAnsi="Times New Roman"/>
          <w:sz w:val="24"/>
          <w:szCs w:val="24"/>
        </w:rPr>
        <w:t>Catalase (CAT) Activity</w:t>
      </w:r>
    </w:p>
    <w:p w14:paraId="1CC95423" w14:textId="77777777" w:rsidR="00F940A4" w:rsidRDefault="00825325" w:rsidP="00C4692E">
      <w:pPr>
        <w:spacing w:after="0" w:line="240" w:lineRule="auto"/>
        <w:jc w:val="both"/>
        <w:rPr>
          <w:rFonts w:ascii="Times New Roman" w:hAnsi="Times New Roman"/>
          <w:sz w:val="24"/>
          <w:szCs w:val="24"/>
        </w:rPr>
      </w:pPr>
      <w:r>
        <w:rPr>
          <w:rFonts w:ascii="Times New Roman" w:hAnsi="Times New Roman"/>
          <w:sz w:val="24"/>
          <w:szCs w:val="24"/>
        </w:rPr>
        <w:t>CAT activity was determined according to Sinha (1972) by measuring the decomposition of hydrogen peroxide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The assay mixture included phosphate buffer (pH 7.0), sample, and 2M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The reaction was stopped using dichromate-acetic acid reagent, and absorbance was read at 620 nm. Results were expressed as µmol of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xml:space="preserve"> decomposed per minute per mg protein using ε = 40 M</w:t>
      </w:r>
      <w:r>
        <w:rPr>
          <w:sz w:val="24"/>
          <w:szCs w:val="24"/>
        </w:rPr>
        <w:t>⁻</w:t>
      </w:r>
      <w:r>
        <w:rPr>
          <w:rFonts w:ascii="Times New Roman" w:hAnsi="Times New Roman"/>
          <w:sz w:val="24"/>
          <w:szCs w:val="24"/>
        </w:rPr>
        <w:t>¹cm</w:t>
      </w:r>
      <w:r>
        <w:rPr>
          <w:sz w:val="24"/>
          <w:szCs w:val="24"/>
        </w:rPr>
        <w:t>⁻</w:t>
      </w:r>
      <w:r>
        <w:rPr>
          <w:rFonts w:ascii="Times New Roman" w:hAnsi="Times New Roman"/>
          <w:sz w:val="24"/>
          <w:szCs w:val="24"/>
        </w:rPr>
        <w:t>¹.</w:t>
      </w:r>
    </w:p>
    <w:p w14:paraId="238A82F9" w14:textId="77777777" w:rsidR="00C4692E" w:rsidRDefault="00C4692E" w:rsidP="00C4692E">
      <w:pPr>
        <w:spacing w:after="0" w:line="240" w:lineRule="auto"/>
        <w:jc w:val="both"/>
        <w:rPr>
          <w:rFonts w:ascii="Times New Roman" w:hAnsi="Times New Roman"/>
          <w:sz w:val="24"/>
          <w:szCs w:val="24"/>
        </w:rPr>
      </w:pPr>
    </w:p>
    <w:p w14:paraId="72AD93B6" w14:textId="77777777" w:rsidR="00F940A4" w:rsidRDefault="00825325" w:rsidP="00C4692E">
      <w:pPr>
        <w:spacing w:after="0" w:line="240" w:lineRule="auto"/>
        <w:jc w:val="both"/>
        <w:rPr>
          <w:rFonts w:ascii="Times New Roman" w:hAnsi="Times New Roman"/>
          <w:sz w:val="24"/>
          <w:szCs w:val="24"/>
        </w:rPr>
      </w:pPr>
      <w:r>
        <w:rPr>
          <w:rFonts w:ascii="Times New Roman" w:hAnsi="Times New Roman"/>
          <w:sz w:val="24"/>
          <w:szCs w:val="24"/>
        </w:rPr>
        <w:t>Glutathione Peroxidase (</w:t>
      </w:r>
      <w:proofErr w:type="spellStart"/>
      <w:r>
        <w:rPr>
          <w:rFonts w:ascii="Times New Roman" w:hAnsi="Times New Roman"/>
          <w:sz w:val="24"/>
          <w:szCs w:val="24"/>
        </w:rPr>
        <w:t>GPx</w:t>
      </w:r>
      <w:proofErr w:type="spellEnd"/>
      <w:r>
        <w:rPr>
          <w:rFonts w:ascii="Times New Roman" w:hAnsi="Times New Roman"/>
          <w:sz w:val="24"/>
          <w:szCs w:val="24"/>
        </w:rPr>
        <w:t>) Activity</w:t>
      </w:r>
    </w:p>
    <w:p w14:paraId="08089486" w14:textId="77777777" w:rsidR="00F940A4" w:rsidRDefault="00825325" w:rsidP="00C4692E">
      <w:pPr>
        <w:spacing w:after="0" w:line="240" w:lineRule="auto"/>
        <w:jc w:val="both"/>
        <w:rPr>
          <w:rFonts w:ascii="Times New Roman" w:hAnsi="Times New Roman"/>
          <w:sz w:val="24"/>
          <w:szCs w:val="24"/>
        </w:rPr>
      </w:pPr>
      <w:proofErr w:type="spellStart"/>
      <w:r>
        <w:rPr>
          <w:rFonts w:ascii="Times New Roman" w:hAnsi="Times New Roman"/>
          <w:sz w:val="24"/>
          <w:szCs w:val="24"/>
        </w:rPr>
        <w:t>GPx</w:t>
      </w:r>
      <w:proofErr w:type="spellEnd"/>
      <w:r>
        <w:rPr>
          <w:rFonts w:ascii="Times New Roman" w:hAnsi="Times New Roman"/>
          <w:sz w:val="24"/>
          <w:szCs w:val="24"/>
        </w:rPr>
        <w:t xml:space="preserve"> activity was measured following the method of Rotruck</w:t>
      </w:r>
      <w:r>
        <w:rPr>
          <w:rFonts w:ascii="Times New Roman" w:hAnsi="Times New Roman"/>
          <w:i/>
          <w:iCs/>
          <w:sz w:val="24"/>
          <w:szCs w:val="24"/>
        </w:rPr>
        <w:t xml:space="preserve"> et al.</w:t>
      </w:r>
      <w:r>
        <w:rPr>
          <w:rFonts w:ascii="Times New Roman" w:hAnsi="Times New Roman"/>
          <w:sz w:val="24"/>
          <w:szCs w:val="24"/>
        </w:rPr>
        <w:t xml:space="preserve"> (1973). The reaction mixture contained Tris buffer, EDTA, sodium </w:t>
      </w:r>
      <w:proofErr w:type="spellStart"/>
      <w:r>
        <w:rPr>
          <w:rFonts w:ascii="Times New Roman" w:hAnsi="Times New Roman"/>
          <w:sz w:val="24"/>
          <w:szCs w:val="24"/>
        </w:rPr>
        <w:t>azide</w:t>
      </w:r>
      <w:proofErr w:type="spellEnd"/>
      <w:r>
        <w:rPr>
          <w:rFonts w:ascii="Times New Roman" w:hAnsi="Times New Roman"/>
          <w:sz w:val="24"/>
          <w:szCs w:val="24"/>
        </w:rPr>
        <w:t>, sample, GSH, and H</w:t>
      </w:r>
      <w:r>
        <w:rPr>
          <w:sz w:val="24"/>
          <w:szCs w:val="24"/>
        </w:rPr>
        <w:t>₂</w:t>
      </w:r>
      <w:r>
        <w:rPr>
          <w:rFonts w:ascii="Times New Roman" w:hAnsi="Times New Roman"/>
          <w:sz w:val="24"/>
          <w:szCs w:val="24"/>
        </w:rPr>
        <w:t>O</w:t>
      </w:r>
      <w:r>
        <w:rPr>
          <w:sz w:val="24"/>
          <w:szCs w:val="24"/>
        </w:rPr>
        <w:t>₂</w:t>
      </w:r>
      <w:r>
        <w:rPr>
          <w:rFonts w:ascii="Times New Roman" w:hAnsi="Times New Roman"/>
          <w:sz w:val="24"/>
          <w:szCs w:val="24"/>
        </w:rPr>
        <w:t xml:space="preserve">, and was incubated at 37°C for 10 minutes. The reaction was stopped with TCA and centrifuged. </w:t>
      </w:r>
      <w:proofErr w:type="spellStart"/>
      <w:r>
        <w:rPr>
          <w:rFonts w:ascii="Times New Roman" w:hAnsi="Times New Roman"/>
          <w:sz w:val="24"/>
          <w:szCs w:val="24"/>
        </w:rPr>
        <w:t>GPx</w:t>
      </w:r>
      <w:proofErr w:type="spellEnd"/>
      <w:r>
        <w:rPr>
          <w:rFonts w:ascii="Times New Roman" w:hAnsi="Times New Roman"/>
          <w:sz w:val="24"/>
          <w:szCs w:val="24"/>
        </w:rPr>
        <w:t xml:space="preserve"> activity was expressed as µg of GSH consumed per minute per mg protein.</w:t>
      </w:r>
    </w:p>
    <w:p w14:paraId="579C558A" w14:textId="77777777" w:rsidR="00C4692E" w:rsidRDefault="00C4692E" w:rsidP="00C4692E">
      <w:pPr>
        <w:spacing w:after="0" w:line="240" w:lineRule="auto"/>
        <w:jc w:val="both"/>
        <w:rPr>
          <w:rFonts w:ascii="Times New Roman" w:hAnsi="Times New Roman"/>
          <w:sz w:val="24"/>
          <w:szCs w:val="24"/>
        </w:rPr>
      </w:pPr>
    </w:p>
    <w:p w14:paraId="4C367F44" w14:textId="77777777" w:rsidR="00F940A4" w:rsidRDefault="00825325" w:rsidP="00C4692E">
      <w:pPr>
        <w:spacing w:after="0" w:line="240" w:lineRule="auto"/>
        <w:jc w:val="both"/>
        <w:rPr>
          <w:rFonts w:ascii="Times New Roman" w:hAnsi="Times New Roman"/>
          <w:sz w:val="24"/>
          <w:szCs w:val="24"/>
        </w:rPr>
      </w:pPr>
      <w:r>
        <w:rPr>
          <w:rFonts w:ascii="Times New Roman" w:hAnsi="Times New Roman"/>
          <w:sz w:val="24"/>
          <w:szCs w:val="24"/>
        </w:rPr>
        <w:t>Lipid Peroxidation (MDA Levels)</w:t>
      </w:r>
    </w:p>
    <w:p w14:paraId="61BD4272" w14:textId="6E2EE78F" w:rsidR="00F940A4" w:rsidRDefault="00C4692E" w:rsidP="00C4692E">
      <w:pPr>
        <w:spacing w:after="0" w:line="240" w:lineRule="auto"/>
        <w:jc w:val="both"/>
        <w:rPr>
          <w:rFonts w:ascii="Times New Roman" w:hAnsi="Times New Roman"/>
          <w:sz w:val="24"/>
          <w:szCs w:val="24"/>
        </w:rPr>
      </w:pPr>
      <w:commentRangeStart w:id="27"/>
      <w:r>
        <w:rPr>
          <w:rFonts w:ascii="Times New Roman" w:hAnsi="Times New Roman"/>
          <w:sz w:val="24"/>
          <w:szCs w:val="24"/>
        </w:rPr>
        <w:t xml:space="preserve">              </w:t>
      </w:r>
      <w:commentRangeEnd w:id="27"/>
      <w:r>
        <w:rPr>
          <w:rStyle w:val="CommentReference"/>
        </w:rPr>
        <w:commentReference w:id="27"/>
      </w:r>
      <w:proofErr w:type="spellStart"/>
      <w:r w:rsidR="00825325">
        <w:rPr>
          <w:rFonts w:ascii="Times New Roman" w:hAnsi="Times New Roman"/>
          <w:sz w:val="24"/>
          <w:szCs w:val="24"/>
        </w:rPr>
        <w:t>Malondialdehyde</w:t>
      </w:r>
      <w:proofErr w:type="spellEnd"/>
      <w:r w:rsidR="00825325">
        <w:rPr>
          <w:rFonts w:ascii="Times New Roman" w:hAnsi="Times New Roman"/>
          <w:sz w:val="24"/>
          <w:szCs w:val="24"/>
        </w:rPr>
        <w:t xml:space="preserve"> (MDA), an index of lipid peroxidation, was determined using the Buege and Aust (1978) method. The sample was mixed with TCA-TBA-HCl reagent, boiled at 100°C for 15 minutes, and centrifuged. The absorbance of the supernatant was read at 532 nm. MDA concentration was calculated using ε = 1.56 × 10</w:t>
      </w:r>
      <w:r w:rsidR="00825325">
        <w:rPr>
          <w:sz w:val="24"/>
          <w:szCs w:val="24"/>
        </w:rPr>
        <w:t>⁵</w:t>
      </w:r>
      <w:r w:rsidR="00825325">
        <w:rPr>
          <w:rFonts w:ascii="Times New Roman" w:hAnsi="Times New Roman"/>
          <w:sz w:val="24"/>
          <w:szCs w:val="24"/>
        </w:rPr>
        <w:t xml:space="preserve"> M</w:t>
      </w:r>
      <w:r w:rsidR="00825325">
        <w:rPr>
          <w:rFonts w:ascii="Times New Roman"/>
          <w:sz w:val="24"/>
          <w:szCs w:val="24"/>
        </w:rPr>
        <w:t>⁻</w:t>
      </w:r>
      <w:r w:rsidR="00825325">
        <w:rPr>
          <w:rFonts w:ascii="Times New Roman" w:hAnsi="Times New Roman"/>
          <w:sz w:val="24"/>
          <w:szCs w:val="24"/>
        </w:rPr>
        <w:t>¹cm</w:t>
      </w:r>
      <w:r w:rsidR="00825325">
        <w:rPr>
          <w:sz w:val="24"/>
          <w:szCs w:val="24"/>
        </w:rPr>
        <w:t>⁻</w:t>
      </w:r>
      <w:r w:rsidR="00825325">
        <w:rPr>
          <w:rFonts w:ascii="Times New Roman" w:hAnsi="Times New Roman"/>
          <w:sz w:val="24"/>
          <w:szCs w:val="24"/>
        </w:rPr>
        <w:t>¹.</w:t>
      </w:r>
    </w:p>
    <w:p w14:paraId="34AAFB16" w14:textId="77777777" w:rsidR="00F940A4" w:rsidRDefault="00825325" w:rsidP="00C4692E">
      <w:pPr>
        <w:spacing w:after="0" w:line="240" w:lineRule="auto"/>
        <w:jc w:val="both"/>
        <w:rPr>
          <w:rFonts w:ascii="Times New Roman" w:hAnsi="Times New Roman"/>
          <w:sz w:val="24"/>
          <w:szCs w:val="24"/>
        </w:rPr>
      </w:pPr>
      <w:r>
        <w:rPr>
          <w:rFonts w:ascii="Times New Roman" w:hAnsi="Times New Roman"/>
          <w:sz w:val="24"/>
          <w:szCs w:val="24"/>
        </w:rPr>
        <w:t>All enzyme activities were normalized to total protein content and expressed in appropriate units such as micromoles per milliliter per milligram protein (µ</w:t>
      </w:r>
      <w:proofErr w:type="spellStart"/>
      <w:r>
        <w:rPr>
          <w:rFonts w:ascii="Times New Roman" w:hAnsi="Times New Roman"/>
          <w:sz w:val="24"/>
          <w:szCs w:val="24"/>
        </w:rPr>
        <w:t>mol</w:t>
      </w:r>
      <w:proofErr w:type="spellEnd"/>
      <w:r>
        <w:rPr>
          <w:rFonts w:ascii="Times New Roman" w:hAnsi="Times New Roman"/>
          <w:sz w:val="24"/>
          <w:szCs w:val="24"/>
        </w:rPr>
        <w:t>/ml/mg protein).</w:t>
      </w:r>
    </w:p>
    <w:p w14:paraId="372312FD" w14:textId="77777777" w:rsidR="00C4692E" w:rsidRDefault="00C4692E" w:rsidP="00C4692E">
      <w:pPr>
        <w:spacing w:after="0" w:line="240" w:lineRule="auto"/>
        <w:jc w:val="both"/>
        <w:rPr>
          <w:rFonts w:ascii="Times New Roman" w:hAnsi="Times New Roman"/>
          <w:sz w:val="24"/>
          <w:szCs w:val="24"/>
        </w:rPr>
      </w:pPr>
    </w:p>
    <w:p w14:paraId="1E6F5582" w14:textId="77777777" w:rsidR="00F940A4" w:rsidRDefault="00825325" w:rsidP="00C4692E">
      <w:pPr>
        <w:spacing w:after="0" w:line="240" w:lineRule="auto"/>
        <w:jc w:val="both"/>
        <w:rPr>
          <w:rFonts w:ascii="Times New Roman" w:hAnsi="Times New Roman"/>
          <w:sz w:val="24"/>
          <w:szCs w:val="24"/>
        </w:rPr>
      </w:pPr>
      <w:r>
        <w:rPr>
          <w:rFonts w:ascii="Times New Roman" w:hAnsi="Times New Roman"/>
          <w:sz w:val="24"/>
          <w:szCs w:val="24"/>
        </w:rPr>
        <w:t>2.7. Statistical Analysis</w:t>
      </w:r>
    </w:p>
    <w:p w14:paraId="30301FE3" w14:textId="460C93F8" w:rsidR="00F940A4" w:rsidRDefault="00C4692E" w:rsidP="00C4692E">
      <w:pPr>
        <w:spacing w:after="0" w:line="240" w:lineRule="auto"/>
        <w:jc w:val="both"/>
        <w:rPr>
          <w:rFonts w:ascii="Times New Roman" w:hAnsi="Times New Roman"/>
          <w:sz w:val="24"/>
          <w:szCs w:val="24"/>
        </w:rPr>
      </w:pPr>
      <w:commentRangeStart w:id="28"/>
      <w:r>
        <w:rPr>
          <w:rFonts w:ascii="Times New Roman" w:hAnsi="Times New Roman"/>
          <w:sz w:val="24"/>
          <w:szCs w:val="24"/>
        </w:rPr>
        <w:t xml:space="preserve">             </w:t>
      </w:r>
      <w:commentRangeEnd w:id="28"/>
      <w:r>
        <w:rPr>
          <w:rStyle w:val="CommentReference"/>
        </w:rPr>
        <w:commentReference w:id="28"/>
      </w:r>
      <w:r w:rsidR="00825325">
        <w:rPr>
          <w:rFonts w:ascii="Times New Roman" w:hAnsi="Times New Roman"/>
          <w:sz w:val="24"/>
          <w:szCs w:val="24"/>
        </w:rPr>
        <w:t>Data were analyzed u</w:t>
      </w:r>
      <w:r w:rsidR="00825325">
        <w:rPr>
          <w:rFonts w:ascii="Times New Roman" w:eastAsia="MinionPro" w:hAnsi="Times New Roman"/>
          <w:sz w:val="24"/>
          <w:szCs w:val="24"/>
        </w:rPr>
        <w:t>sing statistical package for social sciences (SPSS) version 26.0 for windows</w:t>
      </w:r>
      <w:r w:rsidR="00825325">
        <w:rPr>
          <w:rFonts w:ascii="Times New Roman" w:hAnsi="Times New Roman"/>
          <w:sz w:val="24"/>
          <w:szCs w:val="24"/>
        </w:rPr>
        <w:t>. Results were expressed as mean ± standard error of the mean (SEM). One-way analysis of variance (ANOVA) followed by Tukey’s multiple comparison test was used to determine statistical significance. A p-value less than 0.05 (</w:t>
      </w:r>
      <w:r w:rsidR="00825325">
        <w:rPr>
          <w:rFonts w:ascii="Times New Roman" w:hAnsi="Times New Roman"/>
          <w:i/>
          <w:iCs/>
          <w:sz w:val="24"/>
          <w:szCs w:val="24"/>
        </w:rPr>
        <w:t>p</w:t>
      </w:r>
      <w:r w:rsidR="00825325">
        <w:rPr>
          <w:rFonts w:ascii="Times New Roman" w:hAnsi="Times New Roman"/>
          <w:sz w:val="24"/>
          <w:szCs w:val="24"/>
        </w:rPr>
        <w:t>&lt; 0.05) was considered statistically significant.</w:t>
      </w:r>
    </w:p>
    <w:p w14:paraId="15395571" w14:textId="77777777" w:rsidR="00C4692E" w:rsidRDefault="00C4692E" w:rsidP="00C4692E">
      <w:pPr>
        <w:spacing w:after="0" w:line="240" w:lineRule="auto"/>
        <w:jc w:val="both"/>
        <w:rPr>
          <w:rFonts w:ascii="Times New Roman" w:hAnsi="Times New Roman"/>
          <w:sz w:val="24"/>
          <w:szCs w:val="24"/>
        </w:rPr>
      </w:pPr>
    </w:p>
    <w:p w14:paraId="41442221" w14:textId="77777777" w:rsidR="00F940A4" w:rsidRDefault="00825325" w:rsidP="00C4692E">
      <w:pPr>
        <w:spacing w:after="0" w:line="240" w:lineRule="auto"/>
        <w:jc w:val="both"/>
        <w:rPr>
          <w:rFonts w:ascii="Times New Roman" w:hAnsi="Times New Roman"/>
          <w:b/>
          <w:bCs/>
          <w:sz w:val="24"/>
          <w:szCs w:val="24"/>
        </w:rPr>
      </w:pPr>
      <w:r>
        <w:rPr>
          <w:rFonts w:ascii="Times New Roman" w:hAnsi="Times New Roman"/>
          <w:b/>
          <w:bCs/>
          <w:sz w:val="24"/>
          <w:szCs w:val="24"/>
        </w:rPr>
        <w:t xml:space="preserve">3.1 Results </w:t>
      </w:r>
    </w:p>
    <w:p w14:paraId="6DDE1D95" w14:textId="77777777" w:rsidR="00F940A4" w:rsidRDefault="00825325" w:rsidP="00C4692E">
      <w:pPr>
        <w:spacing w:after="0" w:line="240" w:lineRule="auto"/>
        <w:jc w:val="both"/>
        <w:rPr>
          <w:rFonts w:ascii="Times New Roman" w:hAnsi="Times New Roman"/>
          <w:sz w:val="24"/>
          <w:szCs w:val="24"/>
        </w:rPr>
      </w:pPr>
      <w:r>
        <w:rPr>
          <w:rFonts w:ascii="Times New Roman" w:hAnsi="Times New Roman"/>
          <w:sz w:val="24"/>
          <w:szCs w:val="24"/>
        </w:rPr>
        <w:t>3.1 Body Weight Changes</w:t>
      </w:r>
    </w:p>
    <w:p w14:paraId="7D21D5E9" w14:textId="3797CB2F" w:rsidR="00F940A4" w:rsidRDefault="00C4692E" w:rsidP="00C4692E">
      <w:pPr>
        <w:spacing w:after="0" w:line="240" w:lineRule="auto"/>
        <w:jc w:val="both"/>
        <w:rPr>
          <w:rFonts w:ascii="Times New Roman" w:hAnsi="Times New Roman"/>
          <w:sz w:val="24"/>
          <w:szCs w:val="24"/>
        </w:rPr>
      </w:pPr>
      <w:commentRangeStart w:id="29"/>
      <w:r>
        <w:rPr>
          <w:rFonts w:ascii="Times New Roman" w:hAnsi="Times New Roman"/>
          <w:sz w:val="24"/>
          <w:szCs w:val="24"/>
        </w:rPr>
        <w:t xml:space="preserve">             </w:t>
      </w:r>
      <w:commentRangeEnd w:id="29"/>
      <w:r>
        <w:rPr>
          <w:rStyle w:val="CommentReference"/>
        </w:rPr>
        <w:commentReference w:id="29"/>
      </w:r>
      <w:r w:rsidR="00825325">
        <w:rPr>
          <w:rFonts w:ascii="Times New Roman" w:hAnsi="Times New Roman"/>
          <w:sz w:val="24"/>
          <w:szCs w:val="24"/>
        </w:rPr>
        <w:t xml:space="preserve">Body weight changes varied across the experimental groups (Fig. </w:t>
      </w:r>
      <w:r w:rsidR="00AA1752">
        <w:rPr>
          <w:rFonts w:ascii="Times New Roman" w:hAnsi="Times New Roman"/>
          <w:sz w:val="24"/>
          <w:szCs w:val="24"/>
        </w:rPr>
        <w:t>1</w:t>
      </w:r>
      <w:r w:rsidR="00825325">
        <w:rPr>
          <w:rFonts w:ascii="Times New Roman" w:hAnsi="Times New Roman"/>
          <w:sz w:val="24"/>
          <w:szCs w:val="24"/>
        </w:rPr>
        <w:t xml:space="preserve">, Table </w:t>
      </w:r>
      <w:r w:rsidR="002245C1">
        <w:rPr>
          <w:rFonts w:ascii="Times New Roman" w:hAnsi="Times New Roman"/>
          <w:sz w:val="24"/>
          <w:szCs w:val="24"/>
        </w:rPr>
        <w:t>1</w:t>
      </w:r>
      <w:r w:rsidR="00825325">
        <w:rPr>
          <w:rFonts w:ascii="Times New Roman" w:hAnsi="Times New Roman"/>
          <w:sz w:val="24"/>
          <w:szCs w:val="24"/>
        </w:rPr>
        <w:t>). The control group (A) showed a progressive but non-significant increase in weight. In contrast, the cadmium-only group (B) exhibited a significant decrease in body weight from 138.68 ± 9.20 g to 124.36 ± 7.60 g (</w:t>
      </w:r>
      <w:r w:rsidR="00825325">
        <w:rPr>
          <w:rFonts w:ascii="Times New Roman" w:hAnsi="Times New Roman"/>
          <w:i/>
          <w:iCs/>
          <w:sz w:val="24"/>
          <w:szCs w:val="24"/>
        </w:rPr>
        <w:t>p</w:t>
      </w:r>
      <w:r w:rsidR="00825325">
        <w:rPr>
          <w:rFonts w:ascii="Times New Roman" w:hAnsi="Times New Roman"/>
          <w:sz w:val="24"/>
          <w:szCs w:val="24"/>
        </w:rPr>
        <w:t>&lt; 0.05), indicating cadmium-induced weight loss.</w:t>
      </w:r>
    </w:p>
    <w:p w14:paraId="1618445B" w14:textId="39CA786F" w:rsidR="00F940A4" w:rsidRDefault="00C4692E" w:rsidP="00C4692E">
      <w:pPr>
        <w:spacing w:after="0" w:line="240" w:lineRule="auto"/>
        <w:jc w:val="both"/>
        <w:rPr>
          <w:rFonts w:ascii="Times New Roman" w:hAnsi="Times New Roman"/>
          <w:sz w:val="24"/>
          <w:szCs w:val="24"/>
        </w:rPr>
      </w:pPr>
      <w:commentRangeStart w:id="30"/>
      <w:r>
        <w:rPr>
          <w:rFonts w:ascii="Times New Roman" w:hAnsi="Times New Roman"/>
          <w:sz w:val="24"/>
          <w:szCs w:val="24"/>
        </w:rPr>
        <w:t xml:space="preserve">              </w:t>
      </w:r>
      <w:commentRangeEnd w:id="30"/>
      <w:r>
        <w:rPr>
          <w:rStyle w:val="CommentReference"/>
        </w:rPr>
        <w:commentReference w:id="30"/>
      </w:r>
      <w:r w:rsidR="00825325">
        <w:rPr>
          <w:rFonts w:ascii="Times New Roman" w:hAnsi="Times New Roman"/>
          <w:sz w:val="24"/>
          <w:szCs w:val="24"/>
        </w:rPr>
        <w:t>Co-treatment with ginger and turmeric (Group C) led to a slight, non-significant weight reduction (150.72 ± 12.38 g to 143.68 ± 13.95 g), while ginger alone (Group D) caused a significant drop from 148.44 ± 6.01 g to 132.14 ± 7.43 g (</w:t>
      </w:r>
      <w:r w:rsidR="00825325">
        <w:rPr>
          <w:rFonts w:ascii="Times New Roman" w:hAnsi="Times New Roman"/>
          <w:i/>
          <w:iCs/>
          <w:sz w:val="24"/>
          <w:szCs w:val="24"/>
        </w:rPr>
        <w:t>p</w:t>
      </w:r>
      <w:r w:rsidR="00825325">
        <w:rPr>
          <w:rFonts w:ascii="Times New Roman" w:hAnsi="Times New Roman"/>
          <w:sz w:val="24"/>
          <w:szCs w:val="24"/>
        </w:rPr>
        <w:t>&lt; 0.05). The turmeric-only group (E) showed stable body weight (147.40 ± 3.15 g to 147.52 ± 3.34 g), with no significant change.</w:t>
      </w:r>
    </w:p>
    <w:p w14:paraId="2307EC0A" w14:textId="77777777" w:rsidR="007F1876" w:rsidRDefault="007F1876" w:rsidP="00C4692E">
      <w:pPr>
        <w:spacing w:after="0" w:line="240" w:lineRule="auto"/>
        <w:jc w:val="both"/>
        <w:rPr>
          <w:rFonts w:ascii="Times New Roman" w:hAnsi="Times New Roman"/>
          <w:sz w:val="24"/>
          <w:szCs w:val="24"/>
        </w:rPr>
      </w:pPr>
    </w:p>
    <w:p w14:paraId="3C032283" w14:textId="63D74818" w:rsidR="00F940A4" w:rsidRDefault="00825325">
      <w:pPr>
        <w:spacing w:line="240" w:lineRule="auto"/>
        <w:jc w:val="both"/>
        <w:rPr>
          <w:rFonts w:ascii="Times New Roman" w:hAnsi="Times New Roman"/>
          <w:sz w:val="24"/>
          <w:szCs w:val="24"/>
        </w:rPr>
      </w:pPr>
      <w:r>
        <w:rPr>
          <w:rFonts w:ascii="Times New Roman" w:hAnsi="Times New Roman"/>
          <w:sz w:val="24"/>
          <w:szCs w:val="24"/>
        </w:rPr>
        <w:lastRenderedPageBreak/>
        <w:t xml:space="preserve">Figure </w:t>
      </w:r>
      <w:r w:rsidR="00AA1752">
        <w:rPr>
          <w:rFonts w:ascii="Times New Roman" w:hAnsi="Times New Roman"/>
          <w:sz w:val="24"/>
          <w:szCs w:val="24"/>
        </w:rPr>
        <w:t>1</w:t>
      </w:r>
      <w:r>
        <w:rPr>
          <w:rFonts w:ascii="Times New Roman" w:hAnsi="Times New Roman"/>
          <w:sz w:val="24"/>
          <w:szCs w:val="24"/>
        </w:rPr>
        <w:t>. Body Weight Changes in Experimental Groups</w:t>
      </w:r>
    </w:p>
    <w:p w14:paraId="5F4FD20E" w14:textId="77777777" w:rsidR="00F940A4" w:rsidRDefault="00825325">
      <w:pPr>
        <w:spacing w:line="240" w:lineRule="auto"/>
        <w:jc w:val="both"/>
        <w:rPr>
          <w:rFonts w:ascii="Times New Roman" w:hAnsi="Times New Roman"/>
          <w:sz w:val="24"/>
          <w:szCs w:val="24"/>
        </w:rPr>
      </w:pPr>
      <w:r>
        <w:rPr>
          <w:rFonts w:ascii="Times New Roman" w:hAnsi="Times New Roman"/>
          <w:noProof/>
          <w:sz w:val="24"/>
          <w:szCs w:val="24"/>
          <w:lang w:eastAsia="en-US"/>
        </w:rPr>
        <w:drawing>
          <wp:inline distT="0" distB="0" distL="114300" distR="114300" wp14:anchorId="5DEDE819" wp14:editId="270DEF1A">
            <wp:extent cx="5706110" cy="5503333"/>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3A5475" w14:textId="77777777" w:rsidR="00F940A4" w:rsidRDefault="00825325">
      <w:pPr>
        <w:spacing w:after="0" w:line="240" w:lineRule="auto"/>
        <w:rPr>
          <w:rFonts w:ascii="Times New Roman" w:eastAsia="Arial" w:hAnsi="Times New Roman"/>
          <w:b/>
          <w:sz w:val="24"/>
          <w:szCs w:val="24"/>
        </w:rPr>
      </w:pPr>
      <w:r>
        <w:rPr>
          <w:rFonts w:ascii="Times New Roman" w:eastAsia="Arial" w:hAnsi="Times New Roman"/>
          <w:b/>
          <w:sz w:val="24"/>
          <w:szCs w:val="24"/>
        </w:rPr>
        <w:t>Key:</w:t>
      </w:r>
    </w:p>
    <w:p w14:paraId="1CC6B92A" w14:textId="77777777"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NC=Normal control</w:t>
      </w:r>
    </w:p>
    <w:p w14:paraId="0EBA3DA1" w14:textId="77777777"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Cd= Cadmium</w:t>
      </w:r>
    </w:p>
    <w:p w14:paraId="19DAF3E6" w14:textId="77777777"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G&amp;T= Ginger and turmeric</w:t>
      </w:r>
    </w:p>
    <w:p w14:paraId="7FCB910C" w14:textId="77777777"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Gr=Ginger</w:t>
      </w:r>
    </w:p>
    <w:p w14:paraId="3F88790A" w14:textId="77777777" w:rsidR="00F940A4" w:rsidRDefault="00825325">
      <w:pPr>
        <w:spacing w:after="0" w:line="240" w:lineRule="auto"/>
        <w:ind w:right="556"/>
        <w:jc w:val="both"/>
        <w:rPr>
          <w:rFonts w:ascii="Times New Roman" w:eastAsia="Arial" w:hAnsi="Times New Roman"/>
          <w:b/>
          <w:sz w:val="24"/>
          <w:szCs w:val="24"/>
        </w:rPr>
      </w:pPr>
      <w:r>
        <w:rPr>
          <w:rFonts w:ascii="Times New Roman" w:eastAsia="Arial" w:hAnsi="Times New Roman"/>
          <w:b/>
          <w:sz w:val="24"/>
          <w:szCs w:val="24"/>
        </w:rPr>
        <w:t>Tc=Turmeric</w:t>
      </w:r>
    </w:p>
    <w:p w14:paraId="71983BE3" w14:textId="77777777" w:rsidR="00F940A4" w:rsidRDefault="00F940A4">
      <w:pPr>
        <w:spacing w:after="0" w:line="240" w:lineRule="auto"/>
        <w:ind w:right="556"/>
        <w:jc w:val="both"/>
        <w:rPr>
          <w:rFonts w:ascii="Times New Roman" w:eastAsia="Arial" w:hAnsi="Times New Roman"/>
          <w:b/>
          <w:sz w:val="24"/>
          <w:szCs w:val="24"/>
        </w:rPr>
      </w:pPr>
    </w:p>
    <w:p w14:paraId="783E69B3" w14:textId="7286D472" w:rsidR="00F940A4" w:rsidRDefault="00825325" w:rsidP="007F1876">
      <w:pPr>
        <w:spacing w:after="0" w:line="240" w:lineRule="auto"/>
        <w:jc w:val="both"/>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1</w:t>
      </w:r>
      <w:r>
        <w:rPr>
          <w:rFonts w:ascii="Times New Roman" w:hAnsi="Times New Roman"/>
          <w:sz w:val="24"/>
          <w:szCs w:val="24"/>
        </w:rPr>
        <w:t>. Effect of cadmium and treatment with ginger and/or turmeric on body weight of rats. Data are presented as mean ± standard error (SE), n = 6 per group. Cadmium exposure (Group B) caused a significant reduction in body weight compared to the control group (p &lt; 0.05). Co-administration with turmeric (Group E) stabilized body weight, while ginger alone (Group D) resulted in significant weight loss. The combination of ginger and turmeric (Group C) showed mild, non-significant weight reduction.</w:t>
      </w:r>
    </w:p>
    <w:p w14:paraId="320A5A4D" w14:textId="77777777" w:rsidR="007F1876" w:rsidRDefault="007F1876" w:rsidP="007F1876">
      <w:pPr>
        <w:spacing w:after="0" w:line="240" w:lineRule="auto"/>
        <w:jc w:val="both"/>
        <w:rPr>
          <w:rFonts w:ascii="Times New Roman" w:hAnsi="Times New Roman"/>
          <w:sz w:val="24"/>
          <w:szCs w:val="24"/>
        </w:rPr>
      </w:pPr>
    </w:p>
    <w:p w14:paraId="0D69EA26" w14:textId="77777777" w:rsidR="00F940A4" w:rsidRDefault="00825325" w:rsidP="007F1876">
      <w:pPr>
        <w:spacing w:after="0" w:line="240" w:lineRule="auto"/>
        <w:jc w:val="both"/>
        <w:rPr>
          <w:rFonts w:ascii="Times New Roman" w:hAnsi="Times New Roman"/>
          <w:sz w:val="24"/>
          <w:szCs w:val="24"/>
        </w:rPr>
      </w:pPr>
      <w:r>
        <w:rPr>
          <w:rFonts w:ascii="Times New Roman" w:hAnsi="Times New Roman"/>
          <w:sz w:val="24"/>
          <w:szCs w:val="24"/>
        </w:rPr>
        <w:t>3.2 Antioxidant Assay</w:t>
      </w:r>
    </w:p>
    <w:p w14:paraId="3348597F" w14:textId="77777777" w:rsidR="00F940A4" w:rsidRDefault="00825325" w:rsidP="007F1876">
      <w:pPr>
        <w:spacing w:after="0" w:line="240" w:lineRule="auto"/>
        <w:jc w:val="both"/>
        <w:rPr>
          <w:rFonts w:ascii="Times New Roman" w:hAnsi="Times New Roman"/>
          <w:sz w:val="24"/>
          <w:szCs w:val="24"/>
        </w:rPr>
      </w:pPr>
      <w:r>
        <w:rPr>
          <w:rFonts w:ascii="Times New Roman" w:hAnsi="Times New Roman"/>
          <w:sz w:val="24"/>
          <w:szCs w:val="24"/>
        </w:rPr>
        <w:t>3.2.1 Superoxide Dismutase (SOD)</w:t>
      </w:r>
    </w:p>
    <w:p w14:paraId="799E1E9F" w14:textId="4F6452CF" w:rsidR="00F940A4" w:rsidRDefault="007F1876" w:rsidP="007F1876">
      <w:pPr>
        <w:spacing w:after="0" w:line="240" w:lineRule="auto"/>
        <w:jc w:val="both"/>
        <w:rPr>
          <w:rFonts w:ascii="Times New Roman" w:hAnsi="Times New Roman"/>
          <w:sz w:val="24"/>
          <w:szCs w:val="24"/>
        </w:rPr>
      </w:pPr>
      <w:commentRangeStart w:id="31"/>
      <w:r>
        <w:rPr>
          <w:rFonts w:ascii="Times New Roman" w:hAnsi="Times New Roman"/>
          <w:sz w:val="24"/>
          <w:szCs w:val="24"/>
        </w:rPr>
        <w:t xml:space="preserve">                </w:t>
      </w:r>
      <w:commentRangeEnd w:id="31"/>
      <w:r>
        <w:rPr>
          <w:rStyle w:val="CommentReference"/>
        </w:rPr>
        <w:commentReference w:id="31"/>
      </w:r>
      <w:r w:rsidR="00825325">
        <w:rPr>
          <w:rFonts w:ascii="Times New Roman" w:hAnsi="Times New Roman"/>
          <w:sz w:val="24"/>
          <w:szCs w:val="24"/>
        </w:rPr>
        <w:t xml:space="preserve">Group B (Cd-only) had significantly reduced SOD levels (29.79 ± 1.09) compared to the control Group </w:t>
      </w:r>
      <w:proofErr w:type="gramStart"/>
      <w:r w:rsidR="00825325">
        <w:rPr>
          <w:rFonts w:ascii="Times New Roman" w:hAnsi="Times New Roman"/>
          <w:sz w:val="24"/>
          <w:szCs w:val="24"/>
        </w:rPr>
        <w:t>A</w:t>
      </w:r>
      <w:proofErr w:type="gramEnd"/>
      <w:r w:rsidR="00825325">
        <w:rPr>
          <w:rFonts w:ascii="Times New Roman" w:hAnsi="Times New Roman"/>
          <w:sz w:val="24"/>
          <w:szCs w:val="24"/>
        </w:rPr>
        <w:t xml:space="preserve"> (44.62 ± 2.68, p &lt; 0.05). Groups C, D, and E (ginger + turmeric, ginger only, turmeric only) showed improved SOD levels (34.91 ± 3.34, 33.13 ± 3.52, 31.26 ± 1.50, respectively), though not statistically significant compared to Group B.</w:t>
      </w:r>
    </w:p>
    <w:p w14:paraId="4209B086" w14:textId="0F962874" w:rsidR="00F940A4" w:rsidRDefault="00825325" w:rsidP="007F1876">
      <w:pPr>
        <w:spacing w:after="0" w:line="240" w:lineRule="auto"/>
        <w:jc w:val="both"/>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2</w:t>
      </w:r>
      <w:r>
        <w:rPr>
          <w:rFonts w:ascii="Times New Roman" w:hAnsi="Times New Roman"/>
          <w:sz w:val="24"/>
          <w:szCs w:val="24"/>
        </w:rPr>
        <w:t>: Superoxide Dismutase (SOD) Levels in Experimental Groups</w:t>
      </w:r>
    </w:p>
    <w:p w14:paraId="08C5DAC7" w14:textId="77777777" w:rsidR="00F940A4" w:rsidRDefault="00825325">
      <w:pPr>
        <w:spacing w:after="276" w:line="240" w:lineRule="auto"/>
        <w:jc w:val="center"/>
        <w:rPr>
          <w:rFonts w:ascii="Times New Roman" w:hAnsi="Times New Roman"/>
          <w:sz w:val="24"/>
          <w:szCs w:val="24"/>
        </w:rPr>
      </w:pPr>
      <w:r>
        <w:rPr>
          <w:rFonts w:ascii="Times New Roman" w:hAnsi="Times New Roman"/>
          <w:noProof/>
          <w:sz w:val="24"/>
          <w:szCs w:val="24"/>
          <w:lang w:eastAsia="en-US"/>
        </w:rPr>
        <w:drawing>
          <wp:inline distT="0" distB="0" distL="114300" distR="114300" wp14:anchorId="63A3C65A" wp14:editId="723444ED">
            <wp:extent cx="5318760" cy="5825066"/>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66AC75" w14:textId="5FED81EB" w:rsidR="00F940A4" w:rsidRDefault="00825325">
      <w:pPr>
        <w:spacing w:after="276" w:line="240" w:lineRule="auto"/>
        <w:jc w:val="center"/>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2</w:t>
      </w:r>
      <w:r>
        <w:rPr>
          <w:rFonts w:ascii="Times New Roman" w:hAnsi="Times New Roman"/>
          <w:sz w:val="24"/>
          <w:szCs w:val="24"/>
        </w:rPr>
        <w:t>. SOD activity across treatment groups. Values are mean ± SE (n = 6). Cadmium significantly reduced SOD levels compared to control (p &lt; 0.05), while ginger and turmeric treatments improved SOD activity.</w:t>
      </w:r>
    </w:p>
    <w:p w14:paraId="62F2C5C4" w14:textId="77777777" w:rsidR="00F940A4" w:rsidRDefault="00825325" w:rsidP="00745D96">
      <w:pPr>
        <w:spacing w:after="0" w:line="240" w:lineRule="auto"/>
        <w:jc w:val="both"/>
        <w:rPr>
          <w:rFonts w:ascii="Times New Roman" w:hAnsi="Times New Roman"/>
          <w:sz w:val="24"/>
          <w:szCs w:val="24"/>
        </w:rPr>
      </w:pPr>
      <w:r>
        <w:rPr>
          <w:rFonts w:ascii="Times New Roman" w:hAnsi="Times New Roman"/>
          <w:sz w:val="24"/>
          <w:szCs w:val="24"/>
        </w:rPr>
        <w:lastRenderedPageBreak/>
        <w:t>3.2.2 Catalase (CAT)</w:t>
      </w:r>
    </w:p>
    <w:p w14:paraId="1699D210" w14:textId="6C2D579E" w:rsidR="00F940A4" w:rsidRDefault="00745D96" w:rsidP="00745D96">
      <w:pPr>
        <w:spacing w:after="0" w:line="240" w:lineRule="auto"/>
        <w:jc w:val="both"/>
        <w:rPr>
          <w:rFonts w:ascii="Times New Roman" w:hAnsi="Times New Roman"/>
          <w:sz w:val="24"/>
          <w:szCs w:val="24"/>
        </w:rPr>
      </w:pPr>
      <w:commentRangeStart w:id="32"/>
      <w:r>
        <w:rPr>
          <w:rFonts w:ascii="Times New Roman" w:hAnsi="Times New Roman"/>
          <w:sz w:val="24"/>
          <w:szCs w:val="24"/>
        </w:rPr>
        <w:t xml:space="preserve">                    </w:t>
      </w:r>
      <w:commentRangeEnd w:id="32"/>
      <w:r>
        <w:rPr>
          <w:rStyle w:val="CommentReference"/>
        </w:rPr>
        <w:commentReference w:id="32"/>
      </w:r>
      <w:r w:rsidR="00825325">
        <w:rPr>
          <w:rFonts w:ascii="Times New Roman" w:hAnsi="Times New Roman"/>
          <w:sz w:val="24"/>
          <w:szCs w:val="24"/>
        </w:rPr>
        <w:t>Group A had significantly higher CAT activity (48.48 ± 2.56) than Group B (27.77 ± 2.12) and Group D (32.89 ± 1.41). Groups C (36.97 ± 3.29) and E (33.41 ± 3.49) showed no significant difference from control.</w:t>
      </w:r>
    </w:p>
    <w:p w14:paraId="261C6BD5" w14:textId="3811BC8B" w:rsidR="00F940A4" w:rsidRDefault="00825325" w:rsidP="00745D96">
      <w:pPr>
        <w:spacing w:after="0" w:line="240" w:lineRule="auto"/>
        <w:jc w:val="both"/>
        <w:rPr>
          <w:rFonts w:ascii="Times New Roman" w:hAnsi="Times New Roman"/>
          <w:sz w:val="24"/>
          <w:szCs w:val="24"/>
        </w:rPr>
      </w:pPr>
      <w:r>
        <w:rPr>
          <w:rFonts w:ascii="Times New Roman" w:hAnsi="Times New Roman"/>
          <w:sz w:val="24"/>
          <w:szCs w:val="24"/>
        </w:rPr>
        <w:t>Figure</w:t>
      </w:r>
      <w:r w:rsidR="00AA1752">
        <w:rPr>
          <w:rFonts w:ascii="Times New Roman" w:hAnsi="Times New Roman"/>
          <w:sz w:val="24"/>
          <w:szCs w:val="24"/>
        </w:rPr>
        <w:t xml:space="preserve"> 3</w:t>
      </w:r>
      <w:proofErr w:type="gramStart"/>
      <w:r>
        <w:rPr>
          <w:rFonts w:ascii="Times New Roman" w:hAnsi="Times New Roman"/>
          <w:sz w:val="24"/>
          <w:szCs w:val="24"/>
        </w:rPr>
        <w:t>:</w:t>
      </w:r>
      <w:commentRangeStart w:id="33"/>
      <w:r>
        <w:rPr>
          <w:rFonts w:ascii="Times New Roman" w:hAnsi="Times New Roman"/>
          <w:sz w:val="24"/>
          <w:szCs w:val="24"/>
        </w:rPr>
        <w:t>Catalase</w:t>
      </w:r>
      <w:proofErr w:type="gramEnd"/>
      <w:r>
        <w:rPr>
          <w:rFonts w:ascii="Times New Roman" w:hAnsi="Times New Roman"/>
          <w:sz w:val="24"/>
          <w:szCs w:val="24"/>
        </w:rPr>
        <w:t>(CAT)</w:t>
      </w:r>
      <w:proofErr w:type="spellStart"/>
      <w:r>
        <w:rPr>
          <w:rFonts w:ascii="Times New Roman" w:hAnsi="Times New Roman"/>
          <w:sz w:val="24"/>
          <w:szCs w:val="24"/>
        </w:rPr>
        <w:t>ActivityinExperimentalGroups</w:t>
      </w:r>
      <w:commentRangeEnd w:id="33"/>
      <w:proofErr w:type="spellEnd"/>
      <w:r w:rsidR="00A54F3C">
        <w:rPr>
          <w:rStyle w:val="CommentReference"/>
        </w:rPr>
        <w:commentReference w:id="33"/>
      </w:r>
    </w:p>
    <w:p w14:paraId="52B8F1FA" w14:textId="77777777" w:rsidR="00D0257B" w:rsidRDefault="00D0257B" w:rsidP="00745D96">
      <w:pPr>
        <w:spacing w:after="0" w:line="240" w:lineRule="auto"/>
        <w:jc w:val="both"/>
        <w:rPr>
          <w:rFonts w:ascii="Times New Roman" w:hAnsi="Times New Roman"/>
          <w:sz w:val="24"/>
          <w:szCs w:val="24"/>
        </w:rPr>
      </w:pPr>
    </w:p>
    <w:p w14:paraId="2B6190D0" w14:textId="77777777" w:rsidR="00F940A4" w:rsidRDefault="00825325">
      <w:pPr>
        <w:spacing w:after="276" w:line="240" w:lineRule="auto"/>
        <w:jc w:val="center"/>
        <w:rPr>
          <w:rFonts w:ascii="Times New Roman" w:hAnsi="Times New Roman"/>
          <w:sz w:val="24"/>
          <w:szCs w:val="24"/>
        </w:rPr>
      </w:pPr>
      <w:r>
        <w:rPr>
          <w:rFonts w:ascii="Times New Roman" w:hAnsi="Times New Roman"/>
          <w:noProof/>
          <w:sz w:val="24"/>
          <w:szCs w:val="24"/>
          <w:lang w:eastAsia="en-US"/>
        </w:rPr>
        <w:drawing>
          <wp:inline distT="0" distB="0" distL="114300" distR="114300" wp14:anchorId="3DECEE67" wp14:editId="3F4D2698">
            <wp:extent cx="5737860" cy="6366087"/>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4852B9" w14:textId="1B821CD2" w:rsidR="005E6751" w:rsidRDefault="00825325" w:rsidP="005E36DB">
      <w:pPr>
        <w:spacing w:after="0" w:line="240" w:lineRule="auto"/>
        <w:jc w:val="both"/>
        <w:rPr>
          <w:rFonts w:ascii="Times New Roman" w:hAnsi="Times New Roman"/>
          <w:sz w:val="24"/>
          <w:szCs w:val="24"/>
        </w:rPr>
      </w:pPr>
      <w:r>
        <w:rPr>
          <w:rFonts w:ascii="Times New Roman" w:hAnsi="Times New Roman"/>
          <w:sz w:val="24"/>
          <w:szCs w:val="24"/>
        </w:rPr>
        <w:t xml:space="preserve">Figure </w:t>
      </w:r>
      <w:r w:rsidR="00AA1752">
        <w:rPr>
          <w:rFonts w:ascii="Times New Roman" w:hAnsi="Times New Roman"/>
          <w:sz w:val="24"/>
          <w:szCs w:val="24"/>
        </w:rPr>
        <w:t>3</w:t>
      </w:r>
      <w:r>
        <w:rPr>
          <w:rFonts w:ascii="Times New Roman" w:hAnsi="Times New Roman"/>
          <w:sz w:val="24"/>
          <w:szCs w:val="24"/>
        </w:rPr>
        <w:t>. Catalase activity across groups. Control group showed significantly higher CAT levels compared to cadmium and ginger-only groups (p&lt;0.05). Combined treatments moderately improved CAT activity.</w:t>
      </w:r>
    </w:p>
    <w:p w14:paraId="28E329B7" w14:textId="77777777" w:rsidR="00F940A4" w:rsidRDefault="00825325" w:rsidP="005E6751">
      <w:pPr>
        <w:spacing w:after="0" w:line="240" w:lineRule="auto"/>
        <w:jc w:val="both"/>
        <w:rPr>
          <w:rFonts w:ascii="Times New Roman" w:hAnsi="Times New Roman"/>
          <w:sz w:val="24"/>
          <w:szCs w:val="24"/>
        </w:rPr>
      </w:pPr>
      <w:r>
        <w:rPr>
          <w:rFonts w:ascii="Times New Roman" w:hAnsi="Times New Roman"/>
          <w:sz w:val="24"/>
          <w:szCs w:val="24"/>
        </w:rPr>
        <w:lastRenderedPageBreak/>
        <w:t>3.2.3 Malondialdehyde (MDA)</w:t>
      </w:r>
    </w:p>
    <w:p w14:paraId="2DC411EC" w14:textId="43F94FF8" w:rsidR="00F940A4" w:rsidRDefault="005E6751" w:rsidP="005E6751">
      <w:pPr>
        <w:spacing w:after="0" w:line="240" w:lineRule="auto"/>
        <w:jc w:val="both"/>
        <w:rPr>
          <w:rFonts w:ascii="Times New Roman" w:hAnsi="Times New Roman"/>
          <w:sz w:val="24"/>
          <w:szCs w:val="24"/>
        </w:rPr>
      </w:pPr>
      <w:commentRangeStart w:id="34"/>
      <w:r>
        <w:rPr>
          <w:rFonts w:ascii="Times New Roman" w:hAnsi="Times New Roman"/>
          <w:sz w:val="24"/>
          <w:szCs w:val="24"/>
        </w:rPr>
        <w:t xml:space="preserve">                    </w:t>
      </w:r>
      <w:commentRangeEnd w:id="34"/>
      <w:r>
        <w:rPr>
          <w:rStyle w:val="CommentReference"/>
        </w:rPr>
        <w:commentReference w:id="34"/>
      </w:r>
      <w:r w:rsidR="00825325">
        <w:rPr>
          <w:rFonts w:ascii="Times New Roman" w:hAnsi="Times New Roman"/>
          <w:sz w:val="24"/>
          <w:szCs w:val="24"/>
        </w:rPr>
        <w:t>Cadmium exposure (Group B) significantly increased MDA levels (7.10 ± 0.53) vs. control (4.09 ± 0.06). Groups C, D, and E had lower MDA values (4.18 ± 0.10, 4.27 ± 0.06, 4.18 ± 0.10) with no significant difference from Group A.</w:t>
      </w:r>
    </w:p>
    <w:p w14:paraId="55F0464D" w14:textId="655E294C" w:rsidR="00F940A4" w:rsidRDefault="00825325" w:rsidP="005E6751">
      <w:pPr>
        <w:spacing w:after="0" w:line="240" w:lineRule="auto"/>
        <w:jc w:val="both"/>
        <w:rPr>
          <w:rFonts w:ascii="Times New Roman" w:hAnsi="Times New Roman"/>
          <w:sz w:val="24"/>
          <w:szCs w:val="24"/>
        </w:rPr>
      </w:pPr>
      <w:r>
        <w:rPr>
          <w:rFonts w:ascii="Times New Roman" w:hAnsi="Times New Roman"/>
          <w:sz w:val="24"/>
          <w:szCs w:val="24"/>
        </w:rPr>
        <w:t xml:space="preserve">Figure </w:t>
      </w:r>
      <w:r w:rsidR="00032CD6">
        <w:rPr>
          <w:rFonts w:ascii="Times New Roman" w:hAnsi="Times New Roman"/>
          <w:sz w:val="24"/>
          <w:szCs w:val="24"/>
        </w:rPr>
        <w:t>4</w:t>
      </w:r>
      <w:r>
        <w:rPr>
          <w:rFonts w:ascii="Times New Roman" w:hAnsi="Times New Roman"/>
          <w:sz w:val="24"/>
          <w:szCs w:val="24"/>
        </w:rPr>
        <w:t>: Malondialdehyde (MDA) Levels in Experimental Groups</w:t>
      </w:r>
    </w:p>
    <w:p w14:paraId="672C78A0" w14:textId="7789190B" w:rsidR="00F940A4" w:rsidRDefault="00825325" w:rsidP="0017601B">
      <w:pPr>
        <w:spacing w:after="276" w:line="240" w:lineRule="auto"/>
        <w:jc w:val="center"/>
        <w:rPr>
          <w:rFonts w:ascii="Times New Roman" w:hAnsi="Times New Roman"/>
          <w:sz w:val="24"/>
          <w:szCs w:val="24"/>
        </w:rPr>
      </w:pPr>
      <w:r>
        <w:rPr>
          <w:rFonts w:ascii="Times New Roman" w:hAnsi="Times New Roman"/>
          <w:noProof/>
          <w:sz w:val="24"/>
          <w:szCs w:val="24"/>
          <w:lang w:eastAsia="en-US"/>
        </w:rPr>
        <w:drawing>
          <wp:inline distT="0" distB="0" distL="114300" distR="114300" wp14:anchorId="4520CAF1" wp14:editId="11540D60">
            <wp:extent cx="5417820" cy="654558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1C8E82" w14:textId="40AE6A9C"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r w:rsidR="00032CD6">
        <w:rPr>
          <w:rFonts w:ascii="Times New Roman" w:hAnsi="Times New Roman"/>
          <w:sz w:val="24"/>
          <w:szCs w:val="24"/>
        </w:rPr>
        <w:t>4</w:t>
      </w:r>
      <w:r>
        <w:rPr>
          <w:rFonts w:ascii="Times New Roman" w:hAnsi="Times New Roman"/>
          <w:sz w:val="24"/>
          <w:szCs w:val="24"/>
        </w:rPr>
        <w:t>. MDA levels in serum. Cadmium significantly elevated lipid peroxidation (p&lt;0.05). Co-treatment with ginger and /or turmeric reduced MDA levels to near control.</w:t>
      </w:r>
    </w:p>
    <w:p w14:paraId="5293D8C8" w14:textId="77777777" w:rsidR="00F940A4" w:rsidRDefault="00825325" w:rsidP="005E36DB">
      <w:pPr>
        <w:spacing w:after="0" w:line="240" w:lineRule="auto"/>
        <w:jc w:val="both"/>
        <w:rPr>
          <w:rFonts w:ascii="Times New Roman" w:hAnsi="Times New Roman"/>
          <w:sz w:val="24"/>
          <w:szCs w:val="24"/>
        </w:rPr>
      </w:pPr>
      <w:r>
        <w:rPr>
          <w:rFonts w:ascii="Times New Roman" w:hAnsi="Times New Roman"/>
          <w:sz w:val="24"/>
          <w:szCs w:val="24"/>
        </w:rPr>
        <w:lastRenderedPageBreak/>
        <w:t>3.2.4 Glutathione Peroxidase (</w:t>
      </w:r>
      <w:proofErr w:type="spellStart"/>
      <w:r>
        <w:rPr>
          <w:rFonts w:ascii="Times New Roman" w:hAnsi="Times New Roman"/>
          <w:sz w:val="24"/>
          <w:szCs w:val="24"/>
        </w:rPr>
        <w:t>GPx</w:t>
      </w:r>
      <w:proofErr w:type="spellEnd"/>
      <w:r>
        <w:rPr>
          <w:rFonts w:ascii="Times New Roman" w:hAnsi="Times New Roman"/>
          <w:sz w:val="24"/>
          <w:szCs w:val="24"/>
        </w:rPr>
        <w:t>)</w:t>
      </w:r>
    </w:p>
    <w:p w14:paraId="0CF05C68" w14:textId="4A1072EA" w:rsidR="00F940A4" w:rsidRDefault="005E36DB">
      <w:pPr>
        <w:spacing w:after="276" w:line="240" w:lineRule="auto"/>
        <w:jc w:val="both"/>
        <w:rPr>
          <w:rFonts w:ascii="Times New Roman" w:hAnsi="Times New Roman"/>
          <w:sz w:val="24"/>
          <w:szCs w:val="24"/>
        </w:rPr>
      </w:pPr>
      <w:commentRangeStart w:id="35"/>
      <w:r>
        <w:rPr>
          <w:rFonts w:ascii="Times New Roman" w:hAnsi="Times New Roman"/>
          <w:sz w:val="24"/>
          <w:szCs w:val="24"/>
        </w:rPr>
        <w:t xml:space="preserve">                   </w:t>
      </w:r>
      <w:commentRangeEnd w:id="35"/>
      <w:r>
        <w:rPr>
          <w:rStyle w:val="CommentReference"/>
        </w:rPr>
        <w:commentReference w:id="35"/>
      </w:r>
      <w:r w:rsidR="00825325">
        <w:rPr>
          <w:rFonts w:ascii="Times New Roman" w:hAnsi="Times New Roman"/>
          <w:sz w:val="24"/>
          <w:szCs w:val="24"/>
        </w:rPr>
        <w:t xml:space="preserve">Group B showed a slight, non-significant decrease in </w:t>
      </w:r>
      <w:proofErr w:type="spellStart"/>
      <w:r w:rsidR="00825325">
        <w:rPr>
          <w:rFonts w:ascii="Times New Roman" w:hAnsi="Times New Roman"/>
          <w:sz w:val="24"/>
          <w:szCs w:val="24"/>
        </w:rPr>
        <w:t>GPx</w:t>
      </w:r>
      <w:proofErr w:type="spellEnd"/>
      <w:r w:rsidR="00825325">
        <w:rPr>
          <w:rFonts w:ascii="Times New Roman" w:hAnsi="Times New Roman"/>
          <w:sz w:val="24"/>
          <w:szCs w:val="24"/>
        </w:rPr>
        <w:t xml:space="preserve"> (3.74 ± 0.35) vs. control (4.43 ± 0.15). Groups C, D, and E (3.99–3.86) did not differ significantly from either the cadmium or control group.</w:t>
      </w:r>
    </w:p>
    <w:p w14:paraId="7C15BCE5" w14:textId="7B499D0F"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Figure </w:t>
      </w:r>
      <w:proofErr w:type="gramStart"/>
      <w:r w:rsidR="00032CD6">
        <w:rPr>
          <w:rFonts w:ascii="Times New Roman" w:hAnsi="Times New Roman"/>
          <w:sz w:val="24"/>
          <w:szCs w:val="24"/>
        </w:rPr>
        <w:t>5</w:t>
      </w:r>
      <w:r>
        <w:rPr>
          <w:rFonts w:ascii="Times New Roman" w:hAnsi="Times New Roman"/>
          <w:sz w:val="24"/>
          <w:szCs w:val="24"/>
        </w:rPr>
        <w:t xml:space="preserve"> :</w:t>
      </w:r>
      <w:proofErr w:type="gramEnd"/>
      <w:r>
        <w:rPr>
          <w:rFonts w:ascii="Times New Roman" w:hAnsi="Times New Roman"/>
          <w:sz w:val="24"/>
          <w:szCs w:val="24"/>
        </w:rPr>
        <w:t xml:space="preserve"> Glutathione Peroxidase (</w:t>
      </w:r>
      <w:proofErr w:type="spellStart"/>
      <w:r>
        <w:rPr>
          <w:rFonts w:ascii="Times New Roman" w:hAnsi="Times New Roman"/>
          <w:sz w:val="24"/>
          <w:szCs w:val="24"/>
        </w:rPr>
        <w:t>GPx</w:t>
      </w:r>
      <w:proofErr w:type="spellEnd"/>
      <w:r>
        <w:rPr>
          <w:rFonts w:ascii="Times New Roman" w:hAnsi="Times New Roman"/>
          <w:sz w:val="24"/>
          <w:szCs w:val="24"/>
        </w:rPr>
        <w:t>) Activity in Experimental Groups</w:t>
      </w:r>
    </w:p>
    <w:p w14:paraId="68FCA974" w14:textId="77777777" w:rsidR="00F940A4" w:rsidRDefault="00825325">
      <w:pPr>
        <w:spacing w:after="276" w:line="240" w:lineRule="auto"/>
        <w:jc w:val="both"/>
        <w:rPr>
          <w:rFonts w:ascii="Times New Roman" w:hAnsi="Times New Roman"/>
          <w:b/>
          <w:sz w:val="24"/>
          <w:szCs w:val="24"/>
        </w:rPr>
      </w:pPr>
      <w:r>
        <w:rPr>
          <w:rFonts w:ascii="Times New Roman" w:hAnsi="Times New Roman"/>
          <w:b/>
          <w:noProof/>
          <w:sz w:val="24"/>
          <w:szCs w:val="24"/>
          <w:lang w:eastAsia="en-US"/>
        </w:rPr>
        <w:drawing>
          <wp:inline distT="0" distB="0" distL="114300" distR="114300" wp14:anchorId="7025BD61" wp14:editId="76B2FBBD">
            <wp:extent cx="5708650" cy="6011333"/>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E8C8C1" w14:textId="41750FF0" w:rsidR="00123E2D" w:rsidRDefault="00825325" w:rsidP="0033489F">
      <w:pPr>
        <w:spacing w:after="276" w:line="240" w:lineRule="auto"/>
        <w:jc w:val="both"/>
        <w:rPr>
          <w:rFonts w:ascii="Times New Roman" w:hAnsi="Times New Roman"/>
          <w:sz w:val="24"/>
          <w:szCs w:val="24"/>
        </w:rPr>
      </w:pPr>
      <w:r>
        <w:rPr>
          <w:rFonts w:ascii="Times New Roman" w:hAnsi="Times New Roman"/>
          <w:sz w:val="24"/>
          <w:szCs w:val="24"/>
        </w:rPr>
        <w:t xml:space="preserve">Figure </w:t>
      </w:r>
      <w:r w:rsidR="00032CD6">
        <w:rPr>
          <w:rFonts w:ascii="Times New Roman" w:hAnsi="Times New Roman"/>
          <w:sz w:val="24"/>
          <w:szCs w:val="24"/>
        </w:rPr>
        <w:t>5</w:t>
      </w:r>
      <w:r>
        <w:rPr>
          <w:rFonts w:ascii="Times New Roman" w:hAnsi="Times New Roman"/>
          <w:sz w:val="24"/>
          <w:szCs w:val="24"/>
        </w:rPr>
        <w:t xml:space="preserve">. </w:t>
      </w:r>
      <w:proofErr w:type="spellStart"/>
      <w:r>
        <w:rPr>
          <w:rFonts w:ascii="Times New Roman" w:hAnsi="Times New Roman"/>
          <w:sz w:val="24"/>
          <w:szCs w:val="24"/>
        </w:rPr>
        <w:t>GPx</w:t>
      </w:r>
      <w:proofErr w:type="spellEnd"/>
      <w:r>
        <w:rPr>
          <w:rFonts w:ascii="Times New Roman" w:hAnsi="Times New Roman"/>
          <w:sz w:val="24"/>
          <w:szCs w:val="24"/>
        </w:rPr>
        <w:t xml:space="preserve"> activity across groups. Slight decrease in </w:t>
      </w:r>
      <w:proofErr w:type="spellStart"/>
      <w:r>
        <w:rPr>
          <w:rFonts w:ascii="Times New Roman" w:hAnsi="Times New Roman"/>
          <w:sz w:val="24"/>
          <w:szCs w:val="24"/>
        </w:rPr>
        <w:t>GPx</w:t>
      </w:r>
      <w:proofErr w:type="spellEnd"/>
      <w:r>
        <w:rPr>
          <w:rFonts w:ascii="Times New Roman" w:hAnsi="Times New Roman"/>
          <w:sz w:val="24"/>
          <w:szCs w:val="24"/>
        </w:rPr>
        <w:t xml:space="preserve"> was observed in the cadmium group, but changes were not statistically significant across all groups.</w:t>
      </w:r>
    </w:p>
    <w:p w14:paraId="4B707C51" w14:textId="77777777" w:rsidR="003A1DBA" w:rsidRDefault="003A1DBA" w:rsidP="0033489F">
      <w:pPr>
        <w:spacing w:after="276" w:line="240" w:lineRule="auto"/>
        <w:jc w:val="both"/>
        <w:rPr>
          <w:rFonts w:ascii="Times New Roman" w:hAnsi="Times New Roman"/>
          <w:sz w:val="24"/>
          <w:szCs w:val="24"/>
        </w:rPr>
      </w:pPr>
    </w:p>
    <w:p w14:paraId="06034A93" w14:textId="77777777" w:rsidR="00F940A4" w:rsidRDefault="00825325">
      <w:pPr>
        <w:spacing w:after="276" w:line="240" w:lineRule="auto"/>
        <w:jc w:val="both"/>
        <w:rPr>
          <w:rFonts w:ascii="Times New Roman" w:hAnsi="Times New Roman"/>
          <w:sz w:val="24"/>
          <w:szCs w:val="24"/>
        </w:rPr>
      </w:pPr>
      <w:r>
        <w:rPr>
          <w:rFonts w:ascii="Times New Roman" w:hAnsi="Times New Roman"/>
          <w:b/>
          <w:bCs/>
          <w:sz w:val="24"/>
          <w:szCs w:val="24"/>
        </w:rPr>
        <w:lastRenderedPageBreak/>
        <w:t xml:space="preserve">4. Discussion &amp; Conclusion </w:t>
      </w:r>
    </w:p>
    <w:p w14:paraId="4750A738" w14:textId="77777777" w:rsidR="00F940A4" w:rsidRDefault="00825325">
      <w:pPr>
        <w:spacing w:after="276" w:line="240" w:lineRule="auto"/>
        <w:jc w:val="both"/>
        <w:rPr>
          <w:rFonts w:ascii="Times New Roman" w:hAnsi="Times New Roman"/>
          <w:sz w:val="24"/>
          <w:szCs w:val="24"/>
        </w:rPr>
      </w:pPr>
      <w:r>
        <w:rPr>
          <w:rFonts w:ascii="Times New Roman" w:hAnsi="Times New Roman"/>
          <w:b/>
          <w:bCs/>
          <w:sz w:val="24"/>
          <w:szCs w:val="24"/>
        </w:rPr>
        <w:t xml:space="preserve">4.1 Discussion </w:t>
      </w:r>
    </w:p>
    <w:p w14:paraId="7C2BE38F" w14:textId="54672EB7" w:rsidR="00F940A4" w:rsidRDefault="005E194B">
      <w:pPr>
        <w:spacing w:after="276" w:line="240" w:lineRule="auto"/>
        <w:jc w:val="both"/>
        <w:rPr>
          <w:rFonts w:ascii="Times New Roman" w:hAnsi="Times New Roman"/>
          <w:sz w:val="24"/>
          <w:szCs w:val="24"/>
        </w:rPr>
      </w:pPr>
      <w:commentRangeStart w:id="36"/>
      <w:r>
        <w:rPr>
          <w:rFonts w:ascii="Times New Roman" w:hAnsi="Times New Roman"/>
          <w:sz w:val="24"/>
          <w:szCs w:val="24"/>
        </w:rPr>
        <w:t xml:space="preserve">                 </w:t>
      </w:r>
      <w:commentRangeEnd w:id="36"/>
      <w:r>
        <w:rPr>
          <w:rStyle w:val="CommentReference"/>
        </w:rPr>
        <w:commentReference w:id="36"/>
      </w:r>
      <w:r w:rsidR="00825325">
        <w:rPr>
          <w:rFonts w:ascii="Times New Roman" w:hAnsi="Times New Roman"/>
          <w:sz w:val="24"/>
          <w:szCs w:val="24"/>
        </w:rPr>
        <w:t xml:space="preserve">Cadmium (Cd), a pervasive environmental toxicant, is widely acknowledged for its deleterious effects on biological systems, particularly through the generation of reactive oxygen species (ROS), which disrupt cellular redox balance and damage vital biomolecules (Peana </w:t>
      </w:r>
      <w:r w:rsidR="00825325">
        <w:rPr>
          <w:rFonts w:ascii="Times New Roman" w:hAnsi="Times New Roman"/>
          <w:i/>
          <w:iCs/>
          <w:sz w:val="24"/>
          <w:szCs w:val="24"/>
        </w:rPr>
        <w:t>et al.</w:t>
      </w:r>
      <w:r w:rsidR="00825325">
        <w:rPr>
          <w:rFonts w:ascii="Times New Roman" w:hAnsi="Times New Roman"/>
          <w:sz w:val="24"/>
          <w:szCs w:val="24"/>
        </w:rPr>
        <w:t xml:space="preserve">, 2022; Genchi </w:t>
      </w:r>
      <w:r w:rsidR="00825325">
        <w:rPr>
          <w:rFonts w:ascii="Times New Roman" w:hAnsi="Times New Roman"/>
          <w:i/>
          <w:iCs/>
          <w:sz w:val="24"/>
          <w:szCs w:val="24"/>
        </w:rPr>
        <w:t>et al</w:t>
      </w:r>
      <w:r w:rsidR="00825325">
        <w:rPr>
          <w:rFonts w:ascii="Times New Roman" w:hAnsi="Times New Roman"/>
          <w:sz w:val="24"/>
          <w:szCs w:val="24"/>
        </w:rPr>
        <w:t xml:space="preserve">., 2020). In the current study, cadmium exposure significantly altered oxidative stress markers and induced weight loss, which aligns with previous observations that chronic cadmium intoxication leads to systemic toxicity marked by increased lipid peroxidation, enzyme inactivation, and impaired metabolic regulation (Branca </w:t>
      </w:r>
      <w:r w:rsidR="00825325">
        <w:rPr>
          <w:rFonts w:ascii="Times New Roman" w:hAnsi="Times New Roman"/>
          <w:i/>
          <w:iCs/>
          <w:sz w:val="24"/>
          <w:szCs w:val="24"/>
        </w:rPr>
        <w:t>et al</w:t>
      </w:r>
      <w:r w:rsidR="00825325">
        <w:rPr>
          <w:rFonts w:ascii="Times New Roman" w:hAnsi="Times New Roman"/>
          <w:sz w:val="24"/>
          <w:szCs w:val="24"/>
        </w:rPr>
        <w:t xml:space="preserve">., 2020; Zhu </w:t>
      </w:r>
      <w:r w:rsidR="00825325">
        <w:rPr>
          <w:rFonts w:ascii="Times New Roman" w:hAnsi="Times New Roman"/>
          <w:i/>
          <w:iCs/>
          <w:sz w:val="24"/>
          <w:szCs w:val="24"/>
        </w:rPr>
        <w:t>et al.</w:t>
      </w:r>
      <w:r w:rsidR="00825325">
        <w:rPr>
          <w:rFonts w:ascii="Times New Roman" w:hAnsi="Times New Roman"/>
          <w:sz w:val="24"/>
          <w:szCs w:val="24"/>
        </w:rPr>
        <w:t>, 2024).</w:t>
      </w:r>
    </w:p>
    <w:p w14:paraId="3AC5EB72" w14:textId="6632E783" w:rsidR="00F940A4" w:rsidRDefault="005E194B">
      <w:pPr>
        <w:spacing w:after="276" w:line="240" w:lineRule="auto"/>
        <w:jc w:val="both"/>
        <w:rPr>
          <w:rFonts w:ascii="Times New Roman" w:hAnsi="Times New Roman"/>
          <w:sz w:val="24"/>
          <w:szCs w:val="24"/>
        </w:rPr>
      </w:pPr>
      <w:commentRangeStart w:id="37"/>
      <w:r>
        <w:rPr>
          <w:rFonts w:ascii="Times New Roman" w:hAnsi="Times New Roman"/>
          <w:sz w:val="24"/>
          <w:szCs w:val="24"/>
        </w:rPr>
        <w:t xml:space="preserve">                 </w:t>
      </w:r>
      <w:commentRangeEnd w:id="37"/>
      <w:r>
        <w:rPr>
          <w:rStyle w:val="CommentReference"/>
        </w:rPr>
        <w:commentReference w:id="37"/>
      </w:r>
      <w:r w:rsidR="00825325">
        <w:rPr>
          <w:rFonts w:ascii="Times New Roman" w:hAnsi="Times New Roman"/>
          <w:sz w:val="24"/>
          <w:szCs w:val="24"/>
        </w:rPr>
        <w:t xml:space="preserve">In the cadmium-only group, there was a marked reduction in the activities of endogenous antioxidant enzymes—SOD, CAT, and </w:t>
      </w:r>
      <w:proofErr w:type="spellStart"/>
      <w:r w:rsidR="00825325">
        <w:rPr>
          <w:rFonts w:ascii="Times New Roman" w:hAnsi="Times New Roman"/>
          <w:sz w:val="24"/>
          <w:szCs w:val="24"/>
        </w:rPr>
        <w:t>GPx</w:t>
      </w:r>
      <w:proofErr w:type="spellEnd"/>
      <w:r w:rsidR="00825325">
        <w:rPr>
          <w:rFonts w:ascii="Times New Roman" w:hAnsi="Times New Roman"/>
          <w:sz w:val="24"/>
          <w:szCs w:val="24"/>
        </w:rPr>
        <w:t>—alongside a significant elevation in MDA levels, a key biomarker of lipid peroxidation. These findings corroborate the mechanistic understanding that cadmium depletes the antioxidant defense system while simultaneously triggering peroxidative membrane damage (</w:t>
      </w:r>
      <w:proofErr w:type="spellStart"/>
      <w:r w:rsidR="00825325">
        <w:rPr>
          <w:rFonts w:ascii="Times New Roman" w:hAnsi="Times New Roman"/>
          <w:sz w:val="24"/>
          <w:szCs w:val="24"/>
        </w:rPr>
        <w:t>Taysı</w:t>
      </w:r>
      <w:proofErr w:type="spellEnd"/>
      <w:r w:rsidR="00825325">
        <w:rPr>
          <w:rFonts w:ascii="Times New Roman" w:hAnsi="Times New Roman"/>
          <w:sz w:val="24"/>
          <w:szCs w:val="24"/>
        </w:rPr>
        <w:t xml:space="preserve">, 2024; Wang </w:t>
      </w:r>
      <w:r w:rsidR="00825325">
        <w:rPr>
          <w:rFonts w:ascii="Times New Roman" w:hAnsi="Times New Roman"/>
          <w:i/>
          <w:iCs/>
          <w:sz w:val="24"/>
          <w:szCs w:val="24"/>
        </w:rPr>
        <w:t>et al.</w:t>
      </w:r>
      <w:r w:rsidR="00825325">
        <w:rPr>
          <w:rFonts w:ascii="Times New Roman" w:hAnsi="Times New Roman"/>
          <w:sz w:val="24"/>
          <w:szCs w:val="24"/>
        </w:rPr>
        <w:t>, 2011).</w:t>
      </w:r>
    </w:p>
    <w:p w14:paraId="55E6500D" w14:textId="75DFF7DD" w:rsidR="00F940A4" w:rsidRDefault="005E194B">
      <w:pPr>
        <w:spacing w:after="276" w:line="240" w:lineRule="auto"/>
        <w:jc w:val="both"/>
        <w:rPr>
          <w:rFonts w:ascii="Times New Roman" w:hAnsi="Times New Roman"/>
          <w:sz w:val="24"/>
          <w:szCs w:val="24"/>
        </w:rPr>
      </w:pPr>
      <w:commentRangeStart w:id="38"/>
      <w:r>
        <w:rPr>
          <w:rFonts w:ascii="Times New Roman" w:hAnsi="Times New Roman"/>
          <w:sz w:val="24"/>
          <w:szCs w:val="24"/>
        </w:rPr>
        <w:t xml:space="preserve">                 </w:t>
      </w:r>
      <w:commentRangeEnd w:id="38"/>
      <w:r>
        <w:rPr>
          <w:rStyle w:val="CommentReference"/>
        </w:rPr>
        <w:commentReference w:id="38"/>
      </w:r>
      <w:r w:rsidR="00825325">
        <w:rPr>
          <w:rFonts w:ascii="Times New Roman" w:hAnsi="Times New Roman"/>
          <w:sz w:val="24"/>
          <w:szCs w:val="24"/>
        </w:rPr>
        <w:t xml:space="preserve">Conversely, administration of turmeric and ginger extracts, both individually and in combination, led to improved antioxidant profiles and partial restoration of physiological weight. Notably, co-administration of turmeric and ginger (Group C) resulted in the most balanced response, suggesting a synergistic interaction between curcumin and gingerol in modulating oxidative stress responses. This is consistent with earlier findings where curcumin and gingerol were shown to enhance antioxidant enzyme activity and scavenge free radicals (Sharifi-Rad </w:t>
      </w:r>
      <w:r w:rsidR="00825325">
        <w:rPr>
          <w:rFonts w:ascii="Times New Roman" w:hAnsi="Times New Roman"/>
          <w:i/>
          <w:iCs/>
          <w:sz w:val="24"/>
          <w:szCs w:val="24"/>
        </w:rPr>
        <w:t>et al.</w:t>
      </w:r>
      <w:r w:rsidR="00825325">
        <w:rPr>
          <w:rFonts w:ascii="Times New Roman" w:hAnsi="Times New Roman"/>
          <w:sz w:val="24"/>
          <w:szCs w:val="24"/>
        </w:rPr>
        <w:t>, 2020; Zhou</w:t>
      </w:r>
      <w:r w:rsidR="00825325">
        <w:rPr>
          <w:rFonts w:ascii="Times New Roman" w:hAnsi="Times New Roman"/>
          <w:i/>
          <w:iCs/>
          <w:sz w:val="24"/>
          <w:szCs w:val="24"/>
        </w:rPr>
        <w:t xml:space="preserve"> et al.</w:t>
      </w:r>
      <w:r w:rsidR="00825325">
        <w:rPr>
          <w:rFonts w:ascii="Times New Roman" w:hAnsi="Times New Roman"/>
          <w:sz w:val="24"/>
          <w:szCs w:val="24"/>
        </w:rPr>
        <w:t>, 2022).</w:t>
      </w:r>
    </w:p>
    <w:p w14:paraId="7F99E22E" w14:textId="18D67CC1" w:rsidR="00F940A4" w:rsidRDefault="005E194B">
      <w:pPr>
        <w:spacing w:after="276" w:line="240" w:lineRule="auto"/>
        <w:jc w:val="both"/>
        <w:rPr>
          <w:rFonts w:ascii="Times New Roman" w:hAnsi="Times New Roman"/>
          <w:sz w:val="24"/>
          <w:szCs w:val="24"/>
        </w:rPr>
      </w:pPr>
      <w:commentRangeStart w:id="39"/>
      <w:r>
        <w:rPr>
          <w:rFonts w:ascii="Times New Roman" w:hAnsi="Times New Roman"/>
          <w:sz w:val="24"/>
          <w:szCs w:val="24"/>
        </w:rPr>
        <w:t xml:space="preserve">                </w:t>
      </w:r>
      <w:commentRangeEnd w:id="39"/>
      <w:r>
        <w:rPr>
          <w:rStyle w:val="CommentReference"/>
        </w:rPr>
        <w:commentReference w:id="39"/>
      </w:r>
      <w:r w:rsidR="00825325">
        <w:rPr>
          <w:rFonts w:ascii="Times New Roman" w:hAnsi="Times New Roman"/>
          <w:sz w:val="24"/>
          <w:szCs w:val="24"/>
        </w:rPr>
        <w:t xml:space="preserve">These antioxidant effects are comparable to previous research where flavonoid- and saponin-rich plant extracts mitigated toxin-induced oxidative damage. For instance, in a study on aluminum chloride-induced reproductive toxicity, </w:t>
      </w:r>
      <w:r w:rsidR="00825325">
        <w:rPr>
          <w:rFonts w:ascii="Times New Roman" w:hAnsi="Times New Roman"/>
          <w:i/>
          <w:iCs/>
          <w:sz w:val="24"/>
          <w:szCs w:val="24"/>
        </w:rPr>
        <w:t>Cyperus esculentus</w:t>
      </w:r>
      <w:r w:rsidR="00825325">
        <w:rPr>
          <w:rFonts w:ascii="Times New Roman" w:hAnsi="Times New Roman"/>
          <w:sz w:val="24"/>
          <w:szCs w:val="24"/>
        </w:rPr>
        <w:t xml:space="preserve"> and </w:t>
      </w:r>
      <w:r w:rsidR="00825325">
        <w:rPr>
          <w:rFonts w:ascii="Times New Roman" w:hAnsi="Times New Roman"/>
          <w:i/>
          <w:iCs/>
          <w:sz w:val="24"/>
          <w:szCs w:val="24"/>
        </w:rPr>
        <w:t>Phoenix dactylifera</w:t>
      </w:r>
      <w:r w:rsidR="00825325">
        <w:rPr>
          <w:rFonts w:ascii="Times New Roman" w:hAnsi="Times New Roman"/>
          <w:sz w:val="24"/>
          <w:szCs w:val="24"/>
        </w:rPr>
        <w:t xml:space="preserve"> extracts significantly restored sperm quality and testicular structure through antioxidant and hormonal modulation </w:t>
      </w:r>
      <w:commentRangeStart w:id="40"/>
      <w:r w:rsidR="00825325">
        <w:rPr>
          <w:rFonts w:ascii="Times New Roman" w:hAnsi="Times New Roman"/>
          <w:sz w:val="24"/>
          <w:szCs w:val="24"/>
        </w:rPr>
        <w:t>(</w:t>
      </w:r>
      <w:proofErr w:type="spellStart"/>
      <w:r w:rsidR="00825325">
        <w:rPr>
          <w:rFonts w:ascii="Times New Roman" w:hAnsi="Times New Roman"/>
          <w:sz w:val="24"/>
          <w:szCs w:val="24"/>
        </w:rPr>
        <w:t>Agim</w:t>
      </w:r>
      <w:r w:rsidR="00825325">
        <w:rPr>
          <w:rFonts w:ascii="Times New Roman" w:hAnsi="Times New Roman"/>
          <w:i/>
          <w:iCs/>
          <w:sz w:val="24"/>
          <w:szCs w:val="24"/>
        </w:rPr>
        <w:t>et</w:t>
      </w:r>
      <w:proofErr w:type="spellEnd"/>
      <w:r w:rsidR="00825325">
        <w:rPr>
          <w:rFonts w:ascii="Times New Roman" w:hAnsi="Times New Roman"/>
          <w:i/>
          <w:iCs/>
          <w:sz w:val="24"/>
          <w:szCs w:val="24"/>
        </w:rPr>
        <w:t xml:space="preserve"> al</w:t>
      </w:r>
      <w:r w:rsidR="00825325">
        <w:rPr>
          <w:rFonts w:ascii="Times New Roman" w:hAnsi="Times New Roman"/>
          <w:sz w:val="24"/>
          <w:szCs w:val="24"/>
        </w:rPr>
        <w:t xml:space="preserve">., 2025a). </w:t>
      </w:r>
      <w:commentRangeEnd w:id="40"/>
      <w:r w:rsidR="00B150DE">
        <w:rPr>
          <w:rStyle w:val="CommentReference"/>
        </w:rPr>
        <w:commentReference w:id="40"/>
      </w:r>
      <w:r w:rsidR="00825325">
        <w:rPr>
          <w:rFonts w:ascii="Times New Roman" w:hAnsi="Times New Roman"/>
          <w:sz w:val="24"/>
          <w:szCs w:val="24"/>
        </w:rPr>
        <w:t>Similarly, in a related study, the combination of these extracts preserved prostate histoarchitecture against aluminum-induced hyperplasia by enhancing tissue resilience through antioxidative pathways (Agim</w:t>
      </w:r>
      <w:r w:rsidR="00825325">
        <w:rPr>
          <w:rFonts w:ascii="Times New Roman" w:hAnsi="Times New Roman"/>
          <w:i/>
          <w:iCs/>
          <w:sz w:val="24"/>
          <w:szCs w:val="24"/>
        </w:rPr>
        <w:t xml:space="preserve"> et al.,</w:t>
      </w:r>
      <w:r w:rsidR="00825325">
        <w:rPr>
          <w:rFonts w:ascii="Times New Roman" w:hAnsi="Times New Roman"/>
          <w:sz w:val="24"/>
          <w:szCs w:val="24"/>
        </w:rPr>
        <w:t xml:space="preserve"> 2025b).</w:t>
      </w:r>
    </w:p>
    <w:p w14:paraId="4D86E849" w14:textId="7D9F9EAE" w:rsidR="00F940A4" w:rsidRDefault="00B150DE">
      <w:pPr>
        <w:spacing w:after="276" w:line="240" w:lineRule="auto"/>
        <w:jc w:val="both"/>
        <w:rPr>
          <w:rFonts w:ascii="Times New Roman" w:hAnsi="Times New Roman"/>
          <w:sz w:val="24"/>
          <w:szCs w:val="24"/>
        </w:rPr>
      </w:pPr>
      <w:commentRangeStart w:id="41"/>
      <w:r>
        <w:rPr>
          <w:rFonts w:ascii="Times New Roman" w:hAnsi="Times New Roman"/>
          <w:sz w:val="24"/>
          <w:szCs w:val="24"/>
        </w:rPr>
        <w:t xml:space="preserve">                   </w:t>
      </w:r>
      <w:commentRangeEnd w:id="41"/>
      <w:r>
        <w:rPr>
          <w:rStyle w:val="CommentReference"/>
        </w:rPr>
        <w:commentReference w:id="41"/>
      </w:r>
      <w:r w:rsidR="00825325">
        <w:rPr>
          <w:rFonts w:ascii="Times New Roman" w:hAnsi="Times New Roman"/>
          <w:sz w:val="24"/>
          <w:szCs w:val="24"/>
        </w:rPr>
        <w:t xml:space="preserve">Furthermore, our findings resonate with research involving </w:t>
      </w:r>
      <w:proofErr w:type="spellStart"/>
      <w:r w:rsidR="00825325">
        <w:rPr>
          <w:rFonts w:ascii="Times New Roman" w:hAnsi="Times New Roman"/>
          <w:i/>
          <w:iCs/>
          <w:sz w:val="24"/>
          <w:szCs w:val="24"/>
        </w:rPr>
        <w:t>Heinsia</w:t>
      </w:r>
      <w:proofErr w:type="spellEnd"/>
      <w:r w:rsidR="00825325">
        <w:rPr>
          <w:rFonts w:ascii="Times New Roman" w:hAnsi="Times New Roman"/>
          <w:i/>
          <w:iCs/>
          <w:sz w:val="24"/>
          <w:szCs w:val="24"/>
        </w:rPr>
        <w:t xml:space="preserve"> </w:t>
      </w:r>
      <w:proofErr w:type="spellStart"/>
      <w:r w:rsidR="00825325">
        <w:rPr>
          <w:rFonts w:ascii="Times New Roman" w:hAnsi="Times New Roman"/>
          <w:i/>
          <w:iCs/>
          <w:sz w:val="24"/>
          <w:szCs w:val="24"/>
        </w:rPr>
        <w:t>crinita</w:t>
      </w:r>
      <w:proofErr w:type="spellEnd"/>
      <w:r w:rsidR="00825325">
        <w:rPr>
          <w:rFonts w:ascii="Times New Roman" w:hAnsi="Times New Roman"/>
          <w:i/>
          <w:iCs/>
          <w:sz w:val="24"/>
          <w:szCs w:val="24"/>
        </w:rPr>
        <w:t xml:space="preserve"> </w:t>
      </w:r>
      <w:r w:rsidR="00825325">
        <w:rPr>
          <w:rFonts w:ascii="Times New Roman" w:hAnsi="Times New Roman"/>
          <w:sz w:val="24"/>
          <w:szCs w:val="24"/>
        </w:rPr>
        <w:t xml:space="preserve">and tender coconut water, where treatment effectively attenuated scopolamine-induced neurodegeneration by lowering MDA levels and enhancing </w:t>
      </w:r>
      <w:proofErr w:type="spellStart"/>
      <w:r w:rsidR="00825325">
        <w:rPr>
          <w:rFonts w:ascii="Times New Roman" w:hAnsi="Times New Roman"/>
          <w:sz w:val="24"/>
          <w:szCs w:val="24"/>
        </w:rPr>
        <w:t>GPx</w:t>
      </w:r>
      <w:proofErr w:type="spellEnd"/>
      <w:r w:rsidR="00825325">
        <w:rPr>
          <w:rFonts w:ascii="Times New Roman" w:hAnsi="Times New Roman"/>
          <w:sz w:val="24"/>
          <w:szCs w:val="24"/>
        </w:rPr>
        <w:t xml:space="preserve"> activity (</w:t>
      </w:r>
      <w:proofErr w:type="spellStart"/>
      <w:r w:rsidR="00825325">
        <w:rPr>
          <w:rFonts w:ascii="Times New Roman" w:hAnsi="Times New Roman"/>
          <w:sz w:val="24"/>
          <w:szCs w:val="24"/>
        </w:rPr>
        <w:t>Isamoh</w:t>
      </w:r>
      <w:proofErr w:type="spellEnd"/>
      <w:r w:rsidR="00825325">
        <w:rPr>
          <w:rFonts w:ascii="Times New Roman" w:hAnsi="Times New Roman"/>
          <w:i/>
          <w:iCs/>
          <w:sz w:val="24"/>
          <w:szCs w:val="24"/>
        </w:rPr>
        <w:t xml:space="preserve"> et al</w:t>
      </w:r>
      <w:r w:rsidR="00825325">
        <w:rPr>
          <w:rFonts w:ascii="Times New Roman" w:hAnsi="Times New Roman"/>
          <w:sz w:val="24"/>
          <w:szCs w:val="24"/>
        </w:rPr>
        <w:t>., 2024). Such similarities reinforce the proposition that polyphenol- and flavonoid-rich natural products exert therapeutic benefits in models of oxidative damage via modulation of redox-sensitive enzymes and cellular repair mechanisms.</w:t>
      </w:r>
    </w:p>
    <w:p w14:paraId="4B8A0FD0" w14:textId="0389437F" w:rsidR="00F940A4" w:rsidRDefault="00B150DE">
      <w:pPr>
        <w:spacing w:after="276" w:line="240" w:lineRule="auto"/>
        <w:jc w:val="both"/>
        <w:rPr>
          <w:rFonts w:ascii="Times New Roman" w:hAnsi="Times New Roman"/>
          <w:sz w:val="24"/>
          <w:szCs w:val="24"/>
        </w:rPr>
      </w:pPr>
      <w:commentRangeStart w:id="42"/>
      <w:r>
        <w:rPr>
          <w:rFonts w:ascii="Times New Roman" w:hAnsi="Times New Roman"/>
          <w:sz w:val="24"/>
          <w:szCs w:val="24"/>
        </w:rPr>
        <w:t xml:space="preserve">                    </w:t>
      </w:r>
      <w:commentRangeEnd w:id="42"/>
      <w:r>
        <w:rPr>
          <w:rStyle w:val="CommentReference"/>
        </w:rPr>
        <w:commentReference w:id="42"/>
      </w:r>
      <w:r w:rsidR="00825325">
        <w:rPr>
          <w:rFonts w:ascii="Times New Roman" w:hAnsi="Times New Roman"/>
          <w:sz w:val="24"/>
          <w:szCs w:val="24"/>
        </w:rPr>
        <w:t xml:space="preserve">Also noteworthy is the study involving myricetin in MNU-induced oxidative stress, where myricetin treatment significantly reduced CAT and SOD perturbations and improved adrenal gland </w:t>
      </w:r>
      <w:proofErr w:type="spellStart"/>
      <w:r w:rsidR="00825325">
        <w:rPr>
          <w:rFonts w:ascii="Times New Roman" w:hAnsi="Times New Roman"/>
          <w:sz w:val="24"/>
          <w:szCs w:val="24"/>
        </w:rPr>
        <w:t>histoarchitecture</w:t>
      </w:r>
      <w:proofErr w:type="spellEnd"/>
      <w:r w:rsidR="00825325">
        <w:rPr>
          <w:rFonts w:ascii="Times New Roman" w:hAnsi="Times New Roman"/>
          <w:sz w:val="24"/>
          <w:szCs w:val="24"/>
        </w:rPr>
        <w:t xml:space="preserve"> </w:t>
      </w:r>
      <w:commentRangeStart w:id="43"/>
      <w:r w:rsidR="00825325">
        <w:rPr>
          <w:rFonts w:ascii="Times New Roman" w:hAnsi="Times New Roman"/>
          <w:sz w:val="24"/>
          <w:szCs w:val="24"/>
        </w:rPr>
        <w:t>(</w:t>
      </w:r>
      <w:proofErr w:type="spellStart"/>
      <w:r w:rsidR="00825325">
        <w:rPr>
          <w:rFonts w:ascii="Times New Roman" w:hAnsi="Times New Roman"/>
          <w:sz w:val="24"/>
          <w:szCs w:val="24"/>
        </w:rPr>
        <w:t>Umoh</w:t>
      </w:r>
      <w:r w:rsidR="00825325">
        <w:rPr>
          <w:rFonts w:ascii="Times New Roman" w:hAnsi="Times New Roman"/>
          <w:i/>
          <w:iCs/>
          <w:sz w:val="24"/>
          <w:szCs w:val="24"/>
        </w:rPr>
        <w:t>et</w:t>
      </w:r>
      <w:proofErr w:type="spellEnd"/>
      <w:r w:rsidR="00825325">
        <w:rPr>
          <w:rFonts w:ascii="Times New Roman" w:hAnsi="Times New Roman"/>
          <w:i/>
          <w:iCs/>
          <w:sz w:val="24"/>
          <w:szCs w:val="24"/>
        </w:rPr>
        <w:t xml:space="preserve"> al.</w:t>
      </w:r>
      <w:r w:rsidR="00825325">
        <w:rPr>
          <w:rFonts w:ascii="Times New Roman" w:hAnsi="Times New Roman"/>
          <w:sz w:val="24"/>
          <w:szCs w:val="24"/>
        </w:rPr>
        <w:t xml:space="preserve">, 2024). </w:t>
      </w:r>
      <w:commentRangeEnd w:id="43"/>
      <w:r w:rsidR="00361184">
        <w:rPr>
          <w:rStyle w:val="CommentReference"/>
        </w:rPr>
        <w:commentReference w:id="43"/>
      </w:r>
      <w:r w:rsidR="00825325">
        <w:rPr>
          <w:rFonts w:ascii="Times New Roman" w:hAnsi="Times New Roman"/>
          <w:sz w:val="24"/>
          <w:szCs w:val="24"/>
        </w:rPr>
        <w:t>These results complement our current observations that antioxidant interventions can preserve systemic physiological functions and tissue integrity in chemically stressed models.</w:t>
      </w:r>
    </w:p>
    <w:p w14:paraId="0A8D697F"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lastRenderedPageBreak/>
        <w:t xml:space="preserve">Although the </w:t>
      </w:r>
      <w:proofErr w:type="spellStart"/>
      <w:r>
        <w:rPr>
          <w:rFonts w:ascii="Times New Roman" w:hAnsi="Times New Roman"/>
          <w:sz w:val="24"/>
          <w:szCs w:val="24"/>
        </w:rPr>
        <w:t>GPx</w:t>
      </w:r>
      <w:proofErr w:type="spellEnd"/>
      <w:r>
        <w:rPr>
          <w:rFonts w:ascii="Times New Roman" w:hAnsi="Times New Roman"/>
          <w:sz w:val="24"/>
          <w:szCs w:val="24"/>
        </w:rPr>
        <w:t xml:space="preserve"> levels did not significantly differ across groups in this study, the upward trend observed in turmeric and ginger-treated groups may indicate a subthreshold therapeutic benefit, possibly due to duration or dosage factors. This is analogous to findings in gallic acid-treated diabetic rats, where </w:t>
      </w:r>
      <w:proofErr w:type="spellStart"/>
      <w:r>
        <w:rPr>
          <w:rFonts w:ascii="Times New Roman" w:hAnsi="Times New Roman"/>
          <w:sz w:val="24"/>
          <w:szCs w:val="24"/>
        </w:rPr>
        <w:t>GPx</w:t>
      </w:r>
      <w:proofErr w:type="spellEnd"/>
      <w:r>
        <w:rPr>
          <w:rFonts w:ascii="Times New Roman" w:hAnsi="Times New Roman"/>
          <w:sz w:val="24"/>
          <w:szCs w:val="24"/>
        </w:rPr>
        <w:t xml:space="preserve"> levels showed mild restoration despite profound changes in other markers </w:t>
      </w:r>
      <w:commentRangeStart w:id="44"/>
      <w:r>
        <w:rPr>
          <w:rFonts w:ascii="Times New Roman" w:hAnsi="Times New Roman"/>
          <w:sz w:val="24"/>
          <w:szCs w:val="24"/>
        </w:rPr>
        <w:t>(</w:t>
      </w:r>
      <w:proofErr w:type="spellStart"/>
      <w:r>
        <w:rPr>
          <w:rFonts w:ascii="Times New Roman" w:hAnsi="Times New Roman"/>
          <w:sz w:val="24"/>
          <w:szCs w:val="24"/>
        </w:rPr>
        <w:t>Isamoh</w:t>
      </w:r>
      <w:r>
        <w:rPr>
          <w:rFonts w:ascii="Times New Roman" w:hAnsi="Times New Roman"/>
          <w:i/>
          <w:iCs/>
          <w:sz w:val="24"/>
          <w:szCs w:val="24"/>
        </w:rPr>
        <w:t>et</w:t>
      </w:r>
      <w:proofErr w:type="spellEnd"/>
      <w:r>
        <w:rPr>
          <w:rFonts w:ascii="Times New Roman" w:hAnsi="Times New Roman"/>
          <w:i/>
          <w:iCs/>
          <w:sz w:val="24"/>
          <w:szCs w:val="24"/>
        </w:rPr>
        <w:t xml:space="preserve"> al</w:t>
      </w:r>
      <w:r>
        <w:rPr>
          <w:rFonts w:ascii="Times New Roman" w:hAnsi="Times New Roman"/>
          <w:sz w:val="24"/>
          <w:szCs w:val="24"/>
        </w:rPr>
        <w:t xml:space="preserve">., 2025c). </w:t>
      </w:r>
      <w:commentRangeEnd w:id="44"/>
      <w:r w:rsidR="001E2063">
        <w:rPr>
          <w:rStyle w:val="CommentReference"/>
        </w:rPr>
        <w:commentReference w:id="44"/>
      </w:r>
      <w:r>
        <w:rPr>
          <w:rFonts w:ascii="Times New Roman" w:hAnsi="Times New Roman"/>
          <w:sz w:val="24"/>
          <w:szCs w:val="24"/>
        </w:rPr>
        <w:t>Thus, prolonged or higher-dose interventions might be required for full restoration of this enzyme system.</w:t>
      </w:r>
    </w:p>
    <w:p w14:paraId="6E14D2D3"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Body weight assessment in the present study served as a physiological indicator of systemic toxicity and recovery. Cadmium exposure resulted in a statistically significant weight loss, likely reflecting anorexia, metabolic impairment, or tissue damage. Treatment with turmeric and ginger prevented this decline, particularly in the turmeric-only group, which maintained baseline weight. This supports existing literature on the metabolic stabilizing effects of curcumin in toxicity models (</w:t>
      </w:r>
      <w:proofErr w:type="spellStart"/>
      <w:r>
        <w:rPr>
          <w:rFonts w:ascii="Times New Roman" w:hAnsi="Times New Roman"/>
          <w:sz w:val="24"/>
          <w:szCs w:val="24"/>
        </w:rPr>
        <w:t>Ayustaningwarno</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w:t>
      </w:r>
    </w:p>
    <w:p w14:paraId="2FE8D081"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Collectively, our findings support the protective, modulatory role of turmeric and ginger against cadmium-induced oxidative damage, in part through enzymatic restoration and physiological stabilization. These observations are further strengthened by evidence </w:t>
      </w:r>
      <w:commentRangeStart w:id="45"/>
      <w:proofErr w:type="spellStart"/>
      <w:r>
        <w:rPr>
          <w:rFonts w:ascii="Times New Roman" w:hAnsi="Times New Roman"/>
          <w:sz w:val="24"/>
          <w:szCs w:val="24"/>
        </w:rPr>
        <w:t>fromStachytarpheta</w:t>
      </w:r>
      <w:proofErr w:type="spellEnd"/>
      <w:r>
        <w:rPr>
          <w:rFonts w:ascii="Times New Roman" w:hAnsi="Times New Roman"/>
          <w:sz w:val="24"/>
          <w:szCs w:val="24"/>
        </w:rPr>
        <w:t xml:space="preserve"> </w:t>
      </w:r>
      <w:commentRangeEnd w:id="45"/>
      <w:r w:rsidR="001E2063">
        <w:rPr>
          <w:rStyle w:val="CommentReference"/>
        </w:rPr>
        <w:commentReference w:id="45"/>
      </w:r>
      <w:proofErr w:type="spellStart"/>
      <w:r>
        <w:rPr>
          <w:rFonts w:ascii="Times New Roman" w:hAnsi="Times New Roman"/>
          <w:sz w:val="24"/>
          <w:szCs w:val="24"/>
        </w:rPr>
        <w:t>jamaicensis</w:t>
      </w:r>
      <w:proofErr w:type="spellEnd"/>
      <w:r>
        <w:rPr>
          <w:rFonts w:ascii="Times New Roman" w:hAnsi="Times New Roman"/>
          <w:sz w:val="24"/>
          <w:szCs w:val="24"/>
        </w:rPr>
        <w:t>-treated Parkinson’s models, which demonstrated lifespan extension, improved motor behavior, and suppression of oxidative markers—highlighting the conserved mechanisms by which phytochemicals mediate neuroprotection and systemic balance (</w:t>
      </w:r>
      <w:proofErr w:type="spellStart"/>
      <w:r>
        <w:rPr>
          <w:rFonts w:ascii="Times New Roman" w:hAnsi="Times New Roman"/>
          <w:sz w:val="24"/>
          <w:szCs w:val="24"/>
        </w:rPr>
        <w:t>Isamoh</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2024b).</w:t>
      </w:r>
    </w:p>
    <w:p w14:paraId="1193B56A"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These diverse studies collectively validate the central hypothesis of this investigation: that phytochemical-rich natural products, such as turmeric and ginger, are capable of ameliorating cadmium-induced disruptions in antioxidant balance and physiological well-being, positioning them as promising agents in integrative toxicology and preventive therapeutics.</w:t>
      </w:r>
    </w:p>
    <w:p w14:paraId="6AA36119" w14:textId="77777777" w:rsidR="00F940A4" w:rsidRDefault="00825325">
      <w:pPr>
        <w:spacing w:after="276" w:line="240" w:lineRule="auto"/>
        <w:jc w:val="both"/>
        <w:rPr>
          <w:rFonts w:ascii="Times New Roman" w:hAnsi="Times New Roman"/>
          <w:b/>
          <w:bCs/>
          <w:sz w:val="24"/>
          <w:szCs w:val="24"/>
        </w:rPr>
      </w:pPr>
      <w:r>
        <w:rPr>
          <w:rFonts w:ascii="Times New Roman" w:hAnsi="Times New Roman"/>
          <w:b/>
          <w:bCs/>
          <w:sz w:val="24"/>
          <w:szCs w:val="24"/>
        </w:rPr>
        <w:t>4.2 Conclusion</w:t>
      </w:r>
    </w:p>
    <w:p w14:paraId="18D0E1C3"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 xml:space="preserve">The current study demonstrated that turmeric and ginger possess significant antioxidant and body weight-stabilizing effects in cadmium-exposed female rats. Cadmium chloride administration resulted in oxidative stress, as evidenced by decreased SOD, CAT, and </w:t>
      </w:r>
      <w:proofErr w:type="spellStart"/>
      <w:r>
        <w:rPr>
          <w:rFonts w:ascii="Times New Roman" w:hAnsi="Times New Roman"/>
          <w:sz w:val="24"/>
          <w:szCs w:val="24"/>
        </w:rPr>
        <w:t>GPx</w:t>
      </w:r>
      <w:proofErr w:type="spellEnd"/>
      <w:r>
        <w:rPr>
          <w:rFonts w:ascii="Times New Roman" w:hAnsi="Times New Roman"/>
          <w:sz w:val="24"/>
          <w:szCs w:val="24"/>
        </w:rPr>
        <w:t xml:space="preserve"> activities and elevated MDA levels, along with weight loss. Treatment with turmeric and ginger—especially in combination—attenuated these adverse effects, restoring antioxidant balance and improving weight status.</w:t>
      </w:r>
    </w:p>
    <w:p w14:paraId="2071BBFA" w14:textId="77777777" w:rsidR="00F940A4" w:rsidRDefault="00825325">
      <w:pPr>
        <w:spacing w:after="276" w:line="240" w:lineRule="auto"/>
        <w:jc w:val="both"/>
        <w:rPr>
          <w:rFonts w:ascii="Times New Roman" w:hAnsi="Times New Roman"/>
          <w:sz w:val="24"/>
          <w:szCs w:val="24"/>
        </w:rPr>
      </w:pPr>
      <w:r>
        <w:rPr>
          <w:rFonts w:ascii="Times New Roman" w:hAnsi="Times New Roman"/>
          <w:sz w:val="24"/>
          <w:szCs w:val="24"/>
        </w:rPr>
        <w:t>These findings suggest that turmeric and ginger could serve as effective natural interventions against heavy metal toxicity, with broad implications for environmental toxicology, reproductive health, and integrative medicine. Further investigations involving longer treatment durations, varied dosages, and mechanistic evaluations at the molecular level are warranted to validate and extend these outcomes.</w:t>
      </w:r>
    </w:p>
    <w:p w14:paraId="53A9D4AC" w14:textId="77777777" w:rsidR="00F940A4" w:rsidRDefault="00F940A4">
      <w:pPr>
        <w:spacing w:line="360" w:lineRule="auto"/>
        <w:jc w:val="both"/>
        <w:rPr>
          <w:rFonts w:ascii="Times New Roman" w:hAnsi="Times New Roman"/>
          <w:sz w:val="24"/>
          <w:szCs w:val="24"/>
        </w:rPr>
      </w:pPr>
    </w:p>
    <w:p w14:paraId="63B44FDE" w14:textId="77777777" w:rsidR="005E6751" w:rsidRDefault="005E6751">
      <w:pPr>
        <w:spacing w:line="360" w:lineRule="auto"/>
        <w:jc w:val="both"/>
        <w:rPr>
          <w:rFonts w:ascii="Times New Roman" w:hAnsi="Times New Roman"/>
          <w:sz w:val="24"/>
          <w:szCs w:val="24"/>
        </w:rPr>
      </w:pPr>
    </w:p>
    <w:p w14:paraId="1768E366" w14:textId="77777777" w:rsidR="005E6751" w:rsidRDefault="005E6751">
      <w:pPr>
        <w:spacing w:line="360" w:lineRule="auto"/>
        <w:jc w:val="both"/>
        <w:rPr>
          <w:rFonts w:ascii="Times New Roman" w:hAnsi="Times New Roman"/>
          <w:sz w:val="24"/>
          <w:szCs w:val="24"/>
        </w:rPr>
      </w:pPr>
    </w:p>
    <w:p w14:paraId="35509BB5" w14:textId="77777777" w:rsidR="00F940A4" w:rsidRDefault="00825325">
      <w:pPr>
        <w:spacing w:line="240" w:lineRule="auto"/>
        <w:jc w:val="both"/>
        <w:rPr>
          <w:rFonts w:ascii="Times New Roman" w:hAnsi="Times New Roman"/>
          <w:sz w:val="24"/>
          <w:szCs w:val="24"/>
        </w:rPr>
      </w:pPr>
      <w:r>
        <w:rPr>
          <w:rFonts w:ascii="Times New Roman" w:hAnsi="Times New Roman"/>
          <w:b/>
          <w:bCs/>
          <w:sz w:val="24"/>
          <w:szCs w:val="24"/>
        </w:rPr>
        <w:lastRenderedPageBreak/>
        <w:t>References</w:t>
      </w:r>
    </w:p>
    <w:p w14:paraId="707244B2"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Genchi, G., Sinicropi, M. S., Lauria, G., Carocci, A., &amp; Catalano, A. (2020). The effects of cadmium toxicity. </w:t>
      </w:r>
      <w:r>
        <w:rPr>
          <w:rFonts w:ascii="Times New Roman" w:hAnsi="Times New Roman"/>
          <w:i/>
          <w:iCs/>
          <w:sz w:val="24"/>
          <w:szCs w:val="24"/>
        </w:rPr>
        <w:t xml:space="preserve">International Journal of Environmental Research and Public Health, 17 </w:t>
      </w:r>
      <w:r>
        <w:rPr>
          <w:rFonts w:ascii="Times New Roman" w:hAnsi="Times New Roman"/>
          <w:sz w:val="24"/>
          <w:szCs w:val="24"/>
        </w:rPr>
        <w:t>(11), 3782. [https://doi.org/10.3390/ijerph17113782](https://doi.org/10.3390/ijerph17113782)</w:t>
      </w:r>
    </w:p>
    <w:p w14:paraId="6AC2479D"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Sharma, M., Sharma, S., Paavan, Gupta, M., Goyal, S., Talukder, D., Akhtar, M. S., Kumar, R., Umar, A., </w:t>
      </w:r>
      <w:proofErr w:type="spellStart"/>
      <w:r>
        <w:rPr>
          <w:rFonts w:ascii="Times New Roman" w:hAnsi="Times New Roman"/>
          <w:sz w:val="24"/>
          <w:szCs w:val="24"/>
        </w:rPr>
        <w:t>Alkhanjaf</w:t>
      </w:r>
      <w:proofErr w:type="spellEnd"/>
      <w:r>
        <w:rPr>
          <w:rFonts w:ascii="Times New Roman" w:hAnsi="Times New Roman"/>
          <w:sz w:val="24"/>
          <w:szCs w:val="24"/>
        </w:rPr>
        <w:t xml:space="preserve">, A. A. M., &amp; </w:t>
      </w:r>
      <w:proofErr w:type="spellStart"/>
      <w:r>
        <w:rPr>
          <w:rFonts w:ascii="Times New Roman" w:hAnsi="Times New Roman"/>
          <w:sz w:val="24"/>
          <w:szCs w:val="24"/>
        </w:rPr>
        <w:t>Baskoutas</w:t>
      </w:r>
      <w:proofErr w:type="spellEnd"/>
      <w:r>
        <w:rPr>
          <w:rFonts w:ascii="Times New Roman" w:hAnsi="Times New Roman"/>
          <w:sz w:val="24"/>
          <w:szCs w:val="24"/>
        </w:rPr>
        <w:t xml:space="preserve">, S. (2023). Mechanisms of microbial resistance against cadmium – A review. </w:t>
      </w:r>
      <w:r>
        <w:rPr>
          <w:rFonts w:ascii="Times New Roman" w:hAnsi="Times New Roman"/>
          <w:i/>
          <w:iCs/>
          <w:sz w:val="24"/>
          <w:szCs w:val="24"/>
        </w:rPr>
        <w:t xml:space="preserve">Journal of Environmental Health Science and Engineering, 22 </w:t>
      </w:r>
      <w:r>
        <w:rPr>
          <w:rFonts w:ascii="Times New Roman" w:hAnsi="Times New Roman"/>
          <w:sz w:val="24"/>
          <w:szCs w:val="24"/>
        </w:rPr>
        <w:t>(1), 13–30. [https://doi.org/10.1007/s40201-023-00887-6](https://doi.org/10.1007/s40201-023-00887-6)</w:t>
      </w:r>
    </w:p>
    <w:p w14:paraId="3A42420E"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Peana, M., </w:t>
      </w:r>
      <w:proofErr w:type="spellStart"/>
      <w:r>
        <w:rPr>
          <w:rFonts w:ascii="Times New Roman" w:hAnsi="Times New Roman"/>
          <w:sz w:val="24"/>
          <w:szCs w:val="24"/>
        </w:rPr>
        <w:t>Pelucelli</w:t>
      </w:r>
      <w:proofErr w:type="spellEnd"/>
      <w:r>
        <w:rPr>
          <w:rFonts w:ascii="Times New Roman" w:hAnsi="Times New Roman"/>
          <w:sz w:val="24"/>
          <w:szCs w:val="24"/>
        </w:rPr>
        <w:t xml:space="preserve">, A., Chasapis, C. T., </w:t>
      </w:r>
      <w:proofErr w:type="spellStart"/>
      <w:r>
        <w:rPr>
          <w:rFonts w:ascii="Times New Roman" w:hAnsi="Times New Roman"/>
          <w:sz w:val="24"/>
          <w:szCs w:val="24"/>
        </w:rPr>
        <w:t>Perlepes</w:t>
      </w:r>
      <w:proofErr w:type="spellEnd"/>
      <w:r>
        <w:rPr>
          <w:rFonts w:ascii="Times New Roman" w:hAnsi="Times New Roman"/>
          <w:sz w:val="24"/>
          <w:szCs w:val="24"/>
        </w:rPr>
        <w:t xml:space="preserve">, S. P., </w:t>
      </w:r>
      <w:proofErr w:type="spellStart"/>
      <w:r>
        <w:rPr>
          <w:rFonts w:ascii="Times New Roman" w:hAnsi="Times New Roman"/>
          <w:sz w:val="24"/>
          <w:szCs w:val="24"/>
        </w:rPr>
        <w:t>Bekiari</w:t>
      </w:r>
      <w:proofErr w:type="spellEnd"/>
      <w:r>
        <w:rPr>
          <w:rFonts w:ascii="Times New Roman" w:hAnsi="Times New Roman"/>
          <w:sz w:val="24"/>
          <w:szCs w:val="24"/>
        </w:rPr>
        <w:t xml:space="preserve">, V., Medici, S., &amp; </w:t>
      </w:r>
      <w:proofErr w:type="spellStart"/>
      <w:r>
        <w:rPr>
          <w:rFonts w:ascii="Times New Roman" w:hAnsi="Times New Roman"/>
          <w:sz w:val="24"/>
          <w:szCs w:val="24"/>
        </w:rPr>
        <w:t>Zoroddu</w:t>
      </w:r>
      <w:proofErr w:type="spellEnd"/>
      <w:r>
        <w:rPr>
          <w:rFonts w:ascii="Times New Roman" w:hAnsi="Times New Roman"/>
          <w:sz w:val="24"/>
          <w:szCs w:val="24"/>
        </w:rPr>
        <w:t xml:space="preserve">, M. A. (2022). Biological effects of human exposure to environmental cadmium. </w:t>
      </w:r>
      <w:r>
        <w:rPr>
          <w:rFonts w:ascii="Times New Roman" w:hAnsi="Times New Roman"/>
          <w:i/>
          <w:iCs/>
          <w:sz w:val="24"/>
          <w:szCs w:val="24"/>
        </w:rPr>
        <w:t xml:space="preserve">Biomolecules, 13 </w:t>
      </w:r>
      <w:r>
        <w:rPr>
          <w:rFonts w:ascii="Times New Roman" w:hAnsi="Times New Roman"/>
          <w:sz w:val="24"/>
          <w:szCs w:val="24"/>
        </w:rPr>
        <w:t>(1), 36. [https://doi.org/10.3390/biom13010036](https://doi.org/10.3390/biom13010036)</w:t>
      </w:r>
    </w:p>
    <w:p w14:paraId="1AECDBC5"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Branca, J. J. V., Fiorillo, C., Carrino, D., Paternostro, F., Taddei, N., Gulisano, M., Pacini, A., &amp; </w:t>
      </w:r>
      <w:proofErr w:type="spellStart"/>
      <w:r>
        <w:rPr>
          <w:rFonts w:ascii="Times New Roman" w:hAnsi="Times New Roman"/>
          <w:sz w:val="24"/>
          <w:szCs w:val="24"/>
        </w:rPr>
        <w:t>Becatti</w:t>
      </w:r>
      <w:proofErr w:type="spellEnd"/>
      <w:r>
        <w:rPr>
          <w:rFonts w:ascii="Times New Roman" w:hAnsi="Times New Roman"/>
          <w:sz w:val="24"/>
          <w:szCs w:val="24"/>
        </w:rPr>
        <w:t xml:space="preserve">, M. (2020). Cadmium-induced oxidative stress: Focus on the central nervous system. </w:t>
      </w:r>
      <w:r>
        <w:rPr>
          <w:rFonts w:ascii="Times New Roman" w:hAnsi="Times New Roman"/>
          <w:i/>
          <w:iCs/>
          <w:sz w:val="24"/>
          <w:szCs w:val="24"/>
        </w:rPr>
        <w:t xml:space="preserve">Antioxidants, 9 </w:t>
      </w:r>
      <w:r>
        <w:rPr>
          <w:rFonts w:ascii="Times New Roman" w:hAnsi="Times New Roman"/>
          <w:sz w:val="24"/>
          <w:szCs w:val="24"/>
        </w:rPr>
        <w:t>(6), 492. [https://doi.org/10.3390/antiox9060492](https://doi.org/10.3390/antiox9060492)</w:t>
      </w:r>
    </w:p>
    <w:p w14:paraId="0BB7CF63"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Li, S., Chen, J., Islam, E., Wang, Y., Wu, J., Ye, Z., Yan, W., Peng, D., &amp; Liu, D. (2016). Cadmium-induced oxidative stress, response of antioxidants and detection of intracellular cadmium in organs of </w:t>
      </w:r>
      <w:proofErr w:type="spellStart"/>
      <w:r>
        <w:rPr>
          <w:rFonts w:ascii="Times New Roman" w:hAnsi="Times New Roman"/>
          <w:sz w:val="24"/>
          <w:szCs w:val="24"/>
        </w:rPr>
        <w:t>moso</w:t>
      </w:r>
      <w:proofErr w:type="spellEnd"/>
      <w:r>
        <w:rPr>
          <w:rFonts w:ascii="Times New Roman" w:hAnsi="Times New Roman"/>
          <w:sz w:val="24"/>
          <w:szCs w:val="24"/>
        </w:rPr>
        <w:t xml:space="preserve"> bamboo (</w:t>
      </w:r>
      <w:proofErr w:type="spellStart"/>
      <w:r>
        <w:rPr>
          <w:rFonts w:ascii="Times New Roman" w:hAnsi="Times New Roman"/>
          <w:i/>
          <w:iCs/>
          <w:sz w:val="24"/>
          <w:szCs w:val="24"/>
        </w:rPr>
        <w:t>Phyllostachys</w:t>
      </w:r>
      <w:proofErr w:type="spellEnd"/>
      <w:r>
        <w:rPr>
          <w:rFonts w:ascii="Times New Roman" w:hAnsi="Times New Roman"/>
          <w:i/>
          <w:iCs/>
          <w:sz w:val="24"/>
          <w:szCs w:val="24"/>
        </w:rPr>
        <w:t xml:space="preserve"> </w:t>
      </w:r>
      <w:proofErr w:type="spellStart"/>
      <w:r>
        <w:rPr>
          <w:rFonts w:ascii="Times New Roman" w:hAnsi="Times New Roman"/>
          <w:i/>
          <w:iCs/>
          <w:sz w:val="24"/>
          <w:szCs w:val="24"/>
        </w:rPr>
        <w:t>pubescens</w:t>
      </w:r>
      <w:proofErr w:type="spellEnd"/>
      <w:r>
        <w:rPr>
          <w:rFonts w:ascii="Times New Roman" w:hAnsi="Times New Roman"/>
          <w:sz w:val="24"/>
          <w:szCs w:val="24"/>
        </w:rPr>
        <w:t xml:space="preserve">) seedlings. </w:t>
      </w:r>
      <w:r>
        <w:rPr>
          <w:rFonts w:ascii="Times New Roman" w:hAnsi="Times New Roman"/>
          <w:i/>
          <w:iCs/>
          <w:sz w:val="24"/>
          <w:szCs w:val="24"/>
        </w:rPr>
        <w:t>Chemosphere, 153</w:t>
      </w:r>
      <w:r>
        <w:rPr>
          <w:rFonts w:ascii="Times New Roman" w:hAnsi="Times New Roman"/>
          <w:sz w:val="24"/>
          <w:szCs w:val="24"/>
        </w:rPr>
        <w:t>, 107–114. [https://doi.org/10.1016/j.chemosphere.2016.02.062](https://doi.org/10.1016/j.chemosphere.2016.02.062)</w:t>
      </w:r>
    </w:p>
    <w:p w14:paraId="259BD2FF"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Wang, L., Xu, T., Lei, W. W., Liu, D. M., Li, Y. J., Xuan, R. J., &amp; Ma, J. J. (2011). Cadmium-induced oxidative stress and apoptotic changes in the testis of freshwater crab, </w:t>
      </w:r>
      <w:proofErr w:type="spellStart"/>
      <w:r>
        <w:rPr>
          <w:rFonts w:ascii="Times New Roman" w:hAnsi="Times New Roman"/>
          <w:i/>
          <w:iCs/>
          <w:sz w:val="24"/>
          <w:szCs w:val="24"/>
        </w:rPr>
        <w:t>Sinopotamon</w:t>
      </w:r>
      <w:proofErr w:type="spellEnd"/>
      <w:r>
        <w:rPr>
          <w:rFonts w:ascii="Times New Roman" w:hAnsi="Times New Roman"/>
          <w:i/>
          <w:iCs/>
          <w:sz w:val="24"/>
          <w:szCs w:val="24"/>
        </w:rPr>
        <w:t xml:space="preserve"> </w:t>
      </w:r>
      <w:proofErr w:type="spellStart"/>
      <w:r>
        <w:rPr>
          <w:rFonts w:ascii="Times New Roman" w:hAnsi="Times New Roman"/>
          <w:i/>
          <w:iCs/>
          <w:sz w:val="24"/>
          <w:szCs w:val="24"/>
        </w:rPr>
        <w:t>henanense</w:t>
      </w:r>
      <w:proofErr w:type="spellEnd"/>
      <w:r>
        <w:rPr>
          <w:rFonts w:ascii="Times New Roman" w:hAnsi="Times New Roman"/>
          <w:sz w:val="24"/>
          <w:szCs w:val="24"/>
        </w:rPr>
        <w:t xml:space="preserve">. </w:t>
      </w:r>
      <w:proofErr w:type="spellStart"/>
      <w:r>
        <w:rPr>
          <w:rFonts w:ascii="Times New Roman" w:hAnsi="Times New Roman"/>
          <w:i/>
          <w:iCs/>
          <w:sz w:val="24"/>
          <w:szCs w:val="24"/>
        </w:rPr>
        <w:t>PLoS</w:t>
      </w:r>
      <w:proofErr w:type="spellEnd"/>
      <w:r>
        <w:rPr>
          <w:rFonts w:ascii="Times New Roman" w:hAnsi="Times New Roman"/>
          <w:i/>
          <w:iCs/>
          <w:sz w:val="24"/>
          <w:szCs w:val="24"/>
        </w:rPr>
        <w:t xml:space="preserve"> ONE, 6 </w:t>
      </w:r>
      <w:r>
        <w:rPr>
          <w:rFonts w:ascii="Times New Roman" w:hAnsi="Times New Roman"/>
          <w:sz w:val="24"/>
          <w:szCs w:val="24"/>
        </w:rPr>
        <w:t>(11), e27853. [https://doi.org/10.1371/journal.pone.0027853](https://doi.org/10.1371/journal.pone.0027853)</w:t>
      </w:r>
    </w:p>
    <w:p w14:paraId="65FA45CB"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Zhu, Y., Cheng, P., Peng, J., Liu, S., Xiang, J., Xu, D., Chen, Y., Chen, Z., Wang, X., Luo, C., Xu, P., &amp; Sheng, J. (2024). Cadmium exposure causes transcriptomic dysregulation in adipose tissue and associated shifts in serum metabolites. </w:t>
      </w:r>
      <w:r>
        <w:rPr>
          <w:rFonts w:ascii="Times New Roman" w:hAnsi="Times New Roman"/>
          <w:i/>
          <w:iCs/>
          <w:sz w:val="24"/>
          <w:szCs w:val="24"/>
        </w:rPr>
        <w:t>Environment International, 185</w:t>
      </w:r>
      <w:r>
        <w:rPr>
          <w:rFonts w:ascii="Times New Roman" w:hAnsi="Times New Roman"/>
          <w:sz w:val="24"/>
          <w:szCs w:val="24"/>
        </w:rPr>
        <w:t>, 108513. [https://doi.org/10.1016/j.envint.2024.108513](https://doi.org/10.1016/j.envint.2024.108513)</w:t>
      </w:r>
    </w:p>
    <w:p w14:paraId="4D546FB0"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Isamoh</w:t>
      </w:r>
      <w:proofErr w:type="spellEnd"/>
      <w:r>
        <w:rPr>
          <w:rFonts w:ascii="Times New Roman" w:hAnsi="Times New Roman"/>
          <w:sz w:val="24"/>
          <w:szCs w:val="24"/>
        </w:rPr>
        <w:t xml:space="preserve">, T. E., Francis, P. I., Olanrewaju, J. A., Odom, E. I., Mba, E. E., Umoh, N. M., Anani, S. E., &amp; </w:t>
      </w:r>
      <w:proofErr w:type="spellStart"/>
      <w:r>
        <w:rPr>
          <w:rFonts w:ascii="Times New Roman" w:hAnsi="Times New Roman"/>
          <w:sz w:val="24"/>
          <w:szCs w:val="24"/>
        </w:rPr>
        <w:t>Onose</w:t>
      </w:r>
      <w:proofErr w:type="spellEnd"/>
      <w:r>
        <w:rPr>
          <w:rFonts w:ascii="Times New Roman" w:hAnsi="Times New Roman"/>
          <w:sz w:val="24"/>
          <w:szCs w:val="24"/>
        </w:rPr>
        <w:t xml:space="preserve">, I. F. (2024). </w:t>
      </w:r>
      <w:r>
        <w:rPr>
          <w:rFonts w:ascii="Times New Roman" w:hAnsi="Times New Roman"/>
          <w:i/>
          <w:iCs/>
          <w:sz w:val="24"/>
          <w:szCs w:val="24"/>
        </w:rPr>
        <w:t xml:space="preserve">Ethanol extract of </w:t>
      </w:r>
      <w:proofErr w:type="spellStart"/>
      <w:r>
        <w:rPr>
          <w:rFonts w:ascii="Times New Roman" w:hAnsi="Times New Roman"/>
          <w:i/>
          <w:iCs/>
          <w:sz w:val="24"/>
          <w:szCs w:val="24"/>
        </w:rPr>
        <w:t>Stachytarpheta</w:t>
      </w:r>
      <w:proofErr w:type="spellEnd"/>
      <w:r>
        <w:rPr>
          <w:rFonts w:ascii="Times New Roman" w:hAnsi="Times New Roman"/>
          <w:i/>
          <w:iCs/>
          <w:sz w:val="24"/>
          <w:szCs w:val="24"/>
        </w:rPr>
        <w:t xml:space="preserve"> </w:t>
      </w:r>
      <w:proofErr w:type="spellStart"/>
      <w:r>
        <w:rPr>
          <w:rFonts w:ascii="Times New Roman" w:hAnsi="Times New Roman"/>
          <w:i/>
          <w:iCs/>
          <w:sz w:val="24"/>
          <w:szCs w:val="24"/>
        </w:rPr>
        <w:t>jamaicensis</w:t>
      </w:r>
      <w:proofErr w:type="spellEnd"/>
      <w:r>
        <w:rPr>
          <w:rFonts w:ascii="Times New Roman" w:hAnsi="Times New Roman"/>
          <w:i/>
          <w:iCs/>
          <w:sz w:val="24"/>
          <w:szCs w:val="24"/>
        </w:rPr>
        <w:t xml:space="preserve"> reduces lifespan shortening, oxidative stress, and neurotoxicity in transgenic Drosophila Parkinson’s disease model</w:t>
      </w:r>
      <w:r>
        <w:rPr>
          <w:rFonts w:ascii="Times New Roman" w:hAnsi="Times New Roman"/>
          <w:sz w:val="24"/>
          <w:szCs w:val="24"/>
        </w:rPr>
        <w:t xml:space="preserve">. </w:t>
      </w:r>
      <w:r>
        <w:rPr>
          <w:rFonts w:ascii="Times New Roman" w:hAnsi="Times New Roman"/>
          <w:i/>
          <w:iCs/>
          <w:sz w:val="24"/>
          <w:szCs w:val="24"/>
        </w:rPr>
        <w:t xml:space="preserve">Asian Journal of Research and Reports in Neurology, 7 </w:t>
      </w:r>
      <w:r>
        <w:rPr>
          <w:rFonts w:ascii="Times New Roman" w:hAnsi="Times New Roman"/>
          <w:sz w:val="24"/>
          <w:szCs w:val="24"/>
        </w:rPr>
        <w:t>(1), 154–164. [https://www.journalajorrin.com/index.php/AJORRIN/article/view/112](https://www.journalajorrin.com/index.php/AJORRIN/article/view/112)</w:t>
      </w:r>
    </w:p>
    <w:p w14:paraId="3B4D7ED7"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Umoh, N. M., Odey, P. A., Williams, N., Mba, E. E., Anani, S., Oku, M., Odom, E. I., Okon, A., &amp; </w:t>
      </w:r>
      <w:proofErr w:type="spellStart"/>
      <w:r>
        <w:rPr>
          <w:rFonts w:ascii="Times New Roman" w:hAnsi="Times New Roman"/>
          <w:sz w:val="24"/>
          <w:szCs w:val="24"/>
        </w:rPr>
        <w:t>Ojibima</w:t>
      </w:r>
      <w:proofErr w:type="spellEnd"/>
      <w:r>
        <w:rPr>
          <w:rFonts w:ascii="Times New Roman" w:hAnsi="Times New Roman"/>
          <w:sz w:val="24"/>
          <w:szCs w:val="24"/>
        </w:rPr>
        <w:t xml:space="preserve">, C. F. (2024). </w:t>
      </w:r>
      <w:proofErr w:type="spellStart"/>
      <w:r>
        <w:rPr>
          <w:rFonts w:ascii="Times New Roman" w:hAnsi="Times New Roman"/>
          <w:sz w:val="24"/>
          <w:szCs w:val="24"/>
        </w:rPr>
        <w:t>Histomorphological</w:t>
      </w:r>
      <w:proofErr w:type="spellEnd"/>
      <w:r>
        <w:rPr>
          <w:rFonts w:ascii="Times New Roman" w:hAnsi="Times New Roman"/>
          <w:sz w:val="24"/>
          <w:szCs w:val="24"/>
        </w:rPr>
        <w:t xml:space="preserve"> assessment of adrenal glands in Wistar rats following myricetin treatment against MNU-induced oxidative stress. </w:t>
      </w:r>
      <w:r>
        <w:rPr>
          <w:rFonts w:ascii="Times New Roman" w:hAnsi="Times New Roman"/>
          <w:i/>
          <w:iCs/>
          <w:sz w:val="24"/>
          <w:szCs w:val="24"/>
        </w:rPr>
        <w:t xml:space="preserve">Journal of Complementary and Alternative Medical Research, 25 </w:t>
      </w:r>
      <w:r>
        <w:rPr>
          <w:rFonts w:ascii="Times New Roman" w:hAnsi="Times New Roman"/>
          <w:sz w:val="24"/>
          <w:szCs w:val="24"/>
        </w:rPr>
        <w:t xml:space="preserve">(12), 110–121. </w:t>
      </w:r>
      <w:r>
        <w:rPr>
          <w:rFonts w:ascii="Times New Roman" w:hAnsi="Times New Roman"/>
          <w:sz w:val="24"/>
          <w:szCs w:val="24"/>
        </w:rPr>
        <w:lastRenderedPageBreak/>
        <w:t>[https://doi.org/10.9734/jocamr/2024/v25i12600](https://doi.org/10.9734/jocamr/2024/v25i12600)</w:t>
      </w:r>
    </w:p>
    <w:p w14:paraId="2707D805"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Ramadan, G., Al-</w:t>
      </w:r>
      <w:proofErr w:type="spellStart"/>
      <w:r>
        <w:rPr>
          <w:rFonts w:ascii="Times New Roman" w:hAnsi="Times New Roman"/>
          <w:sz w:val="24"/>
          <w:szCs w:val="24"/>
        </w:rPr>
        <w:t>Kahtani</w:t>
      </w:r>
      <w:proofErr w:type="spellEnd"/>
      <w:r>
        <w:rPr>
          <w:rFonts w:ascii="Times New Roman" w:hAnsi="Times New Roman"/>
          <w:sz w:val="24"/>
          <w:szCs w:val="24"/>
        </w:rPr>
        <w:t xml:space="preserve">, M. A., &amp; El-Sayed, W. M. (2011). Anti-inflammatory and anti-oxidant properties of </w:t>
      </w:r>
      <w:r>
        <w:rPr>
          <w:rFonts w:ascii="Times New Roman" w:hAnsi="Times New Roman"/>
          <w:i/>
          <w:iCs/>
          <w:sz w:val="24"/>
          <w:szCs w:val="24"/>
        </w:rPr>
        <w:t xml:space="preserve">Curcuma longa </w:t>
      </w:r>
      <w:r>
        <w:rPr>
          <w:rFonts w:ascii="Times New Roman" w:hAnsi="Times New Roman"/>
          <w:sz w:val="24"/>
          <w:szCs w:val="24"/>
        </w:rPr>
        <w:t xml:space="preserve">(turmeric) versus </w:t>
      </w:r>
      <w:r>
        <w:rPr>
          <w:rFonts w:ascii="Times New Roman" w:hAnsi="Times New Roman"/>
          <w:i/>
          <w:iCs/>
          <w:sz w:val="24"/>
          <w:szCs w:val="24"/>
        </w:rPr>
        <w:t xml:space="preserve">Zingiber officinale </w:t>
      </w:r>
      <w:r>
        <w:rPr>
          <w:rFonts w:ascii="Times New Roman" w:hAnsi="Times New Roman"/>
          <w:sz w:val="24"/>
          <w:szCs w:val="24"/>
        </w:rPr>
        <w:t xml:space="preserve">(ginger) rhizomes in rat adjuvant-induced arthritis. </w:t>
      </w:r>
      <w:r>
        <w:rPr>
          <w:rFonts w:ascii="Times New Roman" w:hAnsi="Times New Roman"/>
          <w:i/>
          <w:iCs/>
          <w:sz w:val="24"/>
          <w:szCs w:val="24"/>
        </w:rPr>
        <w:t xml:space="preserve">Inflammation, 34 </w:t>
      </w:r>
      <w:r>
        <w:rPr>
          <w:rFonts w:ascii="Times New Roman" w:hAnsi="Times New Roman"/>
          <w:sz w:val="24"/>
          <w:szCs w:val="24"/>
        </w:rPr>
        <w:t>(4), 291–301. [https://doi.org/10.1007/s10753-010-9278-0](https://doi.org/10.1007/s10753-010-9278-0)</w:t>
      </w:r>
    </w:p>
    <w:p w14:paraId="72F71074"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Zhou, X., Afzal, S., Wohlmuth, H., Münch, G., Leach, D., Low, M., &amp; Li, C. G. (2022). Synergistic anti-inflammatory activity of ginger and turmeric extracts in inhibiting lipopolysaccharide and interferon-γ-induced proinflammatory mediators. </w:t>
      </w:r>
      <w:r>
        <w:rPr>
          <w:rFonts w:ascii="Times New Roman" w:hAnsi="Times New Roman"/>
          <w:i/>
          <w:iCs/>
          <w:sz w:val="24"/>
          <w:szCs w:val="24"/>
        </w:rPr>
        <w:t xml:space="preserve">Molecules, 27 </w:t>
      </w:r>
      <w:r>
        <w:rPr>
          <w:rFonts w:ascii="Times New Roman" w:hAnsi="Times New Roman"/>
          <w:sz w:val="24"/>
          <w:szCs w:val="24"/>
        </w:rPr>
        <w:t>(12), 3877. [https://doi.org/10.3390/molecules27123877](https://doi.org/10.3390/molecules27123877)</w:t>
      </w:r>
    </w:p>
    <w:p w14:paraId="0B3F2DC7"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Sharifi-Rad, J., </w:t>
      </w:r>
      <w:proofErr w:type="spellStart"/>
      <w:r>
        <w:rPr>
          <w:rFonts w:ascii="Times New Roman" w:hAnsi="Times New Roman"/>
          <w:sz w:val="24"/>
          <w:szCs w:val="24"/>
        </w:rPr>
        <w:t>Rayess</w:t>
      </w:r>
      <w:proofErr w:type="spellEnd"/>
      <w:r>
        <w:rPr>
          <w:rFonts w:ascii="Times New Roman" w:hAnsi="Times New Roman"/>
          <w:sz w:val="24"/>
          <w:szCs w:val="24"/>
        </w:rPr>
        <w:t xml:space="preserve">, Y. E., Rizk, A. A., Sadaka, C., Zgheib, R., Zam, W., Sestito, S., Rapposelli, S., </w:t>
      </w:r>
      <w:proofErr w:type="spellStart"/>
      <w:r>
        <w:rPr>
          <w:rFonts w:ascii="Times New Roman" w:hAnsi="Times New Roman"/>
          <w:sz w:val="24"/>
          <w:szCs w:val="24"/>
        </w:rPr>
        <w:t>Neffe-Skocińska</w:t>
      </w:r>
      <w:proofErr w:type="spellEnd"/>
      <w:r>
        <w:rPr>
          <w:rFonts w:ascii="Times New Roman" w:hAnsi="Times New Roman"/>
          <w:sz w:val="24"/>
          <w:szCs w:val="24"/>
        </w:rPr>
        <w:t xml:space="preserve">, K., Zielińska, D., Salehi, B., Setzer, W. N., </w:t>
      </w:r>
      <w:proofErr w:type="spellStart"/>
      <w:r>
        <w:rPr>
          <w:rFonts w:ascii="Times New Roman" w:hAnsi="Times New Roman"/>
          <w:sz w:val="24"/>
          <w:szCs w:val="24"/>
        </w:rPr>
        <w:t>Dosoky</w:t>
      </w:r>
      <w:proofErr w:type="spellEnd"/>
      <w:r>
        <w:rPr>
          <w:rFonts w:ascii="Times New Roman" w:hAnsi="Times New Roman"/>
          <w:sz w:val="24"/>
          <w:szCs w:val="24"/>
        </w:rPr>
        <w:t xml:space="preserve">, N. S., Taheri, Y., El </w:t>
      </w:r>
      <w:proofErr w:type="spellStart"/>
      <w:r>
        <w:rPr>
          <w:rFonts w:ascii="Times New Roman" w:hAnsi="Times New Roman"/>
          <w:sz w:val="24"/>
          <w:szCs w:val="24"/>
        </w:rPr>
        <w:t>Beyrouthy</w:t>
      </w:r>
      <w:proofErr w:type="spellEnd"/>
      <w:r>
        <w:rPr>
          <w:rFonts w:ascii="Times New Roman" w:hAnsi="Times New Roman"/>
          <w:sz w:val="24"/>
          <w:szCs w:val="24"/>
        </w:rPr>
        <w:t xml:space="preserve">, M., Martorell, M., Ostrander, E. A., </w:t>
      </w:r>
      <w:proofErr w:type="spellStart"/>
      <w:r>
        <w:rPr>
          <w:rFonts w:ascii="Times New Roman" w:hAnsi="Times New Roman"/>
          <w:sz w:val="24"/>
          <w:szCs w:val="24"/>
        </w:rPr>
        <w:t>Suleria</w:t>
      </w:r>
      <w:proofErr w:type="spellEnd"/>
      <w:r>
        <w:rPr>
          <w:rFonts w:ascii="Times New Roman" w:hAnsi="Times New Roman"/>
          <w:sz w:val="24"/>
          <w:szCs w:val="24"/>
        </w:rPr>
        <w:t xml:space="preserve">, H. A. R., Cho, W. C., </w:t>
      </w:r>
      <w:proofErr w:type="spellStart"/>
      <w:r>
        <w:rPr>
          <w:rFonts w:ascii="Times New Roman" w:hAnsi="Times New Roman"/>
          <w:sz w:val="24"/>
          <w:szCs w:val="24"/>
        </w:rPr>
        <w:t>Maroyi</w:t>
      </w:r>
      <w:proofErr w:type="spellEnd"/>
      <w:r>
        <w:rPr>
          <w:rFonts w:ascii="Times New Roman" w:hAnsi="Times New Roman"/>
          <w:sz w:val="24"/>
          <w:szCs w:val="24"/>
        </w:rPr>
        <w:t xml:space="preserve">, A., &amp; Martins, N. (2020). Turmeric and its major compound curcumin on health: Bioactive effects and safety profiles for food, pharmaceutical, biotechnological and medicinal applications. </w:t>
      </w:r>
      <w:r>
        <w:rPr>
          <w:rFonts w:ascii="Times New Roman" w:hAnsi="Times New Roman"/>
          <w:i/>
          <w:iCs/>
          <w:sz w:val="24"/>
          <w:szCs w:val="24"/>
        </w:rPr>
        <w:t>Frontiers in Pharmacology, 11</w:t>
      </w:r>
      <w:r>
        <w:rPr>
          <w:rFonts w:ascii="Times New Roman" w:hAnsi="Times New Roman"/>
          <w:sz w:val="24"/>
          <w:szCs w:val="24"/>
        </w:rPr>
        <w:t>, 1021. [https://doi.org/10.3389/fphar.2020.01021](https://doi.org/10.3389/fphar.2020.01021)</w:t>
      </w:r>
    </w:p>
    <w:p w14:paraId="11CBD3AF"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Ayustaningwarno</w:t>
      </w:r>
      <w:proofErr w:type="spellEnd"/>
      <w:r>
        <w:rPr>
          <w:rFonts w:ascii="Times New Roman" w:hAnsi="Times New Roman"/>
          <w:sz w:val="24"/>
          <w:szCs w:val="24"/>
        </w:rPr>
        <w:t>, F., Anjani, G., Ayu, A. M., &amp; Fogliano, V. (2024). A critical review of ginger’s (</w:t>
      </w:r>
      <w:r>
        <w:rPr>
          <w:rFonts w:ascii="Times New Roman" w:hAnsi="Times New Roman"/>
          <w:i/>
          <w:iCs/>
          <w:sz w:val="24"/>
          <w:szCs w:val="24"/>
        </w:rPr>
        <w:t>Zingiber officinale</w:t>
      </w:r>
      <w:r>
        <w:rPr>
          <w:rFonts w:ascii="Times New Roman" w:hAnsi="Times New Roman"/>
          <w:sz w:val="24"/>
          <w:szCs w:val="24"/>
        </w:rPr>
        <w:t xml:space="preserve">) antioxidant, anti-inflammatory, and immunomodulatory activities. </w:t>
      </w:r>
      <w:r>
        <w:rPr>
          <w:rFonts w:ascii="Times New Roman" w:hAnsi="Times New Roman"/>
          <w:i/>
          <w:iCs/>
          <w:sz w:val="24"/>
          <w:szCs w:val="24"/>
        </w:rPr>
        <w:t>Frontiers in Nutrition, 11,</w:t>
      </w:r>
      <w:r>
        <w:rPr>
          <w:rFonts w:ascii="Times New Roman" w:hAnsi="Times New Roman"/>
          <w:sz w:val="24"/>
          <w:szCs w:val="24"/>
        </w:rPr>
        <w:t xml:space="preserve"> 1364836. [https://doi.org/10.3389/fnut.2024.1364836](https://doi.org/10.3389/fnut.2024.1364836)</w:t>
      </w:r>
    </w:p>
    <w:p w14:paraId="53849061"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Qu, F., &amp; Zheng, W. (2024). Cadmium exposure: Mechanisms and pathways of toxicity and implications for human health. </w:t>
      </w:r>
      <w:r>
        <w:rPr>
          <w:rFonts w:ascii="Times New Roman" w:hAnsi="Times New Roman"/>
          <w:i/>
          <w:iCs/>
          <w:sz w:val="24"/>
          <w:szCs w:val="24"/>
        </w:rPr>
        <w:t xml:space="preserve">Toxics, 12 </w:t>
      </w:r>
      <w:r>
        <w:rPr>
          <w:rFonts w:ascii="Times New Roman" w:hAnsi="Times New Roman"/>
          <w:sz w:val="24"/>
          <w:szCs w:val="24"/>
        </w:rPr>
        <w:t>(6), 388. [https://doi.org/10.3390/toxics12060388](https://doi.org/10.3390/toxics12060388)</w:t>
      </w:r>
    </w:p>
    <w:p w14:paraId="1FA3AEBC"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Unsal, V., Dalkıran, T., Çiçek, M., &amp; </w:t>
      </w:r>
      <w:proofErr w:type="spellStart"/>
      <w:r>
        <w:rPr>
          <w:rFonts w:ascii="Times New Roman" w:hAnsi="Times New Roman"/>
          <w:sz w:val="24"/>
          <w:szCs w:val="24"/>
        </w:rPr>
        <w:t>Kölükçü</w:t>
      </w:r>
      <w:proofErr w:type="spellEnd"/>
      <w:r>
        <w:rPr>
          <w:rFonts w:ascii="Times New Roman" w:hAnsi="Times New Roman"/>
          <w:sz w:val="24"/>
          <w:szCs w:val="24"/>
        </w:rPr>
        <w:t xml:space="preserve">, E. (2020). The role of natural antioxidants against reactive oxygen species produced by cadmium toxicity: A review. </w:t>
      </w:r>
      <w:r>
        <w:rPr>
          <w:rFonts w:ascii="Times New Roman" w:hAnsi="Times New Roman"/>
          <w:i/>
          <w:iCs/>
          <w:sz w:val="24"/>
          <w:szCs w:val="24"/>
        </w:rPr>
        <w:t xml:space="preserve">Advanced Pharmaceutical Bulletin, 10 </w:t>
      </w:r>
      <w:r>
        <w:rPr>
          <w:rFonts w:ascii="Times New Roman" w:hAnsi="Times New Roman"/>
          <w:sz w:val="24"/>
          <w:szCs w:val="24"/>
        </w:rPr>
        <w:t>(2), 184–202. [https://doi.org/10.34172/apb.2020.023](https://doi.org/10.34172/apb.2020.023)</w:t>
      </w:r>
    </w:p>
    <w:p w14:paraId="65731F70"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Taysı</w:t>
      </w:r>
      <w:proofErr w:type="spellEnd"/>
      <w:r>
        <w:rPr>
          <w:rFonts w:ascii="Times New Roman" w:hAnsi="Times New Roman"/>
          <w:sz w:val="24"/>
          <w:szCs w:val="24"/>
        </w:rPr>
        <w:t xml:space="preserve">, M. R. (2024). Assessing the effects of cadmium on antioxidant enzymes and histological structures in rainbow trout liver and kidney. </w:t>
      </w:r>
      <w:r>
        <w:rPr>
          <w:rFonts w:ascii="Times New Roman" w:hAnsi="Times New Roman"/>
          <w:i/>
          <w:iCs/>
          <w:sz w:val="24"/>
          <w:szCs w:val="24"/>
        </w:rPr>
        <w:t xml:space="preserve">Scientific Reports, 14 </w:t>
      </w:r>
      <w:r>
        <w:rPr>
          <w:rFonts w:ascii="Times New Roman" w:hAnsi="Times New Roman"/>
          <w:sz w:val="24"/>
          <w:szCs w:val="24"/>
        </w:rPr>
        <w:t>(1), 27453. [https://doi.org/10.1038/s41598-024-78835-z](https://doi.org/10.1038/s41598-024-78835-z)</w:t>
      </w:r>
    </w:p>
    <w:p w14:paraId="0C89EDEC"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Green, A. J., Hoyo, C., Mattingly, C. J., Luo, Y., Tzeng, J. Y., Murphy, S. K., Buchwalter, D. B., &amp; </w:t>
      </w:r>
      <w:proofErr w:type="spellStart"/>
      <w:r>
        <w:rPr>
          <w:rFonts w:ascii="Times New Roman" w:hAnsi="Times New Roman"/>
          <w:sz w:val="24"/>
          <w:szCs w:val="24"/>
        </w:rPr>
        <w:t>Planchart</w:t>
      </w:r>
      <w:proofErr w:type="spellEnd"/>
      <w:r>
        <w:rPr>
          <w:rFonts w:ascii="Times New Roman" w:hAnsi="Times New Roman"/>
          <w:sz w:val="24"/>
          <w:szCs w:val="24"/>
        </w:rPr>
        <w:t xml:space="preserve">, A. (2018). Cadmium exposure increases the risk of juvenile obesity: A human and zebrafish comparative study. </w:t>
      </w:r>
      <w:r>
        <w:rPr>
          <w:rFonts w:ascii="Times New Roman" w:hAnsi="Times New Roman"/>
          <w:i/>
          <w:iCs/>
          <w:sz w:val="24"/>
          <w:szCs w:val="24"/>
        </w:rPr>
        <w:t xml:space="preserve">International Journal of Obesity, 42 </w:t>
      </w:r>
      <w:r>
        <w:rPr>
          <w:rFonts w:ascii="Times New Roman" w:hAnsi="Times New Roman"/>
          <w:sz w:val="24"/>
          <w:szCs w:val="24"/>
        </w:rPr>
        <w:t>(7), 1285–1295. [https://doi.org/10.1038/s41366-018-0036-y](https://doi.org/10.1038/s41366-018-0036-y)</w:t>
      </w:r>
    </w:p>
    <w:p w14:paraId="22792F3C"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Ajanaku, C. O., </w:t>
      </w:r>
      <w:proofErr w:type="spellStart"/>
      <w:r>
        <w:rPr>
          <w:rFonts w:ascii="Times New Roman" w:hAnsi="Times New Roman"/>
          <w:sz w:val="24"/>
          <w:szCs w:val="24"/>
        </w:rPr>
        <w:t>Ademosun</w:t>
      </w:r>
      <w:proofErr w:type="spellEnd"/>
      <w:r>
        <w:rPr>
          <w:rFonts w:ascii="Times New Roman" w:hAnsi="Times New Roman"/>
          <w:sz w:val="24"/>
          <w:szCs w:val="24"/>
        </w:rPr>
        <w:t xml:space="preserve">, O. T., </w:t>
      </w:r>
      <w:proofErr w:type="spellStart"/>
      <w:r>
        <w:rPr>
          <w:rFonts w:ascii="Times New Roman" w:hAnsi="Times New Roman"/>
          <w:sz w:val="24"/>
          <w:szCs w:val="24"/>
        </w:rPr>
        <w:t>Atohengbe</w:t>
      </w:r>
      <w:proofErr w:type="spellEnd"/>
      <w:r>
        <w:rPr>
          <w:rFonts w:ascii="Times New Roman" w:hAnsi="Times New Roman"/>
          <w:sz w:val="24"/>
          <w:szCs w:val="24"/>
        </w:rPr>
        <w:t xml:space="preserve">, P. O., Ajayi, S. O., Obafemi, Y. D., Owolabi, O. A., </w:t>
      </w:r>
      <w:proofErr w:type="spellStart"/>
      <w:r>
        <w:rPr>
          <w:rFonts w:ascii="Times New Roman" w:hAnsi="Times New Roman"/>
          <w:sz w:val="24"/>
          <w:szCs w:val="24"/>
        </w:rPr>
        <w:t>Akinduti</w:t>
      </w:r>
      <w:proofErr w:type="spellEnd"/>
      <w:r>
        <w:rPr>
          <w:rFonts w:ascii="Times New Roman" w:hAnsi="Times New Roman"/>
          <w:sz w:val="24"/>
          <w:szCs w:val="24"/>
        </w:rPr>
        <w:t xml:space="preserve">, P. A., &amp; Ajanaku, K. O. (2022). Functional bioactive compounds in ginger, turmeric, and garlic. </w:t>
      </w:r>
      <w:r>
        <w:rPr>
          <w:rFonts w:ascii="Times New Roman" w:hAnsi="Times New Roman"/>
          <w:i/>
          <w:iCs/>
          <w:sz w:val="24"/>
          <w:szCs w:val="24"/>
        </w:rPr>
        <w:t>Frontiers in Nutrition, 9</w:t>
      </w:r>
      <w:r>
        <w:rPr>
          <w:rFonts w:ascii="Times New Roman" w:hAnsi="Times New Roman"/>
          <w:sz w:val="24"/>
          <w:szCs w:val="24"/>
        </w:rPr>
        <w:t>, 1012023. [https://doi.org/10.3389/fnut.2022.1012023](https://doi.org/10.3389/fnut.2022.1012023)</w:t>
      </w:r>
    </w:p>
    <w:p w14:paraId="1E15C2A0" w14:textId="644E4053" w:rsidR="00F940A4" w:rsidRDefault="00825325">
      <w:pPr>
        <w:spacing w:line="240" w:lineRule="auto"/>
        <w:jc w:val="both"/>
        <w:rPr>
          <w:rFonts w:ascii="Times New Roman" w:hAnsi="Times New Roman"/>
          <w:sz w:val="24"/>
          <w:szCs w:val="24"/>
        </w:rPr>
      </w:pPr>
      <w:r>
        <w:rPr>
          <w:rFonts w:ascii="Times New Roman" w:hAnsi="Times New Roman"/>
          <w:sz w:val="24"/>
          <w:szCs w:val="24"/>
        </w:rPr>
        <w:lastRenderedPageBreak/>
        <w:t xml:space="preserve">Ballester, P., </w:t>
      </w:r>
      <w:proofErr w:type="spellStart"/>
      <w:r>
        <w:rPr>
          <w:rFonts w:ascii="Times New Roman" w:hAnsi="Times New Roman"/>
          <w:sz w:val="24"/>
          <w:szCs w:val="24"/>
        </w:rPr>
        <w:t>Cerdá</w:t>
      </w:r>
      <w:proofErr w:type="spellEnd"/>
      <w:r>
        <w:rPr>
          <w:rFonts w:ascii="Times New Roman" w:hAnsi="Times New Roman"/>
          <w:sz w:val="24"/>
          <w:szCs w:val="24"/>
        </w:rPr>
        <w:t xml:space="preserve">, B., Arcusa, R., García-Muñoz, A. M., </w:t>
      </w:r>
      <w:proofErr w:type="spellStart"/>
      <w:r>
        <w:rPr>
          <w:rFonts w:ascii="Times New Roman" w:hAnsi="Times New Roman"/>
          <w:sz w:val="24"/>
          <w:szCs w:val="24"/>
        </w:rPr>
        <w:t>Marhuenda</w:t>
      </w:r>
      <w:proofErr w:type="spellEnd"/>
      <w:r>
        <w:rPr>
          <w:rFonts w:ascii="Times New Roman" w:hAnsi="Times New Roman"/>
          <w:sz w:val="24"/>
          <w:szCs w:val="24"/>
        </w:rPr>
        <w:t xml:space="preserve">, J., &amp; Zafrilla, P. (2023). Antioxidant activity in extracts from </w:t>
      </w:r>
      <w:proofErr w:type="spellStart"/>
      <w:r>
        <w:rPr>
          <w:rFonts w:ascii="Times New Roman" w:hAnsi="Times New Roman"/>
          <w:sz w:val="24"/>
          <w:szCs w:val="24"/>
        </w:rPr>
        <w:t>Zingiberaceae</w:t>
      </w:r>
      <w:proofErr w:type="spellEnd"/>
      <w:r>
        <w:rPr>
          <w:rFonts w:ascii="Times New Roman" w:hAnsi="Times New Roman"/>
          <w:sz w:val="24"/>
          <w:szCs w:val="24"/>
        </w:rPr>
        <w:t xml:space="preserve"> family: Cardamom, turmeric, and ginger. </w:t>
      </w:r>
      <w:r>
        <w:rPr>
          <w:rFonts w:ascii="Times New Roman" w:hAnsi="Times New Roman"/>
          <w:i/>
          <w:iCs/>
          <w:sz w:val="24"/>
          <w:szCs w:val="24"/>
        </w:rPr>
        <w:t xml:space="preserve">Molecules, 28 </w:t>
      </w:r>
      <w:r>
        <w:rPr>
          <w:rFonts w:ascii="Times New Roman" w:hAnsi="Times New Roman"/>
          <w:sz w:val="24"/>
          <w:szCs w:val="24"/>
        </w:rPr>
        <w:t>(10), 4024. [https://doi.org/10.3390/molecules28104024](</w:t>
      </w:r>
      <w:hyperlink r:id="rId13" w:history="1">
        <w:r w:rsidR="009D3432" w:rsidRPr="008113C6">
          <w:rPr>
            <w:rStyle w:val="Hyperlink"/>
            <w:sz w:val="24"/>
            <w:szCs w:val="24"/>
          </w:rPr>
          <w:t>https://doi.org/10.3390/molecules28104024</w:t>
        </w:r>
      </w:hyperlink>
      <w:r>
        <w:rPr>
          <w:rFonts w:ascii="Times New Roman" w:hAnsi="Times New Roman"/>
          <w:sz w:val="24"/>
          <w:szCs w:val="24"/>
        </w:rPr>
        <w:t>)</w:t>
      </w:r>
    </w:p>
    <w:p w14:paraId="246742FD" w14:textId="749246D3" w:rsidR="009D3432" w:rsidRDefault="009D3432">
      <w:pPr>
        <w:spacing w:line="240" w:lineRule="auto"/>
        <w:jc w:val="both"/>
        <w:rPr>
          <w:rFonts w:ascii="Times New Roman" w:hAnsi="Times New Roman"/>
          <w:sz w:val="24"/>
          <w:szCs w:val="24"/>
        </w:rPr>
      </w:pPr>
      <w:proofErr w:type="spellStart"/>
      <w:r w:rsidRPr="009D3432">
        <w:rPr>
          <w:rFonts w:ascii="Times New Roman" w:hAnsi="Times New Roman"/>
          <w:sz w:val="24"/>
          <w:szCs w:val="24"/>
        </w:rPr>
        <w:t>Khaleel</w:t>
      </w:r>
      <w:proofErr w:type="spellEnd"/>
      <w:r w:rsidRPr="009D3432">
        <w:rPr>
          <w:rFonts w:ascii="Times New Roman" w:hAnsi="Times New Roman"/>
          <w:sz w:val="24"/>
          <w:szCs w:val="24"/>
        </w:rPr>
        <w:t xml:space="preserve">, H.K., </w:t>
      </w:r>
      <w:r>
        <w:rPr>
          <w:rFonts w:ascii="Times New Roman" w:hAnsi="Times New Roman"/>
          <w:sz w:val="24"/>
          <w:szCs w:val="24"/>
        </w:rPr>
        <w:t>(</w:t>
      </w:r>
      <w:r w:rsidRPr="009D3432">
        <w:rPr>
          <w:rFonts w:ascii="Times New Roman" w:hAnsi="Times New Roman"/>
          <w:sz w:val="24"/>
          <w:szCs w:val="24"/>
        </w:rPr>
        <w:t>2019</w:t>
      </w:r>
      <w:r>
        <w:rPr>
          <w:rFonts w:ascii="Times New Roman" w:hAnsi="Times New Roman"/>
          <w:sz w:val="24"/>
          <w:szCs w:val="24"/>
        </w:rPr>
        <w:t>)</w:t>
      </w:r>
      <w:r w:rsidRPr="009D3432">
        <w:rPr>
          <w:rFonts w:ascii="Times New Roman" w:hAnsi="Times New Roman"/>
          <w:sz w:val="24"/>
          <w:szCs w:val="24"/>
        </w:rPr>
        <w:t xml:space="preserve">. Investigating the Histological Changes in Heart, Lung, Liver and Kidney of Male Albino Mice Treated with </w:t>
      </w:r>
      <w:proofErr w:type="spellStart"/>
      <w:r w:rsidRPr="009D3432">
        <w:rPr>
          <w:rFonts w:ascii="Times New Roman" w:hAnsi="Times New Roman"/>
          <w:sz w:val="24"/>
          <w:szCs w:val="24"/>
        </w:rPr>
        <w:t>Ivabradine</w:t>
      </w:r>
      <w:proofErr w:type="spellEnd"/>
      <w:r w:rsidRPr="009D3432">
        <w:rPr>
          <w:rFonts w:ascii="Times New Roman" w:hAnsi="Times New Roman"/>
          <w:sz w:val="24"/>
          <w:szCs w:val="24"/>
        </w:rPr>
        <w:t>. Baghdad Science Journal, 16</w:t>
      </w:r>
      <w:r>
        <w:rPr>
          <w:rFonts w:ascii="Times New Roman" w:hAnsi="Times New Roman"/>
          <w:sz w:val="24"/>
          <w:szCs w:val="24"/>
        </w:rPr>
        <w:t xml:space="preserve"> </w:t>
      </w:r>
      <w:r w:rsidR="00A15FCA">
        <w:rPr>
          <w:rFonts w:ascii="Times New Roman" w:hAnsi="Times New Roman"/>
          <w:sz w:val="24"/>
          <w:szCs w:val="24"/>
        </w:rPr>
        <w:t xml:space="preserve">(3 (Suppl.)), </w:t>
      </w:r>
      <w:r w:rsidRPr="009D3432">
        <w:rPr>
          <w:rFonts w:ascii="Times New Roman" w:hAnsi="Times New Roman"/>
          <w:sz w:val="24"/>
          <w:szCs w:val="24"/>
        </w:rPr>
        <w:t>0719-0719.</w:t>
      </w:r>
      <w:r w:rsidR="00465FE8">
        <w:rPr>
          <w:rFonts w:ascii="Times New Roman" w:hAnsi="Times New Roman"/>
          <w:sz w:val="24"/>
          <w:szCs w:val="24"/>
        </w:rPr>
        <w:t xml:space="preserve"> </w:t>
      </w:r>
      <w:hyperlink r:id="rId14" w:history="1">
        <w:r w:rsidR="00465FE8" w:rsidRPr="008113C6">
          <w:rPr>
            <w:rStyle w:val="Hyperlink"/>
            <w:sz w:val="24"/>
            <w:szCs w:val="24"/>
          </w:rPr>
          <w:t>https://doi.org/10.21123/bsj.2019.16.3(Suppl.).0719</w:t>
        </w:r>
      </w:hyperlink>
      <w:r w:rsidR="00465FE8">
        <w:rPr>
          <w:rFonts w:ascii="Times New Roman" w:hAnsi="Times New Roman"/>
          <w:sz w:val="24"/>
          <w:szCs w:val="24"/>
        </w:rPr>
        <w:t xml:space="preserve"> </w:t>
      </w:r>
    </w:p>
    <w:p w14:paraId="43D845F2"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Anyiom</w:t>
      </w:r>
      <w:proofErr w:type="spellEnd"/>
      <w:r>
        <w:rPr>
          <w:rFonts w:ascii="Times New Roman" w:hAnsi="Times New Roman"/>
          <w:sz w:val="24"/>
          <w:szCs w:val="24"/>
        </w:rPr>
        <w:t xml:space="preserve">, O. P., Aniah, J., Okolo, R. U., </w:t>
      </w:r>
      <w:proofErr w:type="spellStart"/>
      <w:r>
        <w:rPr>
          <w:rFonts w:ascii="Times New Roman" w:hAnsi="Times New Roman"/>
          <w:sz w:val="24"/>
          <w:szCs w:val="24"/>
        </w:rPr>
        <w:t>Abue</w:t>
      </w:r>
      <w:proofErr w:type="spellEnd"/>
      <w:r>
        <w:rPr>
          <w:rFonts w:ascii="Times New Roman" w:hAnsi="Times New Roman"/>
          <w:sz w:val="24"/>
          <w:szCs w:val="24"/>
        </w:rPr>
        <w:t xml:space="preserve">, A. D., </w:t>
      </w:r>
      <w:proofErr w:type="spellStart"/>
      <w:r>
        <w:rPr>
          <w:rFonts w:ascii="Times New Roman" w:hAnsi="Times New Roman"/>
          <w:sz w:val="24"/>
          <w:szCs w:val="24"/>
        </w:rPr>
        <w:t>Eweoya</w:t>
      </w:r>
      <w:proofErr w:type="spellEnd"/>
      <w:r>
        <w:rPr>
          <w:rFonts w:ascii="Times New Roman" w:hAnsi="Times New Roman"/>
          <w:sz w:val="24"/>
          <w:szCs w:val="24"/>
        </w:rPr>
        <w:t xml:space="preserve">, G., </w:t>
      </w:r>
      <w:proofErr w:type="spellStart"/>
      <w:r>
        <w:rPr>
          <w:rFonts w:ascii="Times New Roman" w:hAnsi="Times New Roman"/>
          <w:sz w:val="24"/>
          <w:szCs w:val="24"/>
        </w:rPr>
        <w:t>Ugbaka</w:t>
      </w:r>
      <w:proofErr w:type="spellEnd"/>
      <w:r>
        <w:rPr>
          <w:rFonts w:ascii="Times New Roman" w:hAnsi="Times New Roman"/>
          <w:sz w:val="24"/>
          <w:szCs w:val="24"/>
        </w:rPr>
        <w:t xml:space="preserve">, A. C., &amp; Odom, E. I. (2024). High doses of ketamine inflict myocardial injury and cause changes in the relative body weight to heart of adult albino Wistar rats. </w:t>
      </w:r>
      <w:r>
        <w:rPr>
          <w:rFonts w:ascii="Times New Roman" w:hAnsi="Times New Roman"/>
          <w:i/>
          <w:iCs/>
          <w:sz w:val="24"/>
          <w:szCs w:val="24"/>
        </w:rPr>
        <w:t xml:space="preserve">Asian Journal of Pharmaceutical and Clinical Research, 17 </w:t>
      </w:r>
      <w:r>
        <w:rPr>
          <w:rFonts w:ascii="Times New Roman" w:hAnsi="Times New Roman"/>
          <w:sz w:val="24"/>
          <w:szCs w:val="24"/>
        </w:rPr>
        <w:t>(3). [https://doi.org/10.22159/ajpcr.2024.v17i3.49464](https://doi.org/10.22159/ajpcr.2024.v17i3.49464)</w:t>
      </w:r>
    </w:p>
    <w:p w14:paraId="5B003C3D"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Sun, M., &amp; Zigman, S. (1978). An improved spectrophotometric assay of superoxide dismutase based on epinephrine antioxidation. </w:t>
      </w:r>
      <w:r>
        <w:rPr>
          <w:rFonts w:ascii="Times New Roman" w:hAnsi="Times New Roman"/>
          <w:i/>
          <w:iCs/>
          <w:sz w:val="24"/>
          <w:szCs w:val="24"/>
        </w:rPr>
        <w:t xml:space="preserve">Analytical Biochemistry, 90 </w:t>
      </w:r>
      <w:r>
        <w:rPr>
          <w:rFonts w:ascii="Times New Roman" w:hAnsi="Times New Roman"/>
          <w:sz w:val="24"/>
          <w:szCs w:val="24"/>
        </w:rPr>
        <w:t>(1), 81–89. [https://doi.org/10.1016/0003-</w:t>
      </w:r>
      <w:proofErr w:type="gramStart"/>
      <w:r>
        <w:rPr>
          <w:rFonts w:ascii="Times New Roman" w:hAnsi="Times New Roman"/>
          <w:sz w:val="24"/>
          <w:szCs w:val="24"/>
        </w:rPr>
        <w:t>2697(</w:t>
      </w:r>
      <w:proofErr w:type="gramEnd"/>
      <w:r>
        <w:rPr>
          <w:rFonts w:ascii="Times New Roman" w:hAnsi="Times New Roman"/>
          <w:sz w:val="24"/>
          <w:szCs w:val="24"/>
        </w:rPr>
        <w:t>78)90010-6](https://doi.org/10.1016/0003-2697%2878%2990010-6)</w:t>
      </w:r>
    </w:p>
    <w:p w14:paraId="3313DC82"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Sinha, A. K. (1972). Colorimetric assay of catalase. Analytical Biochemistry, 47 (2), 389–394. [https://doi.org/10.1016/0003-</w:t>
      </w:r>
      <w:proofErr w:type="gramStart"/>
      <w:r>
        <w:rPr>
          <w:rFonts w:ascii="Times New Roman" w:hAnsi="Times New Roman"/>
          <w:sz w:val="24"/>
          <w:szCs w:val="24"/>
        </w:rPr>
        <w:t>2697(</w:t>
      </w:r>
      <w:proofErr w:type="gramEnd"/>
      <w:r>
        <w:rPr>
          <w:rFonts w:ascii="Times New Roman" w:hAnsi="Times New Roman"/>
          <w:sz w:val="24"/>
          <w:szCs w:val="24"/>
        </w:rPr>
        <w:t>72)90132-7](https://doi.org/10.1016/0003-2697%2872%2990132-7)</w:t>
      </w:r>
    </w:p>
    <w:p w14:paraId="1BFF33BB"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Rotruck, J. T., Pope, A. L., Ganther, H. E., Swanson, A. B., Hafeman, D. G., &amp; Hoekstra, W. G. (1973). Selenium: Biochemical role as a component of glutathione peroxidase. </w:t>
      </w:r>
      <w:r>
        <w:rPr>
          <w:rFonts w:ascii="Times New Roman" w:hAnsi="Times New Roman"/>
          <w:i/>
          <w:iCs/>
          <w:sz w:val="24"/>
          <w:szCs w:val="24"/>
        </w:rPr>
        <w:t xml:space="preserve">Science, 179 </w:t>
      </w:r>
      <w:r>
        <w:rPr>
          <w:rFonts w:ascii="Times New Roman" w:hAnsi="Times New Roman"/>
          <w:sz w:val="24"/>
          <w:szCs w:val="24"/>
        </w:rPr>
        <w:t>(4073), 588–590. [https://doi.org/10.1126/science.179.4073.588](https://doi.org/10.1126/science.179.4073.588)</w:t>
      </w:r>
    </w:p>
    <w:p w14:paraId="287051DF"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Buege, J. A., &amp; Aust, S. D. (1978). Microsomal lipid peroxidation. In </w:t>
      </w:r>
      <w:r>
        <w:rPr>
          <w:rFonts w:ascii="Times New Roman" w:hAnsi="Times New Roman"/>
          <w:i/>
          <w:iCs/>
          <w:sz w:val="24"/>
          <w:szCs w:val="24"/>
        </w:rPr>
        <w:t xml:space="preserve">Methods in Enzymology </w:t>
      </w:r>
      <w:r>
        <w:rPr>
          <w:rFonts w:ascii="Times New Roman" w:hAnsi="Times New Roman"/>
          <w:sz w:val="24"/>
          <w:szCs w:val="24"/>
        </w:rPr>
        <w:t>(Vol. 52, pp. 302–310). Academic Press. [https://doi.org/10.1016/S0076-</w:t>
      </w:r>
      <w:proofErr w:type="gramStart"/>
      <w:r>
        <w:rPr>
          <w:rFonts w:ascii="Times New Roman" w:hAnsi="Times New Roman"/>
          <w:sz w:val="24"/>
          <w:szCs w:val="24"/>
        </w:rPr>
        <w:t>6879(</w:t>
      </w:r>
      <w:proofErr w:type="gramEnd"/>
      <w:r>
        <w:rPr>
          <w:rFonts w:ascii="Times New Roman" w:hAnsi="Times New Roman"/>
          <w:sz w:val="24"/>
          <w:szCs w:val="24"/>
        </w:rPr>
        <w:t>78)52032-6](https://doi.org/10.1016/S0076-6879%2878%2952032-6)</w:t>
      </w:r>
    </w:p>
    <w:p w14:paraId="78018FAE"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Agim, A., Agaba, E., Ujah, W. O., </w:t>
      </w:r>
      <w:proofErr w:type="spellStart"/>
      <w:r>
        <w:rPr>
          <w:rFonts w:ascii="Times New Roman" w:hAnsi="Times New Roman"/>
          <w:sz w:val="24"/>
          <w:szCs w:val="24"/>
        </w:rPr>
        <w:t>Enang</w:t>
      </w:r>
      <w:proofErr w:type="spellEnd"/>
      <w:r>
        <w:rPr>
          <w:rFonts w:ascii="Times New Roman" w:hAnsi="Times New Roman"/>
          <w:sz w:val="24"/>
          <w:szCs w:val="24"/>
        </w:rPr>
        <w:t xml:space="preserve">, K. B., Fischer, V. A., Odom, E. I., &amp; Adie, C. U. (2025a). Protective effects of flavonoids-rich and saponins-rich extracts from </w:t>
      </w:r>
      <w:r>
        <w:rPr>
          <w:rFonts w:ascii="Times New Roman" w:hAnsi="Times New Roman"/>
          <w:i/>
          <w:iCs/>
          <w:sz w:val="24"/>
          <w:szCs w:val="24"/>
        </w:rPr>
        <w:t xml:space="preserve">Cyperus esculentus </w:t>
      </w:r>
      <w:r>
        <w:rPr>
          <w:rFonts w:ascii="Times New Roman" w:hAnsi="Times New Roman"/>
          <w:sz w:val="24"/>
          <w:szCs w:val="24"/>
        </w:rPr>
        <w:t xml:space="preserve">and </w:t>
      </w:r>
      <w:r>
        <w:rPr>
          <w:rFonts w:ascii="Times New Roman" w:hAnsi="Times New Roman"/>
          <w:i/>
          <w:iCs/>
          <w:sz w:val="24"/>
          <w:szCs w:val="24"/>
        </w:rPr>
        <w:t xml:space="preserve">Phoenix dactylifera </w:t>
      </w:r>
      <w:r>
        <w:rPr>
          <w:rFonts w:ascii="Times New Roman" w:hAnsi="Times New Roman"/>
          <w:sz w:val="24"/>
          <w:szCs w:val="24"/>
        </w:rPr>
        <w:t xml:space="preserve">on prostate histoarchitecture in aluminum-exposed Wistar rats. </w:t>
      </w:r>
      <w:r>
        <w:rPr>
          <w:rFonts w:ascii="Times New Roman" w:hAnsi="Times New Roman"/>
          <w:i/>
          <w:iCs/>
          <w:sz w:val="24"/>
          <w:szCs w:val="24"/>
        </w:rPr>
        <w:t xml:space="preserve">Journal of Complementary and Alternative Medical Research, 26 </w:t>
      </w:r>
      <w:r>
        <w:rPr>
          <w:rFonts w:ascii="Times New Roman" w:hAnsi="Times New Roman"/>
          <w:sz w:val="24"/>
          <w:szCs w:val="24"/>
        </w:rPr>
        <w:t>(1), 1–11. [https://doi.org/10.9734/jocamr/2025/v26i1610](https://doi.org/10.9734/jocamr/2025/v26i1610)</w:t>
      </w:r>
    </w:p>
    <w:p w14:paraId="6EF204D6"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Agim, A., Agaba, E., Ujah, W. O., Anani, S. E., Umoh, N. M., Oku, M., Odom, E. I., </w:t>
      </w:r>
      <w:proofErr w:type="spellStart"/>
      <w:r>
        <w:rPr>
          <w:rFonts w:ascii="Times New Roman" w:hAnsi="Times New Roman"/>
          <w:sz w:val="24"/>
          <w:szCs w:val="24"/>
        </w:rPr>
        <w:t>Eru</w:t>
      </w:r>
      <w:proofErr w:type="spellEnd"/>
      <w:r>
        <w:rPr>
          <w:rFonts w:ascii="Times New Roman" w:hAnsi="Times New Roman"/>
          <w:sz w:val="24"/>
          <w:szCs w:val="24"/>
        </w:rPr>
        <w:t xml:space="preserve">, M. E., &amp; </w:t>
      </w:r>
      <w:proofErr w:type="spellStart"/>
      <w:r>
        <w:rPr>
          <w:rFonts w:ascii="Times New Roman" w:hAnsi="Times New Roman"/>
          <w:sz w:val="24"/>
          <w:szCs w:val="24"/>
        </w:rPr>
        <w:t>Onose</w:t>
      </w:r>
      <w:proofErr w:type="spellEnd"/>
      <w:r>
        <w:rPr>
          <w:rFonts w:ascii="Times New Roman" w:hAnsi="Times New Roman"/>
          <w:sz w:val="24"/>
          <w:szCs w:val="24"/>
        </w:rPr>
        <w:t xml:space="preserve">, I. F. (2025b). Protective effects of flavonoid-rich and saponin-rich fractions from </w:t>
      </w:r>
      <w:r>
        <w:rPr>
          <w:rFonts w:ascii="Times New Roman" w:hAnsi="Times New Roman"/>
          <w:i/>
          <w:iCs/>
          <w:sz w:val="24"/>
          <w:szCs w:val="24"/>
        </w:rPr>
        <w:t>Cyperus esculentus</w:t>
      </w:r>
      <w:r>
        <w:rPr>
          <w:rFonts w:ascii="Times New Roman" w:hAnsi="Times New Roman"/>
          <w:sz w:val="24"/>
          <w:szCs w:val="24"/>
        </w:rPr>
        <w:t xml:space="preserve"> and </w:t>
      </w:r>
      <w:r>
        <w:rPr>
          <w:rFonts w:ascii="Times New Roman" w:hAnsi="Times New Roman"/>
          <w:i/>
          <w:iCs/>
          <w:sz w:val="24"/>
          <w:szCs w:val="24"/>
        </w:rPr>
        <w:t>Phoenix dactylifera</w:t>
      </w:r>
      <w:r>
        <w:rPr>
          <w:rFonts w:ascii="Times New Roman" w:hAnsi="Times New Roman"/>
          <w:sz w:val="24"/>
          <w:szCs w:val="24"/>
        </w:rPr>
        <w:t xml:space="preserve"> on aluminum chloride-induced testicular damage in male Wistar rats. </w:t>
      </w:r>
      <w:r>
        <w:rPr>
          <w:rFonts w:ascii="Times New Roman" w:hAnsi="Times New Roman"/>
          <w:i/>
          <w:iCs/>
          <w:sz w:val="24"/>
          <w:szCs w:val="24"/>
        </w:rPr>
        <w:t xml:space="preserve">Journal of Complementary and Alternative Medical Research, 26 </w:t>
      </w:r>
      <w:r>
        <w:rPr>
          <w:rFonts w:ascii="Times New Roman" w:hAnsi="Times New Roman"/>
          <w:sz w:val="24"/>
          <w:szCs w:val="24"/>
        </w:rPr>
        <w:t>(3), 18–34. [https://doi.org/10.9734/jocamr/2025/v26i3632](https://doi.org/10.9734/jocamr/2025/v26i3632)</w:t>
      </w:r>
    </w:p>
    <w:p w14:paraId="55B0850B"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Isamoh</w:t>
      </w:r>
      <w:proofErr w:type="spellEnd"/>
      <w:r>
        <w:rPr>
          <w:rFonts w:ascii="Times New Roman" w:hAnsi="Times New Roman"/>
          <w:sz w:val="24"/>
          <w:szCs w:val="24"/>
        </w:rPr>
        <w:t xml:space="preserve">, T. E., Anani, S. E., Umoh, N. M., Oku, M. E., Mba, E. E., Agaba, E., Williams, N., &amp; Odom, E. I. (2024a). Neuroprotective effects of </w:t>
      </w:r>
      <w:proofErr w:type="spellStart"/>
      <w:r>
        <w:rPr>
          <w:rFonts w:ascii="Times New Roman" w:hAnsi="Times New Roman"/>
          <w:i/>
          <w:iCs/>
          <w:sz w:val="24"/>
          <w:szCs w:val="24"/>
        </w:rPr>
        <w:t>Heinsia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crinita</w:t>
      </w:r>
      <w:proofErr w:type="spellEnd"/>
      <w:r>
        <w:rPr>
          <w:rFonts w:ascii="Times New Roman" w:hAnsi="Times New Roman"/>
          <w:i/>
          <w:iCs/>
          <w:sz w:val="24"/>
          <w:szCs w:val="24"/>
        </w:rPr>
        <w:t xml:space="preserve"> </w:t>
      </w:r>
      <w:r>
        <w:rPr>
          <w:rFonts w:ascii="Times New Roman" w:hAnsi="Times New Roman"/>
          <w:sz w:val="24"/>
          <w:szCs w:val="24"/>
        </w:rPr>
        <w:t xml:space="preserve">and coconut water in a scopolamine-induced Alzheimer’s model in albino rats: Biochemical changes, cellular health, </w:t>
      </w:r>
      <w:r>
        <w:rPr>
          <w:rFonts w:ascii="Times New Roman" w:hAnsi="Times New Roman"/>
          <w:sz w:val="24"/>
          <w:szCs w:val="24"/>
        </w:rPr>
        <w:lastRenderedPageBreak/>
        <w:t xml:space="preserve">and neuronal activity. </w:t>
      </w:r>
      <w:r>
        <w:rPr>
          <w:rFonts w:ascii="Times New Roman" w:hAnsi="Times New Roman"/>
          <w:i/>
          <w:iCs/>
          <w:sz w:val="24"/>
          <w:szCs w:val="24"/>
        </w:rPr>
        <w:t xml:space="preserve">Journal of Complementary and Alternative Medical Research, 25 </w:t>
      </w:r>
      <w:r>
        <w:rPr>
          <w:rFonts w:ascii="Times New Roman" w:hAnsi="Times New Roman"/>
          <w:sz w:val="24"/>
          <w:szCs w:val="24"/>
        </w:rPr>
        <w:t>(11), 38–56. [https://doi.org/10.9734/jocamr/2024/v25i11582](https://doi.org/10.9734/jocamr/2024/v25i11582)</w:t>
      </w:r>
    </w:p>
    <w:p w14:paraId="6FECE836" w14:textId="77777777" w:rsidR="00F940A4" w:rsidRDefault="00825325">
      <w:pPr>
        <w:spacing w:line="240" w:lineRule="auto"/>
        <w:jc w:val="both"/>
        <w:rPr>
          <w:rFonts w:ascii="Times New Roman" w:hAnsi="Times New Roman"/>
          <w:sz w:val="24"/>
          <w:szCs w:val="24"/>
        </w:rPr>
      </w:pPr>
      <w:r>
        <w:rPr>
          <w:rFonts w:ascii="Times New Roman" w:hAnsi="Times New Roman"/>
          <w:sz w:val="24"/>
          <w:szCs w:val="24"/>
        </w:rPr>
        <w:t xml:space="preserve">Umoh, N. M., Odey, P. A., Williams, N., Mba, E. E., Anani, S., Oku, M., Odom, E. I., Okon, A., &amp; Francis, C. O. (2024). </w:t>
      </w:r>
      <w:proofErr w:type="spellStart"/>
      <w:r>
        <w:rPr>
          <w:rFonts w:ascii="Times New Roman" w:hAnsi="Times New Roman"/>
          <w:sz w:val="24"/>
          <w:szCs w:val="24"/>
        </w:rPr>
        <w:t>Histomorphological</w:t>
      </w:r>
      <w:proofErr w:type="spellEnd"/>
      <w:r>
        <w:rPr>
          <w:rFonts w:ascii="Times New Roman" w:hAnsi="Times New Roman"/>
          <w:sz w:val="24"/>
          <w:szCs w:val="24"/>
        </w:rPr>
        <w:t xml:space="preserve"> assessment of adrenal glands in Wistar rats following myricetin treatment against MNU-induced oxidative stress. </w:t>
      </w:r>
      <w:r>
        <w:rPr>
          <w:rFonts w:ascii="Times New Roman" w:hAnsi="Times New Roman"/>
          <w:i/>
          <w:iCs/>
          <w:sz w:val="24"/>
          <w:szCs w:val="24"/>
        </w:rPr>
        <w:t xml:space="preserve">Journal of Complementary and Alternative Medical Research, 25 </w:t>
      </w:r>
      <w:r>
        <w:rPr>
          <w:rFonts w:ascii="Times New Roman" w:hAnsi="Times New Roman"/>
          <w:sz w:val="24"/>
          <w:szCs w:val="24"/>
        </w:rPr>
        <w:t>(12), 110–121. [https://doi.org/10.9734/jocamr/2024/v25i12600](https://doi.org/10.9734/jocamr/2024/v25i12600)</w:t>
      </w:r>
    </w:p>
    <w:p w14:paraId="6E954B10"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Isamoh</w:t>
      </w:r>
      <w:proofErr w:type="spellEnd"/>
      <w:r>
        <w:rPr>
          <w:rFonts w:ascii="Times New Roman" w:hAnsi="Times New Roman"/>
          <w:sz w:val="24"/>
          <w:szCs w:val="24"/>
        </w:rPr>
        <w:t xml:space="preserve">, T. E., Mba, E. E., Oku, M. E., Umoh, N. M., Odom, E. I., Peter, E., &amp; Umeh, P. N. (2025c). Gallic acid: A potential therapeutic agent for managing diabetes-associated neuroinflammation and cognitive decline. </w:t>
      </w:r>
      <w:r>
        <w:rPr>
          <w:rFonts w:ascii="Times New Roman" w:hAnsi="Times New Roman"/>
          <w:i/>
          <w:iCs/>
          <w:sz w:val="24"/>
          <w:szCs w:val="24"/>
        </w:rPr>
        <w:t xml:space="preserve">Nigerian Journal of Neuroscience, 16 </w:t>
      </w:r>
      <w:r>
        <w:rPr>
          <w:rFonts w:ascii="Times New Roman" w:hAnsi="Times New Roman"/>
          <w:sz w:val="24"/>
          <w:szCs w:val="24"/>
        </w:rPr>
        <w:t>(1), 1–7. [https://doi.org/10.47081/njn2025.16.1/001](https://doi.org/10.47081/njn2025.16.1/001)</w:t>
      </w:r>
    </w:p>
    <w:p w14:paraId="706D90EE" w14:textId="77777777" w:rsidR="00F940A4" w:rsidRDefault="00825325">
      <w:pPr>
        <w:spacing w:line="240" w:lineRule="auto"/>
        <w:jc w:val="both"/>
        <w:rPr>
          <w:rFonts w:ascii="Times New Roman" w:hAnsi="Times New Roman"/>
          <w:sz w:val="24"/>
          <w:szCs w:val="24"/>
        </w:rPr>
      </w:pPr>
      <w:proofErr w:type="spellStart"/>
      <w:r>
        <w:rPr>
          <w:rFonts w:ascii="Times New Roman" w:hAnsi="Times New Roman"/>
          <w:sz w:val="24"/>
          <w:szCs w:val="24"/>
        </w:rPr>
        <w:t>Isamoh</w:t>
      </w:r>
      <w:proofErr w:type="spellEnd"/>
      <w:r>
        <w:rPr>
          <w:rFonts w:ascii="Times New Roman" w:hAnsi="Times New Roman"/>
          <w:sz w:val="24"/>
          <w:szCs w:val="24"/>
        </w:rPr>
        <w:t xml:space="preserve">, T. E., </w:t>
      </w:r>
      <w:proofErr w:type="spellStart"/>
      <w:r>
        <w:rPr>
          <w:rFonts w:ascii="Times New Roman" w:hAnsi="Times New Roman"/>
          <w:sz w:val="24"/>
          <w:szCs w:val="24"/>
        </w:rPr>
        <w:t>Ikumosam</w:t>
      </w:r>
      <w:proofErr w:type="spellEnd"/>
      <w:r>
        <w:rPr>
          <w:rFonts w:ascii="Times New Roman" w:hAnsi="Times New Roman"/>
          <w:sz w:val="24"/>
          <w:szCs w:val="24"/>
        </w:rPr>
        <w:t xml:space="preserve">, F. P., Olanrewaju, J. A., Odom, E. I., Mba, E. E., Umoh, N. M., Anani, S. E., &amp; </w:t>
      </w:r>
      <w:proofErr w:type="spellStart"/>
      <w:r>
        <w:rPr>
          <w:rFonts w:ascii="Times New Roman" w:hAnsi="Times New Roman"/>
          <w:sz w:val="24"/>
          <w:szCs w:val="24"/>
        </w:rPr>
        <w:t>Onose</w:t>
      </w:r>
      <w:proofErr w:type="spellEnd"/>
      <w:r>
        <w:rPr>
          <w:rFonts w:ascii="Times New Roman" w:hAnsi="Times New Roman"/>
          <w:sz w:val="24"/>
          <w:szCs w:val="24"/>
        </w:rPr>
        <w:t xml:space="preserve">, I. F. (2024b). </w:t>
      </w:r>
      <w:r>
        <w:rPr>
          <w:rFonts w:ascii="Times New Roman" w:hAnsi="Times New Roman"/>
          <w:i/>
          <w:iCs/>
          <w:sz w:val="24"/>
          <w:szCs w:val="24"/>
        </w:rPr>
        <w:t xml:space="preserve">Ethanol extract of </w:t>
      </w:r>
      <w:proofErr w:type="spellStart"/>
      <w:r>
        <w:rPr>
          <w:rFonts w:ascii="Times New Roman" w:hAnsi="Times New Roman"/>
          <w:i/>
          <w:iCs/>
          <w:sz w:val="24"/>
          <w:szCs w:val="24"/>
        </w:rPr>
        <w:t>Stachytarpheta</w:t>
      </w:r>
      <w:proofErr w:type="spellEnd"/>
      <w:r>
        <w:rPr>
          <w:rFonts w:ascii="Times New Roman" w:hAnsi="Times New Roman"/>
          <w:i/>
          <w:iCs/>
          <w:sz w:val="24"/>
          <w:szCs w:val="24"/>
        </w:rPr>
        <w:t xml:space="preserve"> </w:t>
      </w:r>
      <w:proofErr w:type="spellStart"/>
      <w:r>
        <w:rPr>
          <w:rFonts w:ascii="Times New Roman" w:hAnsi="Times New Roman"/>
          <w:i/>
          <w:iCs/>
          <w:sz w:val="24"/>
          <w:szCs w:val="24"/>
        </w:rPr>
        <w:t>jamaicensis</w:t>
      </w:r>
      <w:proofErr w:type="spellEnd"/>
      <w:r>
        <w:rPr>
          <w:rFonts w:ascii="Times New Roman" w:hAnsi="Times New Roman"/>
          <w:i/>
          <w:iCs/>
          <w:sz w:val="24"/>
          <w:szCs w:val="24"/>
        </w:rPr>
        <w:t xml:space="preserve"> </w:t>
      </w:r>
      <w:r>
        <w:rPr>
          <w:rFonts w:ascii="Times New Roman" w:hAnsi="Times New Roman"/>
          <w:sz w:val="24"/>
          <w:szCs w:val="24"/>
        </w:rPr>
        <w:t xml:space="preserve">reduces lifespan shortening, oxidative stress, and neurotoxicity in transgenic </w:t>
      </w:r>
      <w:r>
        <w:rPr>
          <w:rFonts w:ascii="Times New Roman" w:hAnsi="Times New Roman"/>
          <w:i/>
          <w:iCs/>
          <w:sz w:val="24"/>
          <w:szCs w:val="24"/>
        </w:rPr>
        <w:t xml:space="preserve">Drosophila </w:t>
      </w:r>
      <w:r>
        <w:rPr>
          <w:rFonts w:ascii="Times New Roman" w:hAnsi="Times New Roman"/>
          <w:sz w:val="24"/>
          <w:szCs w:val="24"/>
        </w:rPr>
        <w:t xml:space="preserve">Parkinson’s disease model. </w:t>
      </w:r>
      <w:r>
        <w:rPr>
          <w:rFonts w:ascii="Times New Roman" w:hAnsi="Times New Roman"/>
          <w:i/>
          <w:iCs/>
          <w:sz w:val="24"/>
          <w:szCs w:val="24"/>
        </w:rPr>
        <w:t>Asian Journal of Research and Rep</w:t>
      </w:r>
      <w:bookmarkStart w:id="46" w:name="_GoBack"/>
      <w:bookmarkEnd w:id="46"/>
      <w:r>
        <w:rPr>
          <w:rFonts w:ascii="Times New Roman" w:hAnsi="Times New Roman"/>
          <w:i/>
          <w:iCs/>
          <w:sz w:val="24"/>
          <w:szCs w:val="24"/>
        </w:rPr>
        <w:t xml:space="preserve">orts in Neurology, 7 </w:t>
      </w:r>
      <w:r>
        <w:rPr>
          <w:rFonts w:ascii="Times New Roman" w:hAnsi="Times New Roman"/>
          <w:sz w:val="24"/>
          <w:szCs w:val="24"/>
        </w:rPr>
        <w:t>(1), 154–164. [https://www.journalajorrin.com/index.php/AJORRIN/article/view/112](https://www.journalajorrin.com/index.php/AJORRIN/article/view/112)</w:t>
      </w:r>
    </w:p>
    <w:p w14:paraId="365DFEDC" w14:textId="77777777" w:rsidR="00F940A4" w:rsidRDefault="00F940A4">
      <w:pPr>
        <w:spacing w:line="240" w:lineRule="auto"/>
        <w:jc w:val="both"/>
        <w:rPr>
          <w:rFonts w:ascii="Times New Roman" w:hAnsi="Times New Roman"/>
          <w:sz w:val="24"/>
          <w:szCs w:val="24"/>
        </w:rPr>
      </w:pPr>
    </w:p>
    <w:p w14:paraId="4F071643" w14:textId="77777777" w:rsidR="00F940A4" w:rsidRDefault="00F940A4">
      <w:pPr>
        <w:rPr>
          <w:rFonts w:ascii="Times New Roman" w:hAnsi="Times New Roman"/>
          <w:sz w:val="24"/>
          <w:szCs w:val="24"/>
        </w:rPr>
      </w:pPr>
    </w:p>
    <w:sectPr w:rsidR="00F940A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6-27T16:31:00Z" w:initials="Ma">
    <w:p w14:paraId="466C9869" w14:textId="4B66F148" w:rsidR="003E436F" w:rsidRDefault="003E436F">
      <w:pPr>
        <w:pStyle w:val="CommentText"/>
      </w:pPr>
      <w:r>
        <w:rPr>
          <w:rStyle w:val="CommentReference"/>
        </w:rPr>
        <w:annotationRef/>
      </w:r>
      <w:r>
        <w:t>Mention the type of administration</w:t>
      </w:r>
    </w:p>
  </w:comment>
  <w:comment w:id="1" w:author="Microsoft account" w:date="2025-06-27T16:29:00Z" w:initials="Ma">
    <w:p w14:paraId="3F7DFD85" w14:textId="175673D3" w:rsidR="00BD3472" w:rsidRDefault="00BD3472">
      <w:pPr>
        <w:pStyle w:val="CommentText"/>
      </w:pPr>
      <w:r>
        <w:rPr>
          <w:rStyle w:val="CommentReference"/>
        </w:rPr>
        <w:annotationRef/>
      </w:r>
      <w:r>
        <w:t>Rearranged alphabetically</w:t>
      </w:r>
    </w:p>
  </w:comment>
  <w:comment w:id="2" w:author="Microsoft account" w:date="2025-06-27T15:31:00Z" w:initials="Ma">
    <w:p w14:paraId="0B9027B3" w14:textId="37C9AD00" w:rsidR="00B50840" w:rsidRDefault="00B50840">
      <w:pPr>
        <w:pStyle w:val="CommentText"/>
      </w:pPr>
      <w:r>
        <w:rPr>
          <w:rStyle w:val="CommentReference"/>
        </w:rPr>
        <w:annotationRef/>
      </w:r>
      <w:proofErr w:type="gramStart"/>
      <w:r>
        <w:t>space</w:t>
      </w:r>
      <w:proofErr w:type="gramEnd"/>
    </w:p>
  </w:comment>
  <w:comment w:id="3" w:author="Microsoft account" w:date="2025-06-27T14:03:00Z" w:initials="Ma">
    <w:p w14:paraId="50114AF7" w14:textId="677B43F0" w:rsidR="00B50840" w:rsidRDefault="00B50840">
      <w:pPr>
        <w:pStyle w:val="CommentText"/>
      </w:pPr>
      <w:r>
        <w:rPr>
          <w:rStyle w:val="CommentReference"/>
        </w:rPr>
        <w:annotationRef/>
      </w:r>
      <w:r>
        <w:rPr>
          <w:rFonts w:ascii="Times New Roman" w:hAnsi="Times New Roman"/>
          <w:sz w:val="24"/>
          <w:szCs w:val="24"/>
        </w:rPr>
        <w:t xml:space="preserve">(Sharma </w:t>
      </w:r>
      <w:r>
        <w:rPr>
          <w:rFonts w:ascii="Times New Roman" w:hAnsi="Times New Roman"/>
          <w:i/>
          <w:iCs/>
          <w:sz w:val="24"/>
          <w:szCs w:val="24"/>
        </w:rPr>
        <w:t>et al.</w:t>
      </w:r>
      <w:r>
        <w:rPr>
          <w:rFonts w:ascii="Times New Roman" w:hAnsi="Times New Roman"/>
          <w:sz w:val="24"/>
          <w:szCs w:val="24"/>
        </w:rPr>
        <w:t xml:space="preserve">, 2023). </w:t>
      </w:r>
    </w:p>
  </w:comment>
  <w:comment w:id="4" w:author="Microsoft account" w:date="2025-06-27T15:33:00Z" w:initials="Ma">
    <w:p w14:paraId="4C1FD2B4" w14:textId="55D93017" w:rsidR="00B50840" w:rsidRDefault="00B50840">
      <w:pPr>
        <w:pStyle w:val="CommentText"/>
      </w:pPr>
      <w:r>
        <w:rPr>
          <w:rStyle w:val="CommentReference"/>
        </w:rPr>
        <w:annotationRef/>
      </w:r>
      <w:proofErr w:type="gramStart"/>
      <w:r>
        <w:t>space</w:t>
      </w:r>
      <w:proofErr w:type="gramEnd"/>
    </w:p>
  </w:comment>
  <w:comment w:id="5" w:author="Microsoft account" w:date="2025-06-27T15:32:00Z" w:initials="Ma">
    <w:p w14:paraId="71020AC6" w14:textId="7F27D657" w:rsidR="00B50840" w:rsidRDefault="00B50840">
      <w:pPr>
        <w:pStyle w:val="CommentText"/>
      </w:pPr>
      <w:r>
        <w:rPr>
          <w:rStyle w:val="CommentReference"/>
        </w:rPr>
        <w:annotationRef/>
      </w:r>
      <w:proofErr w:type="gramStart"/>
      <w:r>
        <w:t>space</w:t>
      </w:r>
      <w:proofErr w:type="gramEnd"/>
    </w:p>
  </w:comment>
  <w:comment w:id="6" w:author="Microsoft account" w:date="2025-06-27T13:59:00Z" w:initials="Ma">
    <w:p w14:paraId="78A19BEE" w14:textId="293AF9FB" w:rsidR="00B50840" w:rsidRDefault="00B50840">
      <w:pPr>
        <w:pStyle w:val="CommentText"/>
      </w:pPr>
      <w:r>
        <w:rPr>
          <w:rStyle w:val="CommentReference"/>
        </w:rPr>
        <w:annotationRef/>
      </w:r>
      <w:proofErr w:type="gramStart"/>
      <w:r>
        <w:t>using</w:t>
      </w:r>
      <w:proofErr w:type="gramEnd"/>
    </w:p>
  </w:comment>
  <w:comment w:id="7" w:author="Microsoft account" w:date="2025-06-27T14:02:00Z" w:initials="Ma">
    <w:p w14:paraId="7956D7F3" w14:textId="1A572CDA" w:rsidR="00B50840" w:rsidRDefault="00B50840">
      <w:pPr>
        <w:pStyle w:val="CommentText"/>
      </w:pPr>
      <w:r>
        <w:rPr>
          <w:rStyle w:val="CommentReference"/>
        </w:rPr>
        <w:annotationRef/>
      </w:r>
      <w:proofErr w:type="spellStart"/>
      <w:r>
        <w:rPr>
          <w:rFonts w:ascii="Times New Roman" w:hAnsi="Times New Roman"/>
          <w:sz w:val="24"/>
          <w:szCs w:val="24"/>
        </w:rPr>
        <w:t>Isamoh</w:t>
      </w:r>
      <w:proofErr w:type="spellEnd"/>
      <w:r>
        <w:rPr>
          <w:rFonts w:ascii="Times New Roman" w:hAnsi="Times New Roman"/>
          <w:sz w:val="24"/>
          <w:szCs w:val="24"/>
        </w:rPr>
        <w:t xml:space="preserve"> </w:t>
      </w:r>
      <w:r w:rsidRPr="00F07096">
        <w:rPr>
          <w:rFonts w:ascii="Times New Roman" w:hAnsi="Times New Roman"/>
          <w:i/>
          <w:iCs/>
          <w:sz w:val="24"/>
          <w:szCs w:val="24"/>
        </w:rPr>
        <w:t>et al</w:t>
      </w:r>
      <w:r>
        <w:rPr>
          <w:rFonts w:ascii="Times New Roman" w:hAnsi="Times New Roman"/>
          <w:sz w:val="24"/>
          <w:szCs w:val="24"/>
        </w:rPr>
        <w:t xml:space="preserve">., 2024;  </w:t>
      </w:r>
    </w:p>
  </w:comment>
  <w:comment w:id="8" w:author="Microsoft account" w:date="2025-06-27T15:32:00Z" w:initials="Ma">
    <w:p w14:paraId="68DA82FF" w14:textId="368185E1" w:rsidR="00B50840" w:rsidRDefault="00B50840">
      <w:pPr>
        <w:pStyle w:val="CommentText"/>
      </w:pPr>
      <w:r>
        <w:rPr>
          <w:rStyle w:val="CommentReference"/>
        </w:rPr>
        <w:annotationRef/>
      </w:r>
      <w:proofErr w:type="gramStart"/>
      <w:r>
        <w:t>space</w:t>
      </w:r>
      <w:proofErr w:type="gramEnd"/>
    </w:p>
  </w:comment>
  <w:comment w:id="9" w:author="Microsoft account" w:date="2025-06-27T15:32:00Z" w:initials="Ma">
    <w:p w14:paraId="438BD01F" w14:textId="78FB5CDE" w:rsidR="00B50840" w:rsidRDefault="00B50840">
      <w:pPr>
        <w:pStyle w:val="CommentText"/>
      </w:pPr>
      <w:r>
        <w:rPr>
          <w:rStyle w:val="CommentReference"/>
        </w:rPr>
        <w:annotationRef/>
      </w:r>
      <w:proofErr w:type="gramStart"/>
      <w:r>
        <w:t>space</w:t>
      </w:r>
      <w:proofErr w:type="gramEnd"/>
    </w:p>
  </w:comment>
  <w:comment w:id="10" w:author="Microsoft account" w:date="2025-06-27T14:00:00Z" w:initials="Ma">
    <w:p w14:paraId="4E469234" w14:textId="15421843" w:rsidR="00B50840" w:rsidRDefault="00B50840">
      <w:pPr>
        <w:pStyle w:val="CommentText"/>
      </w:pPr>
      <w:r>
        <w:rPr>
          <w:rStyle w:val="CommentReference"/>
        </w:rPr>
        <w:annotationRef/>
      </w:r>
      <w:r>
        <w:rPr>
          <w:rFonts w:ascii="Times New Roman" w:hAnsi="Times New Roman"/>
          <w:sz w:val="24"/>
          <w:szCs w:val="24"/>
        </w:rPr>
        <w:t>(</w:t>
      </w:r>
      <w:proofErr w:type="spellStart"/>
      <w:r>
        <w:rPr>
          <w:rFonts w:ascii="Times New Roman" w:hAnsi="Times New Roman"/>
          <w:sz w:val="24"/>
          <w:szCs w:val="24"/>
        </w:rPr>
        <w:t>Isamoh</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2024). </w:t>
      </w:r>
    </w:p>
  </w:comment>
  <w:comment w:id="11" w:author="Microsoft account" w:date="2025-06-27T15:32:00Z" w:initials="Ma">
    <w:p w14:paraId="19580FCE" w14:textId="0FF45004" w:rsidR="00B50840" w:rsidRDefault="00B50840">
      <w:pPr>
        <w:pStyle w:val="CommentText"/>
      </w:pPr>
      <w:r>
        <w:rPr>
          <w:rStyle w:val="CommentReference"/>
        </w:rPr>
        <w:annotationRef/>
      </w:r>
      <w:proofErr w:type="gramStart"/>
      <w:r>
        <w:t>space</w:t>
      </w:r>
      <w:proofErr w:type="gramEnd"/>
    </w:p>
  </w:comment>
  <w:comment w:id="12" w:author="Microsoft account" w:date="2025-06-27T14:13:00Z" w:initials="Ma">
    <w:p w14:paraId="481660BF" w14:textId="4384973C" w:rsidR="00B50840" w:rsidRDefault="00B50840">
      <w:pPr>
        <w:pStyle w:val="CommentText"/>
      </w:pPr>
      <w:r>
        <w:rPr>
          <w:rStyle w:val="CommentReference"/>
        </w:rPr>
        <w:annotationRef/>
      </w:r>
      <w:r>
        <w:rPr>
          <w:rFonts w:ascii="Times New Roman" w:hAnsi="Times New Roman"/>
          <w:sz w:val="24"/>
          <w:szCs w:val="24"/>
        </w:rPr>
        <w:t xml:space="preserve">(Green </w:t>
      </w:r>
      <w:r>
        <w:rPr>
          <w:rFonts w:ascii="Times New Roman" w:hAnsi="Times New Roman"/>
          <w:i/>
          <w:iCs/>
          <w:sz w:val="24"/>
          <w:szCs w:val="24"/>
        </w:rPr>
        <w:t>et al</w:t>
      </w:r>
      <w:proofErr w:type="gramStart"/>
      <w:r>
        <w:rPr>
          <w:rFonts w:ascii="Times New Roman" w:hAnsi="Times New Roman"/>
          <w:i/>
          <w:iCs/>
          <w:sz w:val="24"/>
          <w:szCs w:val="24"/>
        </w:rPr>
        <w:t>.,</w:t>
      </w:r>
      <w:proofErr w:type="gramEnd"/>
      <w:r>
        <w:rPr>
          <w:rFonts w:ascii="Times New Roman" w:hAnsi="Times New Roman"/>
          <w:sz w:val="24"/>
          <w:szCs w:val="24"/>
        </w:rPr>
        <w:t xml:space="preserve"> </w:t>
      </w:r>
    </w:p>
  </w:comment>
  <w:comment w:id="13" w:author="Microsoft account" w:date="2025-06-27T15:33:00Z" w:initials="Ma">
    <w:p w14:paraId="351392CF" w14:textId="093A6214" w:rsidR="00B50840" w:rsidRDefault="00B50840">
      <w:pPr>
        <w:pStyle w:val="CommentText"/>
      </w:pPr>
      <w:r>
        <w:rPr>
          <w:rStyle w:val="CommentReference"/>
        </w:rPr>
        <w:annotationRef/>
      </w:r>
      <w:proofErr w:type="gramStart"/>
      <w:r>
        <w:t>space</w:t>
      </w:r>
      <w:proofErr w:type="gramEnd"/>
    </w:p>
  </w:comment>
  <w:comment w:id="14" w:author="Microsoft account" w:date="2025-06-27T14:13:00Z" w:initials="Ma">
    <w:p w14:paraId="3D15D17E" w14:textId="3223ACFB" w:rsidR="00B50840" w:rsidRDefault="00B50840">
      <w:pPr>
        <w:pStyle w:val="CommentText"/>
      </w:pPr>
      <w:r>
        <w:rPr>
          <w:rStyle w:val="CommentReference"/>
        </w:rPr>
        <w:annotationRef/>
      </w:r>
      <w:r>
        <w:rPr>
          <w:rFonts w:ascii="Times New Roman" w:hAnsi="Times New Roman"/>
          <w:sz w:val="24"/>
          <w:szCs w:val="24"/>
        </w:rPr>
        <w:t>Turmeric and</w:t>
      </w:r>
    </w:p>
  </w:comment>
  <w:comment w:id="15" w:author="Microsoft account" w:date="2025-06-27T14:07:00Z" w:initials="Ma">
    <w:p w14:paraId="54D90DD4" w14:textId="42929F51" w:rsidR="00B50840" w:rsidRDefault="00B50840" w:rsidP="005F37C4">
      <w:pPr>
        <w:pStyle w:val="CommentText"/>
      </w:pPr>
      <w:r>
        <w:rPr>
          <w:rStyle w:val="CommentReference"/>
        </w:rPr>
        <w:annotationRef/>
      </w:r>
      <w:proofErr w:type="gramStart"/>
      <w:r>
        <w:rPr>
          <w:rFonts w:ascii="Times New Roman" w:hAnsi="Times New Roman"/>
          <w:sz w:val="24"/>
          <w:szCs w:val="24"/>
        </w:rPr>
        <w:t>inflammatory</w:t>
      </w:r>
      <w:proofErr w:type="gramEnd"/>
      <w:r>
        <w:rPr>
          <w:rFonts w:ascii="Times New Roman" w:hAnsi="Times New Roman"/>
          <w:sz w:val="24"/>
          <w:szCs w:val="24"/>
        </w:rPr>
        <w:t xml:space="preserve"> effects</w:t>
      </w:r>
    </w:p>
  </w:comment>
  <w:comment w:id="16" w:author="Microsoft account" w:date="2025-06-27T14:05:00Z" w:initials="Ma">
    <w:p w14:paraId="68D32B84" w14:textId="31A0E7CE" w:rsidR="00B50840" w:rsidRDefault="00B50840">
      <w:pPr>
        <w:pStyle w:val="CommentText"/>
      </w:pPr>
      <w:r>
        <w:rPr>
          <w:rStyle w:val="CommentReference"/>
        </w:rPr>
        <w:annotationRef/>
      </w:r>
      <w:r>
        <w:rPr>
          <w:rFonts w:ascii="Times New Roman" w:hAnsi="Times New Roman"/>
          <w:sz w:val="24"/>
          <w:szCs w:val="24"/>
        </w:rPr>
        <w:t>(</w:t>
      </w:r>
      <w:proofErr w:type="spellStart"/>
      <w:r>
        <w:rPr>
          <w:rFonts w:ascii="Times New Roman" w:hAnsi="Times New Roman"/>
          <w:sz w:val="24"/>
          <w:szCs w:val="24"/>
        </w:rPr>
        <w:t>Ajanaku</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2022; </w:t>
      </w:r>
      <w:proofErr w:type="spellStart"/>
      <w:r>
        <w:rPr>
          <w:rFonts w:ascii="Times New Roman" w:hAnsi="Times New Roman"/>
          <w:sz w:val="24"/>
          <w:szCs w:val="24"/>
        </w:rPr>
        <w:t>Ballester</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2023). </w:t>
      </w:r>
    </w:p>
  </w:comment>
  <w:comment w:id="17" w:author="Microsoft account" w:date="2025-06-27T15:33:00Z" w:initials="Ma">
    <w:p w14:paraId="144C9A92" w14:textId="7F4DE74A" w:rsidR="00B50840" w:rsidRDefault="00B50840">
      <w:pPr>
        <w:pStyle w:val="CommentText"/>
      </w:pPr>
      <w:r>
        <w:rPr>
          <w:rStyle w:val="CommentReference"/>
        </w:rPr>
        <w:annotationRef/>
      </w:r>
      <w:proofErr w:type="gramStart"/>
      <w:r>
        <w:t>space</w:t>
      </w:r>
      <w:proofErr w:type="gramEnd"/>
    </w:p>
  </w:comment>
  <w:comment w:id="18" w:author="Microsoft account" w:date="2025-06-27T14:07:00Z" w:initials="Ma">
    <w:p w14:paraId="119225A8" w14:textId="4F6ECA78" w:rsidR="00B50840" w:rsidRDefault="00B50840" w:rsidP="009C5236">
      <w:pPr>
        <w:pStyle w:val="CommentText"/>
      </w:pPr>
      <w:r>
        <w:rPr>
          <w:rStyle w:val="CommentReference"/>
        </w:rPr>
        <w:annotationRef/>
      </w:r>
      <w:proofErr w:type="gramStart"/>
      <w:r>
        <w:rPr>
          <w:rFonts w:ascii="Times New Roman" w:hAnsi="Times New Roman"/>
          <w:sz w:val="24"/>
          <w:szCs w:val="24"/>
        </w:rPr>
        <w:t>potential</w:t>
      </w:r>
      <w:proofErr w:type="gramEnd"/>
      <w:r>
        <w:rPr>
          <w:rFonts w:ascii="Times New Roman" w:hAnsi="Times New Roman"/>
          <w:sz w:val="24"/>
          <w:szCs w:val="24"/>
        </w:rPr>
        <w:t xml:space="preserve"> of</w:t>
      </w:r>
    </w:p>
  </w:comment>
  <w:comment w:id="19" w:author="Microsoft account" w:date="2025-06-27T14:06:00Z" w:initials="Ma">
    <w:p w14:paraId="36136B3D" w14:textId="14795978" w:rsidR="00B50840" w:rsidRDefault="00B50840" w:rsidP="009C5236">
      <w:pPr>
        <w:pStyle w:val="CommentText"/>
      </w:pPr>
      <w:r>
        <w:rPr>
          <w:rStyle w:val="CommentReference"/>
        </w:rPr>
        <w:annotationRef/>
      </w:r>
      <w:proofErr w:type="gramStart"/>
      <w:r>
        <w:rPr>
          <w:rFonts w:ascii="Times New Roman" w:hAnsi="Times New Roman"/>
          <w:sz w:val="24"/>
          <w:szCs w:val="24"/>
        </w:rPr>
        <w:t>biomarkers</w:t>
      </w:r>
      <w:proofErr w:type="gramEnd"/>
      <w:r>
        <w:rPr>
          <w:rFonts w:ascii="Times New Roman" w:hAnsi="Times New Roman"/>
          <w:sz w:val="24"/>
          <w:szCs w:val="24"/>
        </w:rPr>
        <w:t xml:space="preserve"> and</w:t>
      </w:r>
    </w:p>
  </w:comment>
  <w:comment w:id="20" w:author="Microsoft account" w:date="2025-06-27T14:05:00Z" w:initials="Ma">
    <w:p w14:paraId="5D69A4A1" w14:textId="45E13C42" w:rsidR="00B50840" w:rsidRDefault="00B50840" w:rsidP="009C5236">
      <w:pPr>
        <w:pStyle w:val="CommentText"/>
      </w:pPr>
      <w:r>
        <w:rPr>
          <w:rStyle w:val="CommentReference"/>
        </w:rPr>
        <w:annotationRef/>
      </w:r>
      <w:proofErr w:type="gramStart"/>
      <w:r>
        <w:rPr>
          <w:rFonts w:ascii="Times New Roman" w:hAnsi="Times New Roman"/>
          <w:sz w:val="24"/>
          <w:szCs w:val="24"/>
        </w:rPr>
        <w:t>effects</w:t>
      </w:r>
      <w:proofErr w:type="gramEnd"/>
      <w:r>
        <w:rPr>
          <w:rFonts w:ascii="Times New Roman" w:hAnsi="Times New Roman"/>
          <w:sz w:val="24"/>
          <w:szCs w:val="24"/>
        </w:rPr>
        <w:t xml:space="preserve"> of </w:t>
      </w:r>
    </w:p>
  </w:comment>
  <w:comment w:id="21" w:author="Microsoft account" w:date="2025-06-27T14:06:00Z" w:initials="Ma">
    <w:p w14:paraId="1FB745B2" w14:textId="4B9C9A23" w:rsidR="00B50840" w:rsidRDefault="00B50840">
      <w:pPr>
        <w:pStyle w:val="CommentText"/>
      </w:pPr>
      <w:r>
        <w:rPr>
          <w:rStyle w:val="CommentReference"/>
        </w:rPr>
        <w:annotationRef/>
      </w:r>
      <w:proofErr w:type="gramStart"/>
      <w:r>
        <w:rPr>
          <w:rFonts w:ascii="Times New Roman" w:hAnsi="Times New Roman"/>
          <w:sz w:val="24"/>
          <w:szCs w:val="24"/>
        </w:rPr>
        <w:t>assessments</w:t>
      </w:r>
      <w:proofErr w:type="gramEnd"/>
      <w:r>
        <w:rPr>
          <w:rFonts w:ascii="Times New Roman" w:hAnsi="Times New Roman"/>
          <w:sz w:val="24"/>
          <w:szCs w:val="24"/>
        </w:rPr>
        <w:t xml:space="preserve"> to</w:t>
      </w:r>
    </w:p>
  </w:comment>
  <w:comment w:id="22" w:author="Microsoft account" w:date="2025-06-27T14:12:00Z" w:initials="Ma">
    <w:p w14:paraId="5FAD43DC" w14:textId="78F377C6" w:rsidR="00B50840" w:rsidRDefault="00B50840">
      <w:pPr>
        <w:pStyle w:val="CommentText"/>
      </w:pPr>
      <w:r>
        <w:rPr>
          <w:rStyle w:val="CommentReference"/>
        </w:rPr>
        <w:annotationRef/>
      </w:r>
      <w:proofErr w:type="gramStart"/>
      <w:r>
        <w:t>a</w:t>
      </w:r>
      <w:proofErr w:type="gramEnd"/>
      <w:r>
        <w:t xml:space="preserve"> </w:t>
      </w:r>
      <w:r>
        <w:rPr>
          <w:rFonts w:ascii="Times New Roman" w:hAnsi="Times New Roman"/>
          <w:sz w:val="24"/>
          <w:szCs w:val="24"/>
        </w:rPr>
        <w:t xml:space="preserve">standard </w:t>
      </w:r>
    </w:p>
  </w:comment>
  <w:comment w:id="23" w:author="Microsoft account" w:date="2025-06-27T15:49:00Z" w:initials="Ma">
    <w:p w14:paraId="6CC35FE3" w14:textId="421ABF66" w:rsidR="00B50840" w:rsidRDefault="00B50840">
      <w:pPr>
        <w:pStyle w:val="CommentText"/>
      </w:pPr>
      <w:r>
        <w:rPr>
          <w:rStyle w:val="CommentReference"/>
        </w:rPr>
        <w:annotationRef/>
      </w:r>
      <w:proofErr w:type="gramStart"/>
      <w:r>
        <w:t>reference</w:t>
      </w:r>
      <w:proofErr w:type="gramEnd"/>
      <w:r>
        <w:t xml:space="preserve"> has been added about the animals care </w:t>
      </w:r>
    </w:p>
  </w:comment>
  <w:comment w:id="24" w:author="Microsoft account" w:date="2025-06-27T16:01:00Z" w:initials="Ma">
    <w:p w14:paraId="3843AE63" w14:textId="2F4337B1" w:rsidR="00B50840" w:rsidRDefault="00B50840">
      <w:pPr>
        <w:pStyle w:val="CommentText"/>
      </w:pPr>
      <w:r>
        <w:rPr>
          <w:rStyle w:val="CommentReference"/>
        </w:rPr>
        <w:annotationRef/>
      </w:r>
      <w:proofErr w:type="gramStart"/>
      <w:r>
        <w:t>need</w:t>
      </w:r>
      <w:proofErr w:type="gramEnd"/>
      <w:r>
        <w:t xml:space="preserve"> a references about concentrations </w:t>
      </w:r>
    </w:p>
  </w:comment>
  <w:comment w:id="25" w:author="Microsoft account" w:date="2025-06-27T16:02:00Z" w:initials="Ma">
    <w:p w14:paraId="40BC506D" w14:textId="0955C8DC" w:rsidR="00B50840" w:rsidRDefault="00B50840">
      <w:pPr>
        <w:pStyle w:val="CommentText"/>
      </w:pPr>
      <w:r>
        <w:rPr>
          <w:rStyle w:val="CommentReference"/>
        </w:rPr>
        <w:annotationRef/>
      </w:r>
      <w:proofErr w:type="gramStart"/>
      <w:r>
        <w:t>need</w:t>
      </w:r>
      <w:proofErr w:type="gramEnd"/>
      <w:r>
        <w:t xml:space="preserve"> a reference about treatment duration. And type of administration.</w:t>
      </w:r>
    </w:p>
  </w:comment>
  <w:comment w:id="26" w:author="Microsoft account" w:date="2025-06-27T14:11:00Z" w:initials="Ma">
    <w:p w14:paraId="0593A38E" w14:textId="6A5E75F5" w:rsidR="00B50840" w:rsidRDefault="00B50840">
      <w:pPr>
        <w:pStyle w:val="CommentText"/>
      </w:pPr>
      <w:r>
        <w:rPr>
          <w:rStyle w:val="CommentReference"/>
        </w:rPr>
        <w:annotationRef/>
      </w:r>
      <w:proofErr w:type="gramStart"/>
      <w:r>
        <w:t>before</w:t>
      </w:r>
      <w:proofErr w:type="gramEnd"/>
    </w:p>
  </w:comment>
  <w:comment w:id="27" w:author="Microsoft account" w:date="2025-06-27T15:36:00Z" w:initials="Ma">
    <w:p w14:paraId="18763A35" w14:textId="4A184264" w:rsidR="00B50840" w:rsidRDefault="00B50840">
      <w:pPr>
        <w:pStyle w:val="CommentText"/>
      </w:pPr>
      <w:r>
        <w:rPr>
          <w:rStyle w:val="CommentReference"/>
        </w:rPr>
        <w:annotationRef/>
      </w:r>
      <w:proofErr w:type="gramStart"/>
      <w:r>
        <w:t>space</w:t>
      </w:r>
      <w:proofErr w:type="gramEnd"/>
    </w:p>
  </w:comment>
  <w:comment w:id="28" w:author="Microsoft account" w:date="2025-06-27T15:36:00Z" w:initials="Ma">
    <w:p w14:paraId="6B9575DF" w14:textId="7591598F" w:rsidR="00B50840" w:rsidRDefault="00B50840">
      <w:pPr>
        <w:pStyle w:val="CommentText"/>
      </w:pPr>
      <w:r>
        <w:rPr>
          <w:rStyle w:val="CommentReference"/>
        </w:rPr>
        <w:annotationRef/>
      </w:r>
      <w:proofErr w:type="gramStart"/>
      <w:r>
        <w:t>space</w:t>
      </w:r>
      <w:proofErr w:type="gramEnd"/>
    </w:p>
  </w:comment>
  <w:comment w:id="29" w:author="Microsoft account" w:date="2025-06-27T15:36:00Z" w:initials="Ma">
    <w:p w14:paraId="555A9A79" w14:textId="5BF0E360" w:rsidR="00B50840" w:rsidRDefault="00B50840">
      <w:pPr>
        <w:pStyle w:val="CommentText"/>
      </w:pPr>
      <w:r>
        <w:rPr>
          <w:rStyle w:val="CommentReference"/>
        </w:rPr>
        <w:annotationRef/>
      </w:r>
      <w:proofErr w:type="gramStart"/>
      <w:r>
        <w:t>space</w:t>
      </w:r>
      <w:proofErr w:type="gramEnd"/>
    </w:p>
  </w:comment>
  <w:comment w:id="30" w:author="Microsoft account" w:date="2025-06-27T15:36:00Z" w:initials="Ma">
    <w:p w14:paraId="277B1CB5" w14:textId="2C0B8B63" w:rsidR="00B50840" w:rsidRDefault="00B50840">
      <w:pPr>
        <w:pStyle w:val="CommentText"/>
      </w:pPr>
      <w:r>
        <w:rPr>
          <w:rStyle w:val="CommentReference"/>
        </w:rPr>
        <w:annotationRef/>
      </w:r>
      <w:proofErr w:type="gramStart"/>
      <w:r>
        <w:t>space</w:t>
      </w:r>
      <w:proofErr w:type="gramEnd"/>
    </w:p>
  </w:comment>
  <w:comment w:id="31" w:author="Microsoft account" w:date="2025-06-27T15:37:00Z" w:initials="Ma">
    <w:p w14:paraId="56C9AD15" w14:textId="6F46FDD2" w:rsidR="00B50840" w:rsidRDefault="00B50840">
      <w:pPr>
        <w:pStyle w:val="CommentText"/>
      </w:pPr>
      <w:r>
        <w:rPr>
          <w:rStyle w:val="CommentReference"/>
        </w:rPr>
        <w:annotationRef/>
      </w:r>
      <w:proofErr w:type="gramStart"/>
      <w:r>
        <w:t>space</w:t>
      </w:r>
      <w:proofErr w:type="gramEnd"/>
    </w:p>
  </w:comment>
  <w:comment w:id="32" w:author="Microsoft account" w:date="2025-06-27T15:38:00Z" w:initials="Ma">
    <w:p w14:paraId="2287393E" w14:textId="312F33F2" w:rsidR="00B50840" w:rsidRDefault="00B50840">
      <w:pPr>
        <w:pStyle w:val="CommentText"/>
      </w:pPr>
      <w:r>
        <w:rPr>
          <w:rStyle w:val="CommentReference"/>
        </w:rPr>
        <w:annotationRef/>
      </w:r>
      <w:proofErr w:type="gramStart"/>
      <w:r>
        <w:t>space</w:t>
      </w:r>
      <w:proofErr w:type="gramEnd"/>
    </w:p>
  </w:comment>
  <w:comment w:id="33" w:author="Microsoft account" w:date="2025-06-27T14:08:00Z" w:initials="Ma">
    <w:p w14:paraId="6B6C7B30" w14:textId="638F64B8" w:rsidR="00B50840" w:rsidRDefault="00B50840">
      <w:pPr>
        <w:pStyle w:val="CommentText"/>
      </w:pPr>
      <w:r>
        <w:rPr>
          <w:rStyle w:val="CommentReference"/>
        </w:rPr>
        <w:annotationRef/>
      </w:r>
      <w:r>
        <w:rPr>
          <w:rFonts w:ascii="Times New Roman" w:hAnsi="Times New Roman"/>
          <w:sz w:val="24"/>
          <w:szCs w:val="24"/>
        </w:rPr>
        <w:t>Catalase (CAT) Activity in Experimental Groups</w:t>
      </w:r>
    </w:p>
  </w:comment>
  <w:comment w:id="34" w:author="Microsoft account" w:date="2025-06-27T15:39:00Z" w:initials="Ma">
    <w:p w14:paraId="4E7DC7CB" w14:textId="59CBB2ED" w:rsidR="00B50840" w:rsidRDefault="00B50840">
      <w:pPr>
        <w:pStyle w:val="CommentText"/>
      </w:pPr>
      <w:r>
        <w:rPr>
          <w:rStyle w:val="CommentReference"/>
        </w:rPr>
        <w:annotationRef/>
      </w:r>
      <w:proofErr w:type="gramStart"/>
      <w:r>
        <w:t>space</w:t>
      </w:r>
      <w:proofErr w:type="gramEnd"/>
    </w:p>
  </w:comment>
  <w:comment w:id="35" w:author="Microsoft account" w:date="2025-06-27T15:42:00Z" w:initials="Ma">
    <w:p w14:paraId="741547E2" w14:textId="42FC4977" w:rsidR="00B50840" w:rsidRDefault="00B50840">
      <w:pPr>
        <w:pStyle w:val="CommentText"/>
      </w:pPr>
      <w:r>
        <w:rPr>
          <w:rStyle w:val="CommentReference"/>
        </w:rPr>
        <w:annotationRef/>
      </w:r>
      <w:proofErr w:type="gramStart"/>
      <w:r>
        <w:t>space</w:t>
      </w:r>
      <w:proofErr w:type="gramEnd"/>
    </w:p>
  </w:comment>
  <w:comment w:id="36" w:author="Microsoft account" w:date="2025-06-27T15:44:00Z" w:initials="Ma">
    <w:p w14:paraId="1577FFD8" w14:textId="606DA41E" w:rsidR="00B50840" w:rsidRDefault="00B50840">
      <w:pPr>
        <w:pStyle w:val="CommentText"/>
      </w:pPr>
      <w:r>
        <w:rPr>
          <w:rStyle w:val="CommentReference"/>
        </w:rPr>
        <w:annotationRef/>
      </w:r>
      <w:proofErr w:type="gramStart"/>
      <w:r>
        <w:t>space</w:t>
      </w:r>
      <w:proofErr w:type="gramEnd"/>
    </w:p>
  </w:comment>
  <w:comment w:id="37" w:author="Microsoft account" w:date="2025-06-27T15:44:00Z" w:initials="Ma">
    <w:p w14:paraId="49E878A3" w14:textId="2FD4B2AC" w:rsidR="00B50840" w:rsidRDefault="00B50840">
      <w:pPr>
        <w:pStyle w:val="CommentText"/>
      </w:pPr>
      <w:r>
        <w:rPr>
          <w:rStyle w:val="CommentReference"/>
        </w:rPr>
        <w:annotationRef/>
      </w:r>
      <w:proofErr w:type="gramStart"/>
      <w:r>
        <w:t>space</w:t>
      </w:r>
      <w:proofErr w:type="gramEnd"/>
    </w:p>
  </w:comment>
  <w:comment w:id="38" w:author="Microsoft account" w:date="2025-06-27T15:45:00Z" w:initials="Ma">
    <w:p w14:paraId="2C34C45C" w14:textId="4B99D3B9" w:rsidR="00B50840" w:rsidRDefault="00B50840">
      <w:pPr>
        <w:pStyle w:val="CommentText"/>
      </w:pPr>
      <w:r>
        <w:rPr>
          <w:rStyle w:val="CommentReference"/>
        </w:rPr>
        <w:annotationRef/>
      </w:r>
      <w:proofErr w:type="gramStart"/>
      <w:r>
        <w:t>space</w:t>
      </w:r>
      <w:proofErr w:type="gramEnd"/>
    </w:p>
  </w:comment>
  <w:comment w:id="39" w:author="Microsoft account" w:date="2025-06-27T15:45:00Z" w:initials="Ma">
    <w:p w14:paraId="777CC343" w14:textId="48F97708" w:rsidR="00B50840" w:rsidRDefault="00B50840">
      <w:pPr>
        <w:pStyle w:val="CommentText"/>
      </w:pPr>
      <w:r>
        <w:rPr>
          <w:rStyle w:val="CommentReference"/>
        </w:rPr>
        <w:annotationRef/>
      </w:r>
      <w:proofErr w:type="gramStart"/>
      <w:r>
        <w:t>space</w:t>
      </w:r>
      <w:proofErr w:type="gramEnd"/>
    </w:p>
  </w:comment>
  <w:comment w:id="40" w:author="Microsoft account" w:date="2025-06-27T15:46:00Z" w:initials="Ma">
    <w:p w14:paraId="1F039F13" w14:textId="62450525" w:rsidR="00B50840" w:rsidRDefault="00B50840">
      <w:pPr>
        <w:pStyle w:val="CommentText"/>
      </w:pPr>
      <w:r>
        <w:rPr>
          <w:rStyle w:val="CommentReference"/>
        </w:rPr>
        <w:annotationRef/>
      </w:r>
      <w:r>
        <w:rPr>
          <w:rFonts w:ascii="Times New Roman" w:hAnsi="Times New Roman"/>
          <w:sz w:val="24"/>
          <w:szCs w:val="24"/>
        </w:rPr>
        <w:t>(</w:t>
      </w:r>
      <w:proofErr w:type="spellStart"/>
      <w:r>
        <w:rPr>
          <w:rFonts w:ascii="Times New Roman" w:hAnsi="Times New Roman"/>
          <w:sz w:val="24"/>
          <w:szCs w:val="24"/>
        </w:rPr>
        <w:t>Agim</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2025a). </w:t>
      </w:r>
    </w:p>
  </w:comment>
  <w:comment w:id="41" w:author="Microsoft account" w:date="2025-06-27T15:45:00Z" w:initials="Ma">
    <w:p w14:paraId="6F977C2F" w14:textId="60A97121" w:rsidR="00B50840" w:rsidRDefault="00B50840">
      <w:pPr>
        <w:pStyle w:val="CommentText"/>
      </w:pPr>
      <w:r>
        <w:rPr>
          <w:rStyle w:val="CommentReference"/>
        </w:rPr>
        <w:annotationRef/>
      </w:r>
      <w:proofErr w:type="gramStart"/>
      <w:r>
        <w:t>space</w:t>
      </w:r>
      <w:proofErr w:type="gramEnd"/>
    </w:p>
  </w:comment>
  <w:comment w:id="42" w:author="Microsoft account" w:date="2025-06-27T15:45:00Z" w:initials="Ma">
    <w:p w14:paraId="43EF1A1B" w14:textId="34EC7036" w:rsidR="00B50840" w:rsidRDefault="00B50840">
      <w:pPr>
        <w:pStyle w:val="CommentText"/>
      </w:pPr>
      <w:r>
        <w:rPr>
          <w:rStyle w:val="CommentReference"/>
        </w:rPr>
        <w:annotationRef/>
      </w:r>
      <w:proofErr w:type="gramStart"/>
      <w:r>
        <w:t>space</w:t>
      </w:r>
      <w:proofErr w:type="gramEnd"/>
    </w:p>
  </w:comment>
  <w:comment w:id="43" w:author="Microsoft account" w:date="2025-06-27T14:09:00Z" w:initials="Ma">
    <w:p w14:paraId="1A31F116" w14:textId="38DD157C" w:rsidR="00B50840" w:rsidRDefault="00B50840">
      <w:pPr>
        <w:pStyle w:val="CommentText"/>
      </w:pPr>
      <w:r>
        <w:rPr>
          <w:rStyle w:val="CommentReference"/>
        </w:rPr>
        <w:annotationRef/>
      </w:r>
      <w:r>
        <w:rPr>
          <w:rFonts w:ascii="Times New Roman" w:hAnsi="Times New Roman"/>
          <w:sz w:val="24"/>
          <w:szCs w:val="24"/>
        </w:rPr>
        <w:t>(</w:t>
      </w:r>
      <w:proofErr w:type="spellStart"/>
      <w:r>
        <w:rPr>
          <w:rFonts w:ascii="Times New Roman" w:hAnsi="Times New Roman"/>
          <w:sz w:val="24"/>
          <w:szCs w:val="24"/>
        </w:rPr>
        <w:t>Umoh</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2024). </w:t>
      </w:r>
    </w:p>
  </w:comment>
  <w:comment w:id="44" w:author="Microsoft account" w:date="2025-06-27T14:10:00Z" w:initials="Ma">
    <w:p w14:paraId="2C3479F9" w14:textId="4732DEA1" w:rsidR="00B50840" w:rsidRDefault="00B50840">
      <w:pPr>
        <w:pStyle w:val="CommentText"/>
      </w:pPr>
      <w:r>
        <w:rPr>
          <w:rStyle w:val="CommentReference"/>
        </w:rPr>
        <w:annotationRef/>
      </w:r>
      <w:r>
        <w:rPr>
          <w:rFonts w:ascii="Times New Roman" w:hAnsi="Times New Roman"/>
          <w:sz w:val="24"/>
          <w:szCs w:val="24"/>
        </w:rPr>
        <w:t>(</w:t>
      </w:r>
      <w:proofErr w:type="spellStart"/>
      <w:r>
        <w:rPr>
          <w:rFonts w:ascii="Times New Roman" w:hAnsi="Times New Roman"/>
          <w:sz w:val="24"/>
          <w:szCs w:val="24"/>
        </w:rPr>
        <w:t>Isamoh</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2025c). </w:t>
      </w:r>
    </w:p>
  </w:comment>
  <w:comment w:id="45" w:author="Microsoft account" w:date="2025-06-27T14:10:00Z" w:initials="Ma">
    <w:p w14:paraId="529BFA72" w14:textId="3599DB04" w:rsidR="00B50840" w:rsidRDefault="00B50840" w:rsidP="001E2063">
      <w:pPr>
        <w:pStyle w:val="CommentText"/>
      </w:pPr>
      <w:r>
        <w:rPr>
          <w:rStyle w:val="CommentReference"/>
        </w:rPr>
        <w:annotationRef/>
      </w:r>
      <w:proofErr w:type="gramStart"/>
      <w:r>
        <w:rPr>
          <w:rFonts w:ascii="Times New Roman" w:hAnsi="Times New Roman"/>
          <w:sz w:val="24"/>
          <w:szCs w:val="24"/>
        </w:rPr>
        <w:t>from</w:t>
      </w:r>
      <w:proofErr w:type="gramEnd"/>
      <w:r>
        <w:rPr>
          <w:rFonts w:ascii="Times New Roman" w:hAnsi="Times New Roman"/>
          <w:sz w:val="24"/>
          <w:szCs w:val="24"/>
        </w:rPr>
        <w:t xml:space="preserve"> </w:t>
      </w:r>
      <w:proofErr w:type="spellStart"/>
      <w:r>
        <w:rPr>
          <w:rFonts w:ascii="Times New Roman" w:hAnsi="Times New Roman"/>
          <w:sz w:val="24"/>
          <w:szCs w:val="24"/>
        </w:rPr>
        <w:t>Stachytarpheta</w:t>
      </w:r>
      <w:proofErr w:type="spellEnd"/>
      <w:r>
        <w:rPr>
          <w:rFonts w:ascii="Times New Roman" w:hAnsi="Times New Roman"/>
          <w:sz w:val="24"/>
          <w:szCs w:val="24"/>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6C9869" w15:done="0"/>
  <w15:commentEx w15:paraId="3F7DFD85" w15:done="0"/>
  <w15:commentEx w15:paraId="0B9027B3" w15:done="0"/>
  <w15:commentEx w15:paraId="50114AF7" w15:done="0"/>
  <w15:commentEx w15:paraId="4C1FD2B4" w15:done="0"/>
  <w15:commentEx w15:paraId="71020AC6" w15:done="0"/>
  <w15:commentEx w15:paraId="78A19BEE" w15:done="0"/>
  <w15:commentEx w15:paraId="7956D7F3" w15:done="0"/>
  <w15:commentEx w15:paraId="68DA82FF" w15:done="0"/>
  <w15:commentEx w15:paraId="438BD01F" w15:done="0"/>
  <w15:commentEx w15:paraId="4E469234" w15:done="0"/>
  <w15:commentEx w15:paraId="19580FCE" w15:done="0"/>
  <w15:commentEx w15:paraId="481660BF" w15:done="0"/>
  <w15:commentEx w15:paraId="351392CF" w15:done="0"/>
  <w15:commentEx w15:paraId="3D15D17E" w15:done="0"/>
  <w15:commentEx w15:paraId="54D90DD4" w15:done="0"/>
  <w15:commentEx w15:paraId="68D32B84" w15:done="0"/>
  <w15:commentEx w15:paraId="144C9A92" w15:done="0"/>
  <w15:commentEx w15:paraId="119225A8" w15:done="0"/>
  <w15:commentEx w15:paraId="36136B3D" w15:done="0"/>
  <w15:commentEx w15:paraId="5D69A4A1" w15:done="0"/>
  <w15:commentEx w15:paraId="1FB745B2" w15:done="0"/>
  <w15:commentEx w15:paraId="5FAD43DC" w15:done="0"/>
  <w15:commentEx w15:paraId="6CC35FE3" w15:done="0"/>
  <w15:commentEx w15:paraId="3843AE63" w15:done="0"/>
  <w15:commentEx w15:paraId="40BC506D" w15:done="0"/>
  <w15:commentEx w15:paraId="0593A38E" w15:done="0"/>
  <w15:commentEx w15:paraId="18763A35" w15:done="0"/>
  <w15:commentEx w15:paraId="6B9575DF" w15:done="0"/>
  <w15:commentEx w15:paraId="555A9A79" w15:done="0"/>
  <w15:commentEx w15:paraId="277B1CB5" w15:done="0"/>
  <w15:commentEx w15:paraId="56C9AD15" w15:done="0"/>
  <w15:commentEx w15:paraId="2287393E" w15:done="0"/>
  <w15:commentEx w15:paraId="6B6C7B30" w15:done="0"/>
  <w15:commentEx w15:paraId="4E7DC7CB" w15:done="0"/>
  <w15:commentEx w15:paraId="741547E2" w15:done="0"/>
  <w15:commentEx w15:paraId="1577FFD8" w15:done="0"/>
  <w15:commentEx w15:paraId="49E878A3" w15:done="0"/>
  <w15:commentEx w15:paraId="2C34C45C" w15:done="0"/>
  <w15:commentEx w15:paraId="777CC343" w15:done="0"/>
  <w15:commentEx w15:paraId="1F039F13" w15:done="0"/>
  <w15:commentEx w15:paraId="6F977C2F" w15:done="0"/>
  <w15:commentEx w15:paraId="43EF1A1B" w15:done="0"/>
  <w15:commentEx w15:paraId="1A31F116" w15:done="0"/>
  <w15:commentEx w15:paraId="2C3479F9" w15:done="0"/>
  <w15:commentEx w15:paraId="529BFA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57301" w14:textId="77777777" w:rsidR="00EB374D" w:rsidRDefault="00EB374D">
      <w:pPr>
        <w:spacing w:after="0" w:line="240" w:lineRule="auto"/>
      </w:pPr>
      <w:r>
        <w:separator/>
      </w:r>
    </w:p>
  </w:endnote>
  <w:endnote w:type="continuationSeparator" w:id="0">
    <w:p w14:paraId="424D7DCF" w14:textId="77777777" w:rsidR="00EB374D" w:rsidRDefault="00EB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99107" w14:textId="77777777" w:rsidR="00B50840" w:rsidRDefault="00B50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381D6" w14:textId="77777777" w:rsidR="00B50840" w:rsidRDefault="00B5084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8872B" w14:textId="77777777" w:rsidR="00B50840" w:rsidRDefault="00B50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5367E" w14:textId="77777777" w:rsidR="00EB374D" w:rsidRDefault="00EB374D">
      <w:pPr>
        <w:spacing w:after="0" w:line="240" w:lineRule="auto"/>
      </w:pPr>
      <w:r>
        <w:separator/>
      </w:r>
    </w:p>
  </w:footnote>
  <w:footnote w:type="continuationSeparator" w:id="0">
    <w:p w14:paraId="4940CCBF" w14:textId="77777777" w:rsidR="00EB374D" w:rsidRDefault="00EB3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9510" w14:textId="42E854C7" w:rsidR="00B50840" w:rsidRDefault="00B50840">
    <w:pPr>
      <w:pStyle w:val="Header"/>
    </w:pPr>
    <w:r>
      <w:rPr>
        <w:noProof/>
      </w:rPr>
      <w:pict w14:anchorId="76AF6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274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62B8" w14:textId="0FE9DE33" w:rsidR="00B50840" w:rsidRDefault="00B50840">
    <w:pPr>
      <w:jc w:val="center"/>
    </w:pPr>
    <w:r>
      <w:rPr>
        <w:noProof/>
      </w:rPr>
      <w:pict w14:anchorId="33EC6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27437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D481" w14:textId="1644E7C0" w:rsidR="00B50840" w:rsidRDefault="00B50840">
    <w:pPr>
      <w:pStyle w:val="Header"/>
    </w:pPr>
    <w:r>
      <w:rPr>
        <w:noProof/>
      </w:rPr>
      <w:pict w14:anchorId="6BAE3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274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b86cf261c21459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940A4"/>
    <w:rsid w:val="00032CD6"/>
    <w:rsid w:val="00044724"/>
    <w:rsid w:val="00123E2D"/>
    <w:rsid w:val="0017601B"/>
    <w:rsid w:val="001A10FA"/>
    <w:rsid w:val="001E2063"/>
    <w:rsid w:val="002245C1"/>
    <w:rsid w:val="0033489F"/>
    <w:rsid w:val="00361184"/>
    <w:rsid w:val="00363AE7"/>
    <w:rsid w:val="003A1DBA"/>
    <w:rsid w:val="003C351E"/>
    <w:rsid w:val="003E436F"/>
    <w:rsid w:val="00420C88"/>
    <w:rsid w:val="00442829"/>
    <w:rsid w:val="004600B8"/>
    <w:rsid w:val="00465FE8"/>
    <w:rsid w:val="004D4ED1"/>
    <w:rsid w:val="00542EE0"/>
    <w:rsid w:val="00595180"/>
    <w:rsid w:val="005E194B"/>
    <w:rsid w:val="005E36DB"/>
    <w:rsid w:val="005E6751"/>
    <w:rsid w:val="005F37C4"/>
    <w:rsid w:val="00745D96"/>
    <w:rsid w:val="007471A9"/>
    <w:rsid w:val="007F1876"/>
    <w:rsid w:val="00825325"/>
    <w:rsid w:val="00965797"/>
    <w:rsid w:val="009C5236"/>
    <w:rsid w:val="009D3432"/>
    <w:rsid w:val="009F076A"/>
    <w:rsid w:val="00A15FCA"/>
    <w:rsid w:val="00A54F3C"/>
    <w:rsid w:val="00A93411"/>
    <w:rsid w:val="00AA1752"/>
    <w:rsid w:val="00B01D02"/>
    <w:rsid w:val="00B150DE"/>
    <w:rsid w:val="00B50840"/>
    <w:rsid w:val="00B56E5F"/>
    <w:rsid w:val="00BD3472"/>
    <w:rsid w:val="00C4692E"/>
    <w:rsid w:val="00C751DC"/>
    <w:rsid w:val="00D0257B"/>
    <w:rsid w:val="00D81A21"/>
    <w:rsid w:val="00EB1F01"/>
    <w:rsid w:val="00EB374D"/>
    <w:rsid w:val="00EB7D0C"/>
    <w:rsid w:val="00EE39A5"/>
    <w:rsid w:val="00F07096"/>
    <w:rsid w:val="00F940A4"/>
    <w:rsid w:val="00FD30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B7855C"/>
  <w15:docId w15:val="{3826FB04-52F0-46AD-9B0B-4B2F32BD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uiPriority w:val="9"/>
    <w:qFormat/>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542E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rFonts w:ascii="Times New Roman" w:eastAsia="SimSun" w:hAnsi="Times New Roman" w:cs="Times New Roman"/>
      <w:i/>
      <w:sz w:val="21"/>
    </w:rPr>
  </w:style>
  <w:style w:type="paragraph" w:styleId="NormalWeb">
    <w:name w:val="Normal (Web)"/>
    <w:qFormat/>
    <w:pPr>
      <w:spacing w:beforeAutospacing="1" w:afterAutospacing="1"/>
    </w:pPr>
    <w:rPr>
      <w:rFonts w:ascii="Times New Roman" w:hAnsi="Times New Roman"/>
      <w:sz w:val="24"/>
      <w:szCs w:val="24"/>
    </w:rPr>
  </w:style>
  <w:style w:type="paragraph" w:styleId="Header">
    <w:name w:val="header"/>
    <w:basedOn w:val="Normal"/>
    <w:qFormat/>
    <w:pPr>
      <w:tabs>
        <w:tab w:val="center" w:pos="4140"/>
        <w:tab w:val="right" w:pos="8300"/>
      </w:tabs>
      <w:snapToGrid w:val="0"/>
      <w:spacing w:after="0"/>
    </w:pPr>
    <w:rPr>
      <w:rFonts w:cs="SimSun"/>
      <w:sz w:val="18"/>
      <w:szCs w:val="18"/>
    </w:rPr>
  </w:style>
  <w:style w:type="paragraph" w:customStyle="1" w:styleId="Default">
    <w:name w:val="&quot;Default&quot;"/>
    <w:qFormat/>
    <w:pPr>
      <w:autoSpaceDE w:val="0"/>
      <w:autoSpaceDN w:val="0"/>
      <w:adjustRightInd w:val="0"/>
    </w:pPr>
    <w:rPr>
      <w:rFonts w:ascii="Times New Roman" w:eastAsia="Calibri" w:hAnsi="Times New Roman"/>
      <w:color w:val="000000"/>
      <w:sz w:val="24"/>
      <w:szCs w:val="24"/>
      <w:lang w:eastAsia="en-US"/>
    </w:rPr>
  </w:style>
  <w:style w:type="paragraph" w:styleId="ListParagraph">
    <w:name w:val="List Paragraph"/>
    <w:basedOn w:val="Normal"/>
    <w:qFormat/>
    <w:pPr>
      <w:spacing w:after="0"/>
      <w:ind w:left="720"/>
    </w:pPr>
    <w:rPr>
      <w:rFonts w:cs="SimSun"/>
      <w:sz w:val="21"/>
    </w:rPr>
  </w:style>
  <w:style w:type="character" w:styleId="Hyperlink">
    <w:name w:val="Hyperlink"/>
    <w:basedOn w:val="DefaultParagraphFont"/>
    <w:qFormat/>
    <w:rPr>
      <w:rFonts w:ascii="Times New Roman" w:eastAsia="SimSun" w:hAnsi="Times New Roman" w:cs="Times New Roman"/>
      <w:color w:val="0563C1"/>
      <w:sz w:val="21"/>
      <w:u w:val="single"/>
    </w:rPr>
  </w:style>
  <w:style w:type="paragraph" w:customStyle="1" w:styleId="Default0">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1">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2">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3">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4">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5">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6">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7">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8">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9">
    <w:name w:val="&quot;Default&quot;"/>
    <w:qFormat/>
    <w:pPr>
      <w:autoSpaceDE w:val="0"/>
      <w:autoSpaceDN w:val="0"/>
      <w:adjustRightInd w:val="0"/>
    </w:pPr>
    <w:rPr>
      <w:rFonts w:ascii="Times New Roman" w:eastAsia="Calibri" w:hAnsi="Times New Roman"/>
      <w:color w:val="000000"/>
      <w:sz w:val="24"/>
      <w:szCs w:val="24"/>
      <w:lang w:eastAsia="en-US"/>
    </w:rPr>
  </w:style>
  <w:style w:type="paragraph" w:customStyle="1" w:styleId="Defaulta">
    <w:name w:val="&quot;Default&quot;"/>
    <w:qFormat/>
    <w:pPr>
      <w:autoSpaceDE w:val="0"/>
      <w:autoSpaceDN w:val="0"/>
      <w:adjustRightInd w:val="0"/>
    </w:pPr>
    <w:rPr>
      <w:rFonts w:ascii="Times New Roman" w:eastAsia="Calibri" w:hAnsi="Times New Roman"/>
      <w:color w:val="000000"/>
      <w:sz w:val="24"/>
      <w:szCs w:val="24"/>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3Char">
    <w:name w:val="Heading 3 Char"/>
    <w:basedOn w:val="DefaultParagraphFont"/>
    <w:link w:val="Heading3"/>
    <w:uiPriority w:val="9"/>
    <w:semiHidden/>
    <w:rsid w:val="00542EE0"/>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9F0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76A"/>
    <w:rPr>
      <w:sz w:val="22"/>
      <w:szCs w:val="22"/>
    </w:rPr>
  </w:style>
  <w:style w:type="character" w:styleId="CommentReference">
    <w:name w:val="annotation reference"/>
    <w:basedOn w:val="DefaultParagraphFont"/>
    <w:uiPriority w:val="99"/>
    <w:semiHidden/>
    <w:unhideWhenUsed/>
    <w:rsid w:val="00F07096"/>
    <w:rPr>
      <w:sz w:val="16"/>
      <w:szCs w:val="16"/>
    </w:rPr>
  </w:style>
  <w:style w:type="paragraph" w:styleId="CommentText">
    <w:name w:val="annotation text"/>
    <w:basedOn w:val="Normal"/>
    <w:link w:val="CommentTextChar"/>
    <w:uiPriority w:val="99"/>
    <w:semiHidden/>
    <w:unhideWhenUsed/>
    <w:rsid w:val="00F07096"/>
    <w:pPr>
      <w:spacing w:line="240" w:lineRule="auto"/>
    </w:pPr>
    <w:rPr>
      <w:sz w:val="20"/>
      <w:szCs w:val="20"/>
    </w:rPr>
  </w:style>
  <w:style w:type="character" w:customStyle="1" w:styleId="CommentTextChar">
    <w:name w:val="Comment Text Char"/>
    <w:basedOn w:val="DefaultParagraphFont"/>
    <w:link w:val="CommentText"/>
    <w:uiPriority w:val="99"/>
    <w:semiHidden/>
    <w:rsid w:val="00F07096"/>
  </w:style>
  <w:style w:type="paragraph" w:styleId="CommentSubject">
    <w:name w:val="annotation subject"/>
    <w:basedOn w:val="CommentText"/>
    <w:next w:val="CommentText"/>
    <w:link w:val="CommentSubjectChar"/>
    <w:uiPriority w:val="99"/>
    <w:semiHidden/>
    <w:unhideWhenUsed/>
    <w:rsid w:val="00F07096"/>
    <w:rPr>
      <w:b/>
      <w:bCs/>
    </w:rPr>
  </w:style>
  <w:style w:type="character" w:customStyle="1" w:styleId="CommentSubjectChar">
    <w:name w:val="Comment Subject Char"/>
    <w:basedOn w:val="CommentTextChar"/>
    <w:link w:val="CommentSubject"/>
    <w:uiPriority w:val="99"/>
    <w:semiHidden/>
    <w:rsid w:val="00F07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708">
      <w:bodyDiv w:val="1"/>
      <w:marLeft w:val="0"/>
      <w:marRight w:val="0"/>
      <w:marTop w:val="0"/>
      <w:marBottom w:val="0"/>
      <w:divBdr>
        <w:top w:val="none" w:sz="0" w:space="0" w:color="auto"/>
        <w:left w:val="none" w:sz="0" w:space="0" w:color="auto"/>
        <w:bottom w:val="none" w:sz="0" w:space="0" w:color="auto"/>
        <w:right w:val="none" w:sz="0" w:space="0" w:color="auto"/>
      </w:divBdr>
    </w:div>
    <w:div w:id="144121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3390/molecules28104024"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hyperlink" Target="https://doi.org/10.21123/bsj.2019.16.3(Suppl.).0719" TargetMode="Externa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Users/HP/Documents/CLET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6354020808701"/>
          <c:y val="0.2191529572445729"/>
          <c:w val="0.8275862068965516"/>
          <c:h val="0.48584947098759784"/>
        </c:manualLayout>
      </c:layout>
      <c:barChart>
        <c:barDir val="col"/>
        <c:grouping val="clustered"/>
        <c:varyColors val="0"/>
        <c:ser>
          <c:idx val="4"/>
          <c:order val="0"/>
          <c:tx>
            <c:strRef>
              <c:f>Sheet1!$C$1</c:f>
              <c:strCache>
                <c:ptCount val="1"/>
                <c:pt idx="0">
                  <c:v>Initial Bodyweight</c:v>
                </c:pt>
              </c:strCache>
            </c:strRef>
          </c:tx>
          <c:spPr>
            <a:solidFill>
              <a:srgbClr val="FFC000"/>
            </a:solidFill>
            <a:ln>
              <a:noFill/>
            </a:ln>
            <a:effectLst/>
          </c:spPr>
          <c:invertIfNegative val="0"/>
          <c:errBars>
            <c:errBarType val="both"/>
            <c:errValType val="cust"/>
            <c:noEndCap val="0"/>
            <c:plus>
              <c:numRef>
                <c:f>Sheet1!$C$8:$C$12</c:f>
                <c:numCache>
                  <c:formatCode>General</c:formatCode>
                  <c:ptCount val="5"/>
                  <c:pt idx="0">
                    <c:v>15.9292498253998</c:v>
                  </c:pt>
                  <c:pt idx="1">
                    <c:v>9.2022497249314696</c:v>
                  </c:pt>
                  <c:pt idx="2">
                    <c:v>12.3805654151982</c:v>
                  </c:pt>
                  <c:pt idx="3">
                    <c:v>6.0086271310508304</c:v>
                  </c:pt>
                  <c:pt idx="4">
                    <c:v>3.1541084318710402</c:v>
                  </c:pt>
                </c:numCache>
              </c:numRef>
            </c:plus>
            <c:minus>
              <c:numLit>
                <c:formatCode>General</c:formatCode>
                <c:ptCount val="1"/>
                <c:pt idx="0">
                  <c:v>0</c:v>
                </c:pt>
              </c:numLit>
            </c:minus>
            <c:spPr>
              <a:solidFill>
                <a:schemeClr val="tx1"/>
              </a:solidFill>
              <a:ln w="6350" cap="flat" cmpd="sng" algn="ctr">
                <a:solidFill>
                  <a:schemeClr val="tx1"/>
                </a:solidFill>
                <a:prstDash val="solid"/>
                <a:round/>
              </a:ln>
              <a:effectLst/>
            </c:spPr>
          </c:errBars>
          <c:cat>
            <c:strRef>
              <c:f>Sheet1!$B$2:$B$6</c:f>
              <c:strCache>
                <c:ptCount val="5"/>
                <c:pt idx="0">
                  <c:v>NC</c:v>
                </c:pt>
                <c:pt idx="1">
                  <c:v>Cd</c:v>
                </c:pt>
                <c:pt idx="2">
                  <c:v>G&amp;T</c:v>
                </c:pt>
                <c:pt idx="3">
                  <c:v>Gr</c:v>
                </c:pt>
                <c:pt idx="4">
                  <c:v>Tc</c:v>
                </c:pt>
              </c:strCache>
            </c:strRef>
          </c:cat>
          <c:val>
            <c:numRef>
              <c:f>Sheet1!$C$2:$C$6</c:f>
              <c:numCache>
                <c:formatCode>General</c:formatCode>
                <c:ptCount val="5"/>
                <c:pt idx="0">
                  <c:v>150.80000000000001</c:v>
                </c:pt>
                <c:pt idx="1">
                  <c:v>138.68</c:v>
                </c:pt>
                <c:pt idx="2">
                  <c:v>150.72</c:v>
                </c:pt>
                <c:pt idx="3">
                  <c:v>148.44</c:v>
                </c:pt>
                <c:pt idx="4">
                  <c:v>147.4</c:v>
                </c:pt>
              </c:numCache>
            </c:numRef>
          </c:val>
          <c:extLst xmlns:c16r2="http://schemas.microsoft.com/office/drawing/2015/06/chart">
            <c:ext xmlns:c16="http://schemas.microsoft.com/office/drawing/2014/chart" uri="{C3380CC4-5D6E-409C-BE32-E72D297353CC}">
              <c16:uniqueId val="{00000000-4593-4B84-820A-CC8C05285DC7}"/>
            </c:ext>
          </c:extLst>
        </c:ser>
        <c:ser>
          <c:idx val="0"/>
          <c:order val="1"/>
          <c:tx>
            <c:strRef>
              <c:f>Sheet1!$D$1</c:f>
              <c:strCache>
                <c:ptCount val="1"/>
                <c:pt idx="0">
                  <c:v>Final Bodyweight</c:v>
                </c:pt>
              </c:strCache>
            </c:strRef>
          </c:tx>
          <c:spPr>
            <a:solidFill>
              <a:srgbClr val="0070C0"/>
            </a:solidFill>
            <a:ln>
              <a:noFill/>
            </a:ln>
            <a:effectLst/>
          </c:spPr>
          <c:invertIfNegative val="0"/>
          <c:errBars>
            <c:errBarType val="both"/>
            <c:errValType val="cust"/>
            <c:noEndCap val="0"/>
            <c:plus>
              <c:numRef>
                <c:f>Sheet1!$D$8:$D$12</c:f>
                <c:numCache>
                  <c:formatCode>General</c:formatCode>
                  <c:ptCount val="5"/>
                  <c:pt idx="0">
                    <c:v>13.035773855049801</c:v>
                  </c:pt>
                  <c:pt idx="1">
                    <c:v>7.5996447285384097</c:v>
                  </c:pt>
                  <c:pt idx="2">
                    <c:v>13.9451210105901</c:v>
                  </c:pt>
                  <c:pt idx="3">
                    <c:v>7.42917222845184</c:v>
                  </c:pt>
                  <c:pt idx="4">
                    <c:v>3.33631533281853</c:v>
                  </c:pt>
                </c:numCache>
              </c:numRef>
            </c:plus>
            <c:minus>
              <c:numLit>
                <c:formatCode>General</c:formatCode>
                <c:ptCount val="1"/>
                <c:pt idx="0">
                  <c:v>0</c:v>
                </c:pt>
              </c:numLit>
            </c:minus>
            <c:spPr>
              <a:solidFill>
                <a:schemeClr val="tx1"/>
              </a:solidFill>
              <a:ln w="6350" cap="flat" cmpd="sng" algn="ctr">
                <a:solidFill>
                  <a:schemeClr val="tx1"/>
                </a:solidFill>
                <a:prstDash val="solid"/>
                <a:round/>
              </a:ln>
              <a:effectLst/>
            </c:spPr>
          </c:errBars>
          <c:cat>
            <c:strRef>
              <c:f>Sheet1!$B$2:$B$6</c:f>
              <c:strCache>
                <c:ptCount val="5"/>
                <c:pt idx="0">
                  <c:v>NC</c:v>
                </c:pt>
                <c:pt idx="1">
                  <c:v>Cd</c:v>
                </c:pt>
                <c:pt idx="2">
                  <c:v>G&amp;T</c:v>
                </c:pt>
                <c:pt idx="3">
                  <c:v>Gr</c:v>
                </c:pt>
                <c:pt idx="4">
                  <c:v>Tc</c:v>
                </c:pt>
              </c:strCache>
            </c:strRef>
          </c:cat>
          <c:val>
            <c:numRef>
              <c:f>Sheet1!$D$2:$D$6</c:f>
              <c:numCache>
                <c:formatCode>General</c:formatCode>
                <c:ptCount val="5"/>
                <c:pt idx="0">
                  <c:v>153.12</c:v>
                </c:pt>
                <c:pt idx="1">
                  <c:v>124.36</c:v>
                </c:pt>
                <c:pt idx="2">
                  <c:v>143.68</c:v>
                </c:pt>
                <c:pt idx="3">
                  <c:v>132.13999999999999</c:v>
                </c:pt>
                <c:pt idx="4">
                  <c:v>147.52000000000001</c:v>
                </c:pt>
              </c:numCache>
            </c:numRef>
          </c:val>
          <c:extLst xmlns:c16r2="http://schemas.microsoft.com/office/drawing/2015/06/chart">
            <c:ext xmlns:c16="http://schemas.microsoft.com/office/drawing/2014/chart" uri="{C3380CC4-5D6E-409C-BE32-E72D297353CC}">
              <c16:uniqueId val="{00000001-4593-4B84-820A-CC8C05285DC7}"/>
            </c:ext>
          </c:extLst>
        </c:ser>
        <c:dLbls>
          <c:showLegendKey val="0"/>
          <c:showVal val="0"/>
          <c:showCatName val="0"/>
          <c:showSerName val="0"/>
          <c:showPercent val="0"/>
          <c:showBubbleSize val="0"/>
        </c:dLbls>
        <c:gapWidth val="150"/>
        <c:overlap val="-10"/>
        <c:axId val="621702216"/>
        <c:axId val="621702608"/>
      </c:barChart>
      <c:catAx>
        <c:axId val="62170221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sz="1200"/>
                  <a:t>Experimental group</a:t>
                </a:r>
                <a:endParaRPr lang="en-US" sz="1200" b="1" i="0" baseline="0">
                  <a:effectLst/>
                </a:endParaRPr>
              </a:p>
              <a:p>
                <a:pPr marL="0" marR="0" lvl="0" indent="0" algn="ctr" defTabSz="914400" rtl="0" eaLnBrk="1" fontAlgn="auto" latinLnBrk="0" hangingPunct="1">
                  <a:lnSpc>
                    <a:spcPct val="100000"/>
                  </a:lnSpc>
                  <a:spcBef>
                    <a:spcPts val="0"/>
                  </a:spcBef>
                  <a:spcAft>
                    <a:spcPts val="0"/>
                  </a:spcAft>
                  <a:buClrTx/>
                  <a:buSzTx/>
                  <a:buFontTx/>
                  <a:buNone/>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sz="1200" b="1" i="0" baseline="0">
                    <a:effectLst/>
                  </a:rPr>
                  <a:t>FIG. 1: Comparison of initial and final bodyweights of Rats within control and tests groups. </a:t>
                </a:r>
                <a:r>
                  <a:rPr lang="en-US" sz="1200" b="0" i="0" baseline="0">
                    <a:effectLst/>
                  </a:rPr>
                  <a:t/>
                </a:r>
                <a:br>
                  <a:rPr lang="en-US" sz="1200" b="0" i="0" baseline="0">
                    <a:effectLst/>
                  </a:rPr>
                </a:br>
                <a:r>
                  <a:rPr lang="en-US" sz="1200" b="0" i="0" baseline="0">
                    <a:effectLst/>
                  </a:rPr>
                  <a:t>Values are expressed as mean +SEM, n = 5.</a:t>
                </a:r>
                <a:br>
                  <a:rPr lang="en-US" sz="1200" b="0" i="0" baseline="0">
                    <a:effectLst/>
                  </a:rPr>
                </a:br>
                <a:r>
                  <a:rPr lang="en-US" sz="1200" b="0" i="0" baseline="0">
                    <a:effectLst/>
                  </a:rPr>
                  <a:t>* = significantly different at p&lt;0.05</a:t>
                </a:r>
                <a:endParaRPr lang="en-US" sz="1200">
                  <a:effectLst/>
                </a:endParaRPr>
              </a:p>
              <a:p>
                <a:pPr marL="0" marR="0" lvl="0" indent="0" algn="ctr" defTabSz="914400" rtl="0" eaLnBrk="1" fontAlgn="auto" latinLnBrk="0" hangingPunct="1">
                  <a:lnSpc>
                    <a:spcPct val="100000"/>
                  </a:lnSpc>
                  <a:spcBef>
                    <a:spcPts val="0"/>
                  </a:spcBef>
                  <a:spcAft>
                    <a:spcPts val="0"/>
                  </a:spcAft>
                  <a:buClrTx/>
                  <a:buSzTx/>
                  <a:buFontTx/>
                  <a:buNone/>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rich>
          </c:tx>
          <c:layout>
            <c:manualLayout>
              <c:xMode val="edge"/>
              <c:yMode val="edge"/>
              <c:x val="0.16257204996048097"/>
              <c:y val="0.79398752617547663"/>
            </c:manualLayout>
          </c:layout>
          <c:overlay val="0"/>
          <c:spPr>
            <a:noFill/>
            <a:ln w="25400">
              <a:noFill/>
            </a:ln>
            <a:effectLst/>
          </c:spPr>
        </c:title>
        <c:numFmt formatCode="General" sourceLinked="1"/>
        <c:majorTickMark val="out"/>
        <c:minorTickMark val="none"/>
        <c:tickLblPos val="nextTo"/>
        <c:spPr>
          <a:noFill/>
          <a:ln w="3175" cap="flat" cmpd="sng" algn="ctr">
            <a:solidFill>
              <a:srgbClr val="000000"/>
            </a:solidFill>
            <a:prstDash val="solid"/>
            <a:round/>
          </a:ln>
          <a:effectLst/>
        </c:spPr>
        <c:txPr>
          <a:bodyPr rot="-6000000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621702608"/>
        <c:crosses val="autoZero"/>
        <c:auto val="1"/>
        <c:lblAlgn val="ctr"/>
        <c:lblOffset val="100"/>
        <c:noMultiLvlLbl val="0"/>
      </c:catAx>
      <c:valAx>
        <c:axId val="621702608"/>
        <c:scaling>
          <c:orientation val="minMax"/>
        </c:scaling>
        <c:delete val="0"/>
        <c:axPos val="l"/>
        <c:title>
          <c:tx>
            <c:rich>
              <a:bodyPr rot="-540000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Bodyweight (kg)</a:t>
                </a:r>
              </a:p>
            </c:rich>
          </c:tx>
          <c:layout>
            <c:manualLayout>
              <c:xMode val="edge"/>
              <c:yMode val="edge"/>
              <c:x val="1.3487043938149599E-2"/>
              <c:y val="0.373730446948289"/>
            </c:manualLayout>
          </c:layout>
          <c:overlay val="0"/>
          <c:spPr>
            <a:noFill/>
            <a:ln w="25400">
              <a:noFill/>
            </a:ln>
            <a:effectLst/>
          </c:spPr>
        </c:title>
        <c:numFmt formatCode="General" sourceLinked="0"/>
        <c:majorTickMark val="out"/>
        <c:minorTickMark val="none"/>
        <c:tickLblPos val="nextTo"/>
        <c:spPr>
          <a:noFill/>
          <a:ln w="3175" cap="flat" cmpd="sng" algn="ctr">
            <a:solidFill>
              <a:srgbClr val="000000"/>
            </a:solidFill>
            <a:prstDash val="solid"/>
            <a:round/>
          </a:ln>
          <a:effectLst/>
        </c:spPr>
        <c:txPr>
          <a:bodyPr rot="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621702216"/>
        <c:crosses val="autoZero"/>
        <c:crossBetween val="between"/>
      </c:valAx>
      <c:spPr>
        <a:noFill/>
        <a:ln w="25400">
          <a:noFill/>
        </a:ln>
        <a:effectLst/>
      </c:spPr>
    </c:plotArea>
    <c:legend>
      <c:legendPos val="r"/>
      <c:layout>
        <c:manualLayout>
          <c:xMode val="edge"/>
          <c:yMode val="edge"/>
          <c:x val="0.63636363636363646"/>
          <c:y val="8.4179970972423884E-2"/>
          <c:w val="0.25173925070366271"/>
          <c:h val="5.9172669045784922E-2"/>
        </c:manualLayout>
      </c:layout>
      <c:overlay val="0"/>
      <c:spPr>
        <a:solidFill>
          <a:srgbClr val="FFFFFF"/>
        </a:solidFill>
        <a:ln w="25400">
          <a:noFill/>
        </a:ln>
        <a:effectLst/>
      </c:spPr>
      <c:txPr>
        <a:bodyPr rot="0" spcFirstLastPara="1"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showDLblsOverMax val="0"/>
  </c:chart>
  <c:spPr>
    <a:noFill/>
    <a:ln w="6350" cap="flat" cmpd="sng" algn="ctr">
      <a:noFill/>
      <a:prstDash val="solid"/>
      <a:round/>
    </a:ln>
    <a:effectLst/>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2: SOD levels of the control and tests groups. </a:t>
            </a:r>
            <a:r>
              <a:rPr lang="en-US"/>
              <a:t>
Values are expressed as mean +SEM, n = 5.
* = significantly different from control at p&lt;0.05
a = p&lt;0.05 vs</a:t>
            </a:r>
            <a:r>
              <a:rPr lang="en-US" baseline="0"/>
              <a:t> Cd</a:t>
            </a:r>
          </a:p>
        </c:rich>
      </c:tx>
      <c:layout>
        <c:manualLayout>
          <c:xMode val="edge"/>
          <c:yMode val="edge"/>
          <c:x val="0.17659736479931409"/>
          <c:y val="0.79596578851845645"/>
        </c:manualLayout>
      </c:layout>
      <c:overlay val="0"/>
      <c:spPr>
        <a:noFill/>
        <a:ln w="25400">
          <a:noFill/>
        </a:ln>
      </c:spPr>
    </c:title>
    <c:autoTitleDeleted val="0"/>
    <c:plotArea>
      <c:layout>
        <c:manualLayout>
          <c:layoutTarget val="inner"/>
          <c:xMode val="edge"/>
          <c:yMode val="edge"/>
          <c:x val="0.14733542319749229"/>
          <c:y val="0.23598610180376389"/>
          <c:w val="0.8526645768025084"/>
          <c:h val="0.47536647679678345"/>
        </c:manualLayout>
      </c:layout>
      <c:barChart>
        <c:barDir val="col"/>
        <c:grouping val="clustered"/>
        <c:varyColors val="0"/>
        <c:ser>
          <c:idx val="4"/>
          <c:order val="0"/>
          <c:tx>
            <c:strRef>
              <c:f>Sheet3!$F$3</c:f>
              <c:strCache>
                <c:ptCount val="1"/>
                <c:pt idx="0">
                  <c:v>NC</c:v>
                </c:pt>
              </c:strCache>
            </c:strRef>
          </c:tx>
          <c:spPr>
            <a:solidFill>
              <a:srgbClr val="00B0F0"/>
            </a:solidFill>
          </c:spPr>
          <c:invertIfNegative val="0"/>
          <c:dLbls>
            <c:delete val="1"/>
          </c:dLbls>
          <c:errBars>
            <c:errBarType val="both"/>
            <c:errValType val="cust"/>
            <c:noEndCap val="0"/>
            <c:plus>
              <c:numRef>
                <c:f>Sheet3!$L$9</c:f>
                <c:numCache>
                  <c:formatCode>General</c:formatCode>
                  <c:ptCount val="1"/>
                  <c:pt idx="0">
                    <c:v>2.6810139872816898</c:v>
                  </c:pt>
                </c:numCache>
              </c:numRef>
            </c:plus>
            <c:minus>
              <c:numLit>
                <c:formatCode>General</c:formatCode>
                <c:ptCount val="1"/>
                <c:pt idx="0">
                  <c:v>0</c:v>
                </c:pt>
              </c:numLit>
            </c:minus>
          </c:errBars>
          <c:val>
            <c:numRef>
              <c:f>Sheet3!$L$3</c:f>
              <c:numCache>
                <c:formatCode>0.00</c:formatCode>
                <c:ptCount val="1"/>
                <c:pt idx="0">
                  <c:v>44.616</c:v>
                </c:pt>
              </c:numCache>
            </c:numRef>
          </c:val>
          <c:extLst xmlns:c16r2="http://schemas.microsoft.com/office/drawing/2015/06/chart">
            <c:ext xmlns:c16="http://schemas.microsoft.com/office/drawing/2014/chart" uri="{C3380CC4-5D6E-409C-BE32-E72D297353CC}">
              <c16:uniqueId val="{00000000-6314-4B75-B3B1-C6BD11FE54D6}"/>
            </c:ext>
          </c:extLst>
        </c:ser>
        <c:ser>
          <c:idx val="5"/>
          <c:order val="1"/>
          <c:tx>
            <c:strRef>
              <c:f>Sheet3!$F$4</c:f>
              <c:strCache>
                <c:ptCount val="1"/>
                <c:pt idx="0">
                  <c:v>Cd</c:v>
                </c:pt>
              </c:strCache>
            </c:strRef>
          </c:tx>
          <c:spPr>
            <a:solidFill>
              <a:srgbClr val="FF0000"/>
            </a:solidFill>
          </c:spPr>
          <c:invertIfNegative val="0"/>
          <c:dLbls>
            <c:delete val="1"/>
          </c:dLbls>
          <c:errBars>
            <c:errBarType val="both"/>
            <c:errValType val="cust"/>
            <c:noEndCap val="0"/>
            <c:plus>
              <c:numRef>
                <c:f>Sheet3!$L$10</c:f>
                <c:numCache>
                  <c:formatCode>General</c:formatCode>
                  <c:ptCount val="1"/>
                  <c:pt idx="0">
                    <c:v>1.0910650377803599</c:v>
                  </c:pt>
                </c:numCache>
              </c:numRef>
            </c:plus>
            <c:minus>
              <c:numLit>
                <c:formatCode>General</c:formatCode>
                <c:ptCount val="1"/>
                <c:pt idx="0">
                  <c:v>0</c:v>
                </c:pt>
              </c:numLit>
            </c:minus>
          </c:errBars>
          <c:val>
            <c:numRef>
              <c:f>Sheet3!$L$4</c:f>
              <c:numCache>
                <c:formatCode>0.00</c:formatCode>
                <c:ptCount val="1"/>
                <c:pt idx="0">
                  <c:v>29.7925</c:v>
                </c:pt>
              </c:numCache>
            </c:numRef>
          </c:val>
          <c:extLst xmlns:c16r2="http://schemas.microsoft.com/office/drawing/2015/06/chart">
            <c:ext xmlns:c16="http://schemas.microsoft.com/office/drawing/2014/chart" uri="{C3380CC4-5D6E-409C-BE32-E72D297353CC}">
              <c16:uniqueId val="{00000001-6314-4B75-B3B1-C6BD11FE54D6}"/>
            </c:ext>
          </c:extLst>
        </c:ser>
        <c:ser>
          <c:idx val="6"/>
          <c:order val="2"/>
          <c:tx>
            <c:strRef>
              <c:f>Sheet3!$F$5</c:f>
              <c:strCache>
                <c:ptCount val="1"/>
                <c:pt idx="0">
                  <c:v>G&amp;T</c:v>
                </c:pt>
              </c:strCache>
            </c:strRef>
          </c:tx>
          <c:spPr>
            <a:solidFill>
              <a:srgbClr val="00B050"/>
            </a:solidFill>
          </c:spPr>
          <c:invertIfNegative val="0"/>
          <c:dLbls>
            <c:delete val="1"/>
          </c:dLbls>
          <c:errBars>
            <c:errBarType val="both"/>
            <c:errValType val="cust"/>
            <c:noEndCap val="0"/>
            <c:plus>
              <c:numRef>
                <c:f>Sheet3!$L$11</c:f>
                <c:numCache>
                  <c:formatCode>General</c:formatCode>
                  <c:ptCount val="1"/>
                  <c:pt idx="0">
                    <c:v>3.3398652667435602</c:v>
                  </c:pt>
                </c:numCache>
              </c:numRef>
            </c:plus>
            <c:minus>
              <c:numLit>
                <c:formatCode>General</c:formatCode>
                <c:ptCount val="1"/>
                <c:pt idx="0">
                  <c:v>0</c:v>
                </c:pt>
              </c:numLit>
            </c:minus>
          </c:errBars>
          <c:val>
            <c:numRef>
              <c:f>Sheet3!$L$5</c:f>
              <c:numCache>
                <c:formatCode>General</c:formatCode>
                <c:ptCount val="1"/>
                <c:pt idx="0">
                  <c:v>34.909999999999997</c:v>
                </c:pt>
              </c:numCache>
            </c:numRef>
          </c:val>
          <c:extLst xmlns:c16r2="http://schemas.microsoft.com/office/drawing/2015/06/chart">
            <c:ext xmlns:c16="http://schemas.microsoft.com/office/drawing/2014/chart" uri="{C3380CC4-5D6E-409C-BE32-E72D297353CC}">
              <c16:uniqueId val="{00000002-6314-4B75-B3B1-C6BD11FE54D6}"/>
            </c:ext>
          </c:extLst>
        </c:ser>
        <c:ser>
          <c:idx val="7"/>
          <c:order val="3"/>
          <c:tx>
            <c:strRef>
              <c:f>Sheet3!$F$6</c:f>
              <c:strCache>
                <c:ptCount val="1"/>
                <c:pt idx="0">
                  <c:v>Gr</c:v>
                </c:pt>
              </c:strCache>
            </c:strRef>
          </c:tx>
          <c:spPr>
            <a:solidFill>
              <a:schemeClr val="accent2"/>
            </a:solidFill>
          </c:spPr>
          <c:invertIfNegative val="0"/>
          <c:dLbls>
            <c:delete val="1"/>
          </c:dLbls>
          <c:errBars>
            <c:errBarType val="both"/>
            <c:errValType val="cust"/>
            <c:noEndCap val="0"/>
            <c:plus>
              <c:numRef>
                <c:f>Sheet3!$L$12</c:f>
                <c:numCache>
                  <c:formatCode>General</c:formatCode>
                  <c:ptCount val="1"/>
                  <c:pt idx="0">
                    <c:v>3.5168988864876201</c:v>
                  </c:pt>
                </c:numCache>
              </c:numRef>
            </c:plus>
            <c:minus>
              <c:numLit>
                <c:formatCode>General</c:formatCode>
                <c:ptCount val="1"/>
                <c:pt idx="0">
                  <c:v>0</c:v>
                </c:pt>
              </c:numLit>
            </c:minus>
          </c:errBars>
          <c:val>
            <c:numRef>
              <c:f>Sheet3!$L$6</c:f>
              <c:numCache>
                <c:formatCode>0.00</c:formatCode>
                <c:ptCount val="1"/>
                <c:pt idx="0">
                  <c:v>33.126666666666701</c:v>
                </c:pt>
              </c:numCache>
            </c:numRef>
          </c:val>
          <c:extLst xmlns:c16r2="http://schemas.microsoft.com/office/drawing/2015/06/chart">
            <c:ext xmlns:c16="http://schemas.microsoft.com/office/drawing/2014/chart" uri="{C3380CC4-5D6E-409C-BE32-E72D297353CC}">
              <c16:uniqueId val="{00000003-6314-4B75-B3B1-C6BD11FE54D6}"/>
            </c:ext>
          </c:extLst>
        </c:ser>
        <c:ser>
          <c:idx val="0"/>
          <c:order val="4"/>
          <c:tx>
            <c:strRef>
              <c:f>Sheet3!$F$7</c:f>
              <c:strCache>
                <c:ptCount val="1"/>
                <c:pt idx="0">
                  <c:v>Tc</c:v>
                </c:pt>
              </c:strCache>
            </c:strRef>
          </c:tx>
          <c:invertIfNegative val="0"/>
          <c:dLbls>
            <c:delete val="1"/>
          </c:dLbls>
          <c:errBars>
            <c:errBarType val="both"/>
            <c:errValType val="cust"/>
            <c:noEndCap val="0"/>
            <c:plus>
              <c:numRef>
                <c:f>Sheet3!$L$13</c:f>
                <c:numCache>
                  <c:formatCode>General</c:formatCode>
                  <c:ptCount val="1"/>
                  <c:pt idx="0">
                    <c:v>1.5029008986327399</c:v>
                  </c:pt>
                </c:numCache>
              </c:numRef>
            </c:plus>
            <c:minus>
              <c:numLit>
                <c:formatCode>General</c:formatCode>
                <c:ptCount val="1"/>
                <c:pt idx="0">
                  <c:v>0</c:v>
                </c:pt>
              </c:numLit>
            </c:minus>
          </c:errBars>
          <c:val>
            <c:numRef>
              <c:f>Sheet3!$L$7</c:f>
              <c:numCache>
                <c:formatCode>0.00</c:formatCode>
                <c:ptCount val="1"/>
                <c:pt idx="0">
                  <c:v>31.2566666666667</c:v>
                </c:pt>
              </c:numCache>
            </c:numRef>
          </c:val>
          <c:extLst xmlns:c16r2="http://schemas.microsoft.com/office/drawing/2015/06/chart">
            <c:ext xmlns:c16="http://schemas.microsoft.com/office/drawing/2014/chart" uri="{C3380CC4-5D6E-409C-BE32-E72D297353CC}">
              <c16:uniqueId val="{00000004-6314-4B75-B3B1-C6BD11FE54D6}"/>
            </c:ext>
          </c:extLst>
        </c:ser>
        <c:dLbls>
          <c:showLegendKey val="0"/>
          <c:showVal val="1"/>
          <c:showCatName val="0"/>
          <c:showSerName val="0"/>
          <c:showPercent val="0"/>
          <c:showBubbleSize val="0"/>
        </c:dLbls>
        <c:gapWidth val="150"/>
        <c:overlap val="-10"/>
        <c:axId val="621700256"/>
        <c:axId val="493767480"/>
      </c:barChart>
      <c:catAx>
        <c:axId val="621700256"/>
        <c:scaling>
          <c:orientation val="minMax"/>
        </c:scaling>
        <c:delete val="0"/>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484342215102769"/>
              <c:y val="0.73839926425420221"/>
            </c:manualLayout>
          </c:layout>
          <c:overlay val="0"/>
          <c:spPr>
            <a:noFill/>
            <a:ln w="25400">
              <a:noFill/>
            </a:ln>
          </c:spPr>
        </c:title>
        <c:majorTickMark val="out"/>
        <c:minorTickMark val="non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493767480"/>
        <c:crosses val="autoZero"/>
        <c:auto val="1"/>
        <c:lblAlgn val="ctr"/>
        <c:lblOffset val="100"/>
        <c:noMultiLvlLbl val="0"/>
      </c:catAx>
      <c:valAx>
        <c:axId val="493767480"/>
        <c:scaling>
          <c:orientation val="minMax"/>
        </c:scaling>
        <c:delete val="0"/>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SOD (µmol/ml/mg)</a:t>
                </a:r>
              </a:p>
            </c:rich>
          </c:tx>
          <c:layout>
            <c:manualLayout>
              <c:xMode val="edge"/>
              <c:yMode val="edge"/>
              <c:x val="3.1347962382445096E-2"/>
              <c:y val="0.39550072568940553"/>
            </c:manualLayout>
          </c:layout>
          <c:overlay val="0"/>
          <c:spPr>
            <a:noFill/>
            <a:ln w="25400">
              <a:noFill/>
            </a:ln>
          </c:spPr>
        </c:title>
        <c:numFmt formatCode="General"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621700256"/>
        <c:crosses val="autoZero"/>
        <c:crossBetween val="between"/>
      </c:valAx>
      <c:spPr>
        <a:noFill/>
        <a:ln w="25400">
          <a:noFill/>
        </a:ln>
      </c:spPr>
    </c:plotArea>
    <c:legend>
      <c:legendPos val="r"/>
      <c:layout>
        <c:manualLayout>
          <c:xMode val="edge"/>
          <c:yMode val="edge"/>
          <c:x val="0.65621734587251757"/>
          <c:y val="0.10885253441000202"/>
          <c:w val="0.10662124331834708"/>
          <c:h val="0.15252450110055091"/>
        </c:manualLayout>
      </c:layout>
      <c:overlay val="0"/>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showDLblsOverMax val="0"/>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3: CAT levels of the control and tests groups. </a:t>
            </a:r>
            <a:r>
              <a:rPr lang="en-US"/>
              <a:t>
Values are expressed as mean +SEM, n = 5.
* = significantly different from control at p&lt;0.05</a:t>
            </a:r>
            <a:endParaRPr lang="en-US" baseline="0"/>
          </a:p>
        </c:rich>
      </c:tx>
      <c:layout>
        <c:manualLayout>
          <c:xMode val="edge"/>
          <c:yMode val="edge"/>
          <c:x val="0.21002621186295936"/>
          <c:y val="0.82707649348709456"/>
        </c:manualLayout>
      </c:layout>
      <c:overlay val="0"/>
      <c:spPr>
        <a:noFill/>
        <a:ln w="25400">
          <a:noFill/>
        </a:ln>
      </c:spPr>
    </c:title>
    <c:autoTitleDeleted val="0"/>
    <c:plotArea>
      <c:layout>
        <c:manualLayout>
          <c:layoutTarget val="inner"/>
          <c:xMode val="edge"/>
          <c:yMode val="edge"/>
          <c:x val="0.14733542319749229"/>
          <c:y val="0.18415661633318275"/>
          <c:w val="0.8526645768025084"/>
          <c:h val="0.54397141005753336"/>
        </c:manualLayout>
      </c:layout>
      <c:barChart>
        <c:barDir val="col"/>
        <c:grouping val="clustered"/>
        <c:varyColors val="0"/>
        <c:ser>
          <c:idx val="4"/>
          <c:order val="0"/>
          <c:tx>
            <c:strRef>
              <c:f>Sheet3!$F$3</c:f>
              <c:strCache>
                <c:ptCount val="1"/>
                <c:pt idx="0">
                  <c:v>NC</c:v>
                </c:pt>
              </c:strCache>
            </c:strRef>
          </c:tx>
          <c:spPr>
            <a:solidFill>
              <a:srgbClr val="00B0F0"/>
            </a:solidFill>
          </c:spPr>
          <c:invertIfNegative val="0"/>
          <c:dLbls>
            <c:delete val="1"/>
          </c:dLbls>
          <c:errBars>
            <c:errBarType val="both"/>
            <c:errValType val="cust"/>
            <c:noEndCap val="0"/>
            <c:plus>
              <c:numRef>
                <c:f>Sheet3!$M$9</c:f>
                <c:numCache>
                  <c:formatCode>General</c:formatCode>
                  <c:ptCount val="1"/>
                  <c:pt idx="0">
                    <c:v>2.5642874253874099</c:v>
                  </c:pt>
                </c:numCache>
              </c:numRef>
            </c:plus>
            <c:minus>
              <c:numLit>
                <c:formatCode>General</c:formatCode>
                <c:ptCount val="1"/>
                <c:pt idx="0">
                  <c:v>0</c:v>
                </c:pt>
              </c:numLit>
            </c:minus>
          </c:errBars>
          <c:val>
            <c:numRef>
              <c:f>Sheet3!$M$3</c:f>
              <c:numCache>
                <c:formatCode>General</c:formatCode>
                <c:ptCount val="1"/>
                <c:pt idx="0">
                  <c:v>48.48</c:v>
                </c:pt>
              </c:numCache>
            </c:numRef>
          </c:val>
          <c:extLst xmlns:c16r2="http://schemas.microsoft.com/office/drawing/2015/06/chart">
            <c:ext xmlns:c16="http://schemas.microsoft.com/office/drawing/2014/chart" uri="{C3380CC4-5D6E-409C-BE32-E72D297353CC}">
              <c16:uniqueId val="{00000000-72C9-4FAC-9909-F450C41709AD}"/>
            </c:ext>
          </c:extLst>
        </c:ser>
        <c:ser>
          <c:idx val="5"/>
          <c:order val="1"/>
          <c:tx>
            <c:strRef>
              <c:f>Sheet3!$F$4</c:f>
              <c:strCache>
                <c:ptCount val="1"/>
                <c:pt idx="0">
                  <c:v>Cd</c:v>
                </c:pt>
              </c:strCache>
            </c:strRef>
          </c:tx>
          <c:spPr>
            <a:solidFill>
              <a:srgbClr val="FF0000"/>
            </a:solidFill>
          </c:spPr>
          <c:invertIfNegative val="0"/>
          <c:dLbls>
            <c:delete val="1"/>
          </c:dLbls>
          <c:errBars>
            <c:errBarType val="both"/>
            <c:errValType val="cust"/>
            <c:noEndCap val="0"/>
            <c:plus>
              <c:numRef>
                <c:f>Sheet3!$M$10</c:f>
                <c:numCache>
                  <c:formatCode>General</c:formatCode>
                  <c:ptCount val="1"/>
                  <c:pt idx="0">
                    <c:v>2.1152895782847301</c:v>
                  </c:pt>
                </c:numCache>
              </c:numRef>
            </c:plus>
            <c:minus>
              <c:numLit>
                <c:formatCode>General</c:formatCode>
                <c:ptCount val="1"/>
                <c:pt idx="0">
                  <c:v>0</c:v>
                </c:pt>
              </c:numLit>
            </c:minus>
          </c:errBars>
          <c:val>
            <c:numRef>
              <c:f>Sheet3!$M$4</c:f>
              <c:numCache>
                <c:formatCode>General</c:formatCode>
                <c:ptCount val="1"/>
                <c:pt idx="0">
                  <c:v>27.77</c:v>
                </c:pt>
              </c:numCache>
            </c:numRef>
          </c:val>
          <c:extLst xmlns:c16r2="http://schemas.microsoft.com/office/drawing/2015/06/chart">
            <c:ext xmlns:c16="http://schemas.microsoft.com/office/drawing/2014/chart" uri="{C3380CC4-5D6E-409C-BE32-E72D297353CC}">
              <c16:uniqueId val="{00000001-72C9-4FAC-9909-F450C41709AD}"/>
            </c:ext>
          </c:extLst>
        </c:ser>
        <c:ser>
          <c:idx val="6"/>
          <c:order val="2"/>
          <c:tx>
            <c:strRef>
              <c:f>Sheet3!$F$5</c:f>
              <c:strCache>
                <c:ptCount val="1"/>
                <c:pt idx="0">
                  <c:v>G&amp;T</c:v>
                </c:pt>
              </c:strCache>
            </c:strRef>
          </c:tx>
          <c:spPr>
            <a:solidFill>
              <a:srgbClr val="00B050"/>
            </a:solidFill>
          </c:spPr>
          <c:invertIfNegative val="0"/>
          <c:dLbls>
            <c:delete val="1"/>
          </c:dLbls>
          <c:errBars>
            <c:errBarType val="both"/>
            <c:errValType val="cust"/>
            <c:noEndCap val="0"/>
            <c:plus>
              <c:numRef>
                <c:f>Sheet3!$M$11</c:f>
                <c:numCache>
                  <c:formatCode>General</c:formatCode>
                  <c:ptCount val="1"/>
                  <c:pt idx="0">
                    <c:v>3.2942593165147498</c:v>
                  </c:pt>
                </c:numCache>
              </c:numRef>
            </c:plus>
            <c:minus>
              <c:numLit>
                <c:formatCode>General</c:formatCode>
                <c:ptCount val="1"/>
                <c:pt idx="0">
                  <c:v>0</c:v>
                </c:pt>
              </c:numLit>
            </c:minus>
          </c:errBars>
          <c:val>
            <c:numRef>
              <c:f>Sheet3!$M$5</c:f>
              <c:numCache>
                <c:formatCode>0.00</c:formatCode>
                <c:ptCount val="1"/>
                <c:pt idx="0">
                  <c:v>36.973333333333301</c:v>
                </c:pt>
              </c:numCache>
            </c:numRef>
          </c:val>
          <c:extLst xmlns:c16r2="http://schemas.microsoft.com/office/drawing/2015/06/chart">
            <c:ext xmlns:c16="http://schemas.microsoft.com/office/drawing/2014/chart" uri="{C3380CC4-5D6E-409C-BE32-E72D297353CC}">
              <c16:uniqueId val="{00000002-72C9-4FAC-9909-F450C41709AD}"/>
            </c:ext>
          </c:extLst>
        </c:ser>
        <c:ser>
          <c:idx val="7"/>
          <c:order val="3"/>
          <c:tx>
            <c:strRef>
              <c:f>Sheet3!$F$6</c:f>
              <c:strCache>
                <c:ptCount val="1"/>
                <c:pt idx="0">
                  <c:v>Gr</c:v>
                </c:pt>
              </c:strCache>
            </c:strRef>
          </c:tx>
          <c:spPr>
            <a:solidFill>
              <a:schemeClr val="accent2"/>
            </a:solidFill>
          </c:spPr>
          <c:invertIfNegative val="0"/>
          <c:dLbls>
            <c:delete val="1"/>
          </c:dLbls>
          <c:errBars>
            <c:errBarType val="both"/>
            <c:errValType val="cust"/>
            <c:noEndCap val="0"/>
            <c:plus>
              <c:numRef>
                <c:f>Sheet3!$M$12</c:f>
                <c:numCache>
                  <c:formatCode>General</c:formatCode>
                  <c:ptCount val="1"/>
                  <c:pt idx="0">
                    <c:v>1.4054931914140001</c:v>
                  </c:pt>
                </c:numCache>
              </c:numRef>
            </c:plus>
            <c:minus>
              <c:numLit>
                <c:formatCode>General</c:formatCode>
                <c:ptCount val="1"/>
                <c:pt idx="0">
                  <c:v>0</c:v>
                </c:pt>
              </c:numLit>
            </c:minus>
          </c:errBars>
          <c:val>
            <c:numRef>
              <c:f>Sheet3!$M$6</c:f>
              <c:numCache>
                <c:formatCode>0.00</c:formatCode>
                <c:ptCount val="1"/>
                <c:pt idx="0">
                  <c:v>32.893333333333302</c:v>
                </c:pt>
              </c:numCache>
            </c:numRef>
          </c:val>
          <c:extLst xmlns:c16r2="http://schemas.microsoft.com/office/drawing/2015/06/chart">
            <c:ext xmlns:c16="http://schemas.microsoft.com/office/drawing/2014/chart" uri="{C3380CC4-5D6E-409C-BE32-E72D297353CC}">
              <c16:uniqueId val="{00000003-72C9-4FAC-9909-F450C41709AD}"/>
            </c:ext>
          </c:extLst>
        </c:ser>
        <c:ser>
          <c:idx val="0"/>
          <c:order val="4"/>
          <c:tx>
            <c:strRef>
              <c:f>Sheet3!$F$7</c:f>
              <c:strCache>
                <c:ptCount val="1"/>
                <c:pt idx="0">
                  <c:v>Tc</c:v>
                </c:pt>
              </c:strCache>
            </c:strRef>
          </c:tx>
          <c:invertIfNegative val="0"/>
          <c:dLbls>
            <c:delete val="1"/>
          </c:dLbls>
          <c:errBars>
            <c:errBarType val="both"/>
            <c:errValType val="cust"/>
            <c:noEndCap val="0"/>
            <c:plus>
              <c:numRef>
                <c:f>Sheet3!$M$13</c:f>
                <c:numCache>
                  <c:formatCode>General</c:formatCode>
                  <c:ptCount val="1"/>
                  <c:pt idx="0">
                    <c:v>3.4888696036268101</c:v>
                  </c:pt>
                </c:numCache>
              </c:numRef>
            </c:plus>
            <c:minus>
              <c:numLit>
                <c:formatCode>General</c:formatCode>
                <c:ptCount val="1"/>
                <c:pt idx="0">
                  <c:v>0</c:v>
                </c:pt>
              </c:numLit>
            </c:minus>
          </c:errBars>
          <c:val>
            <c:numRef>
              <c:f>Sheet3!$M$7</c:f>
              <c:numCache>
                <c:formatCode>0.00</c:formatCode>
                <c:ptCount val="1"/>
                <c:pt idx="0">
                  <c:v>33.413333333333298</c:v>
                </c:pt>
              </c:numCache>
            </c:numRef>
          </c:val>
          <c:extLst xmlns:c16r2="http://schemas.microsoft.com/office/drawing/2015/06/chart">
            <c:ext xmlns:c16="http://schemas.microsoft.com/office/drawing/2014/chart" uri="{C3380CC4-5D6E-409C-BE32-E72D297353CC}">
              <c16:uniqueId val="{00000004-72C9-4FAC-9909-F450C41709AD}"/>
            </c:ext>
          </c:extLst>
        </c:ser>
        <c:dLbls>
          <c:showLegendKey val="0"/>
          <c:showVal val="1"/>
          <c:showCatName val="0"/>
          <c:showSerName val="0"/>
          <c:showPercent val="0"/>
          <c:showBubbleSize val="0"/>
        </c:dLbls>
        <c:gapWidth val="150"/>
        <c:overlap val="-10"/>
        <c:axId val="498462568"/>
        <c:axId val="498462176"/>
      </c:barChart>
      <c:catAx>
        <c:axId val="498462568"/>
        <c:scaling>
          <c:orientation val="minMax"/>
        </c:scaling>
        <c:delete val="0"/>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466898808963618"/>
              <c:y val="0.76151487161665765"/>
            </c:manualLayout>
          </c:layout>
          <c:overlay val="0"/>
          <c:spPr>
            <a:noFill/>
            <a:ln w="25400">
              <a:noFill/>
            </a:ln>
          </c:spPr>
        </c:title>
        <c:majorTickMark val="out"/>
        <c:minorTickMark val="non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498462176"/>
        <c:crosses val="autoZero"/>
        <c:auto val="1"/>
        <c:lblAlgn val="ctr"/>
        <c:lblOffset val="100"/>
        <c:noMultiLvlLbl val="0"/>
      </c:catAx>
      <c:valAx>
        <c:axId val="498462176"/>
        <c:scaling>
          <c:orientation val="minMax"/>
        </c:scaling>
        <c:delete val="0"/>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CAT (µmol/ml/mg)</a:t>
                </a:r>
              </a:p>
            </c:rich>
          </c:tx>
          <c:layout>
            <c:manualLayout>
              <c:xMode val="edge"/>
              <c:yMode val="edge"/>
              <c:x val="3.1347962382445096E-2"/>
              <c:y val="0.39550072568940553"/>
            </c:manualLayout>
          </c:layout>
          <c:overlay val="0"/>
          <c:spPr>
            <a:noFill/>
            <a:ln w="25400">
              <a:noFill/>
            </a:ln>
          </c:spPr>
        </c:title>
        <c:numFmt formatCode="General"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498462568"/>
        <c:crosses val="autoZero"/>
        <c:crossBetween val="between"/>
      </c:valAx>
      <c:spPr>
        <a:noFill/>
        <a:ln w="25400">
          <a:noFill/>
        </a:ln>
      </c:spPr>
    </c:plotArea>
    <c:legend>
      <c:legendPos val="r"/>
      <c:layout>
        <c:manualLayout>
          <c:xMode val="edge"/>
          <c:yMode val="edge"/>
          <c:x val="0.71376488795474258"/>
          <c:y val="3.6673827242916339E-2"/>
          <c:w val="9.4066499610588702E-2"/>
          <c:h val="0.14091268635334012"/>
        </c:manualLayout>
      </c:layout>
      <c:overlay val="0"/>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showDLblsOverMax val="0"/>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4: MDA levels of the control and tests groups. </a:t>
            </a:r>
            <a:r>
              <a:rPr lang="en-US"/>
              <a:t>
Values are expressed as mean +SEM, n = 5.
* = significantly different from control at p&lt;0.05
a = p&lt;0.05 vs</a:t>
            </a:r>
            <a:r>
              <a:rPr lang="en-US" baseline="0"/>
              <a:t> Cd</a:t>
            </a:r>
          </a:p>
        </c:rich>
      </c:tx>
      <c:layout>
        <c:manualLayout>
          <c:xMode val="edge"/>
          <c:yMode val="edge"/>
          <c:x val="0.14043471359329029"/>
          <c:y val="0.79847683474955622"/>
        </c:manualLayout>
      </c:layout>
      <c:overlay val="0"/>
      <c:spPr>
        <a:noFill/>
        <a:ln w="25400">
          <a:noFill/>
        </a:ln>
      </c:spPr>
    </c:title>
    <c:autoTitleDeleted val="0"/>
    <c:plotArea>
      <c:layout>
        <c:manualLayout>
          <c:layoutTarget val="inner"/>
          <c:xMode val="edge"/>
          <c:yMode val="edge"/>
          <c:x val="0.14733542319749229"/>
          <c:y val="0.17609929143024758"/>
          <c:w val="0.8526645768025084"/>
          <c:h val="0.51726218303038074"/>
        </c:manualLayout>
      </c:layout>
      <c:barChart>
        <c:barDir val="col"/>
        <c:grouping val="clustered"/>
        <c:varyColors val="0"/>
        <c:ser>
          <c:idx val="4"/>
          <c:order val="0"/>
          <c:tx>
            <c:strRef>
              <c:f>Sheet3!$F$3</c:f>
              <c:strCache>
                <c:ptCount val="1"/>
                <c:pt idx="0">
                  <c:v>NC</c:v>
                </c:pt>
              </c:strCache>
            </c:strRef>
          </c:tx>
          <c:spPr>
            <a:solidFill>
              <a:srgbClr val="00B0F0"/>
            </a:solidFill>
          </c:spPr>
          <c:invertIfNegative val="0"/>
          <c:dLbls>
            <c:delete val="1"/>
          </c:dLbls>
          <c:errBars>
            <c:errBarType val="both"/>
            <c:errValType val="cust"/>
            <c:noEndCap val="0"/>
            <c:plus>
              <c:numRef>
                <c:f>Sheet3!$N$9</c:f>
                <c:numCache>
                  <c:formatCode>General</c:formatCode>
                  <c:ptCount val="1"/>
                  <c:pt idx="0">
                    <c:v>6.4373907757724294E-2</c:v>
                  </c:pt>
                </c:numCache>
              </c:numRef>
            </c:plus>
            <c:minus>
              <c:numLit>
                <c:formatCode>General</c:formatCode>
                <c:ptCount val="1"/>
                <c:pt idx="0">
                  <c:v>0</c:v>
                </c:pt>
              </c:numLit>
            </c:minus>
          </c:errBars>
          <c:val>
            <c:numRef>
              <c:f>Sheet3!$N$3</c:f>
              <c:numCache>
                <c:formatCode>0.00</c:formatCode>
                <c:ptCount val="1"/>
                <c:pt idx="0">
                  <c:v>4.0919999999999996</c:v>
                </c:pt>
              </c:numCache>
            </c:numRef>
          </c:val>
          <c:extLst xmlns:c16r2="http://schemas.microsoft.com/office/drawing/2015/06/chart">
            <c:ext xmlns:c16="http://schemas.microsoft.com/office/drawing/2014/chart" uri="{C3380CC4-5D6E-409C-BE32-E72D297353CC}">
              <c16:uniqueId val="{00000000-BD7C-416A-BF21-D956001397BD}"/>
            </c:ext>
          </c:extLst>
        </c:ser>
        <c:ser>
          <c:idx val="5"/>
          <c:order val="1"/>
          <c:tx>
            <c:strRef>
              <c:f>Sheet3!$F$4</c:f>
              <c:strCache>
                <c:ptCount val="1"/>
                <c:pt idx="0">
                  <c:v>Cd</c:v>
                </c:pt>
              </c:strCache>
            </c:strRef>
          </c:tx>
          <c:spPr>
            <a:solidFill>
              <a:srgbClr val="FF0000"/>
            </a:solidFill>
          </c:spPr>
          <c:invertIfNegative val="0"/>
          <c:dLbls>
            <c:delete val="1"/>
          </c:dLbls>
          <c:errBars>
            <c:errBarType val="both"/>
            <c:errValType val="cust"/>
            <c:noEndCap val="0"/>
            <c:plus>
              <c:numRef>
                <c:f>Sheet3!$N$10</c:f>
                <c:numCache>
                  <c:formatCode>General</c:formatCode>
                  <c:ptCount val="1"/>
                  <c:pt idx="0">
                    <c:v>0.533611906413894</c:v>
                  </c:pt>
                </c:numCache>
              </c:numRef>
            </c:plus>
            <c:minus>
              <c:numLit>
                <c:formatCode>General</c:formatCode>
                <c:ptCount val="1"/>
                <c:pt idx="0">
                  <c:v>0</c:v>
                </c:pt>
              </c:numLit>
            </c:minus>
          </c:errBars>
          <c:val>
            <c:numRef>
              <c:f>Sheet3!$N$4</c:f>
              <c:numCache>
                <c:formatCode>0.00</c:formatCode>
                <c:ptCount val="1"/>
                <c:pt idx="0">
                  <c:v>7.0949999999999998</c:v>
                </c:pt>
              </c:numCache>
            </c:numRef>
          </c:val>
          <c:extLst xmlns:c16r2="http://schemas.microsoft.com/office/drawing/2015/06/chart">
            <c:ext xmlns:c16="http://schemas.microsoft.com/office/drawing/2014/chart" uri="{C3380CC4-5D6E-409C-BE32-E72D297353CC}">
              <c16:uniqueId val="{00000001-BD7C-416A-BF21-D956001397BD}"/>
            </c:ext>
          </c:extLst>
        </c:ser>
        <c:ser>
          <c:idx val="6"/>
          <c:order val="2"/>
          <c:tx>
            <c:strRef>
              <c:f>Sheet3!$F$5</c:f>
              <c:strCache>
                <c:ptCount val="1"/>
                <c:pt idx="0">
                  <c:v>G&amp;T</c:v>
                </c:pt>
              </c:strCache>
            </c:strRef>
          </c:tx>
          <c:spPr>
            <a:solidFill>
              <a:srgbClr val="00B050"/>
            </a:solidFill>
          </c:spPr>
          <c:invertIfNegative val="0"/>
          <c:dLbls>
            <c:delete val="1"/>
          </c:dLbls>
          <c:errBars>
            <c:errBarType val="both"/>
            <c:errValType val="cust"/>
            <c:noEndCap val="0"/>
            <c:plus>
              <c:numRef>
                <c:f>Sheet3!$N$11</c:f>
                <c:numCache>
                  <c:formatCode>General</c:formatCode>
                  <c:ptCount val="1"/>
                  <c:pt idx="0">
                    <c:v>0.104403065089106</c:v>
                  </c:pt>
                </c:numCache>
              </c:numRef>
            </c:plus>
            <c:minus>
              <c:numLit>
                <c:formatCode>General</c:formatCode>
                <c:ptCount val="1"/>
                <c:pt idx="0">
                  <c:v>0</c:v>
                </c:pt>
              </c:numLit>
            </c:minus>
          </c:errBars>
          <c:val>
            <c:numRef>
              <c:f>Sheet3!$N$5</c:f>
              <c:numCache>
                <c:formatCode>General</c:formatCode>
                <c:ptCount val="1"/>
                <c:pt idx="0">
                  <c:v>4.18</c:v>
                </c:pt>
              </c:numCache>
            </c:numRef>
          </c:val>
          <c:extLst xmlns:c16r2="http://schemas.microsoft.com/office/drawing/2015/06/chart">
            <c:ext xmlns:c16="http://schemas.microsoft.com/office/drawing/2014/chart" uri="{C3380CC4-5D6E-409C-BE32-E72D297353CC}">
              <c16:uniqueId val="{00000002-BD7C-416A-BF21-D956001397BD}"/>
            </c:ext>
          </c:extLst>
        </c:ser>
        <c:ser>
          <c:idx val="7"/>
          <c:order val="3"/>
          <c:tx>
            <c:strRef>
              <c:f>Sheet3!$F$6</c:f>
              <c:strCache>
                <c:ptCount val="1"/>
                <c:pt idx="0">
                  <c:v>Gr</c:v>
                </c:pt>
              </c:strCache>
            </c:strRef>
          </c:tx>
          <c:invertIfNegative val="0"/>
          <c:dPt>
            <c:idx val="0"/>
            <c:invertIfNegative val="0"/>
            <c:bubble3D val="0"/>
            <c:spPr>
              <a:solidFill>
                <a:schemeClr val="accent2"/>
              </a:solidFill>
            </c:spPr>
            <c:extLst xmlns:c16r2="http://schemas.microsoft.com/office/drawing/2015/06/chart">
              <c:ext xmlns:c16="http://schemas.microsoft.com/office/drawing/2014/chart" uri="{C3380CC4-5D6E-409C-BE32-E72D297353CC}">
                <c16:uniqueId val="{00000004-BD7C-416A-BF21-D956001397BD}"/>
              </c:ext>
            </c:extLst>
          </c:dPt>
          <c:dLbls>
            <c:delete val="1"/>
          </c:dLbls>
          <c:errBars>
            <c:errBarType val="both"/>
            <c:errValType val="cust"/>
            <c:noEndCap val="0"/>
            <c:plus>
              <c:numRef>
                <c:f>Sheet3!$N$12</c:f>
                <c:numCache>
                  <c:formatCode>General</c:formatCode>
                  <c:ptCount val="1"/>
                  <c:pt idx="0">
                    <c:v>6.0644684662200798E-2</c:v>
                  </c:pt>
                </c:numCache>
              </c:numRef>
            </c:plus>
            <c:minus>
              <c:numLit>
                <c:formatCode>General</c:formatCode>
                <c:ptCount val="1"/>
                <c:pt idx="0">
                  <c:v>0</c:v>
                </c:pt>
              </c:numLit>
            </c:minus>
          </c:errBars>
          <c:val>
            <c:numRef>
              <c:f>Sheet3!$N$6</c:f>
              <c:numCache>
                <c:formatCode>0.00</c:formatCode>
                <c:ptCount val="1"/>
                <c:pt idx="0">
                  <c:v>4.2733333333333396</c:v>
                </c:pt>
              </c:numCache>
            </c:numRef>
          </c:val>
          <c:extLst xmlns:c16r2="http://schemas.microsoft.com/office/drawing/2015/06/chart">
            <c:ext xmlns:c16="http://schemas.microsoft.com/office/drawing/2014/chart" uri="{C3380CC4-5D6E-409C-BE32-E72D297353CC}">
              <c16:uniqueId val="{00000005-BD7C-416A-BF21-D956001397BD}"/>
            </c:ext>
          </c:extLst>
        </c:ser>
        <c:ser>
          <c:idx val="0"/>
          <c:order val="4"/>
          <c:tx>
            <c:strRef>
              <c:f>Sheet3!$F$7</c:f>
              <c:strCache>
                <c:ptCount val="1"/>
                <c:pt idx="0">
                  <c:v>Tc</c:v>
                </c:pt>
              </c:strCache>
            </c:strRef>
          </c:tx>
          <c:invertIfNegative val="0"/>
          <c:dLbls>
            <c:dLbl>
              <c:idx val="0"/>
              <c:layout>
                <c:manualLayout>
                  <c:x val="-0.41312569521690823"/>
                  <c:y val="-0.1665895061728401"/>
                </c:manualLayout>
              </c:layout>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D7C-416A-BF21-D956001397BD}"/>
                </c:ex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Sheet3!$N$13</c:f>
                <c:numCache>
                  <c:formatCode>General</c:formatCode>
                  <c:ptCount val="1"/>
                  <c:pt idx="0">
                    <c:v>4.6308146631499097E-2</c:v>
                  </c:pt>
                </c:numCache>
              </c:numRef>
            </c:plus>
            <c:minus>
              <c:numLit>
                <c:formatCode>General</c:formatCode>
                <c:ptCount val="1"/>
                <c:pt idx="0">
                  <c:v>0</c:v>
                </c:pt>
              </c:numLit>
            </c:minus>
          </c:errBars>
          <c:val>
            <c:numRef>
              <c:f>Sheet3!$N$7</c:f>
              <c:numCache>
                <c:formatCode>0.00</c:formatCode>
                <c:ptCount val="1"/>
                <c:pt idx="0">
                  <c:v>4.1933333333333298</c:v>
                </c:pt>
              </c:numCache>
            </c:numRef>
          </c:val>
          <c:extLst xmlns:c16r2="http://schemas.microsoft.com/office/drawing/2015/06/chart">
            <c:ext xmlns:c16="http://schemas.microsoft.com/office/drawing/2014/chart" uri="{C3380CC4-5D6E-409C-BE32-E72D297353CC}">
              <c16:uniqueId val="{00000007-BD7C-416A-BF21-D956001397BD}"/>
            </c:ext>
          </c:extLst>
        </c:ser>
        <c:dLbls>
          <c:showLegendKey val="0"/>
          <c:showVal val="1"/>
          <c:showCatName val="0"/>
          <c:showSerName val="0"/>
          <c:showPercent val="0"/>
          <c:showBubbleSize val="0"/>
        </c:dLbls>
        <c:gapWidth val="150"/>
        <c:overlap val="-10"/>
        <c:axId val="498464136"/>
        <c:axId val="498465312"/>
      </c:barChart>
      <c:catAx>
        <c:axId val="498464136"/>
        <c:scaling>
          <c:orientation val="minMax"/>
        </c:scaling>
        <c:delete val="0"/>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245560022296794"/>
              <c:y val="0.72872900491629478"/>
            </c:manualLayout>
          </c:layout>
          <c:overlay val="0"/>
          <c:spPr>
            <a:noFill/>
            <a:ln w="25400">
              <a:noFill/>
            </a:ln>
          </c:spPr>
        </c:title>
        <c:majorTickMark val="out"/>
        <c:minorTickMark val="non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498465312"/>
        <c:crosses val="autoZero"/>
        <c:auto val="1"/>
        <c:lblAlgn val="ctr"/>
        <c:lblOffset val="100"/>
        <c:noMultiLvlLbl val="0"/>
      </c:catAx>
      <c:valAx>
        <c:axId val="498465312"/>
        <c:scaling>
          <c:orientation val="minMax"/>
        </c:scaling>
        <c:delete val="0"/>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MDA (µmol/ml/mg)</a:t>
                </a:r>
              </a:p>
            </c:rich>
          </c:tx>
          <c:layout>
            <c:manualLayout>
              <c:xMode val="edge"/>
              <c:yMode val="edge"/>
              <c:x val="3.1347962382445096E-2"/>
              <c:y val="0.39550072568940553"/>
            </c:manualLayout>
          </c:layout>
          <c:overlay val="0"/>
          <c:spPr>
            <a:noFill/>
            <a:ln w="25400">
              <a:noFill/>
            </a:ln>
          </c:spPr>
        </c:title>
        <c:numFmt formatCode="General"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498464136"/>
        <c:crosses val="autoZero"/>
        <c:crossBetween val="between"/>
      </c:valAx>
      <c:spPr>
        <a:noFill/>
        <a:ln w="25400">
          <a:noFill/>
        </a:ln>
      </c:spPr>
    </c:plotArea>
    <c:legend>
      <c:legendPos val="r"/>
      <c:layout>
        <c:manualLayout>
          <c:xMode val="edge"/>
          <c:yMode val="edge"/>
          <c:x val="0.80471573437286581"/>
          <c:y val="3.5405265843515776E-2"/>
          <c:w val="9.1974042325962443E-2"/>
          <c:h val="0.14091268635334012"/>
        </c:manualLayout>
      </c:layout>
      <c:overlay val="0"/>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showDLblsOverMax val="0"/>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b="1"/>
              <a:t>FIG. 5: GPx levels of the control and tests groups. </a:t>
            </a:r>
            <a:r>
              <a:rPr lang="en-US"/>
              <a:t>
Values are expressed as mean +SEM, n = 5.
* = significantly different from control at p&lt;0.05</a:t>
            </a:r>
            <a:endParaRPr lang="en-US" baseline="0"/>
          </a:p>
        </c:rich>
      </c:tx>
      <c:layout>
        <c:manualLayout>
          <c:xMode val="edge"/>
          <c:yMode val="edge"/>
          <c:x val="0.20557680011911747"/>
          <c:y val="0.83772824005107471"/>
        </c:manualLayout>
      </c:layout>
      <c:overlay val="0"/>
      <c:spPr>
        <a:noFill/>
        <a:ln w="25400">
          <a:noFill/>
        </a:ln>
      </c:spPr>
    </c:title>
    <c:autoTitleDeleted val="0"/>
    <c:plotArea>
      <c:layout>
        <c:manualLayout>
          <c:layoutTarget val="inner"/>
          <c:xMode val="edge"/>
          <c:yMode val="edge"/>
          <c:x val="0.14733542319749229"/>
          <c:y val="0.26923076923076922"/>
          <c:w val="0.8526645768025084"/>
          <c:h val="0.46772309711286092"/>
        </c:manualLayout>
      </c:layout>
      <c:barChart>
        <c:barDir val="col"/>
        <c:grouping val="clustered"/>
        <c:varyColors val="0"/>
        <c:ser>
          <c:idx val="4"/>
          <c:order val="0"/>
          <c:tx>
            <c:strRef>
              <c:f>Sheet3!$F$3</c:f>
              <c:strCache>
                <c:ptCount val="1"/>
                <c:pt idx="0">
                  <c:v>NC</c:v>
                </c:pt>
              </c:strCache>
            </c:strRef>
          </c:tx>
          <c:spPr>
            <a:solidFill>
              <a:srgbClr val="00B0F0"/>
            </a:solidFill>
          </c:spPr>
          <c:invertIfNegative val="0"/>
          <c:dLbls>
            <c:delete val="1"/>
          </c:dLbls>
          <c:errBars>
            <c:errBarType val="both"/>
            <c:errValType val="cust"/>
            <c:noEndCap val="0"/>
            <c:plus>
              <c:numRef>
                <c:f>Sheet3!$O$9</c:f>
                <c:numCache>
                  <c:formatCode>General</c:formatCode>
                  <c:ptCount val="1"/>
                  <c:pt idx="0">
                    <c:v>0.15319921670818001</c:v>
                  </c:pt>
                </c:numCache>
              </c:numRef>
            </c:plus>
            <c:minus>
              <c:numLit>
                <c:formatCode>General</c:formatCode>
                <c:ptCount val="1"/>
                <c:pt idx="0">
                  <c:v>0</c:v>
                </c:pt>
              </c:numLit>
            </c:minus>
          </c:errBars>
          <c:val>
            <c:numRef>
              <c:f>Sheet3!$O$3</c:f>
              <c:numCache>
                <c:formatCode>General</c:formatCode>
                <c:ptCount val="1"/>
                <c:pt idx="0">
                  <c:v>4.43</c:v>
                </c:pt>
              </c:numCache>
            </c:numRef>
          </c:val>
          <c:extLst xmlns:c16r2="http://schemas.microsoft.com/office/drawing/2015/06/chart">
            <c:ext xmlns:c16="http://schemas.microsoft.com/office/drawing/2014/chart" uri="{C3380CC4-5D6E-409C-BE32-E72D297353CC}">
              <c16:uniqueId val="{00000000-2DA5-4E70-91EF-66D11BD232CA}"/>
            </c:ext>
          </c:extLst>
        </c:ser>
        <c:ser>
          <c:idx val="5"/>
          <c:order val="1"/>
          <c:tx>
            <c:strRef>
              <c:f>Sheet3!$F$4</c:f>
              <c:strCache>
                <c:ptCount val="1"/>
                <c:pt idx="0">
                  <c:v>Cd</c:v>
                </c:pt>
              </c:strCache>
            </c:strRef>
          </c:tx>
          <c:spPr>
            <a:solidFill>
              <a:srgbClr val="FF0000"/>
            </a:solidFill>
          </c:spPr>
          <c:invertIfNegative val="0"/>
          <c:dLbls>
            <c:delete val="1"/>
          </c:dLbls>
          <c:errBars>
            <c:errBarType val="both"/>
            <c:errValType val="cust"/>
            <c:noEndCap val="0"/>
            <c:plus>
              <c:numRef>
                <c:f>Sheet3!$O$10</c:f>
                <c:numCache>
                  <c:formatCode>General</c:formatCode>
                  <c:ptCount val="1"/>
                  <c:pt idx="0">
                    <c:v>0.35387144558441103</c:v>
                  </c:pt>
                </c:numCache>
              </c:numRef>
            </c:plus>
            <c:minus>
              <c:numLit>
                <c:formatCode>General</c:formatCode>
                <c:ptCount val="1"/>
                <c:pt idx="0">
                  <c:v>0</c:v>
                </c:pt>
              </c:numLit>
            </c:minus>
          </c:errBars>
          <c:val>
            <c:numRef>
              <c:f>Sheet3!$O$4</c:f>
              <c:numCache>
                <c:formatCode>0.00</c:formatCode>
                <c:ptCount val="1"/>
                <c:pt idx="0">
                  <c:v>3.7349999999999999</c:v>
                </c:pt>
              </c:numCache>
            </c:numRef>
          </c:val>
          <c:extLst xmlns:c16r2="http://schemas.microsoft.com/office/drawing/2015/06/chart">
            <c:ext xmlns:c16="http://schemas.microsoft.com/office/drawing/2014/chart" uri="{C3380CC4-5D6E-409C-BE32-E72D297353CC}">
              <c16:uniqueId val="{00000001-2DA5-4E70-91EF-66D11BD232CA}"/>
            </c:ext>
          </c:extLst>
        </c:ser>
        <c:ser>
          <c:idx val="6"/>
          <c:order val="2"/>
          <c:tx>
            <c:strRef>
              <c:f>Sheet3!$F$5</c:f>
              <c:strCache>
                <c:ptCount val="1"/>
                <c:pt idx="0">
                  <c:v>G&amp;T</c:v>
                </c:pt>
              </c:strCache>
            </c:strRef>
          </c:tx>
          <c:spPr>
            <a:solidFill>
              <a:srgbClr val="00B050"/>
            </a:solidFill>
          </c:spPr>
          <c:invertIfNegative val="0"/>
          <c:dLbls>
            <c:delete val="1"/>
          </c:dLbls>
          <c:errBars>
            <c:errBarType val="both"/>
            <c:errValType val="cust"/>
            <c:noEndCap val="0"/>
            <c:plus>
              <c:numRef>
                <c:f>Sheet3!$O$11</c:f>
                <c:numCache>
                  <c:formatCode>General</c:formatCode>
                  <c:ptCount val="1"/>
                  <c:pt idx="0">
                    <c:v>0.19218047073866101</c:v>
                  </c:pt>
                </c:numCache>
              </c:numRef>
            </c:plus>
            <c:minus>
              <c:numLit>
                <c:formatCode>General</c:formatCode>
                <c:ptCount val="1"/>
                <c:pt idx="0">
                  <c:v>0</c:v>
                </c:pt>
              </c:numLit>
            </c:minus>
          </c:errBars>
          <c:val>
            <c:numRef>
              <c:f>Sheet3!$O$5</c:f>
              <c:numCache>
                <c:formatCode>General</c:formatCode>
                <c:ptCount val="1"/>
                <c:pt idx="0">
                  <c:v>3.99</c:v>
                </c:pt>
              </c:numCache>
            </c:numRef>
          </c:val>
          <c:extLst xmlns:c16r2="http://schemas.microsoft.com/office/drawing/2015/06/chart">
            <c:ext xmlns:c16="http://schemas.microsoft.com/office/drawing/2014/chart" uri="{C3380CC4-5D6E-409C-BE32-E72D297353CC}">
              <c16:uniqueId val="{00000002-2DA5-4E70-91EF-66D11BD232CA}"/>
            </c:ext>
          </c:extLst>
        </c:ser>
        <c:ser>
          <c:idx val="7"/>
          <c:order val="3"/>
          <c:tx>
            <c:strRef>
              <c:f>Sheet3!$F$6</c:f>
              <c:strCache>
                <c:ptCount val="1"/>
                <c:pt idx="0">
                  <c:v>Gr</c:v>
                </c:pt>
              </c:strCache>
            </c:strRef>
          </c:tx>
          <c:spPr>
            <a:solidFill>
              <a:schemeClr val="accent2"/>
            </a:solidFill>
          </c:spPr>
          <c:invertIfNegative val="0"/>
          <c:dLbls>
            <c:delete val="1"/>
          </c:dLbls>
          <c:errBars>
            <c:errBarType val="both"/>
            <c:errValType val="cust"/>
            <c:noEndCap val="0"/>
            <c:plus>
              <c:numRef>
                <c:f>Sheet3!$O$12</c:f>
                <c:numCache>
                  <c:formatCode>General</c:formatCode>
                  <c:ptCount val="1"/>
                  <c:pt idx="0">
                    <c:v>0.344544788251267</c:v>
                  </c:pt>
                </c:numCache>
              </c:numRef>
            </c:plus>
            <c:minus>
              <c:numLit>
                <c:formatCode>General</c:formatCode>
                <c:ptCount val="1"/>
                <c:pt idx="0">
                  <c:v>0</c:v>
                </c:pt>
              </c:numLit>
            </c:minus>
          </c:errBars>
          <c:val>
            <c:numRef>
              <c:f>Sheet3!$O$6</c:f>
              <c:numCache>
                <c:formatCode>0.00</c:formatCode>
                <c:ptCount val="1"/>
                <c:pt idx="0">
                  <c:v>3.79666666666667</c:v>
                </c:pt>
              </c:numCache>
            </c:numRef>
          </c:val>
          <c:extLst xmlns:c16r2="http://schemas.microsoft.com/office/drawing/2015/06/chart">
            <c:ext xmlns:c16="http://schemas.microsoft.com/office/drawing/2014/chart" uri="{C3380CC4-5D6E-409C-BE32-E72D297353CC}">
              <c16:uniqueId val="{00000003-2DA5-4E70-91EF-66D11BD232CA}"/>
            </c:ext>
          </c:extLst>
        </c:ser>
        <c:ser>
          <c:idx val="0"/>
          <c:order val="4"/>
          <c:tx>
            <c:strRef>
              <c:f>Sheet3!$F$7</c:f>
              <c:strCache>
                <c:ptCount val="1"/>
                <c:pt idx="0">
                  <c:v>Tc</c:v>
                </c:pt>
              </c:strCache>
            </c:strRef>
          </c:tx>
          <c:invertIfNegative val="0"/>
          <c:dLbls>
            <c:delete val="1"/>
          </c:dLbls>
          <c:errBars>
            <c:errBarType val="both"/>
            <c:errValType val="cust"/>
            <c:noEndCap val="0"/>
            <c:plus>
              <c:numRef>
                <c:f>Sheet3!$O$13</c:f>
                <c:numCache>
                  <c:formatCode>General</c:formatCode>
                  <c:ptCount val="1"/>
                  <c:pt idx="0">
                    <c:v>0.32748197575507199</c:v>
                  </c:pt>
                </c:numCache>
              </c:numRef>
            </c:plus>
            <c:minus>
              <c:numLit>
                <c:formatCode>General</c:formatCode>
                <c:ptCount val="1"/>
                <c:pt idx="0">
                  <c:v>0</c:v>
                </c:pt>
              </c:numLit>
            </c:minus>
          </c:errBars>
          <c:val>
            <c:numRef>
              <c:f>Sheet3!$O$7</c:f>
              <c:numCache>
                <c:formatCode>0.00</c:formatCode>
                <c:ptCount val="1"/>
                <c:pt idx="0">
                  <c:v>3.8633333333333302</c:v>
                </c:pt>
              </c:numCache>
            </c:numRef>
          </c:val>
          <c:extLst xmlns:c16r2="http://schemas.microsoft.com/office/drawing/2015/06/chart">
            <c:ext xmlns:c16="http://schemas.microsoft.com/office/drawing/2014/chart" uri="{C3380CC4-5D6E-409C-BE32-E72D297353CC}">
              <c16:uniqueId val="{00000004-2DA5-4E70-91EF-66D11BD232CA}"/>
            </c:ext>
          </c:extLst>
        </c:ser>
        <c:dLbls>
          <c:showLegendKey val="0"/>
          <c:showVal val="1"/>
          <c:showCatName val="0"/>
          <c:showSerName val="0"/>
          <c:showPercent val="0"/>
          <c:showBubbleSize val="0"/>
        </c:dLbls>
        <c:gapWidth val="150"/>
        <c:overlap val="-10"/>
        <c:axId val="498463744"/>
        <c:axId val="498464528"/>
      </c:barChart>
      <c:catAx>
        <c:axId val="498463744"/>
        <c:scaling>
          <c:orientation val="minMax"/>
        </c:scaling>
        <c:delete val="0"/>
        <c:axPos val="b"/>
        <c:title>
          <c:tx>
            <c:rich>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Experimental groups</a:t>
                </a:r>
              </a:p>
            </c:rich>
          </c:tx>
          <c:layout>
            <c:manualLayout>
              <c:xMode val="edge"/>
              <c:yMode val="edge"/>
              <c:x val="0.45245565939407739"/>
              <c:y val="0.77994608782010355"/>
            </c:manualLayout>
          </c:layout>
          <c:overlay val="0"/>
          <c:spPr>
            <a:noFill/>
            <a:ln w="25400">
              <a:noFill/>
            </a:ln>
          </c:spPr>
        </c:title>
        <c:majorTickMark val="out"/>
        <c:minorTickMark val="none"/>
        <c:tickLblPos val="none"/>
        <c:spPr>
          <a:ln w="3175" cap="flat" cmpd="sng" algn="ctr">
            <a:solidFill>
              <a:srgbClr val="000000"/>
            </a:solidFill>
            <a:prstDash val="solid"/>
            <a:round/>
          </a:ln>
        </c:spPr>
        <c:txPr>
          <a:bodyPr rot="-600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498464528"/>
        <c:crosses val="autoZero"/>
        <c:auto val="1"/>
        <c:lblAlgn val="ctr"/>
        <c:lblOffset val="100"/>
        <c:noMultiLvlLbl val="0"/>
      </c:catAx>
      <c:valAx>
        <c:axId val="498464528"/>
        <c:scaling>
          <c:orientation val="minMax"/>
        </c:scaling>
        <c:delete val="0"/>
        <c:axPos val="l"/>
        <c:title>
          <c:tx>
            <c:rich>
              <a:bodyPr rot="-540000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r>
                  <a:rPr lang="en-US"/>
                  <a:t>GPx (µmol/ml/mg)</a:t>
                </a:r>
              </a:p>
            </c:rich>
          </c:tx>
          <c:layout>
            <c:manualLayout>
              <c:xMode val="edge"/>
              <c:yMode val="edge"/>
              <c:x val="3.1347962382445096E-2"/>
              <c:y val="0.39550072568940553"/>
            </c:manualLayout>
          </c:layout>
          <c:overlay val="0"/>
          <c:spPr>
            <a:noFill/>
            <a:ln w="25400">
              <a:noFill/>
            </a:ln>
          </c:spPr>
        </c:title>
        <c:numFmt formatCode="General"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1300" b="0" i="0" u="none" strike="noStrike" kern="1200" baseline="0">
                <a:solidFill>
                  <a:srgbClr val="000000"/>
                </a:solidFill>
                <a:latin typeface="Arial" panose="020B0604020202020204"/>
                <a:ea typeface="Arial" panose="020B0604020202020204"/>
                <a:cs typeface="Arial" panose="020B0604020202020204"/>
              </a:defRPr>
            </a:pPr>
            <a:endParaRPr lang="en-US"/>
          </a:p>
        </c:txPr>
        <c:crossAx val="498463744"/>
        <c:crosses val="autoZero"/>
        <c:crossBetween val="between"/>
      </c:valAx>
      <c:spPr>
        <a:noFill/>
        <a:ln w="25400">
          <a:noFill/>
        </a:ln>
      </c:spPr>
    </c:plotArea>
    <c:legend>
      <c:legendPos val="r"/>
      <c:layout>
        <c:manualLayout>
          <c:xMode val="edge"/>
          <c:yMode val="edge"/>
          <c:x val="0.65621734587251757"/>
          <c:y val="0.12336730284401498"/>
          <c:w val="9.4066499610588702E-2"/>
          <c:h val="0.13800973266653804"/>
        </c:manualLayout>
      </c:layout>
      <c:overlay val="0"/>
      <c:spPr>
        <a:solidFill>
          <a:srgbClr val="FFFFFF"/>
        </a:solidFill>
        <a:ln w="25400">
          <a:noFill/>
        </a:ln>
      </c:spPr>
      <c:txPr>
        <a:bodyPr rot="0" spcFirstLastPara="0" vertOverflow="ellipsis" vert="horz" wrap="square" anchor="ctr" anchorCtr="1"/>
        <a:lstStyle/>
        <a:p>
          <a:pPr>
            <a:defRPr lang="en-US" sz="1195" b="0" i="0" u="none" strike="noStrike" kern="1200" baseline="0">
              <a:solidFill>
                <a:srgbClr val="000000"/>
              </a:solidFill>
              <a:latin typeface="Arial" panose="020B0604020202020204"/>
              <a:ea typeface="Arial" panose="020B0604020202020204"/>
              <a:cs typeface="Arial" panose="020B0604020202020204"/>
            </a:defRPr>
          </a:pPr>
          <a:endParaRPr lang="en-US"/>
        </a:p>
      </c:txPr>
    </c:legend>
    <c:plotVisOnly val="1"/>
    <c:dispBlanksAs val="gap"/>
    <c:showDLblsOverMax val="0"/>
  </c:chart>
  <c:spPr>
    <a:noFill/>
    <a:ln w="6350" cap="flat" cmpd="sng" algn="ctr">
      <a:noFill/>
      <a:prstDash val="solid"/>
      <a:round/>
    </a:ln>
  </c:spPr>
  <c:txPr>
    <a:bodyPr/>
    <a:lstStyle/>
    <a:p>
      <a:pPr>
        <a:defRPr lang="en-US" sz="1300" b="0" i="0" u="none" strike="noStrike" baseline="0">
          <a:solidFill>
            <a:srgbClr val="000000"/>
          </a:solidFill>
          <a:latin typeface="Arial" panose="020B0604020202020204"/>
          <a:ea typeface="Arial" panose="020B0604020202020204"/>
          <a:cs typeface="Arial" panose="020B0604020202020204"/>
        </a:defRPr>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4255</Words>
  <Characters>28430</Characters>
  <Application>Microsoft Office Word</Application>
  <DocSecurity>0</DocSecurity>
  <Lines>458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X670</dc:creator>
  <cp:lastModifiedBy>Microsoft account</cp:lastModifiedBy>
  <cp:revision>53</cp:revision>
  <dcterms:created xsi:type="dcterms:W3CDTF">2025-06-18T23:17:00Z</dcterms:created>
  <dcterms:modified xsi:type="dcterms:W3CDTF">2025-06-27T13:33:00Z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e2e5c6d60fa14f43b815b629de6cb3f7</vt:lpwstr>
  </property>
  <property fmtid="{D5CDD505-2E9C-101B-9397-08002B2CF9AE}" pid="3" name="GrammarlyDocumentId">
    <vt:lpwstr>bcd77fc9-5a19-4e92-af73-44a43aa108cc</vt:lpwstr>
  </property>
</Properties>
</file>