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54C62" w14:textId="77777777" w:rsidR="00A64361" w:rsidRDefault="00021EE9">
      <w:pPr>
        <w:pBdr>
          <w:top w:val="nil"/>
          <w:left w:val="nil"/>
          <w:bottom w:val="nil"/>
          <w:right w:val="nil"/>
          <w:between w:val="nil"/>
        </w:pBdr>
        <w:jc w:val="right"/>
        <w:rPr>
          <w:rFonts w:ascii="Arial" w:eastAsia="Arial" w:hAnsi="Arial" w:cs="Arial"/>
          <w:b/>
          <w:color w:val="000000"/>
          <w:sz w:val="36"/>
          <w:szCs w:val="36"/>
        </w:rPr>
      </w:pPr>
      <w:r>
        <w:rPr>
          <w:rFonts w:ascii="Arial" w:eastAsia="Arial" w:hAnsi="Arial" w:cs="Arial"/>
          <w:b/>
          <w:color w:val="000000"/>
          <w:sz w:val="36"/>
          <w:szCs w:val="36"/>
        </w:rPr>
        <w:t>Short Research Article</w:t>
      </w:r>
    </w:p>
    <w:p w14:paraId="1EB01FAC" w14:textId="77777777" w:rsidR="00A64361" w:rsidRDefault="00A64361">
      <w:pPr>
        <w:pBdr>
          <w:top w:val="nil"/>
          <w:left w:val="nil"/>
          <w:bottom w:val="nil"/>
          <w:right w:val="nil"/>
          <w:between w:val="nil"/>
        </w:pBdr>
        <w:jc w:val="right"/>
        <w:rPr>
          <w:rFonts w:ascii="Arial" w:eastAsia="Arial" w:hAnsi="Arial" w:cs="Arial"/>
          <w:b/>
          <w:color w:val="000000"/>
          <w:sz w:val="36"/>
          <w:szCs w:val="36"/>
        </w:rPr>
      </w:pPr>
    </w:p>
    <w:p w14:paraId="65BBDBAE" w14:textId="77777777" w:rsidR="00A64361" w:rsidRDefault="00021EE9">
      <w:pPr>
        <w:pBdr>
          <w:top w:val="nil"/>
          <w:left w:val="nil"/>
          <w:bottom w:val="nil"/>
          <w:right w:val="nil"/>
          <w:between w:val="nil"/>
        </w:pBdr>
        <w:jc w:val="right"/>
        <w:rPr>
          <w:rFonts w:ascii="Arial" w:eastAsia="Arial" w:hAnsi="Arial" w:cs="Arial"/>
          <w:b/>
          <w:color w:val="000000"/>
          <w:sz w:val="36"/>
          <w:szCs w:val="36"/>
        </w:rPr>
      </w:pPr>
      <w:r>
        <w:rPr>
          <w:rFonts w:ascii="Arial" w:eastAsia="Arial" w:hAnsi="Arial" w:cs="Arial"/>
          <w:b/>
          <w:color w:val="000000"/>
          <w:sz w:val="36"/>
          <w:szCs w:val="36"/>
        </w:rPr>
        <w:t>Effect of Turmeric (curcuma domestica) Powder and Multi-Enzyme Supplementation on Intestinal Villus Morphology in Broiler Chickens</w:t>
      </w:r>
    </w:p>
    <w:p w14:paraId="72E78603" w14:textId="77777777" w:rsidR="00A64361" w:rsidRDefault="00A64361">
      <w:pPr>
        <w:pBdr>
          <w:top w:val="nil"/>
          <w:left w:val="nil"/>
          <w:bottom w:val="nil"/>
          <w:right w:val="nil"/>
          <w:between w:val="nil"/>
        </w:pBdr>
        <w:jc w:val="right"/>
        <w:rPr>
          <w:rFonts w:ascii="Arial" w:eastAsia="Arial" w:hAnsi="Arial" w:cs="Arial"/>
          <w:b/>
          <w:color w:val="000000"/>
          <w:sz w:val="36"/>
          <w:szCs w:val="36"/>
        </w:rPr>
      </w:pPr>
    </w:p>
    <w:p w14:paraId="370D1F32" w14:textId="77777777" w:rsidR="00A64361" w:rsidRDefault="00A64361">
      <w:pPr>
        <w:pBdr>
          <w:top w:val="nil"/>
          <w:left w:val="nil"/>
          <w:bottom w:val="nil"/>
          <w:right w:val="nil"/>
          <w:between w:val="nil"/>
        </w:pBdr>
        <w:jc w:val="both"/>
        <w:rPr>
          <w:rFonts w:ascii="Arial" w:eastAsia="Arial" w:hAnsi="Arial" w:cs="Arial"/>
          <w:color w:val="000000"/>
        </w:rPr>
      </w:pPr>
    </w:p>
    <w:p w14:paraId="0D728F9E" w14:textId="77777777" w:rsidR="00A64361" w:rsidRDefault="00021EE9">
      <w:pPr>
        <w:pBdr>
          <w:top w:val="nil"/>
          <w:left w:val="nil"/>
          <w:bottom w:val="nil"/>
          <w:right w:val="nil"/>
          <w:between w:val="nil"/>
        </w:pBdr>
        <w:jc w:val="both"/>
        <w:rPr>
          <w:rFonts w:ascii="Arial" w:eastAsia="Arial" w:hAnsi="Arial" w:cs="Arial"/>
          <w:color w:val="000000"/>
          <w:sz w:val="16"/>
          <w:szCs w:val="16"/>
        </w:rPr>
        <w:sectPr w:rsidR="00A64361">
          <w:headerReference w:type="even" r:id="rId7"/>
          <w:headerReference w:type="default" r:id="rId8"/>
          <w:footerReference w:type="even" r:id="rId9"/>
          <w:footerReference w:type="default" r:id="rId10"/>
          <w:headerReference w:type="first" r:id="rId11"/>
          <w:footerReference w:type="first" r:id="rId12"/>
          <w:pgSz w:w="12240" w:h="15840"/>
          <w:pgMar w:top="1440" w:right="2016" w:bottom="2016" w:left="2016" w:header="720" w:footer="1296" w:gutter="0"/>
          <w:pgNumType w:start="1"/>
          <w:cols w:space="720"/>
        </w:sectPr>
      </w:pPr>
      <w:r>
        <w:rPr>
          <w:rFonts w:ascii="Arial" w:eastAsia="Arial" w:hAnsi="Arial" w:cs="Arial"/>
          <w:color w:val="000000"/>
          <w:sz w:val="16"/>
          <w:szCs w:val="16"/>
        </w:rPr>
      </w:r>
      <w:r>
        <w:rPr>
          <w:rFonts w:ascii="Arial" w:eastAsia="Arial" w:hAnsi="Arial" w:cs="Arial"/>
          <w:color w:val="000000"/>
          <w:sz w:val="16"/>
          <w:szCs w:val="16"/>
        </w:rPr>
        <w:pict w14:anchorId="369F06B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Pr>
          <w:rFonts w:ascii="Arial" w:eastAsia="Arial" w:hAnsi="Arial" w:cs="Arial"/>
          <w:color w:val="000000"/>
          <w:sz w:val="16"/>
          <w:szCs w:val="16"/>
        </w:rPr>
        <w:t>.</w:t>
      </w:r>
    </w:p>
    <w:p w14:paraId="7EFC5AB0" w14:textId="77777777" w:rsidR="00A64361" w:rsidRDefault="00021EE9">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tbl>
      <w:tblPr>
        <w:tblStyle w:val="a"/>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8"/>
      </w:tblGrid>
      <w:tr w:rsidR="00A64361" w14:paraId="697DE9B0" w14:textId="77777777">
        <w:tc>
          <w:tcPr>
            <w:tcW w:w="10598" w:type="dxa"/>
            <w:shd w:val="clear" w:color="auto" w:fill="F2F2F2"/>
          </w:tcPr>
          <w:p w14:paraId="32301E48"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Aims:</w:t>
            </w:r>
            <w:r>
              <w:rPr>
                <w:rFonts w:ascii="Arial" w:eastAsia="Arial" w:hAnsi="Arial" w:cs="Arial"/>
                <w:color w:val="000000"/>
              </w:rPr>
              <w:t xml:space="preserve">This study aimed to evaluate the effect of turmeric powder (Curcuma domestica Val.) and multi-enzyme supplementation on intestinal villus morphology, particularly villus height, surface area, and number, </w:t>
            </w:r>
            <w:r>
              <w:rPr>
                <w:rFonts w:ascii="Arial" w:eastAsia="Arial" w:hAnsi="Arial" w:cs="Arial"/>
                <w:color w:val="000000"/>
              </w:rPr>
              <w:t>in broiler chickens.</w:t>
            </w:r>
          </w:p>
          <w:p w14:paraId="7B066BDF" w14:textId="77777777" w:rsidR="00A64361" w:rsidRDefault="00021EE9">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Study Design: </w:t>
            </w:r>
            <w:r>
              <w:rPr>
                <w:rFonts w:ascii="Arial" w:eastAsia="Arial" w:hAnsi="Arial" w:cs="Arial"/>
                <w:color w:val="000000"/>
              </w:rPr>
              <w:t>The experiment was conducted using a Completely Randomized Design (CRD) with five dietary treatments and six replications per treatment.</w:t>
            </w:r>
          </w:p>
          <w:p w14:paraId="4065414C" w14:textId="77777777" w:rsidR="00A64361" w:rsidRDefault="00021EE9">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Place and Duration of Study: </w:t>
            </w:r>
            <w:r>
              <w:rPr>
                <w:rFonts w:ascii="Arial" w:eastAsia="Arial" w:hAnsi="Arial" w:cs="Arial"/>
                <w:color w:val="000000"/>
              </w:rPr>
              <w:t xml:space="preserve">The research was carried out at the Poultry Production </w:t>
            </w:r>
            <w:r>
              <w:rPr>
                <w:rFonts w:ascii="Arial" w:eastAsia="Arial" w:hAnsi="Arial" w:cs="Arial"/>
                <w:color w:val="000000"/>
              </w:rPr>
              <w:t>Laboratory, Faculty of Animal Science, Universitas Brawijaya, Indonesia, over a period of 6 weeks.</w:t>
            </w:r>
          </w:p>
          <w:p w14:paraId="0786E10C" w14:textId="77777777" w:rsidR="00A64361" w:rsidRDefault="00021EE9">
            <w:pPr>
              <w:pBdr>
                <w:top w:val="nil"/>
                <w:left w:val="nil"/>
                <w:bottom w:val="nil"/>
                <w:right w:val="nil"/>
                <w:between w:val="nil"/>
              </w:pBdr>
              <w:jc w:val="both"/>
              <w:rPr>
                <w:rFonts w:ascii="Arial" w:eastAsia="Arial" w:hAnsi="Arial" w:cs="Arial"/>
                <w:color w:val="000000"/>
              </w:rPr>
            </w:pPr>
            <w:commentRangeStart w:id="0"/>
            <w:r>
              <w:rPr>
                <w:rFonts w:ascii="Arial" w:eastAsia="Arial" w:hAnsi="Arial" w:cs="Arial"/>
                <w:b/>
                <w:color w:val="000000"/>
              </w:rPr>
              <w:t>Methodology:</w:t>
            </w:r>
            <w:commentRangeEnd w:id="0"/>
            <w:r w:rsidR="00131C0F">
              <w:rPr>
                <w:rStyle w:val="CommentReference"/>
              </w:rPr>
              <w:commentReference w:id="0"/>
            </w:r>
            <w:r>
              <w:rPr>
                <w:rFonts w:ascii="Arial" w:eastAsia="Arial" w:hAnsi="Arial" w:cs="Arial"/>
                <w:b/>
                <w:color w:val="000000"/>
              </w:rPr>
              <w:t xml:space="preserve"> </w:t>
            </w:r>
            <w:r>
              <w:rPr>
                <w:rFonts w:ascii="Arial" w:eastAsia="Arial" w:hAnsi="Arial" w:cs="Arial"/>
                <w:color w:val="000000"/>
              </w:rPr>
              <w:t>A total of 300 Lohmann broiler chickens were divided into five treatment groups (P0: control, P1–P4: combinations of turmeric powder and mult</w:t>
            </w:r>
            <w:r>
              <w:rPr>
                <w:rFonts w:ascii="Arial" w:eastAsia="Arial" w:hAnsi="Arial" w:cs="Arial"/>
                <w:color w:val="000000"/>
              </w:rPr>
              <w:t xml:space="preserve">i-enzyme at different inclusion levels). Each experimental unit consisted of 12 birds. At day 35, samples of the jejunum were collected, and histological preparations were made using Hematoxylin-Eosin staining. Villus height, surface area, and number were </w:t>
            </w:r>
            <w:r>
              <w:rPr>
                <w:rFonts w:ascii="Arial" w:eastAsia="Arial" w:hAnsi="Arial" w:cs="Arial"/>
                <w:color w:val="000000"/>
              </w:rPr>
              <w:t>measured under 40x magnification. Data were analyzed using ANOVA and Duncan’s test at a 5% significance level.</w:t>
            </w:r>
          </w:p>
          <w:p w14:paraId="5C743411"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Results: </w:t>
            </w:r>
            <w:r>
              <w:rPr>
                <w:rFonts w:ascii="Arial" w:eastAsia="Arial" w:hAnsi="Arial" w:cs="Arial"/>
                <w:color w:val="000000"/>
              </w:rPr>
              <w:t>There were no statistically significant differences (P &gt; 0.05) in villus height, surface area, or number among treatment groups. However</w:t>
            </w:r>
            <w:r>
              <w:rPr>
                <w:rFonts w:ascii="Arial" w:eastAsia="Arial" w:hAnsi="Arial" w:cs="Arial"/>
                <w:color w:val="000000"/>
              </w:rPr>
              <w:t>, descriptively, treatment P4 (1.2% turmeric + enzyme) showed the highest average values for villus height (673.76 µm), surface area (1056.16 µm²), and number (9.12 per transverse cut), compared to the control group.</w:t>
            </w:r>
          </w:p>
          <w:p w14:paraId="70FE5E8B"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Conclusion: </w:t>
            </w:r>
            <w:r>
              <w:rPr>
                <w:rFonts w:ascii="Arial" w:eastAsia="Arial" w:hAnsi="Arial" w:cs="Arial"/>
                <w:color w:val="000000"/>
              </w:rPr>
              <w:t>Although statistical signif</w:t>
            </w:r>
            <w:r>
              <w:rPr>
                <w:rFonts w:ascii="Arial" w:eastAsia="Arial" w:hAnsi="Arial" w:cs="Arial"/>
                <w:color w:val="000000"/>
              </w:rPr>
              <w:t xml:space="preserve">icance was not observed, the combination of turmeric powder and multi-enzyme supplementation showed a positive numerical trend in improving the morphology of intestinal villi in broiler chickens. This suggests potential benefits in gut health and nutrient </w:t>
            </w:r>
            <w:r>
              <w:rPr>
                <w:rFonts w:ascii="Arial" w:eastAsia="Arial" w:hAnsi="Arial" w:cs="Arial"/>
                <w:color w:val="000000"/>
              </w:rPr>
              <w:t>absorption efficiency</w:t>
            </w:r>
          </w:p>
        </w:tc>
      </w:tr>
    </w:tbl>
    <w:p w14:paraId="1E7AF40F" w14:textId="77777777" w:rsidR="00A64361" w:rsidRDefault="00A64361">
      <w:pPr>
        <w:pBdr>
          <w:top w:val="nil"/>
          <w:left w:val="nil"/>
          <w:bottom w:val="nil"/>
          <w:right w:val="nil"/>
          <w:between w:val="nil"/>
        </w:pBdr>
        <w:jc w:val="both"/>
        <w:rPr>
          <w:rFonts w:ascii="Arial" w:eastAsia="Arial" w:hAnsi="Arial" w:cs="Arial"/>
          <w:i/>
          <w:color w:val="000000"/>
        </w:rPr>
      </w:pPr>
    </w:p>
    <w:p w14:paraId="6DF1A53C" w14:textId="77777777" w:rsidR="00A64361" w:rsidRDefault="00021EE9">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Keywords: turmeric flour, multienzyme, villus height, villus surface area, villus number, broiler chicken, gut morphology</w:t>
      </w:r>
    </w:p>
    <w:p w14:paraId="6A5CDB11" w14:textId="77777777" w:rsidR="00A64361" w:rsidRDefault="00A64361">
      <w:pPr>
        <w:pBdr>
          <w:top w:val="nil"/>
          <w:left w:val="nil"/>
          <w:bottom w:val="nil"/>
          <w:right w:val="nil"/>
          <w:between w:val="nil"/>
        </w:pBdr>
        <w:jc w:val="both"/>
        <w:rPr>
          <w:rFonts w:ascii="Arial" w:eastAsia="Arial" w:hAnsi="Arial" w:cs="Arial"/>
          <w:i/>
          <w:color w:val="000000"/>
        </w:rPr>
      </w:pPr>
    </w:p>
    <w:p w14:paraId="074D0727" w14:textId="77777777" w:rsidR="00A64361" w:rsidRDefault="00021EE9">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1. INTRODUCTION </w:t>
      </w:r>
    </w:p>
    <w:p w14:paraId="31180CD4"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Broiler chickens are a high-producing poultry breed known for their rapid growth and </w:t>
      </w:r>
      <w:r>
        <w:rPr>
          <w:rFonts w:ascii="Arial" w:eastAsia="Arial" w:hAnsi="Arial" w:cs="Arial"/>
          <w:color w:val="000000"/>
        </w:rPr>
        <w:t>efficient meat production, making them a promising source to fulfill the community's animal protein needs. Their short growth phase, typically between 28–35 days, makes broilers an economically viable livestock option compared to others. According to the C</w:t>
      </w:r>
      <w:r>
        <w:rPr>
          <w:rFonts w:ascii="Arial" w:eastAsia="Arial" w:hAnsi="Arial" w:cs="Arial"/>
          <w:color w:val="000000"/>
        </w:rPr>
        <w:t>entral Bureau of Statistics (2024), particularly in East Java, the broiler population reached 421,861.6 birds in 2022, higher than in 2021, which recorded 393,387.6 birds. This population increase is in line with the growing demand for chicken meat, influe</w:t>
      </w:r>
      <w:r>
        <w:rPr>
          <w:rFonts w:ascii="Arial" w:eastAsia="Arial" w:hAnsi="Arial" w:cs="Arial"/>
          <w:color w:val="000000"/>
        </w:rPr>
        <w:t>nced by rising population numbers, income levels, and public awareness of the importance of animal protein consumption. Moreover, the affordable price of chicken meat contributes to its popularity. This significant growth is also supported by improved mana</w:t>
      </w:r>
      <w:r>
        <w:rPr>
          <w:rFonts w:ascii="Arial" w:eastAsia="Arial" w:hAnsi="Arial" w:cs="Arial"/>
          <w:color w:val="000000"/>
        </w:rPr>
        <w:t>gement, including high-quality feed provision in both quantity and nutritional value.</w:t>
      </w:r>
    </w:p>
    <w:p w14:paraId="02B0FA8F"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Livestock production is influenced by several key factors, including genetics, husbandry, and feed. Feed plays a crucial role, both economically and in terms of productiv</w:t>
      </w:r>
      <w:r>
        <w:rPr>
          <w:rFonts w:ascii="Arial" w:eastAsia="Arial" w:hAnsi="Arial" w:cs="Arial"/>
          <w:color w:val="000000"/>
        </w:rPr>
        <w:t xml:space="preserve">ity, accounting </w:t>
      </w:r>
      <w:commentRangeStart w:id="1"/>
      <w:r>
        <w:rPr>
          <w:rFonts w:ascii="Arial" w:eastAsia="Arial" w:hAnsi="Arial" w:cs="Arial"/>
          <w:color w:val="000000"/>
        </w:rPr>
        <w:t>for 60–70% of total production costs</w:t>
      </w:r>
      <w:commentRangeEnd w:id="1"/>
      <w:r w:rsidR="00131C0F">
        <w:rPr>
          <w:rStyle w:val="CommentReference"/>
        </w:rPr>
        <w:commentReference w:id="1"/>
      </w:r>
      <w:r>
        <w:rPr>
          <w:rFonts w:ascii="Arial" w:eastAsia="Arial" w:hAnsi="Arial" w:cs="Arial"/>
          <w:color w:val="000000"/>
        </w:rPr>
        <w:t xml:space="preserve">. The heavy reliance on imported raw materials such as corn, soybeans, and fish meal </w:t>
      </w:r>
      <w:commentRangeStart w:id="2"/>
      <w:r>
        <w:rPr>
          <w:rFonts w:ascii="Arial" w:eastAsia="Arial" w:hAnsi="Arial" w:cs="Arial"/>
          <w:color w:val="000000"/>
        </w:rPr>
        <w:t>negatively impacts the poultry industry in Indonesia</w:t>
      </w:r>
      <w:commentRangeEnd w:id="2"/>
      <w:r w:rsidR="00131C0F">
        <w:rPr>
          <w:rStyle w:val="CommentReference"/>
        </w:rPr>
        <w:commentReference w:id="2"/>
      </w:r>
      <w:r>
        <w:rPr>
          <w:rFonts w:ascii="Arial" w:eastAsia="Arial" w:hAnsi="Arial" w:cs="Arial"/>
          <w:color w:val="000000"/>
        </w:rPr>
        <w:t>, especially due to limited local feed resources. The high vo</w:t>
      </w:r>
      <w:r>
        <w:rPr>
          <w:rFonts w:ascii="Arial" w:eastAsia="Arial" w:hAnsi="Arial" w:cs="Arial"/>
          <w:color w:val="000000"/>
        </w:rPr>
        <w:t xml:space="preserve">lume of soybean imports also increases foreign exchange expenditure. </w:t>
      </w:r>
      <w:commentRangeStart w:id="3"/>
      <w:r>
        <w:rPr>
          <w:rFonts w:ascii="Arial" w:eastAsia="Arial" w:hAnsi="Arial" w:cs="Arial"/>
          <w:color w:val="000000"/>
        </w:rPr>
        <w:t>Feed cost efficiency can be improved if the digestive tract can optimally digest the nutrients consumed.</w:t>
      </w:r>
      <w:commentRangeEnd w:id="3"/>
      <w:r w:rsidR="00131C0F">
        <w:rPr>
          <w:rStyle w:val="CommentReference"/>
        </w:rPr>
        <w:commentReference w:id="3"/>
      </w:r>
    </w:p>
    <w:p w14:paraId="5A88F5BF"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One of the strategies to improve feed efficiency is</w:t>
      </w:r>
      <w:commentRangeStart w:id="4"/>
      <w:r>
        <w:rPr>
          <w:rFonts w:ascii="Arial" w:eastAsia="Arial" w:hAnsi="Arial" w:cs="Arial"/>
          <w:color w:val="000000"/>
        </w:rPr>
        <w:t xml:space="preserve"> the use of feed additives</w:t>
      </w:r>
      <w:commentRangeEnd w:id="4"/>
      <w:r w:rsidR="00131C0F">
        <w:rPr>
          <w:rStyle w:val="CommentReference"/>
        </w:rPr>
        <w:commentReference w:id="4"/>
      </w:r>
      <w:r>
        <w:rPr>
          <w:rFonts w:ascii="Arial" w:eastAsia="Arial" w:hAnsi="Arial" w:cs="Arial"/>
          <w:color w:val="000000"/>
        </w:rPr>
        <w:t xml:space="preserve">. Feed additives are supplementary ingredients added to animal feed with the aim of enhancing nutritional value, improving feed utilization efficiency, digestive function, nutrient absorption, and maintaining gut health. </w:t>
      </w:r>
      <w:commentRangeStart w:id="5"/>
      <w:r>
        <w:rPr>
          <w:rFonts w:ascii="Arial" w:eastAsia="Arial" w:hAnsi="Arial" w:cs="Arial"/>
          <w:color w:val="000000"/>
        </w:rPr>
        <w:t>These additives also support growt</w:t>
      </w:r>
      <w:r>
        <w:rPr>
          <w:rFonts w:ascii="Arial" w:eastAsia="Arial" w:hAnsi="Arial" w:cs="Arial"/>
          <w:color w:val="000000"/>
        </w:rPr>
        <w:t>h acceleration, immune enhancement, improved production performance, and overall animal health</w:t>
      </w:r>
      <w:commentRangeEnd w:id="5"/>
      <w:r w:rsidR="00131C0F">
        <w:rPr>
          <w:rStyle w:val="CommentReference"/>
        </w:rPr>
        <w:commentReference w:id="5"/>
      </w:r>
      <w:r>
        <w:rPr>
          <w:rFonts w:ascii="Arial" w:eastAsia="Arial" w:hAnsi="Arial" w:cs="Arial"/>
          <w:color w:val="000000"/>
        </w:rPr>
        <w:t xml:space="preserve">. They can be in the form of vitamins, minerals, amino acids, </w:t>
      </w:r>
      <w:r>
        <w:rPr>
          <w:rFonts w:ascii="Arial" w:eastAsia="Arial" w:hAnsi="Arial" w:cs="Arial"/>
          <w:color w:val="000000"/>
        </w:rPr>
        <w:lastRenderedPageBreak/>
        <w:t>enzymes, probiotics, prebiotics, antioxidants, synbiotics, phytobiotics, and other functional sub</w:t>
      </w:r>
      <w:r>
        <w:rPr>
          <w:rFonts w:ascii="Arial" w:eastAsia="Arial" w:hAnsi="Arial" w:cs="Arial"/>
          <w:color w:val="000000"/>
        </w:rPr>
        <w:t xml:space="preserve">stances. </w:t>
      </w:r>
      <w:commentRangeStart w:id="6"/>
      <w:r>
        <w:rPr>
          <w:rFonts w:ascii="Arial" w:eastAsia="Arial" w:hAnsi="Arial" w:cs="Arial"/>
          <w:color w:val="000000"/>
        </w:rPr>
        <w:t>In broiler farming, disease outbreaks are common, prompting farmers to use antibiotics as treatment and to reduce mortality. However, the use of antibiotics as feed additives can lead to residues that pose risks to humans infected with resistant b</w:t>
      </w:r>
      <w:r>
        <w:rPr>
          <w:rFonts w:ascii="Arial" w:eastAsia="Arial" w:hAnsi="Arial" w:cs="Arial"/>
          <w:color w:val="000000"/>
        </w:rPr>
        <w:t>acteria. This concern led the Indonesian government to ban the use of antibiotics in animal feed as per Ministry of Agriculture Regulation No. 14 of 2017, effective from January 1, 2018. To comply with this policy, the adoption of alternatives such as natu</w:t>
      </w:r>
      <w:r>
        <w:rPr>
          <w:rFonts w:ascii="Arial" w:eastAsia="Arial" w:hAnsi="Arial" w:cs="Arial"/>
          <w:color w:val="000000"/>
        </w:rPr>
        <w:t>ral feed additives and enhanced biosecurity measures is necessary.</w:t>
      </w:r>
      <w:commentRangeEnd w:id="6"/>
      <w:r w:rsidR="00131C0F">
        <w:rPr>
          <w:rStyle w:val="CommentReference"/>
        </w:rPr>
        <w:commentReference w:id="6"/>
      </w:r>
    </w:p>
    <w:p w14:paraId="53488A43"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Feed additives can be administered in the form of phytobiotics and enzymes. </w:t>
      </w:r>
      <w:commentRangeStart w:id="7"/>
      <w:r>
        <w:rPr>
          <w:rFonts w:ascii="Arial" w:eastAsia="Arial" w:hAnsi="Arial" w:cs="Arial"/>
          <w:color w:val="000000"/>
        </w:rPr>
        <w:t>Phytobiotics are natural plant-derived additives used in livestock feed to improve animal health and productiv</w:t>
      </w:r>
      <w:r>
        <w:rPr>
          <w:rFonts w:ascii="Arial" w:eastAsia="Arial" w:hAnsi="Arial" w:cs="Arial"/>
          <w:color w:val="000000"/>
        </w:rPr>
        <w:t>ity</w:t>
      </w:r>
      <w:commentRangeEnd w:id="7"/>
      <w:r w:rsidR="0068226C">
        <w:rPr>
          <w:rStyle w:val="CommentReference"/>
        </w:rPr>
        <w:commentReference w:id="7"/>
      </w:r>
      <w:r>
        <w:rPr>
          <w:rFonts w:ascii="Arial" w:eastAsia="Arial" w:hAnsi="Arial" w:cs="Arial"/>
          <w:color w:val="000000"/>
        </w:rPr>
        <w:t>. These compounds have antimicrobial properties that help control the growth of pathogenic bacteria in the digestive tract. Phytobiotics also stimulate digestive enzyme production and help maintain gut microbiota balance, thereby enhancing nutrient d</w:t>
      </w:r>
      <w:r>
        <w:rPr>
          <w:rFonts w:ascii="Arial" w:eastAsia="Arial" w:hAnsi="Arial" w:cs="Arial"/>
          <w:color w:val="000000"/>
        </w:rPr>
        <w:t>igestion and absorption. As reported by Kiczorowska et al. (2017), phytobiotics in poultry nutrition have been shown to promote growth, improve feed efficiency, enhance intestinal morphology, and act as antimicrobials, thus boosting immune defenses. Modern</w:t>
      </w:r>
      <w:r>
        <w:rPr>
          <w:rFonts w:ascii="Arial" w:eastAsia="Arial" w:hAnsi="Arial" w:cs="Arial"/>
          <w:color w:val="000000"/>
        </w:rPr>
        <w:t xml:space="preserve"> research indicates that "supplementing broiler chickens' diet with a phytogenic product containing a mixture of equal parts thymol and carvacrol at four different amounts increased body weight gain and feed efficiency, and reduced feed intake" (Kiczorowsk</w:t>
      </w:r>
      <w:r>
        <w:rPr>
          <w:rFonts w:ascii="Arial" w:eastAsia="Arial" w:hAnsi="Arial" w:cs="Arial"/>
          <w:color w:val="000000"/>
        </w:rPr>
        <w:t>a et al., 2024). Due to concerns over antibiotic resistance caused by excessive antibiotic use in animal feed, phytobiotics offer a safer and more environmentally friendly alternative.</w:t>
      </w:r>
    </w:p>
    <w:p w14:paraId="20ED1012"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One herbal plant widely used as a phytobiotic is turmeric (Curcuma dome</w:t>
      </w:r>
      <w:r>
        <w:rPr>
          <w:rFonts w:ascii="Arial" w:eastAsia="Arial" w:hAnsi="Arial" w:cs="Arial"/>
          <w:color w:val="000000"/>
        </w:rPr>
        <w:t xml:space="preserve">stica Val.), which contains the active compound curcumin with known antibacterial properties. According to Jubair et al. (2021), antimicrobial compounds are specialized chemicals produced by living organisms in low concentrations that can inhibit critical </w:t>
      </w:r>
      <w:r>
        <w:rPr>
          <w:rFonts w:ascii="Arial" w:eastAsia="Arial" w:hAnsi="Arial" w:cs="Arial"/>
          <w:color w:val="000000"/>
        </w:rPr>
        <w:t>processes within microorganisms. Curcumin possesses broad-spectrum antibacterial activity effective against both Gram-positive and Gram-negative bacteria, and it also has antiviral and pro-apoptotic (anti-tumor) effects. Furthermore, curcumin has been show</w:t>
      </w:r>
      <w:r>
        <w:rPr>
          <w:rFonts w:ascii="Arial" w:eastAsia="Arial" w:hAnsi="Arial" w:cs="Arial"/>
          <w:color w:val="000000"/>
        </w:rPr>
        <w:t>n to stimulate digestive processes by influencing pancreatic enzyme secretion. Research demonstrates that curcuminoids can affect pancreatic lipase activity, which is crucial for fat digestion (Li et al., 2022). This mechanism improves digestion, increases</w:t>
      </w:r>
      <w:r>
        <w:rPr>
          <w:rFonts w:ascii="Arial" w:eastAsia="Arial" w:hAnsi="Arial" w:cs="Arial"/>
          <w:color w:val="000000"/>
        </w:rPr>
        <w:t xml:space="preserve"> feed digestibility, and speeds up digestive transit time, which in turn enhances feed intake in broilers.</w:t>
      </w:r>
    </w:p>
    <w:p w14:paraId="418E5350"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In poultry, enzymes play a vital role in digestion, metabolism, and nutrient absorption. Farmers often supplement broiler diets with enzymes either t</w:t>
      </w:r>
      <w:r>
        <w:rPr>
          <w:rFonts w:ascii="Arial" w:eastAsia="Arial" w:hAnsi="Arial" w:cs="Arial"/>
          <w:color w:val="000000"/>
        </w:rPr>
        <w:t>hrough feed or drinking water. Enzymes are considered safe and beneficial, as they not only improve feed quality but also enhance meat nutritional value for human consumption. Supplemental enzymes help maintain gut microbial balance by ensuring that more n</w:t>
      </w:r>
      <w:r>
        <w:rPr>
          <w:rFonts w:ascii="Arial" w:eastAsia="Arial" w:hAnsi="Arial" w:cs="Arial"/>
          <w:color w:val="000000"/>
        </w:rPr>
        <w:t>utrients are digested and absorbed in the small intestine, limiting the nutrients available for pathogenic bacteria in the large intestine. This reduces digestive disturbances and promotes overall gut health. Enzyme addition also helps degrade complex fibe</w:t>
      </w:r>
      <w:r>
        <w:rPr>
          <w:rFonts w:ascii="Arial" w:eastAsia="Arial" w:hAnsi="Arial" w:cs="Arial"/>
          <w:color w:val="000000"/>
        </w:rPr>
        <w:t>rs such as cellulose and hemicellulose, thus reducing crude fiber levels in the feed (Sinaga, Suprijatna, and Kismiati, 2019).</w:t>
      </w:r>
    </w:p>
    <w:p w14:paraId="0C1EF690"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application of multi-enzyme complexes in livestock feed has been extensively studied and proven effective. Manurung et al. (2</w:t>
      </w:r>
      <w:r>
        <w:rPr>
          <w:rFonts w:ascii="Arial" w:eastAsia="Arial" w:hAnsi="Arial" w:cs="Arial"/>
          <w:color w:val="000000"/>
        </w:rPr>
        <w:t>019) supported the notion that multi-enzymes in livestock feed play a key role in enhancing nutrient digestibility. Each enzyme has a specific function in breaking down hard-to-digest components, making nutrients more bioavailable. The addition of enzyme c</w:t>
      </w:r>
      <w:r>
        <w:rPr>
          <w:rFonts w:ascii="Arial" w:eastAsia="Arial" w:hAnsi="Arial" w:cs="Arial"/>
          <w:color w:val="000000"/>
        </w:rPr>
        <w:t>omplexes such as protease, cellulase, and hemicellulase has been shown to significantly improve livestock performance. These enzymes work synergistically to break down complex feed substances, increasing feed efficiency and supporting animal growth. By bre</w:t>
      </w:r>
      <w:r>
        <w:rPr>
          <w:rFonts w:ascii="Arial" w:eastAsia="Arial" w:hAnsi="Arial" w:cs="Arial"/>
          <w:color w:val="000000"/>
        </w:rPr>
        <w:t>aking down complex feed compounds, digestion becomes more effective, and nutrient absorption is optimized.</w:t>
      </w:r>
    </w:p>
    <w:p w14:paraId="1AE5A544"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Therefore, supplementation of broiler diets with a combination of turmeric and multi-enzymes can serve as a natural alternative to antibiotics. The </w:t>
      </w:r>
      <w:r>
        <w:rPr>
          <w:rFonts w:ascii="Arial" w:eastAsia="Arial" w:hAnsi="Arial" w:cs="Arial"/>
          <w:color w:val="000000"/>
        </w:rPr>
        <w:t>antimicrobial effect of turmeric enhances intestinal relaxation, slows peristalsis, and extends ingesta retention time in the small intestine, allowing for more efficient nutrient absorption. Meanwhile, multi-enzymes break down fiber into simpler, more abs</w:t>
      </w:r>
      <w:r>
        <w:rPr>
          <w:rFonts w:ascii="Arial" w:eastAsia="Arial" w:hAnsi="Arial" w:cs="Arial"/>
          <w:color w:val="000000"/>
        </w:rPr>
        <w:t>orbable components, improving gut health and productivity as indicated by intestinal microflora composition.</w:t>
      </w:r>
    </w:p>
    <w:p w14:paraId="7701E8F5"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Based on this rationale, research is needed to evaluate the effects of combining turmeric powder (Curcuma domestica Val.) and multi-enzymes on anti</w:t>
      </w:r>
      <w:r>
        <w:rPr>
          <w:rFonts w:ascii="Arial" w:eastAsia="Arial" w:hAnsi="Arial" w:cs="Arial"/>
          <w:color w:val="000000"/>
        </w:rPr>
        <w:t>bacterial activity and the intestinal characteristics of broiler chickens.</w:t>
      </w:r>
    </w:p>
    <w:p w14:paraId="1F52F53E" w14:textId="77777777" w:rsidR="00A64361" w:rsidRDefault="00A64361">
      <w:pPr>
        <w:pBdr>
          <w:top w:val="nil"/>
          <w:left w:val="nil"/>
          <w:bottom w:val="nil"/>
          <w:right w:val="nil"/>
          <w:between w:val="nil"/>
        </w:pBdr>
        <w:jc w:val="both"/>
        <w:rPr>
          <w:rFonts w:ascii="Arial" w:eastAsia="Arial" w:hAnsi="Arial" w:cs="Arial"/>
          <w:color w:val="000000"/>
        </w:rPr>
      </w:pPr>
    </w:p>
    <w:p w14:paraId="4C971747" w14:textId="77777777" w:rsidR="00A64361" w:rsidRDefault="00021EE9">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2. </w:t>
      </w:r>
      <w:commentRangeStart w:id="8"/>
      <w:r>
        <w:rPr>
          <w:rFonts w:ascii="Arial" w:eastAsia="Arial" w:hAnsi="Arial" w:cs="Arial"/>
          <w:b/>
          <w:smallCaps/>
          <w:color w:val="000000"/>
          <w:sz w:val="22"/>
          <w:szCs w:val="22"/>
        </w:rPr>
        <w:t xml:space="preserve">material and methods </w:t>
      </w:r>
      <w:commentRangeEnd w:id="8"/>
      <w:r w:rsidR="006B21B6">
        <w:rPr>
          <w:rStyle w:val="CommentReference"/>
        </w:rPr>
        <w:commentReference w:id="8"/>
      </w:r>
    </w:p>
    <w:p w14:paraId="5B64CAC5" w14:textId="77777777" w:rsidR="00A64361" w:rsidRDefault="00021EE9">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2.1 Study Design and Experimental Animals</w:t>
      </w:r>
    </w:p>
    <w:p w14:paraId="44C3C873"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This research was conducted using a Completely Randomized Design (CRD) with five treatments and five replicati</w:t>
      </w:r>
      <w:r>
        <w:rPr>
          <w:rFonts w:ascii="Arial" w:eastAsia="Arial" w:hAnsi="Arial" w:cs="Arial"/>
          <w:color w:val="000000"/>
        </w:rPr>
        <w:t>ons. A total of 300 Lohmann broiler chickens were used, with 12 birds placed in each pen. The treatments consisted of combinations of turmeric flour (Curcuma domestica Val.) and multienzyme supplements at various levels in the feed. The study was conducted</w:t>
      </w:r>
      <w:r>
        <w:rPr>
          <w:rFonts w:ascii="Arial" w:eastAsia="Arial" w:hAnsi="Arial" w:cs="Arial"/>
          <w:color w:val="000000"/>
        </w:rPr>
        <w:t xml:space="preserve"> over a 35-day rearing period.</w:t>
      </w:r>
    </w:p>
    <w:p w14:paraId="25EDB84C" w14:textId="77777777" w:rsidR="00A64361" w:rsidRDefault="00021EE9">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2.2 Villus Histomorphology Observation</w:t>
      </w:r>
    </w:p>
    <w:p w14:paraId="2BC41141"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Histomorphological examination of the small intestine was conducted at the end of the rearing period. One bird per replicate was randomly selected and humanely euthanized. A segment of t</w:t>
      </w:r>
      <w:r>
        <w:rPr>
          <w:rFonts w:ascii="Arial" w:eastAsia="Arial" w:hAnsi="Arial" w:cs="Arial"/>
          <w:color w:val="000000"/>
        </w:rPr>
        <w:t>he jejunum (approximately 3 cm in length) was collected, cleaned with physiological saline, and fixed in 10% buffered formalin for 24–48 hours.</w:t>
      </w:r>
    </w:p>
    <w:p w14:paraId="1BD6B5B2"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Tissue processing was performed using the </w:t>
      </w:r>
      <w:commentRangeStart w:id="9"/>
      <w:r>
        <w:rPr>
          <w:rFonts w:ascii="Arial" w:eastAsia="Arial" w:hAnsi="Arial" w:cs="Arial"/>
          <w:color w:val="000000"/>
        </w:rPr>
        <w:t xml:space="preserve">paraffin method. </w:t>
      </w:r>
      <w:commentRangeEnd w:id="9"/>
      <w:r w:rsidR="00DB58EE">
        <w:rPr>
          <w:rStyle w:val="CommentReference"/>
        </w:rPr>
        <w:commentReference w:id="9"/>
      </w:r>
      <w:r>
        <w:rPr>
          <w:rFonts w:ascii="Arial" w:eastAsia="Arial" w:hAnsi="Arial" w:cs="Arial"/>
          <w:color w:val="000000"/>
        </w:rPr>
        <w:t xml:space="preserve">Fixed tissues were dehydrated in ascending </w:t>
      </w:r>
      <w:r>
        <w:rPr>
          <w:rFonts w:ascii="Arial" w:eastAsia="Arial" w:hAnsi="Arial" w:cs="Arial"/>
          <w:color w:val="000000"/>
        </w:rPr>
        <w:t>concentrations of ethanol, cleared with xylene, embedded in paraffin, and sectioned at 5 μm thickness using a rotary microtome. The sections were mounted on glass slides and stained using hematoxylin-eosin (HE) staining. Histological slides were observed u</w:t>
      </w:r>
      <w:r>
        <w:rPr>
          <w:rFonts w:ascii="Arial" w:eastAsia="Arial" w:hAnsi="Arial" w:cs="Arial"/>
          <w:color w:val="000000"/>
        </w:rPr>
        <w:t>sing a light microscope at 40x magnification.</w:t>
      </w:r>
    </w:p>
    <w:p w14:paraId="1705214B" w14:textId="77777777" w:rsidR="00A64361" w:rsidRDefault="00021EE9">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lastRenderedPageBreak/>
        <w:t>2.3 Parameters Observed</w:t>
      </w:r>
    </w:p>
    <w:p w14:paraId="3ADAF37E" w14:textId="77777777" w:rsidR="00A64361" w:rsidRDefault="00021EE9">
      <w:pPr>
        <w:numPr>
          <w:ilvl w:val="0"/>
          <w:numId w:val="1"/>
        </w:numPr>
        <w:pBdr>
          <w:top w:val="nil"/>
          <w:left w:val="nil"/>
          <w:bottom w:val="nil"/>
          <w:right w:val="nil"/>
          <w:between w:val="nil"/>
        </w:pBdr>
        <w:jc w:val="both"/>
        <w:rPr>
          <w:color w:val="000000"/>
        </w:rPr>
      </w:pPr>
      <w:r>
        <w:rPr>
          <w:rFonts w:ascii="Arial" w:eastAsia="Arial" w:hAnsi="Arial" w:cs="Arial"/>
          <w:color w:val="000000"/>
        </w:rPr>
        <w:t>Villus Height (µm): Measured from the base to the tip of the villus using a calibrated micrometer.</w:t>
      </w:r>
    </w:p>
    <w:p w14:paraId="7CBBF9EB" w14:textId="77777777" w:rsidR="00A64361" w:rsidRDefault="00021EE9">
      <w:pPr>
        <w:numPr>
          <w:ilvl w:val="0"/>
          <w:numId w:val="1"/>
        </w:numPr>
        <w:pBdr>
          <w:top w:val="nil"/>
          <w:left w:val="nil"/>
          <w:bottom w:val="nil"/>
          <w:right w:val="nil"/>
          <w:between w:val="nil"/>
        </w:pBdr>
        <w:jc w:val="both"/>
        <w:rPr>
          <w:color w:val="000000"/>
        </w:rPr>
      </w:pPr>
      <w:r>
        <w:rPr>
          <w:rFonts w:ascii="Arial" w:eastAsia="Arial" w:hAnsi="Arial" w:cs="Arial"/>
          <w:color w:val="000000"/>
        </w:rPr>
        <w:t>Villus Surface Area (µm²): Calculated using the formula:</w:t>
      </w:r>
    </w:p>
    <w:p w14:paraId="526FA1B5" w14:textId="77777777" w:rsidR="00A64361" w:rsidRDefault="00021EE9">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 xml:space="preserve">Villus surface area=2π×(villus width2)×villus height\text{Villus surface area} = 2\pi \times \left(\frac{\text{villus width}}{2}\right) \times \text{villus height} </w:t>
      </w:r>
    </w:p>
    <w:p w14:paraId="1F9B87FB" w14:textId="77777777" w:rsidR="00A64361" w:rsidRDefault="00021EE9">
      <w:pPr>
        <w:numPr>
          <w:ilvl w:val="0"/>
          <w:numId w:val="1"/>
        </w:numPr>
        <w:pBdr>
          <w:top w:val="nil"/>
          <w:left w:val="nil"/>
          <w:bottom w:val="nil"/>
          <w:right w:val="nil"/>
          <w:between w:val="nil"/>
        </w:pBdr>
        <w:jc w:val="both"/>
        <w:rPr>
          <w:color w:val="000000"/>
        </w:rPr>
      </w:pPr>
      <w:r>
        <w:rPr>
          <w:rFonts w:ascii="Arial" w:eastAsia="Arial" w:hAnsi="Arial" w:cs="Arial"/>
          <w:color w:val="000000"/>
        </w:rPr>
        <w:t>Number of Villi (per field of view): Counted directly from five randomly selected fields pe</w:t>
      </w:r>
      <w:r>
        <w:rPr>
          <w:rFonts w:ascii="Arial" w:eastAsia="Arial" w:hAnsi="Arial" w:cs="Arial"/>
          <w:color w:val="000000"/>
        </w:rPr>
        <w:t>r slide under 40x magnification.</w:t>
      </w:r>
    </w:p>
    <w:p w14:paraId="2CBC58E3" w14:textId="77777777" w:rsidR="00A64361" w:rsidRDefault="00021EE9">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2.4 Statistical Analysis</w:t>
      </w:r>
    </w:p>
    <w:p w14:paraId="50AAD8DA"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data obtained were analyzed using one-way ANOVA. If a significant difference (P&lt;0.05) was found, further analysis was conducted using Duncan’s Multiple Range Test to determine the differences am</w:t>
      </w:r>
      <w:r>
        <w:rPr>
          <w:rFonts w:ascii="Arial" w:eastAsia="Arial" w:hAnsi="Arial" w:cs="Arial"/>
          <w:color w:val="000000"/>
        </w:rPr>
        <w:t>ong treatment groups.</w:t>
      </w:r>
    </w:p>
    <w:p w14:paraId="454DFB9C" w14:textId="77777777" w:rsidR="00A64361" w:rsidRDefault="00A64361">
      <w:pPr>
        <w:pBdr>
          <w:top w:val="nil"/>
          <w:left w:val="nil"/>
          <w:bottom w:val="nil"/>
          <w:right w:val="nil"/>
          <w:between w:val="nil"/>
        </w:pBdr>
        <w:jc w:val="both"/>
        <w:rPr>
          <w:rFonts w:ascii="Arial" w:eastAsia="Arial" w:hAnsi="Arial" w:cs="Arial"/>
          <w:color w:val="000000"/>
        </w:rPr>
      </w:pPr>
    </w:p>
    <w:p w14:paraId="5BBA7666" w14:textId="77777777" w:rsidR="00A64361" w:rsidRDefault="00021EE9">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3. </w:t>
      </w:r>
      <w:commentRangeStart w:id="10"/>
      <w:r>
        <w:rPr>
          <w:rFonts w:ascii="Arial" w:eastAsia="Arial" w:hAnsi="Arial" w:cs="Arial"/>
          <w:b/>
          <w:smallCaps/>
          <w:color w:val="000000"/>
          <w:sz w:val="22"/>
          <w:szCs w:val="22"/>
        </w:rPr>
        <w:t>results and discussion</w:t>
      </w:r>
      <w:commentRangeEnd w:id="10"/>
      <w:r w:rsidR="00D56168">
        <w:rPr>
          <w:rStyle w:val="CommentReference"/>
        </w:rPr>
        <w:commentReference w:id="10"/>
      </w:r>
    </w:p>
    <w:p w14:paraId="1B5D0205" w14:textId="77777777" w:rsidR="00A64361" w:rsidRDefault="00021EE9">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3.1 Villus Height</w:t>
      </w:r>
    </w:p>
    <w:p w14:paraId="5A2340EC"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results of the study on the evaluation of turmeric flour and multi-enzyme combinations on the height of the intestinal villi are presented in Table 1. The table shows that the villus</w:t>
      </w:r>
      <w:r>
        <w:rPr>
          <w:rFonts w:ascii="Arial" w:eastAsia="Arial" w:hAnsi="Arial" w:cs="Arial"/>
          <w:color w:val="000000"/>
        </w:rPr>
        <w:t xml:space="preserve"> height from highest to lowest was observed in P4 (673.76±142.46), P3 (652.86±108.00), P2 (619.57±125.11), P1 (597.29±73.25), and P0 (501.72±91.16), respectively. Statistical analysis indicated that the addition of multi-enzymes and turmeric flour in the f</w:t>
      </w:r>
      <w:r>
        <w:rPr>
          <w:rFonts w:ascii="Arial" w:eastAsia="Arial" w:hAnsi="Arial" w:cs="Arial"/>
          <w:color w:val="000000"/>
        </w:rPr>
        <w:t>eed had no significant effect (P&gt;0.05) on the villus height of broiler chickens.</w:t>
      </w:r>
    </w:p>
    <w:p w14:paraId="157E860A" w14:textId="77777777" w:rsidR="00A64361" w:rsidRDefault="00021EE9">
      <w:pPr>
        <w:pBdr>
          <w:top w:val="nil"/>
          <w:left w:val="nil"/>
          <w:bottom w:val="nil"/>
          <w:right w:val="nil"/>
          <w:between w:val="nil"/>
        </w:pBdr>
        <w:jc w:val="both"/>
        <w:rPr>
          <w:rFonts w:ascii="Arial" w:eastAsia="Arial" w:hAnsi="Arial" w:cs="Arial"/>
          <w:color w:val="000000"/>
        </w:rPr>
      </w:pPr>
      <w:commentRangeStart w:id="11"/>
      <w:r>
        <w:rPr>
          <w:rFonts w:ascii="Arial" w:eastAsia="Arial" w:hAnsi="Arial" w:cs="Arial"/>
          <w:color w:val="000000"/>
        </w:rPr>
        <w:t>This finding is consistent with previous research indicating that moderate levels of herbal supplementation may not always produce significant morphological changes in intesti</w:t>
      </w:r>
      <w:r>
        <w:rPr>
          <w:rFonts w:ascii="Arial" w:eastAsia="Arial" w:hAnsi="Arial" w:cs="Arial"/>
          <w:color w:val="000000"/>
        </w:rPr>
        <w:t>nal structure</w:t>
      </w:r>
      <w:commentRangeEnd w:id="11"/>
      <w:r w:rsidR="00DB58EE">
        <w:rPr>
          <w:rStyle w:val="CommentReference"/>
        </w:rPr>
        <w:commentReference w:id="11"/>
      </w:r>
      <w:r>
        <w:rPr>
          <w:rFonts w:ascii="Arial" w:eastAsia="Arial" w:hAnsi="Arial" w:cs="Arial"/>
          <w:color w:val="000000"/>
        </w:rPr>
        <w:t>. According to Alagawany et al. (2018), the effectiveness of phytogenic feed additives on intestinal morphology depends on various factors including dosage, duration of supplementation, and the specific bioactive compounds present. This mig</w:t>
      </w:r>
      <w:r>
        <w:rPr>
          <w:rFonts w:ascii="Arial" w:eastAsia="Arial" w:hAnsi="Arial" w:cs="Arial"/>
          <w:color w:val="000000"/>
        </w:rPr>
        <w:t>ht be due to insufficient levels of enzymes or turmeric flour to induce structural changes in the intestinal mucosa. Morphological effects such as increased villus height require strong and sustained stimulation; thus, low dosages or short administration p</w:t>
      </w:r>
      <w:r>
        <w:rPr>
          <w:rFonts w:ascii="Arial" w:eastAsia="Arial" w:hAnsi="Arial" w:cs="Arial"/>
          <w:color w:val="000000"/>
        </w:rPr>
        <w:t>eriods may result in minimal changes, and the additive effect of enzymes or phytobiotics may only yield marginal and statistically insignificant improvements.</w:t>
      </w:r>
    </w:p>
    <w:p w14:paraId="31E8DB1E" w14:textId="77777777" w:rsidR="00A64361" w:rsidRDefault="00021EE9">
      <w:pPr>
        <w:pBdr>
          <w:top w:val="nil"/>
          <w:left w:val="nil"/>
          <w:bottom w:val="nil"/>
          <w:right w:val="nil"/>
          <w:between w:val="nil"/>
        </w:pBdr>
        <w:jc w:val="both"/>
        <w:rPr>
          <w:rFonts w:ascii="Arial" w:eastAsia="Arial" w:hAnsi="Arial" w:cs="Arial"/>
          <w:color w:val="000000"/>
        </w:rPr>
      </w:pPr>
      <w:commentRangeStart w:id="12"/>
      <w:r>
        <w:rPr>
          <w:rFonts w:ascii="Arial" w:eastAsia="Arial" w:hAnsi="Arial" w:cs="Arial"/>
          <w:color w:val="000000"/>
        </w:rPr>
        <w:t>Research has shown that "lactic acid bacteria (LAB) were excellent inhibitors against Escherichia</w:t>
      </w:r>
      <w:r>
        <w:rPr>
          <w:rFonts w:ascii="Arial" w:eastAsia="Arial" w:hAnsi="Arial" w:cs="Arial"/>
          <w:color w:val="000000"/>
        </w:rPr>
        <w:t xml:space="preserve"> coli" in broiler chickens, suggesting that the competition between beneficial and pathogenic bacteria in the gut may influence the effectiveness of feed additives. </w:t>
      </w:r>
      <w:commentRangeEnd w:id="12"/>
      <w:r w:rsidR="0006283D">
        <w:rPr>
          <w:rStyle w:val="CommentReference"/>
        </w:rPr>
        <w:commentReference w:id="12"/>
      </w:r>
      <w:r>
        <w:rPr>
          <w:rFonts w:ascii="Arial" w:eastAsia="Arial" w:hAnsi="Arial" w:cs="Arial"/>
          <w:color w:val="000000"/>
        </w:rPr>
        <w:t>According to Pandit et al. (2018), this may also be due to the suboptimal growth of lact</w:t>
      </w:r>
      <w:r>
        <w:rPr>
          <w:rFonts w:ascii="Arial" w:eastAsia="Arial" w:hAnsi="Arial" w:cs="Arial"/>
          <w:color w:val="000000"/>
        </w:rPr>
        <w:t>ic acid bacteria (LAB) in the small intestine, which still competes with Escherichia coli for feed nutrients, rendering LAB performance in the villi suboptimal in enhancing nutrient absorption through villus elongation and surface expansion.</w:t>
      </w:r>
    </w:p>
    <w:p w14:paraId="4D2ACB30"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Although the e</w:t>
      </w:r>
      <w:r>
        <w:rPr>
          <w:rFonts w:ascii="Arial" w:eastAsia="Arial" w:hAnsi="Arial" w:cs="Arial"/>
          <w:color w:val="000000"/>
        </w:rPr>
        <w:t>ffect was not statistically significant, descriptively, treatment P4 (with 1.2% turmeric and multi-enzyme) resulted in the highest villus height. Studies have demonstrated that LAB growth in the small intestine remains suboptimal due to competition with E.</w:t>
      </w:r>
      <w:r>
        <w:rPr>
          <w:rFonts w:ascii="Arial" w:eastAsia="Arial" w:hAnsi="Arial" w:cs="Arial"/>
          <w:color w:val="000000"/>
        </w:rPr>
        <w:t xml:space="preserve"> coli for dietary nutrients, preventing complete colonization in the villus area and limiting their role in enhancing absorption (Yadav and Jha, 2019). This may be due to suboptimal dosing, but turmeric supplementation has potential benefits on intestinal </w:t>
      </w:r>
      <w:r>
        <w:rPr>
          <w:rFonts w:ascii="Arial" w:eastAsia="Arial" w:hAnsi="Arial" w:cs="Arial"/>
          <w:color w:val="000000"/>
        </w:rPr>
        <w:t>morphology. Recent research confirms that turmeric's antibacterial properties can suppress pathogenic bacteria and support beneficial microbiota in the gut, contributing to improved digestive health in poultry (Kiczorowska et al., 2024).</w:t>
      </w:r>
    </w:p>
    <w:p w14:paraId="7DC1E09A" w14:textId="77777777" w:rsidR="00A64361" w:rsidRDefault="00021EE9">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3.2 Villus Surface</w:t>
      </w:r>
      <w:r>
        <w:rPr>
          <w:rFonts w:ascii="Arial" w:eastAsia="Arial" w:hAnsi="Arial" w:cs="Arial"/>
          <w:b/>
          <w:color w:val="000000"/>
        </w:rPr>
        <w:t xml:space="preserve"> Area</w:t>
      </w:r>
    </w:p>
    <w:p w14:paraId="11D270EE"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The study results on the effect of turmeric flour and multi-enzyme combinations on villus surface area are presented in Table 1. The table indicates that surface area values increased in the order of P0 (768.91±198.93), P1 (927.05±146.67), P2 </w:t>
      </w:r>
      <w:r>
        <w:rPr>
          <w:rFonts w:ascii="Arial" w:eastAsia="Arial" w:hAnsi="Arial" w:cs="Arial"/>
          <w:color w:val="000000"/>
        </w:rPr>
        <w:t>(998.47±187.06), P3 (1030.64±224.42), and P4 (1056.16±234.97). Statistical analysis showed that the supplementation had no significant effect (P&gt;0.05) on villus surface area. However, the average values (768.91–1056.16 μm²/villus) were greater than those r</w:t>
      </w:r>
      <w:r>
        <w:rPr>
          <w:rFonts w:ascii="Arial" w:eastAsia="Arial" w:hAnsi="Arial" w:cs="Arial"/>
          <w:color w:val="000000"/>
        </w:rPr>
        <w:t>eported by Kusuma, Sjofjan, and Djunaidi (2020), which ranged from 641.08–1035.48 μm²/villus.</w:t>
      </w:r>
    </w:p>
    <w:p w14:paraId="51430D09"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Although the effect was not significant, numerically, feed supplementation with turmeric and multi-enzymes yielded higher villus surface area compared to the cont</w:t>
      </w:r>
      <w:r>
        <w:rPr>
          <w:rFonts w:ascii="Arial" w:eastAsia="Arial" w:hAnsi="Arial" w:cs="Arial"/>
          <w:color w:val="000000"/>
        </w:rPr>
        <w:t>rol (P0). This suggests that enzyme addition positively influences intestinal morphology, particularly the villi in the small intestine, which are crucial for nutrient absorption. A wider villus surface area increases the efficiency of nutrient uptake from</w:t>
      </w:r>
      <w:r>
        <w:rPr>
          <w:rFonts w:ascii="Arial" w:eastAsia="Arial" w:hAnsi="Arial" w:cs="Arial"/>
          <w:color w:val="000000"/>
        </w:rPr>
        <w:t xml:space="preserve"> digesta. </w:t>
      </w:r>
      <w:commentRangeStart w:id="13"/>
      <w:r>
        <w:rPr>
          <w:rFonts w:ascii="Arial" w:eastAsia="Arial" w:hAnsi="Arial" w:cs="Arial"/>
          <w:color w:val="000000"/>
        </w:rPr>
        <w:t>The efficacy of multi-enzymes depends on dosage and feed composition. Enzyme-induced nutrient availability stimulates epithelial cell growth, increasing villus length and width, thereby expanding the absorptive area.</w:t>
      </w:r>
      <w:commentRangeEnd w:id="13"/>
      <w:r w:rsidR="0006283D">
        <w:rPr>
          <w:rStyle w:val="CommentReference"/>
        </w:rPr>
        <w:commentReference w:id="13"/>
      </w:r>
    </w:p>
    <w:p w14:paraId="1458036A"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Modern research demonstrat</w:t>
      </w:r>
      <w:r>
        <w:rPr>
          <w:rFonts w:ascii="Arial" w:eastAsia="Arial" w:hAnsi="Arial" w:cs="Arial"/>
          <w:color w:val="000000"/>
        </w:rPr>
        <w:t>es that microbial growth is enhanced by enzyme activity breaking down carbohydrates into sugars and proteins into amino acids—both vital for microbial nutrition (Borda-Molina et al., 2018). This is supported by recent findings showing that multi-enzyme sup</w:t>
      </w:r>
      <w:r>
        <w:rPr>
          <w:rFonts w:ascii="Arial" w:eastAsia="Arial" w:hAnsi="Arial" w:cs="Arial"/>
          <w:color w:val="000000"/>
        </w:rPr>
        <w:t>plementation tends to increase lactic acid production due to proliferation of LAB such as Lactobacillus salivarius, which contributes to improved gut health and intestinal morphology (Feng et al., 2023).</w:t>
      </w:r>
    </w:p>
    <w:p w14:paraId="0F87B7A0" w14:textId="77777777" w:rsidR="00A64361" w:rsidRDefault="00021EE9">
      <w:pPr>
        <w:pBdr>
          <w:top w:val="nil"/>
          <w:left w:val="nil"/>
          <w:bottom w:val="nil"/>
          <w:right w:val="nil"/>
          <w:between w:val="nil"/>
        </w:pBdr>
        <w:jc w:val="both"/>
        <w:rPr>
          <w:rFonts w:ascii="Arial" w:eastAsia="Arial" w:hAnsi="Arial" w:cs="Arial"/>
          <w:color w:val="000000"/>
        </w:rPr>
      </w:pPr>
      <w:commentRangeStart w:id="14"/>
      <w:r>
        <w:rPr>
          <w:rFonts w:ascii="Arial" w:eastAsia="Arial" w:hAnsi="Arial" w:cs="Arial"/>
          <w:color w:val="000000"/>
        </w:rPr>
        <w:t>Turmeric's active compounds like curcumin can suppre</w:t>
      </w:r>
      <w:r>
        <w:rPr>
          <w:rFonts w:ascii="Arial" w:eastAsia="Arial" w:hAnsi="Arial" w:cs="Arial"/>
          <w:color w:val="000000"/>
        </w:rPr>
        <w:t>ss pathogenic bacteria such as Salmonella spp</w:t>
      </w:r>
      <w:commentRangeEnd w:id="14"/>
      <w:r w:rsidR="0006283D">
        <w:rPr>
          <w:rStyle w:val="CommentReference"/>
        </w:rPr>
        <w:commentReference w:id="14"/>
      </w:r>
      <w:r>
        <w:rPr>
          <w:rFonts w:ascii="Arial" w:eastAsia="Arial" w:hAnsi="Arial" w:cs="Arial"/>
          <w:color w:val="000000"/>
        </w:rPr>
        <w:t>. It also contains curcuminoids (antioxidants) and essential oils with antibacterial and anti-inflammatory properties (Dhama et al., 2015). With fewer pathogenic microbes, normal gut flora thrives, supporting</w:t>
      </w:r>
      <w:r>
        <w:rPr>
          <w:rFonts w:ascii="Arial" w:eastAsia="Arial" w:hAnsi="Arial" w:cs="Arial"/>
          <w:color w:val="000000"/>
        </w:rPr>
        <w:t xml:space="preserve"> mucosal integrity and villus growth. Curcumin also stimulates intestinal epithelial cell proliferation, promoting villus growth and elongation, which enhances nutrient absorption efficiency. Additionally, turmeric supports the growth of beneficial gut mic</w:t>
      </w:r>
      <w:r>
        <w:rPr>
          <w:rFonts w:ascii="Arial" w:eastAsia="Arial" w:hAnsi="Arial" w:cs="Arial"/>
          <w:color w:val="000000"/>
        </w:rPr>
        <w:t>robiota, indirectly improving villus structure and function (Kiczorowska et al., 2024).</w:t>
      </w:r>
    </w:p>
    <w:p w14:paraId="649C3EDA" w14:textId="77777777" w:rsidR="00A64361" w:rsidRDefault="00021EE9">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3.3 Villus Number</w:t>
      </w:r>
    </w:p>
    <w:p w14:paraId="59242735"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The results of the study evaluating turmeric flour and multi-enzyme supplementation on the number of intestinal villi are shown in Table 1. Villus num</w:t>
      </w:r>
      <w:r>
        <w:rPr>
          <w:rFonts w:ascii="Arial" w:eastAsia="Arial" w:hAnsi="Arial" w:cs="Arial"/>
          <w:color w:val="000000"/>
        </w:rPr>
        <w:t>bers, from lowest to highest, were recorded in P0 (6.44±0.91), P2 (7.88±3.68), P1 (8.24±1.26), P3 (8.15±2.54), and P4 (highest value). Statistical analysis showed no significant difference (P&gt;0.05) in villus number among the treatments.</w:t>
      </w:r>
    </w:p>
    <w:p w14:paraId="5B00F950"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Even though no </w:t>
      </w:r>
      <w:r>
        <w:rPr>
          <w:rFonts w:ascii="Arial" w:eastAsia="Arial" w:hAnsi="Arial" w:cs="Arial"/>
          <w:color w:val="000000"/>
        </w:rPr>
        <w:t>statistically significant difference was found, numerically, feed supplemented with turmeric and enzymes resulted in higher villus numbers compared to the control. The highest count was found in P4, the lowest in P0. Contemporary research emphasizes that m</w:t>
      </w:r>
      <w:r>
        <w:rPr>
          <w:rFonts w:ascii="Arial" w:eastAsia="Arial" w:hAnsi="Arial" w:cs="Arial"/>
          <w:color w:val="000000"/>
        </w:rPr>
        <w:t>ulti-enzyme supplementation helps maintain gut health, improve feed utilization, and reduce feed cost by breaking down complex nutrients into simpler, more absorbable forms (Bedford and Cowieson, 2012). Studies have noted that multi-enzymes assist nutrient</w:t>
      </w:r>
      <w:r>
        <w:rPr>
          <w:rFonts w:ascii="Arial" w:eastAsia="Arial" w:hAnsi="Arial" w:cs="Arial"/>
          <w:color w:val="000000"/>
        </w:rPr>
        <w:t xml:space="preserve"> metabolism, supporting morphological adaptations in the digestive tract (Cowieson and Roos, 2016).</w:t>
      </w:r>
    </w:p>
    <w:p w14:paraId="4F6962D4"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Histologically, villi play a crucial role in nutrient absorption. Longer, more numerous, and denser villi increase surface area for efficient nutrient uptak</w:t>
      </w:r>
      <w:r>
        <w:rPr>
          <w:rFonts w:ascii="Arial" w:eastAsia="Arial" w:hAnsi="Arial" w:cs="Arial"/>
          <w:color w:val="000000"/>
        </w:rPr>
        <w:t>e. Increased villus height reflects expanded absorption area, while increased villus number indicates healthy and active intestinal renewal, directly improving growth performance by optimizing nutrient utilization. Research has demonstrated that "phytobiot</w:t>
      </w:r>
      <w:r>
        <w:rPr>
          <w:rFonts w:ascii="Arial" w:eastAsia="Arial" w:hAnsi="Arial" w:cs="Arial"/>
          <w:color w:val="000000"/>
        </w:rPr>
        <w:t>ics, which are plant-derived feed additives known for their antimicrobial, antioxidant, immune-modulating, and growth-promoting properties, have emerged as promising natural alternatives" to conventional growth promoters.</w:t>
      </w:r>
    </w:p>
    <w:p w14:paraId="19014705"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Turmeric flour acts as a natural a</w:t>
      </w:r>
      <w:r>
        <w:rPr>
          <w:rFonts w:ascii="Arial" w:eastAsia="Arial" w:hAnsi="Arial" w:cs="Arial"/>
          <w:color w:val="000000"/>
        </w:rPr>
        <w:t>dditive that supports gut health. Its bioactive compounds stimulate digestive enzyme activity and promote beneficial bacterial colonization, indirectly enhancing histological structure, including villus number. Research has explained that low villus number</w:t>
      </w:r>
      <w:r>
        <w:rPr>
          <w:rFonts w:ascii="Arial" w:eastAsia="Arial" w:hAnsi="Arial" w:cs="Arial"/>
          <w:color w:val="000000"/>
        </w:rPr>
        <w:t>s may be caused by pathogenic bacterial activity (Alagawany et al., 2018). Curcumin and essential oils in turmeric help minimize epithelial cell damage due to oxidative stress or infection, preserving intestinal mucosa integrity. Studies have shown that cu</w:t>
      </w:r>
      <w:r>
        <w:rPr>
          <w:rFonts w:ascii="Arial" w:eastAsia="Arial" w:hAnsi="Arial" w:cs="Arial"/>
          <w:color w:val="000000"/>
        </w:rPr>
        <w:t>rcumin promotes appetite by accelerating gastric emptying and increasing bile secretion, thus supporting digestive function (Li et al., 2022).</w:t>
      </w:r>
    </w:p>
    <w:p w14:paraId="610E42C9" w14:textId="77777777" w:rsidR="00A64361" w:rsidRDefault="00A64361">
      <w:pPr>
        <w:pBdr>
          <w:top w:val="nil"/>
          <w:left w:val="nil"/>
          <w:bottom w:val="nil"/>
          <w:right w:val="nil"/>
          <w:between w:val="nil"/>
        </w:pBdr>
        <w:jc w:val="both"/>
        <w:rPr>
          <w:rFonts w:ascii="Arial" w:eastAsia="Arial" w:hAnsi="Arial" w:cs="Arial"/>
          <w:color w:val="000000"/>
        </w:rPr>
      </w:pPr>
    </w:p>
    <w:p w14:paraId="7B250D28" w14:textId="77777777" w:rsidR="00A64361" w:rsidRDefault="00021EE9">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4. Conclusion</w:t>
      </w:r>
    </w:p>
    <w:p w14:paraId="5776A633"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supplementation of turmeric powder (</w:t>
      </w:r>
      <w:r w:rsidRPr="0006283D">
        <w:rPr>
          <w:rFonts w:ascii="Arial" w:eastAsia="Arial" w:hAnsi="Arial" w:cs="Arial"/>
          <w:i/>
          <w:iCs/>
          <w:color w:val="000000"/>
          <w:rPrChange w:id="15" w:author="Chisom Egwu" w:date="2025-06-27T18:30:00Z">
            <w:rPr>
              <w:rFonts w:ascii="Arial" w:eastAsia="Arial" w:hAnsi="Arial" w:cs="Arial"/>
              <w:color w:val="000000"/>
            </w:rPr>
          </w:rPrChange>
        </w:rPr>
        <w:t>Curcuma domestica</w:t>
      </w:r>
      <w:r>
        <w:rPr>
          <w:rFonts w:ascii="Arial" w:eastAsia="Arial" w:hAnsi="Arial" w:cs="Arial"/>
          <w:color w:val="000000"/>
        </w:rPr>
        <w:t xml:space="preserve"> Val.) and multi-enzyme in broiler chicke</w:t>
      </w:r>
      <w:r>
        <w:rPr>
          <w:rFonts w:ascii="Arial" w:eastAsia="Arial" w:hAnsi="Arial" w:cs="Arial"/>
          <w:color w:val="000000"/>
        </w:rPr>
        <w:t xml:space="preserve">n feed had no statistically significant effect (P&gt;0.05) on villus height, surface area, or villus number. However, descriptive data showed that diets enriched with these additives—particularly at the highest inclusion level (1.5% turmeric powder and 0.15% </w:t>
      </w:r>
      <w:r>
        <w:rPr>
          <w:rFonts w:ascii="Arial" w:eastAsia="Arial" w:hAnsi="Arial" w:cs="Arial"/>
          <w:color w:val="000000"/>
        </w:rPr>
        <w:t>multi-enzyme)—consistently yielded improved intestinal morphology indicators. This suggests that turmeric and multi-enzyme supplementation may positively influence gut health and nutrient absorption, albeit marginally. Turmeric’s antibacterial properties a</w:t>
      </w:r>
      <w:r>
        <w:rPr>
          <w:rFonts w:ascii="Arial" w:eastAsia="Arial" w:hAnsi="Arial" w:cs="Arial"/>
          <w:color w:val="000000"/>
        </w:rPr>
        <w:t>nd the enzymatic breakdown of complex nutrients may enhance the intestinal environment by supporting beneficial microflora growth, improving epithelial integrity, and increasing the absorptive surface of the small intestine. Although not statistically conc</w:t>
      </w:r>
      <w:r>
        <w:rPr>
          <w:rFonts w:ascii="Arial" w:eastAsia="Arial" w:hAnsi="Arial" w:cs="Arial"/>
          <w:color w:val="000000"/>
        </w:rPr>
        <w:t>lusive, these findings support the potential of phytobiotic and enzymatic supplementation as natural feed additives in broiler diets to support gut development and productivity.</w:t>
      </w:r>
    </w:p>
    <w:p w14:paraId="7DD2D74D" w14:textId="77777777" w:rsidR="00A64361" w:rsidRDefault="00A64361">
      <w:pPr>
        <w:pBdr>
          <w:top w:val="nil"/>
          <w:left w:val="nil"/>
          <w:bottom w:val="nil"/>
          <w:right w:val="nil"/>
          <w:between w:val="nil"/>
        </w:pBdr>
        <w:jc w:val="both"/>
        <w:rPr>
          <w:rFonts w:ascii="Arial" w:eastAsia="Arial" w:hAnsi="Arial" w:cs="Arial"/>
          <w:color w:val="000000"/>
        </w:rPr>
      </w:pPr>
    </w:p>
    <w:p w14:paraId="1C9AB0F1" w14:textId="77777777" w:rsidR="00A64361" w:rsidRDefault="00021EE9">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Ethical approval</w:t>
      </w:r>
    </w:p>
    <w:p w14:paraId="7582CCB6" w14:textId="77777777" w:rsidR="00A64361" w:rsidRDefault="00021EE9">
      <w:r>
        <w:t>This study does not involve human participants and thus ethi</w:t>
      </w:r>
      <w:r>
        <w:t>cal approval and informed consent are not applicable.</w:t>
      </w:r>
      <w:bookmarkStart w:id="16" w:name="_GoBack"/>
      <w:bookmarkEnd w:id="16"/>
    </w:p>
    <w:p w14:paraId="35F4670A" w14:textId="77777777" w:rsidR="00A64361" w:rsidRDefault="00A64361">
      <w:pPr>
        <w:keepNext/>
        <w:pBdr>
          <w:top w:val="nil"/>
          <w:left w:val="nil"/>
          <w:bottom w:val="nil"/>
          <w:right w:val="nil"/>
          <w:between w:val="nil"/>
        </w:pBdr>
        <w:jc w:val="both"/>
        <w:rPr>
          <w:rFonts w:ascii="Arial" w:eastAsia="Arial" w:hAnsi="Arial" w:cs="Arial"/>
          <w:b/>
          <w:smallCaps/>
          <w:color w:val="000000"/>
          <w:sz w:val="22"/>
          <w:szCs w:val="22"/>
        </w:rPr>
      </w:pPr>
    </w:p>
    <w:p w14:paraId="7C21CD76" w14:textId="77777777" w:rsidR="00A64361" w:rsidRDefault="00021EE9">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14:paraId="37D4181C"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Azzam, M. M. M., Dong, X. Y., Xie, P., &amp; Zou, X. T. (2019). The effect of supplemental L-threonine on laying performance, serum free amino acids, and immune function of laying hens under </w:t>
      </w:r>
      <w:r>
        <w:rPr>
          <w:rFonts w:ascii="Arial" w:eastAsia="Arial" w:hAnsi="Arial" w:cs="Arial"/>
          <w:color w:val="000000"/>
        </w:rPr>
        <w:t xml:space="preserve">high-temperature and high-humidity environmental climates. </w:t>
      </w:r>
      <w:r>
        <w:rPr>
          <w:rFonts w:ascii="Arial" w:eastAsia="Arial" w:hAnsi="Arial" w:cs="Arial"/>
          <w:i/>
          <w:color w:val="000000"/>
        </w:rPr>
        <w:t>Journal of Applied Poultry Research</w:t>
      </w:r>
      <w:r>
        <w:rPr>
          <w:rFonts w:ascii="Arial" w:eastAsia="Arial" w:hAnsi="Arial" w:cs="Arial"/>
          <w:color w:val="000000"/>
        </w:rPr>
        <w:t>, 28(4), 1211-1223.</w:t>
      </w:r>
    </w:p>
    <w:p w14:paraId="5EADC7E8"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Central Bureau of Statistics. (2024). </w:t>
      </w:r>
      <w:r>
        <w:rPr>
          <w:rFonts w:ascii="Arial" w:eastAsia="Arial" w:hAnsi="Arial" w:cs="Arial"/>
          <w:i/>
          <w:color w:val="000000"/>
        </w:rPr>
        <w:t>Livestock Statistics of East Java Province 2022</w:t>
      </w:r>
      <w:r>
        <w:rPr>
          <w:rFonts w:ascii="Arial" w:eastAsia="Arial" w:hAnsi="Arial" w:cs="Arial"/>
          <w:color w:val="000000"/>
        </w:rPr>
        <w:t>. Jakarta: BPS-Statistics Indonesia.</w:t>
      </w:r>
    </w:p>
    <w:p w14:paraId="4BDAF209"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Dhama, K., Latheef, S. K., Mani, S., Samad, H. A., Karthik, K., Tiwari, R., ... &amp; Singh, S. D. (2015). Multiple beneficial applications and modes of action of herbs in poultry health and production-A review. </w:t>
      </w:r>
      <w:r>
        <w:rPr>
          <w:rFonts w:ascii="Arial" w:eastAsia="Arial" w:hAnsi="Arial" w:cs="Arial"/>
          <w:i/>
          <w:color w:val="000000"/>
        </w:rPr>
        <w:t>International Journal of Pharmacology</w:t>
      </w:r>
      <w:r>
        <w:rPr>
          <w:rFonts w:ascii="Arial" w:eastAsia="Arial" w:hAnsi="Arial" w:cs="Arial"/>
          <w:color w:val="000000"/>
        </w:rPr>
        <w:t>, 11(3), 15</w:t>
      </w:r>
      <w:r>
        <w:rPr>
          <w:rFonts w:ascii="Arial" w:eastAsia="Arial" w:hAnsi="Arial" w:cs="Arial"/>
          <w:color w:val="000000"/>
        </w:rPr>
        <w:t>2-176.</w:t>
      </w:r>
    </w:p>
    <w:p w14:paraId="29842C8C"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Gheisar, M. M., Hosseindoust, A., Kim, I. H., Pitch, N., Nyachoti, M., &amp; Kim, J. S. (2015). Effects of phytogenic feed additive on growth performance, nutrient digestibility, blood profile, intestinal morphology and meat quality in broilers. </w:t>
      </w:r>
      <w:r>
        <w:rPr>
          <w:rFonts w:ascii="Arial" w:eastAsia="Arial" w:hAnsi="Arial" w:cs="Arial"/>
          <w:i/>
          <w:color w:val="000000"/>
        </w:rPr>
        <w:t xml:space="preserve">Korean </w:t>
      </w:r>
      <w:r>
        <w:rPr>
          <w:rFonts w:ascii="Arial" w:eastAsia="Arial" w:hAnsi="Arial" w:cs="Arial"/>
          <w:i/>
          <w:color w:val="000000"/>
        </w:rPr>
        <w:t>Journal for Food Science of Animal Resources</w:t>
      </w:r>
      <w:r>
        <w:rPr>
          <w:rFonts w:ascii="Arial" w:eastAsia="Arial" w:hAnsi="Arial" w:cs="Arial"/>
          <w:color w:val="000000"/>
        </w:rPr>
        <w:t>, 35(5), 691-700.</w:t>
      </w:r>
    </w:p>
    <w:p w14:paraId="4EADB234"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Jubair, N., Rajagopal, M., Chinnappan, S., Abdullah, N. B., &amp; Fatima, A. (2021). Review on the antibacterial mechanism of plant-derived compounds against multidrug-resistant bacteria (MDR). </w:t>
      </w:r>
      <w:r>
        <w:rPr>
          <w:rFonts w:ascii="Arial" w:eastAsia="Arial" w:hAnsi="Arial" w:cs="Arial"/>
          <w:i/>
          <w:color w:val="000000"/>
        </w:rPr>
        <w:t>Evid</w:t>
      </w:r>
      <w:r>
        <w:rPr>
          <w:rFonts w:ascii="Arial" w:eastAsia="Arial" w:hAnsi="Arial" w:cs="Arial"/>
          <w:i/>
          <w:color w:val="000000"/>
        </w:rPr>
        <w:t>ence-Based Complementary and Alternative Medicine</w:t>
      </w:r>
      <w:r>
        <w:rPr>
          <w:rFonts w:ascii="Arial" w:eastAsia="Arial" w:hAnsi="Arial" w:cs="Arial"/>
          <w:color w:val="000000"/>
        </w:rPr>
        <w:t>, 2021, 3663315.</w:t>
      </w:r>
    </w:p>
    <w:p w14:paraId="789A4955"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Kiczorowska, B., Samolińska, W., Al-Yasiry, A. R., Kiczorowski, P., &amp; Winiarska-Mieczan, A. (2017). The natural feed additives as immunostimulants in monogastric animal nutrition–A review. </w:t>
      </w:r>
      <w:r>
        <w:rPr>
          <w:rFonts w:ascii="Arial" w:eastAsia="Arial" w:hAnsi="Arial" w:cs="Arial"/>
          <w:i/>
          <w:color w:val="000000"/>
        </w:rPr>
        <w:t>A</w:t>
      </w:r>
      <w:r>
        <w:rPr>
          <w:rFonts w:ascii="Arial" w:eastAsia="Arial" w:hAnsi="Arial" w:cs="Arial"/>
          <w:i/>
          <w:color w:val="000000"/>
        </w:rPr>
        <w:t>nnals of Animal Science</w:t>
      </w:r>
      <w:r>
        <w:rPr>
          <w:rFonts w:ascii="Arial" w:eastAsia="Arial" w:hAnsi="Arial" w:cs="Arial"/>
          <w:color w:val="000000"/>
        </w:rPr>
        <w:t>, 17(3), 605-625.</w:t>
      </w:r>
    </w:p>
    <w:p w14:paraId="51FC36EB"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Kiczorowska, B., Samolińska, W., Grela, E. R., Bień, D., Klebaniuk, R., Kowalczuk-Vasilev, E., ... &amp; Al-Yasiry, A. R. (2024). Enhancing broiler chicken health and performance: the impact of phytobiotics on growth, gut microbiota, antioxidants, and immunity</w:t>
      </w:r>
      <w:r>
        <w:rPr>
          <w:rFonts w:ascii="Arial" w:eastAsia="Arial" w:hAnsi="Arial" w:cs="Arial"/>
          <w:color w:val="000000"/>
        </w:rPr>
        <w:t xml:space="preserve">. </w:t>
      </w:r>
      <w:r>
        <w:rPr>
          <w:rFonts w:ascii="Arial" w:eastAsia="Arial" w:hAnsi="Arial" w:cs="Arial"/>
          <w:i/>
          <w:color w:val="000000"/>
        </w:rPr>
        <w:t>Phytochemistry Reviews</w:t>
      </w:r>
      <w:r>
        <w:rPr>
          <w:rFonts w:ascii="Arial" w:eastAsia="Arial" w:hAnsi="Arial" w:cs="Arial"/>
          <w:color w:val="000000"/>
        </w:rPr>
        <w:t>, 23(2), 369-398.</w:t>
      </w:r>
    </w:p>
    <w:p w14:paraId="53D3A4B8"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Li, X., Zhang, Y., Wang, L., Chen, H., Wang, S., &amp; Liu, J. (2022). Discovery of Curcuminoids as Pancreatic Lipase Inhibitors from Medicine-and-Food Homology Plants. </w:t>
      </w:r>
      <w:r>
        <w:rPr>
          <w:rFonts w:ascii="Arial" w:eastAsia="Arial" w:hAnsi="Arial" w:cs="Arial"/>
          <w:i/>
          <w:color w:val="000000"/>
        </w:rPr>
        <w:t>Food &amp; Function</w:t>
      </w:r>
      <w:r>
        <w:rPr>
          <w:rFonts w:ascii="Arial" w:eastAsia="Arial" w:hAnsi="Arial" w:cs="Arial"/>
          <w:color w:val="000000"/>
        </w:rPr>
        <w:t>, 13(8), 4328-4340.</w:t>
      </w:r>
    </w:p>
    <w:p w14:paraId="79630E64"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Manurung, R., </w:t>
      </w:r>
      <w:r>
        <w:rPr>
          <w:rFonts w:ascii="Arial" w:eastAsia="Arial" w:hAnsi="Arial" w:cs="Arial"/>
          <w:color w:val="000000"/>
        </w:rPr>
        <w:t xml:space="preserve">Suprijatna, E., &amp; Kismiati, S. (2019). Pengaruh penambahan enzim kompleks dalam pakan terhadap performa produksi ayam broiler. </w:t>
      </w:r>
      <w:r>
        <w:rPr>
          <w:rFonts w:ascii="Arial" w:eastAsia="Arial" w:hAnsi="Arial" w:cs="Arial"/>
          <w:i/>
          <w:color w:val="000000"/>
        </w:rPr>
        <w:t>Jurnal Ilmu-Ilmu Peternakan</w:t>
      </w:r>
      <w:r>
        <w:rPr>
          <w:rFonts w:ascii="Arial" w:eastAsia="Arial" w:hAnsi="Arial" w:cs="Arial"/>
          <w:color w:val="000000"/>
        </w:rPr>
        <w:t>, 29(2), 98-106.</w:t>
      </w:r>
    </w:p>
    <w:p w14:paraId="682C1394"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Ministry of Agriculture of the Republic of Indonesia. (2017). </w:t>
      </w:r>
      <w:r>
        <w:rPr>
          <w:rFonts w:ascii="Arial" w:eastAsia="Arial" w:hAnsi="Arial" w:cs="Arial"/>
          <w:i/>
          <w:color w:val="000000"/>
        </w:rPr>
        <w:t>Regulation No. 14 of 20</w:t>
      </w:r>
      <w:r>
        <w:rPr>
          <w:rFonts w:ascii="Arial" w:eastAsia="Arial" w:hAnsi="Arial" w:cs="Arial"/>
          <w:i/>
          <w:color w:val="000000"/>
        </w:rPr>
        <w:t>17 concerning the Classification of Veterinary Drugs</w:t>
      </w:r>
      <w:r>
        <w:rPr>
          <w:rFonts w:ascii="Arial" w:eastAsia="Arial" w:hAnsi="Arial" w:cs="Arial"/>
          <w:color w:val="000000"/>
        </w:rPr>
        <w:t>. Jakarta: Ministry of Agriculture.</w:t>
      </w:r>
    </w:p>
    <w:p w14:paraId="7DF7FB57"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Sinaga, S., Suprijatna, E., &amp; Kismiati, S. (2019). Pengaruh penambahan enzim fitase dan xylanase dalam pakan terhadap performans dan kualitas daging ayam broiler. </w:t>
      </w:r>
      <w:r>
        <w:rPr>
          <w:rFonts w:ascii="Arial" w:eastAsia="Arial" w:hAnsi="Arial" w:cs="Arial"/>
          <w:i/>
          <w:color w:val="000000"/>
        </w:rPr>
        <w:t>Jurna</w:t>
      </w:r>
      <w:r>
        <w:rPr>
          <w:rFonts w:ascii="Arial" w:eastAsia="Arial" w:hAnsi="Arial" w:cs="Arial"/>
          <w:i/>
          <w:color w:val="000000"/>
        </w:rPr>
        <w:t>l Peternakan Indonesia</w:t>
      </w:r>
      <w:r>
        <w:rPr>
          <w:rFonts w:ascii="Arial" w:eastAsia="Arial" w:hAnsi="Arial" w:cs="Arial"/>
          <w:color w:val="000000"/>
        </w:rPr>
        <w:t>, 21(3), 287-295.</w:t>
      </w:r>
    </w:p>
    <w:p w14:paraId="2D722BFF"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Alagawany, M., Farag, M. R., Sahfi, M. E., Elnesr, S. S., Tipu, M. A., Arain, M. A., &amp; Abdel-Latif, M. A. (2018). The usefulness of oregano and its derivatives in poultry nutrition. </w:t>
      </w:r>
      <w:r>
        <w:rPr>
          <w:rFonts w:ascii="Arial" w:eastAsia="Arial" w:hAnsi="Arial" w:cs="Arial"/>
          <w:i/>
          <w:color w:val="000000"/>
        </w:rPr>
        <w:t>World's Poultry Science Journal</w:t>
      </w:r>
      <w:r>
        <w:rPr>
          <w:rFonts w:ascii="Arial" w:eastAsia="Arial" w:hAnsi="Arial" w:cs="Arial"/>
          <w:color w:val="000000"/>
        </w:rPr>
        <w:t>, 7</w:t>
      </w:r>
      <w:r>
        <w:rPr>
          <w:rFonts w:ascii="Arial" w:eastAsia="Arial" w:hAnsi="Arial" w:cs="Arial"/>
          <w:color w:val="000000"/>
        </w:rPr>
        <w:t>4(3), 463-474.</w:t>
      </w:r>
    </w:p>
    <w:p w14:paraId="100EA4FD"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Bedford, M. R., &amp; Cowieson, A. J. (2012). Exogenous enzymes and their effects on intestinal microbiology. </w:t>
      </w:r>
      <w:r>
        <w:rPr>
          <w:rFonts w:ascii="Arial" w:eastAsia="Arial" w:hAnsi="Arial" w:cs="Arial"/>
          <w:i/>
          <w:color w:val="000000"/>
        </w:rPr>
        <w:t>Animal Feed Science and Technology</w:t>
      </w:r>
      <w:r>
        <w:rPr>
          <w:rFonts w:ascii="Arial" w:eastAsia="Arial" w:hAnsi="Arial" w:cs="Arial"/>
          <w:color w:val="000000"/>
        </w:rPr>
        <w:t>, 173(1-2), 76-85.</w:t>
      </w:r>
    </w:p>
    <w:p w14:paraId="1CDC3F1A"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Borda-Molina, D., Vital, M., &amp; Janczyk, P. (2018). Insights into broilers' gut mic</w:t>
      </w:r>
      <w:r>
        <w:rPr>
          <w:rFonts w:ascii="Arial" w:eastAsia="Arial" w:hAnsi="Arial" w:cs="Arial"/>
          <w:color w:val="000000"/>
        </w:rPr>
        <w:t xml:space="preserve">robiota fed with phosphorus, calcium, and phytase supplemented diets. </w:t>
      </w:r>
      <w:r>
        <w:rPr>
          <w:rFonts w:ascii="Arial" w:eastAsia="Arial" w:hAnsi="Arial" w:cs="Arial"/>
          <w:i/>
          <w:color w:val="000000"/>
        </w:rPr>
        <w:t>Frontiers in Microbiology</w:t>
      </w:r>
      <w:r>
        <w:rPr>
          <w:rFonts w:ascii="Arial" w:eastAsia="Arial" w:hAnsi="Arial" w:cs="Arial"/>
          <w:color w:val="000000"/>
        </w:rPr>
        <w:t>, 9, 2576.</w:t>
      </w:r>
    </w:p>
    <w:p w14:paraId="486D7CF8"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Cowieson, A. J., &amp; Roos, F. F. (2016). Toward optimal value creation through the application of exogenous mono-component protease in the diets of non-</w:t>
      </w:r>
      <w:r>
        <w:rPr>
          <w:rFonts w:ascii="Arial" w:eastAsia="Arial" w:hAnsi="Arial" w:cs="Arial"/>
          <w:color w:val="000000"/>
        </w:rPr>
        <w:t xml:space="preserve">ruminants. </w:t>
      </w:r>
      <w:r>
        <w:rPr>
          <w:rFonts w:ascii="Arial" w:eastAsia="Arial" w:hAnsi="Arial" w:cs="Arial"/>
          <w:i/>
          <w:color w:val="000000"/>
        </w:rPr>
        <w:t>Animal Feed Science and Technology</w:t>
      </w:r>
      <w:r>
        <w:rPr>
          <w:rFonts w:ascii="Arial" w:eastAsia="Arial" w:hAnsi="Arial" w:cs="Arial"/>
          <w:color w:val="000000"/>
        </w:rPr>
        <w:t>, 221, 331-340.</w:t>
      </w:r>
    </w:p>
    <w:p w14:paraId="2B601C99"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Dhama, K., Latheef, S. K., Mani, S., Samad, H. A., Karthik, K., Tiwari, R., ... &amp; Singh, S. D. (2015). Multiple beneficial applications and modes of action of herbs in poultry health and producti</w:t>
      </w:r>
      <w:r>
        <w:rPr>
          <w:rFonts w:ascii="Arial" w:eastAsia="Arial" w:hAnsi="Arial" w:cs="Arial"/>
          <w:color w:val="000000"/>
        </w:rPr>
        <w:t xml:space="preserve">on-A review. </w:t>
      </w:r>
      <w:r>
        <w:rPr>
          <w:rFonts w:ascii="Arial" w:eastAsia="Arial" w:hAnsi="Arial" w:cs="Arial"/>
          <w:i/>
          <w:color w:val="000000"/>
        </w:rPr>
        <w:t>International Journal of Pharmacology</w:t>
      </w:r>
      <w:r>
        <w:rPr>
          <w:rFonts w:ascii="Arial" w:eastAsia="Arial" w:hAnsi="Arial" w:cs="Arial"/>
          <w:color w:val="000000"/>
        </w:rPr>
        <w:t>, 11(3), 152-176.</w:t>
      </w:r>
    </w:p>
    <w:p w14:paraId="2135DFA4"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Feng, J., Lu, M., Wang, J., Zhang, H., Qiu, K., Qi, G., &amp; Wu, S. (2023). Dietary supplementation of lactic acid bacteria affects the gut microbiota and metabolome in broiler chickens. </w:t>
      </w:r>
      <w:r>
        <w:rPr>
          <w:rFonts w:ascii="Arial" w:eastAsia="Arial" w:hAnsi="Arial" w:cs="Arial"/>
          <w:i/>
          <w:color w:val="000000"/>
        </w:rPr>
        <w:t>Fron</w:t>
      </w:r>
      <w:r>
        <w:rPr>
          <w:rFonts w:ascii="Arial" w:eastAsia="Arial" w:hAnsi="Arial" w:cs="Arial"/>
          <w:i/>
          <w:color w:val="000000"/>
        </w:rPr>
        <w:t>tiers in Microbiology</w:t>
      </w:r>
      <w:r>
        <w:rPr>
          <w:rFonts w:ascii="Arial" w:eastAsia="Arial" w:hAnsi="Arial" w:cs="Arial"/>
          <w:color w:val="000000"/>
        </w:rPr>
        <w:t>, 14, 1171074.</w:t>
      </w:r>
    </w:p>
    <w:p w14:paraId="2AD16A0D"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Kiczorowska, B., Samolińska, W., Grela, E. R., Bień, D., Klebaniuk, R., Kowalczuk-Vasilev, E., ... &amp; Al-Yasiry, A. R. (2024). Enhancing broiler chicken health and performance: the impact of phytobiotics on growth, gut mi</w:t>
      </w:r>
      <w:r>
        <w:rPr>
          <w:rFonts w:ascii="Arial" w:eastAsia="Arial" w:hAnsi="Arial" w:cs="Arial"/>
          <w:color w:val="000000"/>
        </w:rPr>
        <w:t xml:space="preserve">crobiota, antioxidants, and immunity. </w:t>
      </w:r>
      <w:r>
        <w:rPr>
          <w:rFonts w:ascii="Arial" w:eastAsia="Arial" w:hAnsi="Arial" w:cs="Arial"/>
          <w:i/>
          <w:color w:val="000000"/>
        </w:rPr>
        <w:t>Phytochemistry Reviews</w:t>
      </w:r>
      <w:r>
        <w:rPr>
          <w:rFonts w:ascii="Arial" w:eastAsia="Arial" w:hAnsi="Arial" w:cs="Arial"/>
          <w:color w:val="000000"/>
        </w:rPr>
        <w:t>, 23(2), 369-398.</w:t>
      </w:r>
    </w:p>
    <w:p w14:paraId="3EDE3589"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Kusuma, W. T., Sjofjan, O., &amp; Djunaidi, I. H. (2020). Histological evaluation of small intestine in broiler chickens fed diets containing multi-enzyme and organic acid. </w:t>
      </w:r>
      <w:r>
        <w:rPr>
          <w:rFonts w:ascii="Arial" w:eastAsia="Arial" w:hAnsi="Arial" w:cs="Arial"/>
          <w:i/>
          <w:color w:val="000000"/>
        </w:rPr>
        <w:t>Internati</w:t>
      </w:r>
      <w:r>
        <w:rPr>
          <w:rFonts w:ascii="Arial" w:eastAsia="Arial" w:hAnsi="Arial" w:cs="Arial"/>
          <w:i/>
          <w:color w:val="000000"/>
        </w:rPr>
        <w:t>onal Journal of Poultry Science</w:t>
      </w:r>
      <w:r>
        <w:rPr>
          <w:rFonts w:ascii="Arial" w:eastAsia="Arial" w:hAnsi="Arial" w:cs="Arial"/>
          <w:color w:val="000000"/>
        </w:rPr>
        <w:t>, 19(12), 625-630.</w:t>
      </w:r>
    </w:p>
    <w:p w14:paraId="6DB8A72D"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Li, X., Zhang, Y., Wang, L., Chen, H., Wang, S., &amp; Liu, J. (2022). Discovery of Curcuminoids as Pancreatic Lipase Inhibitors from Medicine-and-Food Homology Plants. </w:t>
      </w:r>
      <w:r>
        <w:rPr>
          <w:rFonts w:ascii="Arial" w:eastAsia="Arial" w:hAnsi="Arial" w:cs="Arial"/>
          <w:i/>
          <w:color w:val="000000"/>
        </w:rPr>
        <w:t>Food &amp; Function</w:t>
      </w:r>
      <w:r>
        <w:rPr>
          <w:rFonts w:ascii="Arial" w:eastAsia="Arial" w:hAnsi="Arial" w:cs="Arial"/>
          <w:color w:val="000000"/>
        </w:rPr>
        <w:t>, 13(8), 4328-4340.</w:t>
      </w:r>
    </w:p>
    <w:p w14:paraId="5FF26474"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Pandit</w:t>
      </w:r>
      <w:r>
        <w:rPr>
          <w:rFonts w:ascii="Arial" w:eastAsia="Arial" w:hAnsi="Arial" w:cs="Arial"/>
          <w:color w:val="000000"/>
        </w:rPr>
        <w:t>, R. J., Hinsu, A. T., Patel, N. V., Koringa, P. G., Jakhesara, S. J., Thakkar, J. R., ... &amp; Joshi, C. G. (2018). Microbial diversity and community composition of caecal microbiota in commercial and indigenous Indian chickens determined using 16s rDNA ampl</w:t>
      </w:r>
      <w:r>
        <w:rPr>
          <w:rFonts w:ascii="Arial" w:eastAsia="Arial" w:hAnsi="Arial" w:cs="Arial"/>
          <w:color w:val="000000"/>
        </w:rPr>
        <w:t xml:space="preserve">icon sequencing. </w:t>
      </w:r>
      <w:r>
        <w:rPr>
          <w:rFonts w:ascii="Arial" w:eastAsia="Arial" w:hAnsi="Arial" w:cs="Arial"/>
          <w:i/>
          <w:color w:val="000000"/>
        </w:rPr>
        <w:t>Microbiome</w:t>
      </w:r>
      <w:r>
        <w:rPr>
          <w:rFonts w:ascii="Arial" w:eastAsia="Arial" w:hAnsi="Arial" w:cs="Arial"/>
          <w:color w:val="000000"/>
        </w:rPr>
        <w:t>, 6(1), 1-13.</w:t>
      </w:r>
    </w:p>
    <w:p w14:paraId="7104A0C3" w14:textId="77777777" w:rsidR="00A64361" w:rsidRDefault="00021EE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Yadav, S., &amp; Jha, R. (2019). Strategies to modulate the intestinal microbiota and their effects on nutrient utilization, performance, and health of poultry. </w:t>
      </w:r>
      <w:r>
        <w:rPr>
          <w:rFonts w:ascii="Arial" w:eastAsia="Arial" w:hAnsi="Arial" w:cs="Arial"/>
          <w:i/>
          <w:color w:val="000000"/>
        </w:rPr>
        <w:t>Journal of Animal Science and Biotechnology</w:t>
      </w:r>
      <w:r>
        <w:rPr>
          <w:rFonts w:ascii="Arial" w:eastAsia="Arial" w:hAnsi="Arial" w:cs="Arial"/>
          <w:color w:val="000000"/>
        </w:rPr>
        <w:t>, 10(1), 1-11.</w:t>
      </w:r>
    </w:p>
    <w:p w14:paraId="599844E3" w14:textId="77777777" w:rsidR="00A64361" w:rsidRDefault="00A64361">
      <w:pPr>
        <w:pBdr>
          <w:top w:val="nil"/>
          <w:left w:val="nil"/>
          <w:bottom w:val="nil"/>
          <w:right w:val="nil"/>
          <w:between w:val="nil"/>
        </w:pBdr>
        <w:jc w:val="both"/>
        <w:rPr>
          <w:rFonts w:ascii="Arial" w:eastAsia="Arial" w:hAnsi="Arial" w:cs="Arial"/>
          <w:color w:val="000000"/>
        </w:rPr>
      </w:pPr>
    </w:p>
    <w:p w14:paraId="41978F9B" w14:textId="77777777" w:rsidR="00A64361" w:rsidRDefault="00021EE9">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Table 1. Effect of Turmeric Flour and Multienzyme Supplementation on Villus Number, Villus Height, and Villus Surface Area of Broiler Chickens</w:t>
      </w:r>
    </w:p>
    <w:tbl>
      <w:tblPr>
        <w:tblStyle w:val="a0"/>
        <w:tblW w:w="7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2138"/>
        <w:gridCol w:w="1692"/>
        <w:gridCol w:w="2074"/>
        <w:gridCol w:w="8"/>
      </w:tblGrid>
      <w:tr w:rsidR="00A64361" w14:paraId="69251E0D" w14:textId="77777777">
        <w:trPr>
          <w:trHeight w:val="329"/>
        </w:trPr>
        <w:tc>
          <w:tcPr>
            <w:tcW w:w="7223" w:type="dxa"/>
            <w:gridSpan w:val="5"/>
            <w:shd w:val="clear" w:color="auto" w:fill="auto"/>
            <w:vAlign w:val="bottom"/>
          </w:tcPr>
          <w:p w14:paraId="6E6D10A9" w14:textId="77777777" w:rsidR="00A64361" w:rsidRDefault="00021EE9">
            <w:pPr>
              <w:jc w:val="center"/>
              <w:rPr>
                <w:rFonts w:ascii="Times New Roman" w:eastAsia="Times New Roman" w:hAnsi="Times New Roman" w:cs="Times New Roman"/>
                <w:color w:val="000000"/>
              </w:rPr>
            </w:pPr>
            <w:r>
              <w:rPr>
                <w:rFonts w:ascii="Arial" w:eastAsia="Arial" w:hAnsi="Arial" w:cs="Arial"/>
                <w:b/>
              </w:rPr>
              <w:t>Observation Variables</w:t>
            </w:r>
          </w:p>
        </w:tc>
      </w:tr>
      <w:tr w:rsidR="00A64361" w14:paraId="1EF4A5D1" w14:textId="77777777">
        <w:trPr>
          <w:gridAfter w:val="1"/>
          <w:wAfter w:w="8" w:type="dxa"/>
          <w:trHeight w:val="313"/>
        </w:trPr>
        <w:tc>
          <w:tcPr>
            <w:tcW w:w="1311" w:type="dxa"/>
            <w:shd w:val="clear" w:color="auto" w:fill="auto"/>
            <w:vAlign w:val="bottom"/>
          </w:tcPr>
          <w:p w14:paraId="4FFEBFE6" w14:textId="77777777" w:rsidR="00A64361" w:rsidRDefault="00021E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Treatment</w:t>
            </w:r>
          </w:p>
        </w:tc>
        <w:tc>
          <w:tcPr>
            <w:tcW w:w="2138" w:type="dxa"/>
            <w:shd w:val="clear" w:color="auto" w:fill="auto"/>
            <w:vAlign w:val="bottom"/>
          </w:tcPr>
          <w:p w14:paraId="7B14B8F6" w14:textId="77777777" w:rsidR="00A64361" w:rsidRDefault="00021E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Vilus Number</w:t>
            </w:r>
          </w:p>
        </w:tc>
        <w:tc>
          <w:tcPr>
            <w:tcW w:w="1692" w:type="dxa"/>
            <w:shd w:val="clear" w:color="auto" w:fill="auto"/>
            <w:vAlign w:val="bottom"/>
          </w:tcPr>
          <w:p w14:paraId="6508B079" w14:textId="77777777" w:rsidR="00A64361" w:rsidRDefault="00021E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Vilus Height</w:t>
            </w:r>
          </w:p>
        </w:tc>
        <w:tc>
          <w:tcPr>
            <w:tcW w:w="2074" w:type="dxa"/>
            <w:shd w:val="clear" w:color="auto" w:fill="auto"/>
            <w:vAlign w:val="bottom"/>
          </w:tcPr>
          <w:p w14:paraId="1966FC95" w14:textId="77777777" w:rsidR="00A64361" w:rsidRDefault="00021E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Vilus Surface Area</w:t>
            </w:r>
          </w:p>
        </w:tc>
      </w:tr>
      <w:tr w:rsidR="00A64361" w14:paraId="0999F1C5" w14:textId="77777777">
        <w:trPr>
          <w:gridAfter w:val="1"/>
          <w:wAfter w:w="8" w:type="dxa"/>
          <w:trHeight w:val="313"/>
        </w:trPr>
        <w:tc>
          <w:tcPr>
            <w:tcW w:w="1311" w:type="dxa"/>
            <w:shd w:val="clear" w:color="auto" w:fill="auto"/>
            <w:vAlign w:val="bottom"/>
          </w:tcPr>
          <w:p w14:paraId="2A89F38E" w14:textId="77777777" w:rsidR="00A64361" w:rsidRDefault="00A64361">
            <w:pPr>
              <w:jc w:val="center"/>
              <w:rPr>
                <w:rFonts w:ascii="Times New Roman" w:eastAsia="Times New Roman" w:hAnsi="Times New Roman" w:cs="Times New Roman"/>
                <w:b/>
              </w:rPr>
            </w:pPr>
          </w:p>
        </w:tc>
        <w:tc>
          <w:tcPr>
            <w:tcW w:w="2138" w:type="dxa"/>
            <w:shd w:val="clear" w:color="auto" w:fill="auto"/>
            <w:vAlign w:val="bottom"/>
          </w:tcPr>
          <w:p w14:paraId="09516402" w14:textId="77777777" w:rsidR="00A64361" w:rsidRDefault="00021E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(per transveral cut)</w:t>
            </w:r>
          </w:p>
        </w:tc>
        <w:tc>
          <w:tcPr>
            <w:tcW w:w="1692" w:type="dxa"/>
            <w:shd w:val="clear" w:color="auto" w:fill="auto"/>
            <w:vAlign w:val="bottom"/>
          </w:tcPr>
          <w:p w14:paraId="127656E7" w14:textId="77777777" w:rsidR="00A64361" w:rsidRDefault="00021E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(µm)</w:t>
            </w:r>
          </w:p>
        </w:tc>
        <w:tc>
          <w:tcPr>
            <w:tcW w:w="2074" w:type="dxa"/>
            <w:shd w:val="clear" w:color="auto" w:fill="auto"/>
            <w:vAlign w:val="bottom"/>
          </w:tcPr>
          <w:p w14:paraId="60F09BE8" w14:textId="77777777" w:rsidR="00A64361" w:rsidRDefault="00021EE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(µm)</w:t>
            </w:r>
          </w:p>
        </w:tc>
      </w:tr>
      <w:tr w:rsidR="00A64361" w14:paraId="4C1BDCF1" w14:textId="77777777">
        <w:trPr>
          <w:gridAfter w:val="1"/>
          <w:wAfter w:w="8" w:type="dxa"/>
          <w:trHeight w:val="313"/>
        </w:trPr>
        <w:tc>
          <w:tcPr>
            <w:tcW w:w="1311" w:type="dxa"/>
            <w:shd w:val="clear" w:color="auto" w:fill="auto"/>
            <w:vAlign w:val="bottom"/>
          </w:tcPr>
          <w:p w14:paraId="71DCC7EA"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P0</w:t>
            </w:r>
          </w:p>
        </w:tc>
        <w:tc>
          <w:tcPr>
            <w:tcW w:w="2138" w:type="dxa"/>
            <w:shd w:val="clear" w:color="auto" w:fill="auto"/>
            <w:vAlign w:val="bottom"/>
          </w:tcPr>
          <w:p w14:paraId="3DEE426F"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6.44±0.91</w:t>
            </w:r>
          </w:p>
        </w:tc>
        <w:tc>
          <w:tcPr>
            <w:tcW w:w="1692" w:type="dxa"/>
            <w:shd w:val="clear" w:color="auto" w:fill="auto"/>
            <w:vAlign w:val="bottom"/>
          </w:tcPr>
          <w:p w14:paraId="787781D9"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501.72±91.16</w:t>
            </w:r>
          </w:p>
        </w:tc>
        <w:tc>
          <w:tcPr>
            <w:tcW w:w="2074" w:type="dxa"/>
            <w:shd w:val="clear" w:color="auto" w:fill="auto"/>
            <w:vAlign w:val="bottom"/>
          </w:tcPr>
          <w:p w14:paraId="1BBD66C2"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768.91±198.93</w:t>
            </w:r>
          </w:p>
        </w:tc>
      </w:tr>
      <w:tr w:rsidR="00A64361" w14:paraId="368DBAAB" w14:textId="77777777">
        <w:trPr>
          <w:gridAfter w:val="1"/>
          <w:wAfter w:w="8" w:type="dxa"/>
          <w:trHeight w:val="313"/>
        </w:trPr>
        <w:tc>
          <w:tcPr>
            <w:tcW w:w="1311" w:type="dxa"/>
            <w:shd w:val="clear" w:color="auto" w:fill="auto"/>
            <w:vAlign w:val="bottom"/>
          </w:tcPr>
          <w:p w14:paraId="63F7F9CB"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P1</w:t>
            </w:r>
          </w:p>
        </w:tc>
        <w:tc>
          <w:tcPr>
            <w:tcW w:w="2138" w:type="dxa"/>
            <w:shd w:val="clear" w:color="auto" w:fill="auto"/>
            <w:vAlign w:val="bottom"/>
          </w:tcPr>
          <w:p w14:paraId="3B36BE55"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8.24±1.26</w:t>
            </w:r>
          </w:p>
        </w:tc>
        <w:tc>
          <w:tcPr>
            <w:tcW w:w="1692" w:type="dxa"/>
            <w:shd w:val="clear" w:color="auto" w:fill="auto"/>
            <w:vAlign w:val="bottom"/>
          </w:tcPr>
          <w:p w14:paraId="3E3097B3"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597.29±73.25</w:t>
            </w:r>
          </w:p>
        </w:tc>
        <w:tc>
          <w:tcPr>
            <w:tcW w:w="2074" w:type="dxa"/>
            <w:shd w:val="clear" w:color="auto" w:fill="auto"/>
            <w:vAlign w:val="bottom"/>
          </w:tcPr>
          <w:p w14:paraId="6938792E"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927.05±146.67</w:t>
            </w:r>
          </w:p>
        </w:tc>
      </w:tr>
      <w:tr w:rsidR="00A64361" w14:paraId="23326E99" w14:textId="77777777">
        <w:trPr>
          <w:gridAfter w:val="1"/>
          <w:wAfter w:w="8" w:type="dxa"/>
          <w:trHeight w:val="313"/>
        </w:trPr>
        <w:tc>
          <w:tcPr>
            <w:tcW w:w="1311" w:type="dxa"/>
            <w:shd w:val="clear" w:color="auto" w:fill="auto"/>
            <w:vAlign w:val="bottom"/>
          </w:tcPr>
          <w:p w14:paraId="763F0D9B"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P2</w:t>
            </w:r>
          </w:p>
        </w:tc>
        <w:tc>
          <w:tcPr>
            <w:tcW w:w="2138" w:type="dxa"/>
            <w:shd w:val="clear" w:color="auto" w:fill="auto"/>
            <w:vAlign w:val="bottom"/>
          </w:tcPr>
          <w:p w14:paraId="6BF9EB31"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7.88±3.68</w:t>
            </w:r>
          </w:p>
        </w:tc>
        <w:tc>
          <w:tcPr>
            <w:tcW w:w="1692" w:type="dxa"/>
            <w:shd w:val="clear" w:color="auto" w:fill="auto"/>
            <w:vAlign w:val="bottom"/>
          </w:tcPr>
          <w:p w14:paraId="6DC0A89D"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619.57±125.11</w:t>
            </w:r>
          </w:p>
        </w:tc>
        <w:tc>
          <w:tcPr>
            <w:tcW w:w="2074" w:type="dxa"/>
            <w:shd w:val="clear" w:color="auto" w:fill="auto"/>
            <w:vAlign w:val="bottom"/>
          </w:tcPr>
          <w:p w14:paraId="13118BF2"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998.47187.06</w:t>
            </w:r>
          </w:p>
        </w:tc>
      </w:tr>
      <w:tr w:rsidR="00A64361" w14:paraId="7471D14F" w14:textId="77777777">
        <w:trPr>
          <w:gridAfter w:val="1"/>
          <w:wAfter w:w="8" w:type="dxa"/>
          <w:trHeight w:val="313"/>
        </w:trPr>
        <w:tc>
          <w:tcPr>
            <w:tcW w:w="1311" w:type="dxa"/>
            <w:shd w:val="clear" w:color="auto" w:fill="auto"/>
            <w:vAlign w:val="bottom"/>
          </w:tcPr>
          <w:p w14:paraId="60C9B973"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P3</w:t>
            </w:r>
          </w:p>
        </w:tc>
        <w:tc>
          <w:tcPr>
            <w:tcW w:w="2138" w:type="dxa"/>
            <w:shd w:val="clear" w:color="auto" w:fill="auto"/>
            <w:vAlign w:val="bottom"/>
          </w:tcPr>
          <w:p w14:paraId="35DC50C3"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8.52±2.54</w:t>
            </w:r>
          </w:p>
        </w:tc>
        <w:tc>
          <w:tcPr>
            <w:tcW w:w="1692" w:type="dxa"/>
            <w:shd w:val="clear" w:color="auto" w:fill="auto"/>
            <w:vAlign w:val="bottom"/>
          </w:tcPr>
          <w:p w14:paraId="60131677"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652.86±108.00</w:t>
            </w:r>
          </w:p>
        </w:tc>
        <w:tc>
          <w:tcPr>
            <w:tcW w:w="2074" w:type="dxa"/>
            <w:shd w:val="clear" w:color="auto" w:fill="auto"/>
            <w:vAlign w:val="bottom"/>
          </w:tcPr>
          <w:p w14:paraId="5751B3F6"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1030.64±244.42</w:t>
            </w:r>
          </w:p>
        </w:tc>
      </w:tr>
      <w:tr w:rsidR="00A64361" w14:paraId="1086ED6B" w14:textId="77777777">
        <w:trPr>
          <w:gridAfter w:val="1"/>
          <w:wAfter w:w="8" w:type="dxa"/>
          <w:trHeight w:val="313"/>
        </w:trPr>
        <w:tc>
          <w:tcPr>
            <w:tcW w:w="1311" w:type="dxa"/>
            <w:shd w:val="clear" w:color="auto" w:fill="auto"/>
            <w:vAlign w:val="bottom"/>
          </w:tcPr>
          <w:p w14:paraId="4D77C7F2"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P4</w:t>
            </w:r>
          </w:p>
        </w:tc>
        <w:tc>
          <w:tcPr>
            <w:tcW w:w="2138" w:type="dxa"/>
            <w:shd w:val="clear" w:color="auto" w:fill="auto"/>
            <w:vAlign w:val="bottom"/>
          </w:tcPr>
          <w:p w14:paraId="073E7FAF"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9.12±2.32</w:t>
            </w:r>
          </w:p>
        </w:tc>
        <w:tc>
          <w:tcPr>
            <w:tcW w:w="1692" w:type="dxa"/>
            <w:shd w:val="clear" w:color="auto" w:fill="auto"/>
            <w:vAlign w:val="bottom"/>
          </w:tcPr>
          <w:p w14:paraId="03B51E37"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673.76142.46</w:t>
            </w:r>
          </w:p>
        </w:tc>
        <w:tc>
          <w:tcPr>
            <w:tcW w:w="2074" w:type="dxa"/>
            <w:shd w:val="clear" w:color="auto" w:fill="auto"/>
            <w:vAlign w:val="bottom"/>
          </w:tcPr>
          <w:p w14:paraId="5654DBF3" w14:textId="77777777" w:rsidR="00A64361" w:rsidRDefault="00021EE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1056.16±234.97</w:t>
            </w:r>
          </w:p>
        </w:tc>
      </w:tr>
    </w:tbl>
    <w:p w14:paraId="234EEA2E" w14:textId="77777777" w:rsidR="00A64361" w:rsidRDefault="00A64361">
      <w:pPr>
        <w:pBdr>
          <w:top w:val="nil"/>
          <w:left w:val="nil"/>
          <w:bottom w:val="nil"/>
          <w:right w:val="nil"/>
          <w:between w:val="nil"/>
        </w:pBdr>
        <w:jc w:val="both"/>
        <w:rPr>
          <w:rFonts w:ascii="Arial" w:eastAsia="Arial" w:hAnsi="Arial" w:cs="Arial"/>
          <w:color w:val="000000"/>
        </w:rPr>
      </w:pPr>
    </w:p>
    <w:p w14:paraId="257AA50E" w14:textId="77777777" w:rsidR="00A64361" w:rsidRDefault="00A64361">
      <w:pPr>
        <w:pBdr>
          <w:top w:val="nil"/>
          <w:left w:val="nil"/>
          <w:bottom w:val="nil"/>
          <w:right w:val="nil"/>
          <w:between w:val="nil"/>
        </w:pBdr>
        <w:jc w:val="both"/>
        <w:rPr>
          <w:rFonts w:ascii="Arial" w:eastAsia="Arial" w:hAnsi="Arial" w:cs="Arial"/>
          <w:color w:val="000000"/>
        </w:rPr>
      </w:pPr>
    </w:p>
    <w:sectPr w:rsidR="00A64361">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hisom Egwu" w:date="2025-06-27T17:40:00Z" w:initials="CE">
    <w:p w14:paraId="0B9113D8" w14:textId="67EA3DDB" w:rsidR="00131C0F" w:rsidRDefault="00131C0F">
      <w:pPr>
        <w:pStyle w:val="CommentText"/>
      </w:pPr>
      <w:r>
        <w:rPr>
          <w:rStyle w:val="CommentReference"/>
        </w:rPr>
        <w:annotationRef/>
      </w:r>
      <w:r>
        <w:t>Include the design used in the study and the number of replicates</w:t>
      </w:r>
    </w:p>
  </w:comment>
  <w:comment w:id="1" w:author="Chisom Egwu" w:date="2025-06-27T17:43:00Z" w:initials="CE">
    <w:p w14:paraId="32798FB9" w14:textId="120B0AC3" w:rsidR="00131C0F" w:rsidRDefault="00131C0F">
      <w:pPr>
        <w:pStyle w:val="CommentText"/>
      </w:pPr>
      <w:r>
        <w:rPr>
          <w:rStyle w:val="CommentReference"/>
        </w:rPr>
        <w:annotationRef/>
      </w:r>
      <w:r>
        <w:t>Reference</w:t>
      </w:r>
    </w:p>
  </w:comment>
  <w:comment w:id="2" w:author="Chisom Egwu" w:date="2025-06-27T17:45:00Z" w:initials="CE">
    <w:p w14:paraId="690C21B2" w14:textId="6199A93A" w:rsidR="00131C0F" w:rsidRDefault="00131C0F">
      <w:pPr>
        <w:pStyle w:val="CommentText"/>
      </w:pPr>
      <w:r>
        <w:rPr>
          <w:rStyle w:val="CommentReference"/>
        </w:rPr>
        <w:annotationRef/>
      </w:r>
      <w:r>
        <w:t>reference</w:t>
      </w:r>
    </w:p>
  </w:comment>
  <w:comment w:id="3" w:author="Chisom Egwu" w:date="2025-06-27T17:46:00Z" w:initials="CE">
    <w:p w14:paraId="0F16CB39" w14:textId="70724C37" w:rsidR="00131C0F" w:rsidRDefault="00131C0F">
      <w:pPr>
        <w:pStyle w:val="CommentText"/>
      </w:pPr>
      <w:r>
        <w:rPr>
          <w:rStyle w:val="CommentReference"/>
        </w:rPr>
        <w:annotationRef/>
      </w:r>
      <w:r>
        <w:t xml:space="preserve">This </w:t>
      </w:r>
      <w:r>
        <w:t>statement is not in line with the argument in the paragraph</w:t>
      </w:r>
    </w:p>
  </w:comment>
  <w:comment w:id="4" w:author="Chisom Egwu" w:date="2025-06-27T17:46:00Z" w:initials="CE">
    <w:p w14:paraId="185BC5FC" w14:textId="12207485" w:rsidR="00131C0F" w:rsidRDefault="00131C0F">
      <w:pPr>
        <w:pStyle w:val="CommentText"/>
      </w:pPr>
      <w:r>
        <w:rPr>
          <w:rStyle w:val="CommentReference"/>
        </w:rPr>
        <w:annotationRef/>
      </w:r>
      <w:r>
        <w:t>reference</w:t>
      </w:r>
    </w:p>
  </w:comment>
  <w:comment w:id="5" w:author="Chisom Egwu" w:date="2025-06-27T17:47:00Z" w:initials="CE">
    <w:p w14:paraId="53F3034E" w14:textId="0C6E30FE" w:rsidR="00131C0F" w:rsidRDefault="00131C0F">
      <w:pPr>
        <w:pStyle w:val="CommentText"/>
      </w:pPr>
      <w:r>
        <w:rPr>
          <w:rStyle w:val="CommentReference"/>
        </w:rPr>
        <w:annotationRef/>
      </w:r>
      <w:r>
        <w:t>reference</w:t>
      </w:r>
    </w:p>
  </w:comment>
  <w:comment w:id="6" w:author="Chisom Egwu" w:date="2025-06-27T17:48:00Z" w:initials="CE">
    <w:p w14:paraId="73BB391D" w14:textId="34E59FDC" w:rsidR="00131C0F" w:rsidRDefault="00131C0F">
      <w:pPr>
        <w:pStyle w:val="CommentText"/>
      </w:pPr>
      <w:r>
        <w:rPr>
          <w:rStyle w:val="CommentReference"/>
        </w:rPr>
        <w:annotationRef/>
      </w:r>
      <w:r>
        <w:rPr>
          <w:rStyle w:val="CommentReference"/>
        </w:rPr>
        <w:t xml:space="preserve">You </w:t>
      </w:r>
      <w:r>
        <w:rPr>
          <w:rStyle w:val="CommentReference"/>
        </w:rPr>
        <w:t xml:space="preserve">are just dropping statements without proper </w:t>
      </w:r>
      <w:r w:rsidR="0068226C">
        <w:rPr>
          <w:rStyle w:val="CommentReference"/>
        </w:rPr>
        <w:t>referencing</w:t>
      </w:r>
    </w:p>
  </w:comment>
  <w:comment w:id="7" w:author="Chisom Egwu" w:date="2025-06-27T17:52:00Z" w:initials="CE">
    <w:p w14:paraId="589B073E" w14:textId="7BF90773" w:rsidR="0068226C" w:rsidRDefault="0068226C">
      <w:pPr>
        <w:pStyle w:val="CommentText"/>
      </w:pPr>
      <w:r>
        <w:rPr>
          <w:rStyle w:val="CommentReference"/>
        </w:rPr>
        <w:annotationRef/>
      </w:r>
      <w:r>
        <w:t>reference</w:t>
      </w:r>
    </w:p>
  </w:comment>
  <w:comment w:id="8" w:author="Chisom Egwu" w:date="2025-06-27T18:02:00Z" w:initials="CE">
    <w:p w14:paraId="1DA09550" w14:textId="77777777" w:rsidR="006B21B6" w:rsidRDefault="006B21B6">
      <w:pPr>
        <w:pStyle w:val="CommentText"/>
      </w:pPr>
      <w:r>
        <w:rPr>
          <w:rStyle w:val="CommentReference"/>
        </w:rPr>
        <w:annotationRef/>
      </w:r>
      <w:r>
        <w:t xml:space="preserve">how </w:t>
      </w:r>
      <w:r>
        <w:t>were the turmeric and the enzyme supplements prepared?</w:t>
      </w:r>
    </w:p>
    <w:p w14:paraId="0DB9A1C8" w14:textId="6F856E4A" w:rsidR="006B21B6" w:rsidRDefault="006B21B6">
      <w:pPr>
        <w:pStyle w:val="CommentText"/>
      </w:pPr>
      <w:r>
        <w:t>There should be detailed write-up on what was given to each treatment group</w:t>
      </w:r>
    </w:p>
  </w:comment>
  <w:comment w:id="9" w:author="Chisom Egwu" w:date="2025-06-27T18:13:00Z" w:initials="CE">
    <w:p w14:paraId="7ADD4F3F" w14:textId="446847F5" w:rsidR="00DB58EE" w:rsidRDefault="00DB58EE">
      <w:pPr>
        <w:pStyle w:val="CommentText"/>
      </w:pPr>
      <w:r>
        <w:rPr>
          <w:rStyle w:val="CommentReference"/>
        </w:rPr>
        <w:annotationRef/>
      </w:r>
      <w:r>
        <w:t>reference</w:t>
      </w:r>
    </w:p>
  </w:comment>
  <w:comment w:id="10" w:author="Chisom Egwu" w:date="2025-06-27T18:33:00Z" w:initials="CE">
    <w:p w14:paraId="4BA241CD" w14:textId="168A11B0" w:rsidR="00D56168" w:rsidRDefault="00D56168">
      <w:pPr>
        <w:pStyle w:val="CommentText"/>
      </w:pPr>
      <w:r>
        <w:rPr>
          <w:rStyle w:val="CommentReference"/>
        </w:rPr>
        <w:annotationRef/>
      </w:r>
      <w:r>
        <w:t>so much over-generalization in result discussion</w:t>
      </w:r>
    </w:p>
  </w:comment>
  <w:comment w:id="11" w:author="Chisom Egwu" w:date="2025-06-27T18:16:00Z" w:initials="CE">
    <w:p w14:paraId="55579409" w14:textId="603ADDDA" w:rsidR="00DB58EE" w:rsidRDefault="00DB58EE">
      <w:pPr>
        <w:pStyle w:val="CommentText"/>
      </w:pPr>
      <w:r>
        <w:rPr>
          <w:rStyle w:val="CommentReference"/>
        </w:rPr>
        <w:annotationRef/>
      </w:r>
      <w:r>
        <w:t xml:space="preserve">what </w:t>
      </w:r>
      <w:r>
        <w:t>previous research are you referring to?</w:t>
      </w:r>
    </w:p>
  </w:comment>
  <w:comment w:id="12" w:author="Chisom Egwu" w:date="2025-06-27T18:22:00Z" w:initials="CE">
    <w:p w14:paraId="260E29C0" w14:textId="77777777" w:rsidR="0006283D" w:rsidRDefault="0006283D">
      <w:pPr>
        <w:pStyle w:val="CommentText"/>
      </w:pPr>
      <w:r>
        <w:rPr>
          <w:rStyle w:val="CommentReference"/>
        </w:rPr>
        <w:annotationRef/>
      </w:r>
      <w:r>
        <w:t xml:space="preserve">How </w:t>
      </w:r>
      <w:r>
        <w:t>did LAB enter the study?</w:t>
      </w:r>
    </w:p>
    <w:p w14:paraId="714DE645" w14:textId="77777777" w:rsidR="0006283D" w:rsidRDefault="0006283D">
      <w:pPr>
        <w:pStyle w:val="CommentText"/>
      </w:pPr>
      <w:r>
        <w:t>Is LAB part of the study?</w:t>
      </w:r>
    </w:p>
    <w:p w14:paraId="63384F4A" w14:textId="3A39F642" w:rsidR="0006283D" w:rsidRDefault="0006283D">
      <w:pPr>
        <w:pStyle w:val="CommentText"/>
      </w:pPr>
      <w:r>
        <w:t>Focus on your result</w:t>
      </w:r>
    </w:p>
  </w:comment>
  <w:comment w:id="13" w:author="Chisom Egwu" w:date="2025-06-27T18:26:00Z" w:initials="CE">
    <w:p w14:paraId="27AB7217" w14:textId="1F8F2D37" w:rsidR="0006283D" w:rsidRDefault="0006283D">
      <w:pPr>
        <w:pStyle w:val="CommentText"/>
      </w:pPr>
      <w:r>
        <w:rPr>
          <w:rStyle w:val="CommentReference"/>
        </w:rPr>
        <w:annotationRef/>
      </w:r>
      <w:r>
        <w:t>reference</w:t>
      </w:r>
    </w:p>
  </w:comment>
  <w:comment w:id="14" w:author="Chisom Egwu" w:date="2025-06-27T18:27:00Z" w:initials="CE">
    <w:p w14:paraId="43516F3C" w14:textId="77466ABF" w:rsidR="0006283D" w:rsidRDefault="0006283D">
      <w:pPr>
        <w:pStyle w:val="CommentText"/>
      </w:pPr>
      <w:r>
        <w:rPr>
          <w:rStyle w:val="CommentReference"/>
        </w:rPr>
        <w:annotationRef/>
      </w:r>
      <w:r>
        <w:t>How?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9113D8" w15:done="0"/>
  <w15:commentEx w15:paraId="32798FB9" w15:done="0"/>
  <w15:commentEx w15:paraId="690C21B2" w15:done="0"/>
  <w15:commentEx w15:paraId="0F16CB39" w15:done="0"/>
  <w15:commentEx w15:paraId="185BC5FC" w15:done="0"/>
  <w15:commentEx w15:paraId="53F3034E" w15:done="0"/>
  <w15:commentEx w15:paraId="73BB391D" w15:done="0"/>
  <w15:commentEx w15:paraId="589B073E" w15:done="0"/>
  <w15:commentEx w15:paraId="0DB9A1C8" w15:done="0"/>
  <w15:commentEx w15:paraId="7ADD4F3F" w15:done="0"/>
  <w15:commentEx w15:paraId="4BA241CD" w15:done="0"/>
  <w15:commentEx w15:paraId="55579409" w15:done="0"/>
  <w15:commentEx w15:paraId="63384F4A" w15:done="0"/>
  <w15:commentEx w15:paraId="27AB7217" w15:done="0"/>
  <w15:commentEx w15:paraId="43516F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40FFBF" w16cex:dateUtc="2025-06-27T16:40:00Z"/>
  <w16cex:commentExtensible w16cex:durableId="5FCB9067" w16cex:dateUtc="2025-06-27T16:43:00Z"/>
  <w16cex:commentExtensible w16cex:durableId="54AA7800" w16cex:dateUtc="2025-06-27T16:45:00Z"/>
  <w16cex:commentExtensible w16cex:durableId="6E6C826C" w16cex:dateUtc="2025-06-27T16:46:00Z"/>
  <w16cex:commentExtensible w16cex:durableId="528B6403" w16cex:dateUtc="2025-06-27T16:46:00Z"/>
  <w16cex:commentExtensible w16cex:durableId="22DEB194" w16cex:dateUtc="2025-06-27T16:47:00Z"/>
  <w16cex:commentExtensible w16cex:durableId="188C12D9" w16cex:dateUtc="2025-06-27T16:48:00Z"/>
  <w16cex:commentExtensible w16cex:durableId="3733894B" w16cex:dateUtc="2025-06-27T16:52:00Z"/>
  <w16cex:commentExtensible w16cex:durableId="6BA46DA6" w16cex:dateUtc="2025-06-27T17:02:00Z"/>
  <w16cex:commentExtensible w16cex:durableId="695B454C" w16cex:dateUtc="2025-06-27T17:13:00Z"/>
  <w16cex:commentExtensible w16cex:durableId="757DF087" w16cex:dateUtc="2025-06-27T17:33:00Z"/>
  <w16cex:commentExtensible w16cex:durableId="526078A6" w16cex:dateUtc="2025-06-27T17:16:00Z"/>
  <w16cex:commentExtensible w16cex:durableId="225586A5" w16cex:dateUtc="2025-06-27T17:22:00Z"/>
  <w16cex:commentExtensible w16cex:durableId="50CF0EA8" w16cex:dateUtc="2025-06-27T17:26:00Z"/>
  <w16cex:commentExtensible w16cex:durableId="17EB6F0A" w16cex:dateUtc="2025-06-27T17:27:00Z"/>
  <w16cex:commentExtensible w16cex:durableId="03F777CB" w16cex:dateUtc="2025-06-27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9113D8" w16cid:durableId="6D40FFBF"/>
  <w16cid:commentId w16cid:paraId="32798FB9" w16cid:durableId="5FCB9067"/>
  <w16cid:commentId w16cid:paraId="690C21B2" w16cid:durableId="54AA7800"/>
  <w16cid:commentId w16cid:paraId="0F16CB39" w16cid:durableId="6E6C826C"/>
  <w16cid:commentId w16cid:paraId="185BC5FC" w16cid:durableId="528B6403"/>
  <w16cid:commentId w16cid:paraId="53F3034E" w16cid:durableId="22DEB194"/>
  <w16cid:commentId w16cid:paraId="73BB391D" w16cid:durableId="188C12D9"/>
  <w16cid:commentId w16cid:paraId="589B073E" w16cid:durableId="3733894B"/>
  <w16cid:commentId w16cid:paraId="0DB9A1C8" w16cid:durableId="6BA46DA6"/>
  <w16cid:commentId w16cid:paraId="7ADD4F3F" w16cid:durableId="695B454C"/>
  <w16cid:commentId w16cid:paraId="4BA241CD" w16cid:durableId="757DF087"/>
  <w16cid:commentId w16cid:paraId="55579409" w16cid:durableId="526078A6"/>
  <w16cid:commentId w16cid:paraId="63384F4A" w16cid:durableId="225586A5"/>
  <w16cid:commentId w16cid:paraId="27AB7217" w16cid:durableId="50CF0EA8"/>
  <w16cid:commentId w16cid:paraId="43516F3C" w16cid:durableId="17EB6F0A"/>
  <w16cid:commentId w16cid:paraId="518122E3" w16cid:durableId="03F777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7BDB4" w14:textId="77777777" w:rsidR="00021EE9" w:rsidRDefault="00021EE9">
      <w:r>
        <w:separator/>
      </w:r>
    </w:p>
  </w:endnote>
  <w:endnote w:type="continuationSeparator" w:id="0">
    <w:p w14:paraId="5DDF6239" w14:textId="77777777" w:rsidR="00021EE9" w:rsidRDefault="0002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F630" w14:textId="77777777" w:rsidR="00A64361" w:rsidRDefault="00A6436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6CE3" w14:textId="77777777" w:rsidR="00A64361" w:rsidRDefault="00A64361">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7A13" w14:textId="77777777" w:rsidR="00A64361" w:rsidRDefault="00A64361">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6F08" w14:textId="77777777" w:rsidR="00A64361" w:rsidRDefault="00A6436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2352F" w14:textId="77777777" w:rsidR="00021EE9" w:rsidRDefault="00021EE9">
      <w:r>
        <w:separator/>
      </w:r>
    </w:p>
  </w:footnote>
  <w:footnote w:type="continuationSeparator" w:id="0">
    <w:p w14:paraId="108AD83A" w14:textId="77777777" w:rsidR="00021EE9" w:rsidRDefault="0002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E4CE" w14:textId="77777777" w:rsidR="00A64361" w:rsidRDefault="00021EE9">
    <w:pPr>
      <w:pBdr>
        <w:top w:val="nil"/>
        <w:left w:val="nil"/>
        <w:bottom w:val="nil"/>
        <w:right w:val="nil"/>
        <w:between w:val="nil"/>
      </w:pBdr>
      <w:tabs>
        <w:tab w:val="center" w:pos="4320"/>
        <w:tab w:val="right" w:pos="8640"/>
      </w:tabs>
      <w:rPr>
        <w:color w:val="000000"/>
      </w:rPr>
    </w:pPr>
    <w:r>
      <w:rPr>
        <w:color w:val="000000"/>
      </w:rPr>
      <w:pict w14:anchorId="3F75D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685.25pt;height:76.1pt;rotation:315;z-index:-251659264;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8E1C" w14:textId="77777777" w:rsidR="00A64361" w:rsidRDefault="00021EE9">
    <w:pPr>
      <w:pBdr>
        <w:top w:val="nil"/>
        <w:left w:val="nil"/>
        <w:bottom w:val="nil"/>
        <w:right w:val="nil"/>
        <w:between w:val="nil"/>
      </w:pBdr>
      <w:tabs>
        <w:tab w:val="center" w:pos="4320"/>
        <w:tab w:val="right" w:pos="8640"/>
      </w:tabs>
      <w:rPr>
        <w:color w:val="000000"/>
      </w:rPr>
    </w:pPr>
    <w:r>
      <w:rPr>
        <w:color w:val="000000"/>
      </w:rPr>
      <w:pict w14:anchorId="27EEFE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685.25pt;height:76.1pt;rotation:315;z-index:-25166131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0A747" w14:textId="77777777" w:rsidR="00A64361" w:rsidRDefault="00021EE9">
    <w:pPr>
      <w:ind w:left="2160"/>
      <w:jc w:val="center"/>
      <w:rPr>
        <w:rFonts w:ascii="Times New Roman" w:eastAsia="Times New Roman" w:hAnsi="Times New Roman" w:cs="Times New Roman"/>
        <w:i/>
        <w:sz w:val="18"/>
        <w:szCs w:val="18"/>
      </w:rPr>
    </w:pPr>
    <w:r>
      <w:pict w14:anchorId="169CF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685.25pt;height:76.1pt;rotation:315;z-index:-25166028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p w14:paraId="2FCE2869" w14:textId="77777777" w:rsidR="00A64361" w:rsidRDefault="00021EE9">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12F100EA" w14:textId="77777777" w:rsidR="00A64361" w:rsidRDefault="00021EE9">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42BCD066" w14:textId="77777777" w:rsidR="00A64361" w:rsidRDefault="00021EE9">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6093A627" w14:textId="77777777" w:rsidR="00A64361" w:rsidRDefault="00021EE9">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1B5A22DA" w14:textId="77777777" w:rsidR="00A64361" w:rsidRDefault="00021EE9">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6BF7C242" w14:textId="77777777" w:rsidR="00A64361" w:rsidRDefault="00021EE9">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7CA22" w14:textId="77777777" w:rsidR="00A64361" w:rsidRDefault="00021EE9">
    <w:pPr>
      <w:pBdr>
        <w:top w:val="nil"/>
        <w:left w:val="nil"/>
        <w:bottom w:val="nil"/>
        <w:right w:val="nil"/>
        <w:between w:val="nil"/>
      </w:pBdr>
      <w:tabs>
        <w:tab w:val="center" w:pos="4320"/>
        <w:tab w:val="right" w:pos="8640"/>
      </w:tabs>
      <w:rPr>
        <w:color w:val="000000"/>
      </w:rPr>
    </w:pPr>
    <w:r>
      <w:rPr>
        <w:color w:val="000000"/>
      </w:rPr>
      <w:pict w14:anchorId="1FE1E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685.25pt;height:76.1pt;rotation:315;z-index:-25165619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D938E" w14:textId="77777777" w:rsidR="00A64361" w:rsidRDefault="00021EE9">
    <w:pPr>
      <w:pBdr>
        <w:top w:val="nil"/>
        <w:left w:val="nil"/>
        <w:bottom w:val="nil"/>
        <w:right w:val="nil"/>
        <w:between w:val="nil"/>
      </w:pBdr>
      <w:tabs>
        <w:tab w:val="center" w:pos="4320"/>
        <w:tab w:val="right" w:pos="8640"/>
      </w:tabs>
      <w:rPr>
        <w:color w:val="000000"/>
      </w:rPr>
    </w:pPr>
    <w:r>
      <w:rPr>
        <w:color w:val="000000"/>
      </w:rPr>
      <w:pict w14:anchorId="37E24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685.25pt;height:76.1pt;rotation:315;z-index:-251658240;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F99C4" w14:textId="77777777" w:rsidR="00A64361" w:rsidRDefault="00021EE9">
    <w:pPr>
      <w:pBdr>
        <w:top w:val="nil"/>
        <w:left w:val="nil"/>
        <w:bottom w:val="nil"/>
        <w:right w:val="nil"/>
        <w:between w:val="nil"/>
      </w:pBdr>
      <w:tabs>
        <w:tab w:val="center" w:pos="4320"/>
        <w:tab w:val="right" w:pos="8640"/>
      </w:tabs>
      <w:rPr>
        <w:color w:val="000000"/>
      </w:rPr>
    </w:pPr>
    <w:r>
      <w:rPr>
        <w:color w:val="000000"/>
      </w:rPr>
      <w:pict w14:anchorId="7FEAF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685.25pt;height:76.1pt;rotation:315;z-index:-25165721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512D0"/>
    <w:multiLevelType w:val="multilevel"/>
    <w:tmpl w:val="BADC40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som Egwu">
    <w15:presenceInfo w15:providerId="Windows Live" w15:userId="f4b2e1c62d30aa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61"/>
    <w:rsid w:val="00021EE9"/>
    <w:rsid w:val="0006283D"/>
    <w:rsid w:val="00131C0F"/>
    <w:rsid w:val="0068226C"/>
    <w:rsid w:val="006B21B6"/>
    <w:rsid w:val="009F1555"/>
    <w:rsid w:val="00A64361"/>
    <w:rsid w:val="00B63FF8"/>
    <w:rsid w:val="00BB5508"/>
    <w:rsid w:val="00D56168"/>
    <w:rsid w:val="00DB58EE"/>
    <w:rsid w:val="00F65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_x0000_s1026"/>
      </o:rules>
    </o:shapelayout>
  </w:shapeDefaults>
  <w:decimalSymbol w:val="."/>
  <w:listSeparator w:val=","/>
  <w14:docId w14:val="4103F119"/>
  <w15:docId w15:val="{726FA2B3-7749-456C-9657-EF45E525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lang w:val="sq-AL"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4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Revision">
    <w:name w:val="Revision"/>
    <w:hidden/>
    <w:uiPriority w:val="99"/>
    <w:semiHidden/>
    <w:rsid w:val="00F6596F"/>
  </w:style>
  <w:style w:type="character" w:styleId="CommentReference">
    <w:name w:val="annotation reference"/>
    <w:basedOn w:val="DefaultParagraphFont"/>
    <w:uiPriority w:val="99"/>
    <w:semiHidden/>
    <w:unhideWhenUsed/>
    <w:rsid w:val="00131C0F"/>
    <w:rPr>
      <w:sz w:val="16"/>
      <w:szCs w:val="16"/>
    </w:rPr>
  </w:style>
  <w:style w:type="paragraph" w:styleId="CommentText">
    <w:name w:val="annotation text"/>
    <w:basedOn w:val="Normal"/>
    <w:link w:val="CommentTextChar"/>
    <w:uiPriority w:val="99"/>
    <w:semiHidden/>
    <w:unhideWhenUsed/>
    <w:rsid w:val="00131C0F"/>
  </w:style>
  <w:style w:type="character" w:customStyle="1" w:styleId="CommentTextChar">
    <w:name w:val="Comment Text Char"/>
    <w:basedOn w:val="DefaultParagraphFont"/>
    <w:link w:val="CommentText"/>
    <w:uiPriority w:val="99"/>
    <w:semiHidden/>
    <w:rsid w:val="00131C0F"/>
  </w:style>
  <w:style w:type="paragraph" w:styleId="CommentSubject">
    <w:name w:val="annotation subject"/>
    <w:basedOn w:val="CommentText"/>
    <w:next w:val="CommentText"/>
    <w:link w:val="CommentSubjectChar"/>
    <w:uiPriority w:val="99"/>
    <w:semiHidden/>
    <w:unhideWhenUsed/>
    <w:rsid w:val="00131C0F"/>
    <w:rPr>
      <w:b/>
      <w:bCs/>
    </w:rPr>
  </w:style>
  <w:style w:type="character" w:customStyle="1" w:styleId="CommentSubjectChar">
    <w:name w:val="Comment Subject Char"/>
    <w:basedOn w:val="CommentTextChar"/>
    <w:link w:val="CommentSubject"/>
    <w:uiPriority w:val="99"/>
    <w:semiHidden/>
    <w:rsid w:val="00131C0F"/>
    <w:rPr>
      <w:b/>
      <w:bCs/>
    </w:rPr>
  </w:style>
  <w:style w:type="paragraph" w:styleId="BalloonText">
    <w:name w:val="Balloon Text"/>
    <w:basedOn w:val="Normal"/>
    <w:link w:val="BalloonTextChar"/>
    <w:uiPriority w:val="99"/>
    <w:semiHidden/>
    <w:unhideWhenUsed/>
    <w:rsid w:val="00BB55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3787</Words>
  <Characters>21592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1130</cp:lastModifiedBy>
  <cp:revision>3</cp:revision>
  <dcterms:created xsi:type="dcterms:W3CDTF">2025-06-27T16:29:00Z</dcterms:created>
  <dcterms:modified xsi:type="dcterms:W3CDTF">2025-06-28T11:59:00Z</dcterms:modified>
</cp:coreProperties>
</file>