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F557D2" w14:paraId="6C99FCE7" w14:textId="77777777" w:rsidTr="00712999">
        <w:trPr>
          <w:trHeight w:val="423"/>
        </w:trPr>
        <w:tc>
          <w:tcPr>
            <w:tcW w:w="5000" w:type="pct"/>
            <w:gridSpan w:val="2"/>
            <w:tcBorders>
              <w:top w:val="nil"/>
              <w:left w:val="nil"/>
              <w:right w:val="nil"/>
            </w:tcBorders>
          </w:tcPr>
          <w:p w14:paraId="4D590ECF" w14:textId="77777777" w:rsidR="00602F7D" w:rsidRPr="00F557D2" w:rsidRDefault="00602F7D" w:rsidP="00F2643C">
            <w:pPr>
              <w:pStyle w:val="Heading2"/>
              <w:jc w:val="left"/>
              <w:rPr>
                <w:rFonts w:ascii="Arial" w:hAnsi="Arial" w:cs="Arial"/>
                <w:b w:val="0"/>
                <w:bCs w:val="0"/>
                <w:lang w:val="en-GB"/>
              </w:rPr>
            </w:pPr>
          </w:p>
        </w:tc>
      </w:tr>
      <w:tr w:rsidR="0000007A" w:rsidRPr="00F557D2" w14:paraId="062C99F6" w14:textId="77777777" w:rsidTr="002643B3">
        <w:trPr>
          <w:trHeight w:val="290"/>
        </w:trPr>
        <w:tc>
          <w:tcPr>
            <w:tcW w:w="1234" w:type="pct"/>
          </w:tcPr>
          <w:p w14:paraId="6A8824B9" w14:textId="77777777" w:rsidR="0000007A" w:rsidRPr="00F557D2" w:rsidRDefault="0000007A" w:rsidP="00696CAD">
            <w:pPr>
              <w:pStyle w:val="BodyText"/>
              <w:ind w:left="90"/>
              <w:jc w:val="left"/>
              <w:rPr>
                <w:rFonts w:ascii="Arial" w:hAnsi="Arial" w:cs="Arial"/>
                <w:bCs/>
                <w:sz w:val="20"/>
                <w:szCs w:val="20"/>
                <w:lang w:val="en-GB"/>
              </w:rPr>
            </w:pPr>
            <w:r w:rsidRPr="00F557D2">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03F5C253" w14:textId="77777777" w:rsidR="0000007A" w:rsidRPr="00F557D2" w:rsidRDefault="000467E9" w:rsidP="00E65EB7">
            <w:pPr>
              <w:rPr>
                <w:rFonts w:ascii="Arial" w:hAnsi="Arial" w:cs="Arial"/>
                <w:b/>
                <w:bCs/>
                <w:color w:val="0000FF"/>
                <w:sz w:val="20"/>
                <w:szCs w:val="20"/>
              </w:rPr>
            </w:pPr>
            <w:hyperlink r:id="rId8" w:history="1">
              <w:r w:rsidR="00712999" w:rsidRPr="00F557D2">
                <w:rPr>
                  <w:rStyle w:val="Hyperlink"/>
                  <w:rFonts w:ascii="Arial" w:hAnsi="Arial" w:cs="Arial"/>
                  <w:b/>
                  <w:bCs/>
                  <w:sz w:val="20"/>
                  <w:szCs w:val="20"/>
                </w:rPr>
                <w:t>Asian Journal of Language, Literature and Culture Studies</w:t>
              </w:r>
            </w:hyperlink>
            <w:r w:rsidR="00712999" w:rsidRPr="00F557D2">
              <w:rPr>
                <w:rFonts w:ascii="Arial" w:hAnsi="Arial" w:cs="Arial"/>
                <w:b/>
                <w:bCs/>
                <w:color w:val="0000FF"/>
                <w:sz w:val="20"/>
                <w:szCs w:val="20"/>
              </w:rPr>
              <w:t xml:space="preserve"> </w:t>
            </w:r>
          </w:p>
        </w:tc>
      </w:tr>
      <w:tr w:rsidR="0000007A" w:rsidRPr="00F557D2" w14:paraId="2649BDD0" w14:textId="77777777" w:rsidTr="002643B3">
        <w:trPr>
          <w:trHeight w:val="290"/>
        </w:trPr>
        <w:tc>
          <w:tcPr>
            <w:tcW w:w="1234" w:type="pct"/>
          </w:tcPr>
          <w:p w14:paraId="781B217E" w14:textId="77777777" w:rsidR="0000007A" w:rsidRPr="00F557D2" w:rsidRDefault="0000007A" w:rsidP="00696CAD">
            <w:pPr>
              <w:pStyle w:val="BodyText"/>
              <w:ind w:left="90"/>
              <w:jc w:val="left"/>
              <w:rPr>
                <w:rFonts w:ascii="Arial" w:hAnsi="Arial" w:cs="Arial"/>
                <w:bCs/>
                <w:sz w:val="20"/>
                <w:szCs w:val="20"/>
                <w:lang w:val="en-GB"/>
              </w:rPr>
            </w:pPr>
            <w:r w:rsidRPr="00F557D2">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3E0E8A4" w14:textId="77777777" w:rsidR="0000007A" w:rsidRPr="00F557D2" w:rsidRDefault="007702DE" w:rsidP="00F3669D">
            <w:pPr>
              <w:pStyle w:val="NormalWeb"/>
              <w:spacing w:before="0" w:beforeAutospacing="0" w:after="0" w:afterAutospacing="0"/>
              <w:rPr>
                <w:rFonts w:ascii="Arial" w:hAnsi="Arial" w:cs="Arial"/>
                <w:b/>
                <w:bCs/>
                <w:sz w:val="20"/>
                <w:szCs w:val="20"/>
                <w:lang w:val="en-GB"/>
              </w:rPr>
            </w:pPr>
            <w:r w:rsidRPr="00F557D2">
              <w:rPr>
                <w:rFonts w:ascii="Arial" w:hAnsi="Arial" w:cs="Arial"/>
                <w:b/>
                <w:bCs/>
                <w:sz w:val="20"/>
                <w:szCs w:val="20"/>
                <w:lang w:val="en-GB"/>
              </w:rPr>
              <w:t>Ms_AJL2C_139120</w:t>
            </w:r>
          </w:p>
        </w:tc>
      </w:tr>
      <w:tr w:rsidR="0000007A" w:rsidRPr="00F557D2" w14:paraId="27ED757A" w14:textId="77777777" w:rsidTr="002643B3">
        <w:trPr>
          <w:trHeight w:val="650"/>
        </w:trPr>
        <w:tc>
          <w:tcPr>
            <w:tcW w:w="1234" w:type="pct"/>
          </w:tcPr>
          <w:p w14:paraId="76038D0E" w14:textId="77777777" w:rsidR="0000007A" w:rsidRPr="00F557D2" w:rsidRDefault="0000007A" w:rsidP="00696CAD">
            <w:pPr>
              <w:pStyle w:val="BodyText"/>
              <w:ind w:left="90"/>
              <w:jc w:val="left"/>
              <w:rPr>
                <w:rFonts w:ascii="Arial" w:hAnsi="Arial" w:cs="Arial"/>
                <w:bCs/>
                <w:sz w:val="20"/>
                <w:szCs w:val="20"/>
                <w:lang w:val="en-GB"/>
              </w:rPr>
            </w:pPr>
            <w:r w:rsidRPr="00F557D2">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14750A5" w14:textId="77777777" w:rsidR="0000007A" w:rsidRPr="00F557D2" w:rsidRDefault="0045059B" w:rsidP="000450FC">
            <w:pPr>
              <w:pStyle w:val="NormalWeb"/>
              <w:spacing w:before="0" w:beforeAutospacing="0" w:after="0" w:afterAutospacing="0"/>
              <w:rPr>
                <w:rFonts w:ascii="Arial" w:hAnsi="Arial" w:cs="Arial"/>
                <w:b/>
                <w:sz w:val="20"/>
                <w:szCs w:val="20"/>
                <w:lang w:val="en-GB"/>
              </w:rPr>
            </w:pPr>
            <w:r w:rsidRPr="00F557D2">
              <w:rPr>
                <w:rFonts w:ascii="Arial" w:hAnsi="Arial" w:cs="Arial"/>
                <w:b/>
                <w:sz w:val="20"/>
                <w:szCs w:val="20"/>
                <w:lang w:val="en-GB"/>
              </w:rPr>
              <w:t xml:space="preserve">Urban Landscape as Narrative: Mapping Delhi’s </w:t>
            </w:r>
            <w:proofErr w:type="spellStart"/>
            <w:r w:rsidRPr="00F557D2">
              <w:rPr>
                <w:rFonts w:ascii="Arial" w:hAnsi="Arial" w:cs="Arial"/>
                <w:b/>
                <w:sz w:val="20"/>
                <w:szCs w:val="20"/>
                <w:lang w:val="en-GB"/>
              </w:rPr>
              <w:t>Sociospatial</w:t>
            </w:r>
            <w:proofErr w:type="spellEnd"/>
            <w:r w:rsidRPr="00F557D2">
              <w:rPr>
                <w:rFonts w:ascii="Arial" w:hAnsi="Arial" w:cs="Arial"/>
                <w:b/>
                <w:sz w:val="20"/>
                <w:szCs w:val="20"/>
                <w:lang w:val="en-GB"/>
              </w:rPr>
              <w:t xml:space="preserve"> Dynamics in </w:t>
            </w:r>
            <w:proofErr w:type="spellStart"/>
            <w:r w:rsidRPr="00F557D2">
              <w:rPr>
                <w:rFonts w:ascii="Arial" w:hAnsi="Arial" w:cs="Arial"/>
                <w:b/>
                <w:sz w:val="20"/>
                <w:szCs w:val="20"/>
                <w:lang w:val="en-GB"/>
              </w:rPr>
              <w:t>Somanath</w:t>
            </w:r>
            <w:proofErr w:type="spellEnd"/>
            <w:r w:rsidRPr="00F557D2">
              <w:rPr>
                <w:rFonts w:ascii="Arial" w:hAnsi="Arial" w:cs="Arial"/>
                <w:b/>
                <w:sz w:val="20"/>
                <w:szCs w:val="20"/>
                <w:lang w:val="en-GB"/>
              </w:rPr>
              <w:t xml:space="preserve"> </w:t>
            </w:r>
            <w:proofErr w:type="spellStart"/>
            <w:r w:rsidRPr="00F557D2">
              <w:rPr>
                <w:rFonts w:ascii="Arial" w:hAnsi="Arial" w:cs="Arial"/>
                <w:b/>
                <w:sz w:val="20"/>
                <w:szCs w:val="20"/>
                <w:lang w:val="en-GB"/>
              </w:rPr>
              <w:t>Batabyal’s</w:t>
            </w:r>
            <w:proofErr w:type="spellEnd"/>
            <w:r w:rsidRPr="00F557D2">
              <w:rPr>
                <w:rFonts w:ascii="Arial" w:hAnsi="Arial" w:cs="Arial"/>
                <w:b/>
                <w:sz w:val="20"/>
                <w:szCs w:val="20"/>
                <w:lang w:val="en-GB"/>
              </w:rPr>
              <w:t xml:space="preserve"> The Price You Pay</w:t>
            </w:r>
          </w:p>
        </w:tc>
      </w:tr>
      <w:tr w:rsidR="00CF0BBB" w:rsidRPr="00F557D2" w14:paraId="2F1D4D62" w14:textId="77777777" w:rsidTr="002643B3">
        <w:trPr>
          <w:trHeight w:val="332"/>
        </w:trPr>
        <w:tc>
          <w:tcPr>
            <w:tcW w:w="1234" w:type="pct"/>
          </w:tcPr>
          <w:p w14:paraId="5BC09140" w14:textId="77777777" w:rsidR="00CF0BBB" w:rsidRPr="00F557D2" w:rsidRDefault="00CF0BBB" w:rsidP="00696CAD">
            <w:pPr>
              <w:pStyle w:val="BodyText"/>
              <w:ind w:left="90"/>
              <w:jc w:val="left"/>
              <w:rPr>
                <w:rFonts w:ascii="Arial" w:hAnsi="Arial" w:cs="Arial"/>
                <w:bCs/>
                <w:sz w:val="20"/>
                <w:szCs w:val="20"/>
                <w:lang w:val="en-GB"/>
              </w:rPr>
            </w:pPr>
            <w:r w:rsidRPr="00F557D2">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59137FB" w14:textId="3B4A7E6E" w:rsidR="00CF0BBB" w:rsidRPr="00F557D2" w:rsidRDefault="00CF0BBB" w:rsidP="000450FC">
            <w:pPr>
              <w:pStyle w:val="NormalWeb"/>
              <w:spacing w:before="0" w:beforeAutospacing="0" w:after="0" w:afterAutospacing="0"/>
              <w:rPr>
                <w:rFonts w:ascii="Arial" w:hAnsi="Arial" w:cs="Arial"/>
                <w:b/>
                <w:sz w:val="20"/>
                <w:szCs w:val="20"/>
                <w:lang w:val="en-GB"/>
              </w:rPr>
            </w:pPr>
          </w:p>
        </w:tc>
      </w:tr>
    </w:tbl>
    <w:p w14:paraId="122E8118" w14:textId="77777777" w:rsidR="00037D52" w:rsidRPr="00F557D2" w:rsidRDefault="00037D52" w:rsidP="0000007A">
      <w:pPr>
        <w:pStyle w:val="BodyText"/>
        <w:rPr>
          <w:rFonts w:ascii="Arial" w:hAnsi="Arial" w:cs="Arial"/>
          <w:b/>
          <w:bCs/>
          <w:sz w:val="20"/>
          <w:szCs w:val="20"/>
          <w:u w:val="single"/>
          <w:lang w:val="en-GB"/>
        </w:rPr>
      </w:pPr>
    </w:p>
    <w:p w14:paraId="7EAAFE14" w14:textId="77777777" w:rsidR="00F557D2" w:rsidRPr="00F557D2" w:rsidRDefault="00F557D2" w:rsidP="00F557D2">
      <w:pPr>
        <w:pStyle w:val="Heading2"/>
        <w:jc w:val="left"/>
        <w:rPr>
          <w:rFonts w:ascii="Arial" w:hAnsi="Arial" w:cs="Arial"/>
          <w:lang w:val="en-GB"/>
        </w:rPr>
      </w:pPr>
      <w:bookmarkStart w:id="0" w:name="_Hlk171324449"/>
      <w:bookmarkStart w:id="1" w:name="_Hlk170903434"/>
      <w:r w:rsidRPr="00F557D2">
        <w:rPr>
          <w:rFonts w:ascii="Arial" w:hAnsi="Arial" w:cs="Arial"/>
          <w:highlight w:val="yellow"/>
          <w:lang w:val="en-GB"/>
        </w:rPr>
        <w:t>PART  1:</w:t>
      </w:r>
      <w:r w:rsidRPr="00F557D2">
        <w:rPr>
          <w:rFonts w:ascii="Arial" w:hAnsi="Arial" w:cs="Arial"/>
          <w:lang w:val="en-GB"/>
        </w:rPr>
        <w:t xml:space="preserve"> Comments</w:t>
      </w:r>
    </w:p>
    <w:tbl>
      <w:tblPr>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0"/>
        <w:gridCol w:w="826"/>
        <w:gridCol w:w="8523"/>
        <w:gridCol w:w="7525"/>
        <w:gridCol w:w="38"/>
      </w:tblGrid>
      <w:tr w:rsidR="002F40FD" w:rsidRPr="00F557D2" w14:paraId="3C1342F4" w14:textId="77777777" w:rsidTr="00724C5A">
        <w:trPr>
          <w:gridAfter w:val="1"/>
          <w:wAfter w:w="9" w:type="pct"/>
        </w:trPr>
        <w:tc>
          <w:tcPr>
            <w:tcW w:w="1165" w:type="pct"/>
            <w:gridSpan w:val="2"/>
            <w:tcBorders>
              <w:top w:val="nil"/>
              <w:left w:val="nil"/>
              <w:right w:val="nil"/>
            </w:tcBorders>
          </w:tcPr>
          <w:p w14:paraId="2D8D94E2" w14:textId="77777777" w:rsidR="002F40FD" w:rsidRPr="00F557D2" w:rsidRDefault="002F40FD">
            <w:pPr>
              <w:pStyle w:val="Heading2"/>
              <w:jc w:val="left"/>
              <w:rPr>
                <w:rFonts w:ascii="Arial" w:hAnsi="Arial" w:cs="Arial"/>
                <w:highlight w:val="yellow"/>
                <w:lang w:val="en-GB"/>
              </w:rPr>
            </w:pPr>
          </w:p>
        </w:tc>
        <w:tc>
          <w:tcPr>
            <w:tcW w:w="3826" w:type="pct"/>
            <w:gridSpan w:val="2"/>
            <w:tcBorders>
              <w:top w:val="nil"/>
              <w:left w:val="nil"/>
              <w:right w:val="nil"/>
            </w:tcBorders>
            <w:noWrap/>
          </w:tcPr>
          <w:p w14:paraId="54257556" w14:textId="77777777" w:rsidR="002F40FD" w:rsidRPr="00F557D2" w:rsidRDefault="002F40FD" w:rsidP="00F557D2">
            <w:pPr>
              <w:pStyle w:val="Heading2"/>
              <w:jc w:val="left"/>
              <w:rPr>
                <w:rFonts w:ascii="Arial" w:hAnsi="Arial" w:cs="Arial"/>
              </w:rPr>
            </w:pPr>
          </w:p>
        </w:tc>
      </w:tr>
      <w:tr w:rsidR="00724C5A" w:rsidRPr="00F557D2" w14:paraId="3173F856" w14:textId="77777777" w:rsidTr="00724C5A">
        <w:tc>
          <w:tcPr>
            <w:tcW w:w="968" w:type="pct"/>
            <w:noWrap/>
          </w:tcPr>
          <w:p w14:paraId="49FC54E5" w14:textId="7F674DDC" w:rsidR="00724C5A" w:rsidRPr="00F557D2" w:rsidRDefault="00724C5A">
            <w:pPr>
              <w:pStyle w:val="Heading2"/>
              <w:jc w:val="left"/>
              <w:rPr>
                <w:rFonts w:ascii="Arial" w:hAnsi="Arial" w:cs="Arial"/>
                <w:lang w:val="en-GB"/>
              </w:rPr>
            </w:pPr>
          </w:p>
        </w:tc>
        <w:tc>
          <w:tcPr>
            <w:tcW w:w="2229" w:type="pct"/>
            <w:gridSpan w:val="2"/>
          </w:tcPr>
          <w:p w14:paraId="7051AF41" w14:textId="77777777" w:rsidR="00724C5A" w:rsidRPr="00F557D2" w:rsidRDefault="00724C5A">
            <w:pPr>
              <w:pStyle w:val="Heading2"/>
              <w:jc w:val="left"/>
              <w:rPr>
                <w:rFonts w:ascii="Arial" w:hAnsi="Arial" w:cs="Arial"/>
                <w:lang w:val="en-GB"/>
              </w:rPr>
            </w:pPr>
            <w:r w:rsidRPr="00F557D2">
              <w:rPr>
                <w:rFonts w:ascii="Arial" w:hAnsi="Arial" w:cs="Arial"/>
                <w:lang w:val="en-GB"/>
              </w:rPr>
              <w:t>Reviewer’s comment</w:t>
            </w:r>
          </w:p>
          <w:p w14:paraId="08BD3732" w14:textId="77777777" w:rsidR="00724C5A" w:rsidRPr="00F557D2" w:rsidRDefault="00724C5A" w:rsidP="00883F1E">
            <w:pPr>
              <w:rPr>
                <w:rFonts w:ascii="Arial" w:hAnsi="Arial" w:cs="Arial"/>
                <w:b/>
                <w:bCs/>
                <w:sz w:val="20"/>
                <w:szCs w:val="20"/>
              </w:rPr>
            </w:pPr>
            <w:r w:rsidRPr="00F557D2">
              <w:rPr>
                <w:rFonts w:ascii="Arial" w:hAnsi="Arial" w:cs="Arial"/>
                <w:b/>
                <w:bCs/>
                <w:sz w:val="20"/>
                <w:szCs w:val="20"/>
                <w:highlight w:val="yellow"/>
              </w:rPr>
              <w:t>Artificial Intelligence (AI) generated or assisted review comments are strictly prohibited during peer review.</w:t>
            </w:r>
          </w:p>
          <w:p w14:paraId="5DFB1FE7" w14:textId="77777777" w:rsidR="00724C5A" w:rsidRPr="00F557D2" w:rsidRDefault="00724C5A" w:rsidP="00883F1E">
            <w:pPr>
              <w:rPr>
                <w:rFonts w:ascii="Arial" w:hAnsi="Arial" w:cs="Arial"/>
                <w:sz w:val="20"/>
                <w:szCs w:val="20"/>
              </w:rPr>
            </w:pPr>
          </w:p>
        </w:tc>
        <w:tc>
          <w:tcPr>
            <w:tcW w:w="1803" w:type="pct"/>
            <w:gridSpan w:val="2"/>
          </w:tcPr>
          <w:p w14:paraId="0603B73D" w14:textId="2B9566BD" w:rsidR="00724C5A" w:rsidRPr="00F557D2" w:rsidRDefault="00724C5A" w:rsidP="00244746">
            <w:pPr>
              <w:spacing w:after="160" w:line="254" w:lineRule="auto"/>
              <w:rPr>
                <w:rFonts w:ascii="Arial" w:eastAsia="Calibri" w:hAnsi="Arial" w:cs="Arial"/>
                <w:kern w:val="2"/>
                <w:sz w:val="20"/>
                <w:szCs w:val="20"/>
                <w:lang w:val="en-IN"/>
              </w:rPr>
            </w:pPr>
            <w:r w:rsidRPr="00F557D2">
              <w:rPr>
                <w:rFonts w:ascii="Arial" w:eastAsia="Calibri" w:hAnsi="Arial" w:cs="Arial"/>
                <w:b/>
                <w:kern w:val="2"/>
                <w:sz w:val="20"/>
                <w:szCs w:val="20"/>
                <w:lang w:val="en-IN"/>
              </w:rPr>
              <w:t>Author’s Feedback</w:t>
            </w:r>
            <w:r w:rsidRPr="00F557D2">
              <w:rPr>
                <w:rFonts w:ascii="Arial" w:eastAsia="Calibri" w:hAnsi="Arial" w:cs="Arial"/>
                <w:kern w:val="2"/>
                <w:sz w:val="20"/>
                <w:szCs w:val="20"/>
                <w:lang w:val="en-IN"/>
              </w:rPr>
              <w:t xml:space="preserve"> (It is mandatory that authors should write his/her feedback here)</w:t>
            </w:r>
          </w:p>
          <w:p w14:paraId="57995C3A" w14:textId="77777777" w:rsidR="00724C5A" w:rsidRPr="00F557D2" w:rsidRDefault="00724C5A">
            <w:pPr>
              <w:pStyle w:val="Heading2"/>
              <w:jc w:val="left"/>
              <w:rPr>
                <w:rFonts w:ascii="Arial" w:hAnsi="Arial" w:cs="Arial"/>
                <w:b w:val="0"/>
                <w:lang w:val="en-GB"/>
              </w:rPr>
            </w:pPr>
          </w:p>
        </w:tc>
      </w:tr>
      <w:tr w:rsidR="00724C5A" w:rsidRPr="00F557D2" w14:paraId="29FF9DF0" w14:textId="77777777" w:rsidTr="00724C5A">
        <w:trPr>
          <w:trHeight w:val="1264"/>
        </w:trPr>
        <w:tc>
          <w:tcPr>
            <w:tcW w:w="968" w:type="pct"/>
            <w:noWrap/>
          </w:tcPr>
          <w:p w14:paraId="490AB7DC" w14:textId="77777777" w:rsidR="00724C5A" w:rsidRPr="00F557D2" w:rsidRDefault="00724C5A">
            <w:pPr>
              <w:ind w:left="360"/>
              <w:rPr>
                <w:rFonts w:ascii="Arial" w:hAnsi="Arial" w:cs="Arial"/>
                <w:b/>
                <w:bCs/>
                <w:sz w:val="20"/>
                <w:szCs w:val="20"/>
              </w:rPr>
            </w:pPr>
            <w:r w:rsidRPr="00F557D2">
              <w:rPr>
                <w:rFonts w:ascii="Arial" w:hAnsi="Arial" w:cs="Arial"/>
                <w:b/>
                <w:bCs/>
                <w:sz w:val="20"/>
                <w:szCs w:val="20"/>
              </w:rPr>
              <w:t>Please write a few sentences regarding the importance of this manuscript for the scientific community. A minimum of 3-4 sentences may be required for this part.</w:t>
            </w:r>
          </w:p>
          <w:p w14:paraId="3B3C4ABD" w14:textId="6163D3D0" w:rsidR="00724C5A" w:rsidRPr="00F557D2" w:rsidRDefault="00724C5A">
            <w:pPr>
              <w:ind w:left="360"/>
              <w:rPr>
                <w:rFonts w:ascii="Arial" w:eastAsia="MS Mincho" w:hAnsi="Arial" w:cs="Arial"/>
                <w:b/>
                <w:bCs/>
                <w:sz w:val="20"/>
                <w:szCs w:val="20"/>
              </w:rPr>
            </w:pPr>
          </w:p>
        </w:tc>
        <w:tc>
          <w:tcPr>
            <w:tcW w:w="2229" w:type="pct"/>
            <w:gridSpan w:val="2"/>
          </w:tcPr>
          <w:p w14:paraId="5322105D" w14:textId="5637FD24" w:rsidR="00724C5A" w:rsidRPr="00F557D2" w:rsidRDefault="00724C5A">
            <w:pPr>
              <w:pStyle w:val="ListParagraph"/>
              <w:ind w:left="0"/>
              <w:rPr>
                <w:rFonts w:ascii="Arial" w:hAnsi="Arial" w:cs="Arial"/>
                <w:b/>
                <w:bCs/>
                <w:sz w:val="20"/>
                <w:szCs w:val="20"/>
                <w:lang w:val="en-GB"/>
              </w:rPr>
            </w:pPr>
          </w:p>
          <w:p w14:paraId="4B6C47F7" w14:textId="11AF2949" w:rsidR="00724C5A" w:rsidRPr="00F557D2" w:rsidRDefault="00724C5A">
            <w:pPr>
              <w:pStyle w:val="ListParagraph"/>
              <w:ind w:left="0"/>
              <w:rPr>
                <w:rFonts w:ascii="Arial" w:hAnsi="Arial" w:cs="Arial"/>
                <w:b/>
                <w:bCs/>
                <w:sz w:val="20"/>
                <w:szCs w:val="20"/>
                <w:lang w:val="en-GB"/>
              </w:rPr>
            </w:pPr>
            <w:r w:rsidRPr="00F557D2">
              <w:rPr>
                <w:rFonts w:ascii="Arial" w:hAnsi="Arial" w:cs="Arial"/>
                <w:b/>
                <w:bCs/>
                <w:sz w:val="20"/>
                <w:szCs w:val="20"/>
                <w:lang w:val="en-GB"/>
              </w:rPr>
              <w:t xml:space="preserve">This manuscript holds significant importance for the scientific community as it masterfully bridges literary analysis with urban studies, offering a </w:t>
            </w:r>
            <w:proofErr w:type="spellStart"/>
            <w:r w:rsidRPr="00F557D2">
              <w:rPr>
                <w:rFonts w:ascii="Arial" w:hAnsi="Arial" w:cs="Arial"/>
                <w:b/>
                <w:bCs/>
                <w:sz w:val="20"/>
                <w:szCs w:val="20"/>
                <w:lang w:val="en-GB"/>
              </w:rPr>
              <w:t>groundbreaking</w:t>
            </w:r>
            <w:proofErr w:type="spellEnd"/>
            <w:r w:rsidRPr="00F557D2">
              <w:rPr>
                <w:rFonts w:ascii="Arial" w:hAnsi="Arial" w:cs="Arial"/>
                <w:b/>
                <w:bCs/>
                <w:sz w:val="20"/>
                <w:szCs w:val="20"/>
                <w:lang w:val="en-GB"/>
              </w:rPr>
              <w:t xml:space="preserve"> framework to examine </w:t>
            </w:r>
            <w:proofErr w:type="spellStart"/>
            <w:r w:rsidRPr="00F557D2">
              <w:rPr>
                <w:rFonts w:ascii="Arial" w:hAnsi="Arial" w:cs="Arial"/>
                <w:b/>
                <w:bCs/>
                <w:sz w:val="20"/>
                <w:szCs w:val="20"/>
                <w:lang w:val="en-GB"/>
              </w:rPr>
              <w:t>sociospatial</w:t>
            </w:r>
            <w:proofErr w:type="spellEnd"/>
            <w:r w:rsidRPr="00F557D2">
              <w:rPr>
                <w:rFonts w:ascii="Arial" w:hAnsi="Arial" w:cs="Arial"/>
                <w:b/>
                <w:bCs/>
                <w:sz w:val="20"/>
                <w:szCs w:val="20"/>
                <w:lang w:val="en-GB"/>
              </w:rPr>
              <w:t xml:space="preserve"> dynamics in contemporary megacities. By applying the rigorous theories of Henri Lefebvre, David Harvey, and Edward </w:t>
            </w:r>
            <w:proofErr w:type="spellStart"/>
            <w:r w:rsidRPr="00F557D2">
              <w:rPr>
                <w:rFonts w:ascii="Arial" w:hAnsi="Arial" w:cs="Arial"/>
                <w:b/>
                <w:bCs/>
                <w:sz w:val="20"/>
                <w:szCs w:val="20"/>
                <w:lang w:val="en-GB"/>
              </w:rPr>
              <w:t>Soja</w:t>
            </w:r>
            <w:proofErr w:type="spellEnd"/>
            <w:r w:rsidRPr="00F557D2">
              <w:rPr>
                <w:rFonts w:ascii="Arial" w:hAnsi="Arial" w:cs="Arial"/>
                <w:b/>
                <w:bCs/>
                <w:sz w:val="20"/>
                <w:szCs w:val="20"/>
                <w:lang w:val="en-GB"/>
              </w:rPr>
              <w:t xml:space="preserve"> to </w:t>
            </w:r>
            <w:proofErr w:type="spellStart"/>
            <w:r w:rsidRPr="00F557D2">
              <w:rPr>
                <w:rFonts w:ascii="Arial" w:hAnsi="Arial" w:cs="Arial"/>
                <w:b/>
                <w:bCs/>
                <w:sz w:val="20"/>
                <w:szCs w:val="20"/>
                <w:lang w:val="en-GB"/>
              </w:rPr>
              <w:t>Somanath</w:t>
            </w:r>
            <w:proofErr w:type="spellEnd"/>
            <w:r w:rsidRPr="00F557D2">
              <w:rPr>
                <w:rFonts w:ascii="Arial" w:hAnsi="Arial" w:cs="Arial"/>
                <w:b/>
                <w:bCs/>
                <w:sz w:val="20"/>
                <w:szCs w:val="20"/>
                <w:lang w:val="en-GB"/>
              </w:rPr>
              <w:t xml:space="preserve"> </w:t>
            </w:r>
            <w:proofErr w:type="spellStart"/>
            <w:r w:rsidRPr="00F557D2">
              <w:rPr>
                <w:rFonts w:ascii="Arial" w:hAnsi="Arial" w:cs="Arial"/>
                <w:b/>
                <w:bCs/>
                <w:sz w:val="20"/>
                <w:szCs w:val="20"/>
                <w:lang w:val="en-GB"/>
              </w:rPr>
              <w:t>Batabyal’s</w:t>
            </w:r>
            <w:proofErr w:type="spellEnd"/>
            <w:r w:rsidRPr="00F557D2">
              <w:rPr>
                <w:rFonts w:ascii="Arial" w:hAnsi="Arial" w:cs="Arial"/>
                <w:b/>
                <w:bCs/>
                <w:sz w:val="20"/>
                <w:szCs w:val="20"/>
                <w:lang w:val="en-GB"/>
              </w:rPr>
              <w:t xml:space="preserve"> The Price You Pay, it provides a critical lens to understand how urban spaces in Delhi not only reflect but also actively reinforce power structures, inequality, and identity. The study makes a substantial contribution to interdisciplinary dialogues across literary urban studies, postcolonial urbanism, and Global South urbanization, enriching scholarly discussions on the complex interplay of narrative and space. Furthermore, its findings offer invaluable insights for policymakers and urban planners who are grappling with the challenges of exclusionary development, while also setting a compelling precedent for future research on spatial narratives within both Indian and global urban literature.</w:t>
            </w:r>
          </w:p>
          <w:p w14:paraId="130C0A02" w14:textId="437D2159" w:rsidR="00724C5A" w:rsidRPr="00F557D2" w:rsidRDefault="00724C5A">
            <w:pPr>
              <w:pStyle w:val="ListParagraph"/>
              <w:ind w:left="0"/>
              <w:rPr>
                <w:rFonts w:ascii="Arial" w:hAnsi="Arial" w:cs="Arial"/>
                <w:b/>
                <w:bCs/>
                <w:sz w:val="20"/>
                <w:szCs w:val="20"/>
                <w:lang w:val="en-GB"/>
              </w:rPr>
            </w:pPr>
          </w:p>
        </w:tc>
        <w:tc>
          <w:tcPr>
            <w:tcW w:w="1803" w:type="pct"/>
            <w:gridSpan w:val="2"/>
          </w:tcPr>
          <w:p w14:paraId="4FE89DEE" w14:textId="30ABBB0A" w:rsidR="00724C5A" w:rsidRPr="00F557D2" w:rsidRDefault="00724C5A">
            <w:pPr>
              <w:pStyle w:val="Heading2"/>
              <w:jc w:val="left"/>
              <w:rPr>
                <w:rFonts w:ascii="Arial" w:hAnsi="Arial" w:cs="Arial"/>
                <w:b w:val="0"/>
                <w:lang w:val="en-GB"/>
              </w:rPr>
            </w:pPr>
          </w:p>
        </w:tc>
      </w:tr>
      <w:tr w:rsidR="00724C5A" w:rsidRPr="00F557D2" w14:paraId="6996070D" w14:textId="77777777" w:rsidTr="00724C5A">
        <w:trPr>
          <w:trHeight w:val="1262"/>
        </w:trPr>
        <w:tc>
          <w:tcPr>
            <w:tcW w:w="968" w:type="pct"/>
            <w:noWrap/>
          </w:tcPr>
          <w:p w14:paraId="4E5AB7EF" w14:textId="77777777" w:rsidR="00724C5A" w:rsidRPr="00F557D2" w:rsidRDefault="00724C5A">
            <w:pPr>
              <w:ind w:left="360"/>
              <w:rPr>
                <w:rFonts w:ascii="Arial" w:hAnsi="Arial" w:cs="Arial"/>
                <w:b/>
                <w:bCs/>
                <w:sz w:val="20"/>
                <w:szCs w:val="20"/>
              </w:rPr>
            </w:pPr>
            <w:r w:rsidRPr="00F557D2">
              <w:rPr>
                <w:rFonts w:ascii="Arial" w:hAnsi="Arial" w:cs="Arial"/>
                <w:b/>
                <w:bCs/>
                <w:sz w:val="20"/>
                <w:szCs w:val="20"/>
              </w:rPr>
              <w:t>Is the title of the article suitable?</w:t>
            </w:r>
          </w:p>
          <w:p w14:paraId="094F2B10" w14:textId="77777777" w:rsidR="00724C5A" w:rsidRPr="00F557D2" w:rsidRDefault="00724C5A">
            <w:pPr>
              <w:ind w:left="360"/>
              <w:rPr>
                <w:rFonts w:ascii="Arial" w:hAnsi="Arial" w:cs="Arial"/>
                <w:b/>
                <w:bCs/>
                <w:sz w:val="20"/>
                <w:szCs w:val="20"/>
              </w:rPr>
            </w:pPr>
            <w:r w:rsidRPr="00F557D2">
              <w:rPr>
                <w:rFonts w:ascii="Arial" w:hAnsi="Arial" w:cs="Arial"/>
                <w:b/>
                <w:bCs/>
                <w:sz w:val="20"/>
                <w:szCs w:val="20"/>
              </w:rPr>
              <w:t>(If not please suggest an alternative title)</w:t>
            </w:r>
          </w:p>
          <w:p w14:paraId="3D33B31E" w14:textId="77777777" w:rsidR="00724C5A" w:rsidRPr="00F557D2" w:rsidRDefault="00724C5A">
            <w:pPr>
              <w:pStyle w:val="Heading2"/>
              <w:jc w:val="left"/>
              <w:rPr>
                <w:rFonts w:ascii="Arial" w:hAnsi="Arial" w:cs="Arial"/>
                <w:u w:val="single"/>
                <w:lang w:val="en-GB"/>
              </w:rPr>
            </w:pPr>
          </w:p>
        </w:tc>
        <w:tc>
          <w:tcPr>
            <w:tcW w:w="2229" w:type="pct"/>
            <w:gridSpan w:val="2"/>
          </w:tcPr>
          <w:p w14:paraId="221B28DD" w14:textId="77777777" w:rsidR="00724C5A" w:rsidRPr="00F557D2" w:rsidRDefault="00724C5A" w:rsidP="00383006">
            <w:pPr>
              <w:rPr>
                <w:rFonts w:ascii="Arial" w:hAnsi="Arial" w:cs="Arial"/>
                <w:b/>
                <w:bCs/>
                <w:sz w:val="20"/>
                <w:szCs w:val="20"/>
              </w:rPr>
            </w:pPr>
            <w:r w:rsidRPr="00F557D2">
              <w:rPr>
                <w:rFonts w:ascii="Arial" w:hAnsi="Arial" w:cs="Arial"/>
                <w:b/>
                <w:bCs/>
                <w:sz w:val="20"/>
                <w:szCs w:val="20"/>
              </w:rPr>
              <w:t xml:space="preserve">The current title, "Urban Landscape as Narrative: Mapping Delhi’s </w:t>
            </w:r>
            <w:proofErr w:type="spellStart"/>
            <w:r w:rsidRPr="00F557D2">
              <w:rPr>
                <w:rFonts w:ascii="Arial" w:hAnsi="Arial" w:cs="Arial"/>
                <w:b/>
                <w:bCs/>
                <w:sz w:val="20"/>
                <w:szCs w:val="20"/>
              </w:rPr>
              <w:t>Sociospatial</w:t>
            </w:r>
            <w:proofErr w:type="spellEnd"/>
            <w:r w:rsidRPr="00F557D2">
              <w:rPr>
                <w:rFonts w:ascii="Arial" w:hAnsi="Arial" w:cs="Arial"/>
                <w:b/>
                <w:bCs/>
                <w:sz w:val="20"/>
                <w:szCs w:val="20"/>
              </w:rPr>
              <w:t xml:space="preserve"> Dynamics in </w:t>
            </w:r>
            <w:proofErr w:type="spellStart"/>
            <w:r w:rsidRPr="00F557D2">
              <w:rPr>
                <w:rFonts w:ascii="Arial" w:hAnsi="Arial" w:cs="Arial"/>
                <w:b/>
                <w:bCs/>
                <w:sz w:val="20"/>
                <w:szCs w:val="20"/>
              </w:rPr>
              <w:t>Somanath</w:t>
            </w:r>
            <w:proofErr w:type="spellEnd"/>
            <w:r w:rsidRPr="00F557D2">
              <w:rPr>
                <w:rFonts w:ascii="Arial" w:hAnsi="Arial" w:cs="Arial"/>
                <w:b/>
                <w:bCs/>
                <w:sz w:val="20"/>
                <w:szCs w:val="20"/>
              </w:rPr>
              <w:t xml:space="preserve"> </w:t>
            </w:r>
            <w:proofErr w:type="spellStart"/>
            <w:r w:rsidRPr="00F557D2">
              <w:rPr>
                <w:rFonts w:ascii="Arial" w:hAnsi="Arial" w:cs="Arial"/>
                <w:b/>
                <w:bCs/>
                <w:sz w:val="20"/>
                <w:szCs w:val="20"/>
              </w:rPr>
              <w:t>Batabyal’s</w:t>
            </w:r>
            <w:proofErr w:type="spellEnd"/>
            <w:r w:rsidRPr="00F557D2">
              <w:rPr>
                <w:rFonts w:ascii="Arial" w:hAnsi="Arial" w:cs="Arial"/>
                <w:b/>
                <w:bCs/>
                <w:sz w:val="20"/>
                <w:szCs w:val="20"/>
              </w:rPr>
              <w:t xml:space="preserve"> The Price You Pay," is quite informative but might require refinements for greater clarity and impact.</w:t>
            </w:r>
          </w:p>
          <w:p w14:paraId="78276C09" w14:textId="77777777" w:rsidR="00724C5A" w:rsidRPr="00F557D2" w:rsidRDefault="00724C5A">
            <w:pPr>
              <w:ind w:left="360"/>
              <w:rPr>
                <w:rFonts w:ascii="Arial" w:hAnsi="Arial" w:cs="Arial"/>
                <w:b/>
                <w:bCs/>
                <w:sz w:val="20"/>
                <w:szCs w:val="20"/>
              </w:rPr>
            </w:pPr>
          </w:p>
          <w:p w14:paraId="2497C0A1" w14:textId="01C3C6E8" w:rsidR="00724C5A" w:rsidRPr="00F557D2" w:rsidRDefault="00724C5A" w:rsidP="00383006">
            <w:pPr>
              <w:rPr>
                <w:rFonts w:ascii="Arial" w:hAnsi="Arial" w:cs="Arial"/>
                <w:b/>
                <w:bCs/>
                <w:sz w:val="20"/>
                <w:szCs w:val="20"/>
              </w:rPr>
            </w:pPr>
            <w:proofErr w:type="gramStart"/>
            <w:r w:rsidRPr="00F557D2">
              <w:rPr>
                <w:rFonts w:ascii="Arial" w:hAnsi="Arial" w:cs="Arial"/>
                <w:b/>
                <w:bCs/>
                <w:sz w:val="20"/>
                <w:szCs w:val="20"/>
              </w:rPr>
              <w:t>Suggested  alternative</w:t>
            </w:r>
            <w:proofErr w:type="gramEnd"/>
            <w:r w:rsidRPr="00F557D2">
              <w:rPr>
                <w:rFonts w:ascii="Arial" w:hAnsi="Arial" w:cs="Arial"/>
                <w:b/>
                <w:bCs/>
                <w:sz w:val="20"/>
                <w:szCs w:val="20"/>
              </w:rPr>
              <w:t xml:space="preserve"> title: </w:t>
            </w:r>
          </w:p>
          <w:p w14:paraId="52C1662A" w14:textId="77777777" w:rsidR="00724C5A" w:rsidRPr="00F557D2" w:rsidRDefault="00724C5A" w:rsidP="00383006">
            <w:pPr>
              <w:rPr>
                <w:rFonts w:ascii="Arial" w:hAnsi="Arial" w:cs="Arial"/>
                <w:b/>
                <w:bCs/>
                <w:sz w:val="20"/>
                <w:szCs w:val="20"/>
              </w:rPr>
            </w:pPr>
            <w:r w:rsidRPr="00F557D2">
              <w:rPr>
                <w:rFonts w:ascii="Arial" w:hAnsi="Arial" w:cs="Arial"/>
                <w:b/>
                <w:bCs/>
                <w:sz w:val="20"/>
                <w:szCs w:val="20"/>
              </w:rPr>
              <w:t xml:space="preserve">"Space, Power, and Narrative: Delhi’s Urban Landscape in </w:t>
            </w:r>
            <w:proofErr w:type="spellStart"/>
            <w:r w:rsidRPr="00F557D2">
              <w:rPr>
                <w:rFonts w:ascii="Arial" w:hAnsi="Arial" w:cs="Arial"/>
                <w:b/>
                <w:bCs/>
                <w:sz w:val="20"/>
                <w:szCs w:val="20"/>
              </w:rPr>
              <w:t>Batabyal’s</w:t>
            </w:r>
            <w:proofErr w:type="spellEnd"/>
            <w:r w:rsidRPr="00F557D2">
              <w:rPr>
                <w:rFonts w:ascii="Arial" w:hAnsi="Arial" w:cs="Arial"/>
                <w:b/>
                <w:bCs/>
                <w:sz w:val="20"/>
                <w:szCs w:val="20"/>
              </w:rPr>
              <w:t xml:space="preserve"> The Price You Pay," </w:t>
            </w:r>
          </w:p>
          <w:p w14:paraId="036B697B" w14:textId="60794694" w:rsidR="00724C5A" w:rsidRPr="00F557D2" w:rsidRDefault="00724C5A" w:rsidP="004D4FA9">
            <w:pPr>
              <w:rPr>
                <w:rFonts w:ascii="Arial" w:hAnsi="Arial" w:cs="Arial"/>
                <w:b/>
                <w:bCs/>
                <w:sz w:val="20"/>
                <w:szCs w:val="20"/>
              </w:rPr>
            </w:pPr>
            <w:r w:rsidRPr="00F557D2">
              <w:rPr>
                <w:rFonts w:ascii="Arial" w:hAnsi="Arial" w:cs="Arial"/>
                <w:b/>
                <w:bCs/>
                <w:sz w:val="20"/>
                <w:szCs w:val="20"/>
              </w:rPr>
              <w:t>This version maintains theoretical rigor while making the title more dynamic and engaging, clearly indicating the central themes of space, power, and narrative within the specific urban and literary context.</w:t>
            </w:r>
          </w:p>
        </w:tc>
        <w:tc>
          <w:tcPr>
            <w:tcW w:w="1803" w:type="pct"/>
            <w:gridSpan w:val="2"/>
          </w:tcPr>
          <w:p w14:paraId="4ABA5685" w14:textId="150E6007" w:rsidR="00724C5A" w:rsidRPr="00F557D2" w:rsidRDefault="00724C5A">
            <w:pPr>
              <w:pStyle w:val="Heading2"/>
              <w:jc w:val="left"/>
              <w:rPr>
                <w:rFonts w:ascii="Arial" w:hAnsi="Arial" w:cs="Arial"/>
                <w:b w:val="0"/>
                <w:lang w:val="en-GB"/>
              </w:rPr>
            </w:pPr>
          </w:p>
        </w:tc>
      </w:tr>
      <w:tr w:rsidR="00724C5A" w:rsidRPr="00F557D2" w14:paraId="05C02AEB" w14:textId="77777777" w:rsidTr="00724C5A">
        <w:trPr>
          <w:trHeight w:val="1262"/>
        </w:trPr>
        <w:tc>
          <w:tcPr>
            <w:tcW w:w="968" w:type="pct"/>
            <w:noWrap/>
          </w:tcPr>
          <w:p w14:paraId="3B997CA7" w14:textId="77777777" w:rsidR="00724C5A" w:rsidRPr="00F557D2" w:rsidRDefault="00724C5A">
            <w:pPr>
              <w:pStyle w:val="Heading2"/>
              <w:ind w:left="360"/>
              <w:jc w:val="left"/>
              <w:rPr>
                <w:rFonts w:ascii="Arial" w:hAnsi="Arial" w:cs="Arial"/>
                <w:lang w:val="en-GB"/>
              </w:rPr>
            </w:pPr>
            <w:r w:rsidRPr="00F557D2">
              <w:rPr>
                <w:rFonts w:ascii="Arial" w:hAnsi="Arial" w:cs="Arial"/>
                <w:lang w:val="en-GB"/>
              </w:rPr>
              <w:lastRenderedPageBreak/>
              <w:t>Is the abstract of the article comprehensive? Do you suggest the addition (or deletion) of some points in this section? Please write your suggestions here.</w:t>
            </w:r>
          </w:p>
          <w:p w14:paraId="0A4FE0F9" w14:textId="77777777" w:rsidR="00724C5A" w:rsidRPr="00F557D2" w:rsidRDefault="00724C5A">
            <w:pPr>
              <w:pStyle w:val="Heading2"/>
              <w:jc w:val="left"/>
              <w:rPr>
                <w:rFonts w:ascii="Arial" w:hAnsi="Arial" w:cs="Arial"/>
                <w:u w:val="single"/>
                <w:lang w:val="en-GB"/>
              </w:rPr>
            </w:pPr>
          </w:p>
        </w:tc>
        <w:tc>
          <w:tcPr>
            <w:tcW w:w="2229" w:type="pct"/>
            <w:gridSpan w:val="2"/>
          </w:tcPr>
          <w:p w14:paraId="35765CD1" w14:textId="78818AEA" w:rsidR="00724C5A" w:rsidRPr="00F557D2" w:rsidRDefault="00724C5A" w:rsidP="00E15231">
            <w:pPr>
              <w:rPr>
                <w:rFonts w:ascii="Arial" w:hAnsi="Arial" w:cs="Arial"/>
                <w:b/>
                <w:bCs/>
                <w:sz w:val="20"/>
                <w:szCs w:val="20"/>
              </w:rPr>
            </w:pPr>
            <w:r w:rsidRPr="00F557D2">
              <w:rPr>
                <w:rFonts w:ascii="Arial" w:eastAsia="Times New Roman" w:hAnsi="Arial" w:cs="Arial"/>
                <w:b/>
                <w:bCs/>
                <w:sz w:val="20"/>
                <w:szCs w:val="20"/>
              </w:rPr>
              <w:t>The manuscript is recognized for its strong scholarly rigor, though areas for improvement in scientific accuracy, theoretical alignment, or clarity are identified. Specific revisions for scientific rigor are also proposed, such as updating population data, adding nuance to theoretical application, and addressing intersectionality.</w:t>
            </w:r>
            <w:r w:rsidRPr="00F557D2">
              <w:rPr>
                <w:rFonts w:ascii="Arial" w:eastAsia="Times New Roman" w:hAnsi="Arial" w:cs="Arial"/>
                <w:sz w:val="20"/>
                <w:szCs w:val="20"/>
              </w:rPr>
              <w:br/>
            </w:r>
            <w:r w:rsidRPr="00F557D2">
              <w:rPr>
                <w:rFonts w:ascii="Arial" w:eastAsia="Times New Roman" w:hAnsi="Arial" w:cs="Arial"/>
                <w:b/>
                <w:bCs/>
                <w:sz w:val="20"/>
                <w:szCs w:val="20"/>
              </w:rPr>
              <w:t>Suggestions include:</w:t>
            </w:r>
            <w:r w:rsidRPr="00F557D2">
              <w:rPr>
                <w:rFonts w:ascii="Arial" w:eastAsia="Times New Roman" w:hAnsi="Arial" w:cs="Arial"/>
                <w:sz w:val="20"/>
                <w:szCs w:val="20"/>
              </w:rPr>
              <w:br/>
            </w:r>
            <w:r w:rsidRPr="00F557D2">
              <w:rPr>
                <w:rFonts w:ascii="Arial" w:eastAsia="Times New Roman" w:hAnsi="Arial" w:cs="Arial"/>
                <w:b/>
                <w:bCs/>
                <w:sz w:val="20"/>
                <w:szCs w:val="20"/>
              </w:rPr>
              <w:t>- Theoretical Frameworks: Nuancing the application of Lefebvre’s spatial triad and explicitly linking Harvey’s uneven development to capitalist urbanization.</w:t>
            </w:r>
            <w:r w:rsidRPr="00F557D2">
              <w:rPr>
                <w:rFonts w:ascii="Arial" w:eastAsia="Times New Roman" w:hAnsi="Arial" w:cs="Arial"/>
                <w:sz w:val="20"/>
                <w:szCs w:val="20"/>
              </w:rPr>
              <w:br/>
            </w:r>
            <w:r w:rsidRPr="00F557D2">
              <w:rPr>
                <w:rFonts w:ascii="Arial" w:eastAsia="Times New Roman" w:hAnsi="Arial" w:cs="Arial"/>
                <w:b/>
                <w:bCs/>
                <w:sz w:val="20"/>
                <w:szCs w:val="20"/>
              </w:rPr>
              <w:t>- Urban Context: Fact-checking population data for Delhi and specifying the Delhi Metro timeline if later phases are referenced.</w:t>
            </w:r>
            <w:r w:rsidRPr="00F557D2">
              <w:rPr>
                <w:rFonts w:ascii="Arial" w:eastAsia="Times New Roman" w:hAnsi="Arial" w:cs="Arial"/>
                <w:sz w:val="20"/>
                <w:szCs w:val="20"/>
              </w:rPr>
              <w:br/>
            </w:r>
            <w:r w:rsidRPr="00F557D2">
              <w:rPr>
                <w:rFonts w:ascii="Arial" w:eastAsia="Times New Roman" w:hAnsi="Arial" w:cs="Arial"/>
                <w:b/>
                <w:bCs/>
                <w:sz w:val="20"/>
                <w:szCs w:val="20"/>
              </w:rPr>
              <w:t>- Literary Analysis: Deeper engagement with caste and gender dynamics and a brief comparison with other Delhi-centric novels like The White Tiger or The Ministry of Utmost Happiness.</w:t>
            </w:r>
            <w:r w:rsidRPr="00F557D2">
              <w:rPr>
                <w:rFonts w:ascii="Arial" w:eastAsia="Times New Roman" w:hAnsi="Arial" w:cs="Arial"/>
                <w:sz w:val="20"/>
                <w:szCs w:val="20"/>
              </w:rPr>
              <w:br/>
            </w:r>
            <w:r w:rsidRPr="00F557D2">
              <w:rPr>
                <w:rFonts w:ascii="Arial" w:eastAsia="Times New Roman" w:hAnsi="Arial" w:cs="Arial"/>
                <w:b/>
                <w:bCs/>
                <w:sz w:val="20"/>
                <w:szCs w:val="20"/>
              </w:rPr>
              <w:t>- Methodological Clarity: Clarifying how textual analysis intersects with urban theory and whether discourse analysis is employed.</w:t>
            </w:r>
            <w:r w:rsidRPr="00F557D2">
              <w:rPr>
                <w:rFonts w:ascii="Arial" w:eastAsia="Times New Roman" w:hAnsi="Arial" w:cs="Arial"/>
                <w:sz w:val="20"/>
                <w:szCs w:val="20"/>
              </w:rPr>
              <w:br/>
            </w:r>
            <w:r w:rsidRPr="00F557D2">
              <w:rPr>
                <w:rFonts w:ascii="Arial" w:eastAsia="Times New Roman" w:hAnsi="Arial" w:cs="Arial"/>
                <w:b/>
                <w:bCs/>
                <w:sz w:val="20"/>
                <w:szCs w:val="20"/>
              </w:rPr>
              <w:t>  </w:t>
            </w:r>
          </w:p>
        </w:tc>
        <w:tc>
          <w:tcPr>
            <w:tcW w:w="1803" w:type="pct"/>
            <w:gridSpan w:val="2"/>
          </w:tcPr>
          <w:p w14:paraId="18D385C9" w14:textId="42648712" w:rsidR="00724C5A" w:rsidRPr="00F557D2" w:rsidRDefault="00724C5A">
            <w:pPr>
              <w:pStyle w:val="Heading2"/>
              <w:jc w:val="left"/>
              <w:rPr>
                <w:rFonts w:ascii="Arial" w:hAnsi="Arial" w:cs="Arial"/>
                <w:b w:val="0"/>
                <w:lang w:val="en-GB"/>
              </w:rPr>
            </w:pPr>
          </w:p>
        </w:tc>
      </w:tr>
      <w:tr w:rsidR="00724C5A" w:rsidRPr="00F557D2" w14:paraId="480CABE9" w14:textId="77777777" w:rsidTr="00724C5A">
        <w:trPr>
          <w:trHeight w:val="704"/>
        </w:trPr>
        <w:tc>
          <w:tcPr>
            <w:tcW w:w="968" w:type="pct"/>
            <w:noWrap/>
          </w:tcPr>
          <w:p w14:paraId="383B2402" w14:textId="77777777" w:rsidR="00724C5A" w:rsidRPr="00F557D2" w:rsidRDefault="00724C5A">
            <w:pPr>
              <w:pStyle w:val="Heading2"/>
              <w:ind w:left="360"/>
              <w:jc w:val="left"/>
              <w:rPr>
                <w:rFonts w:ascii="Arial" w:hAnsi="Arial" w:cs="Arial"/>
                <w:b w:val="0"/>
                <w:bCs w:val="0"/>
                <w:u w:val="single"/>
                <w:lang w:val="en-GB"/>
              </w:rPr>
            </w:pPr>
            <w:r w:rsidRPr="00F557D2">
              <w:rPr>
                <w:rFonts w:ascii="Arial" w:hAnsi="Arial" w:cs="Arial"/>
                <w:lang w:val="en-GB"/>
              </w:rPr>
              <w:t>Is the manuscript scientifically, correct? Please write here.</w:t>
            </w:r>
          </w:p>
        </w:tc>
        <w:tc>
          <w:tcPr>
            <w:tcW w:w="2229" w:type="pct"/>
            <w:gridSpan w:val="2"/>
          </w:tcPr>
          <w:p w14:paraId="4FE121C4" w14:textId="39E039CC" w:rsidR="00724C5A" w:rsidRPr="00F557D2" w:rsidRDefault="00724C5A">
            <w:pPr>
              <w:pStyle w:val="ListParagraph"/>
              <w:ind w:left="0"/>
              <w:rPr>
                <w:rFonts w:ascii="Arial" w:hAnsi="Arial" w:cs="Arial"/>
                <w:bCs/>
                <w:sz w:val="20"/>
                <w:szCs w:val="20"/>
                <w:lang w:val="en-GB"/>
              </w:rPr>
            </w:pPr>
            <w:r w:rsidRPr="00F557D2">
              <w:rPr>
                <w:rFonts w:ascii="Arial" w:hAnsi="Arial" w:cs="Arial"/>
                <w:b/>
                <w:bCs/>
                <w:sz w:val="20"/>
                <w:szCs w:val="20"/>
              </w:rPr>
              <w:t>The manuscript is recognized for its strong scholarly rigor, though areas for improvement in scientific accuracy, theoretical alignment, or clarity are identified. Specific revisions for scientific rigor are also proposed, such as updating population data, adding nuance to theoretical application, and addressing intersectionality.</w:t>
            </w:r>
            <w:r w:rsidRPr="00F557D2">
              <w:rPr>
                <w:rFonts w:ascii="Arial" w:hAnsi="Arial" w:cs="Arial"/>
                <w:sz w:val="20"/>
                <w:szCs w:val="20"/>
              </w:rPr>
              <w:br/>
            </w:r>
            <w:r w:rsidRPr="00F557D2">
              <w:rPr>
                <w:rFonts w:ascii="Arial" w:hAnsi="Arial" w:cs="Arial"/>
                <w:b/>
                <w:bCs/>
                <w:sz w:val="20"/>
                <w:szCs w:val="20"/>
              </w:rPr>
              <w:t>Suggestions include:</w:t>
            </w:r>
            <w:r w:rsidRPr="00F557D2">
              <w:rPr>
                <w:rFonts w:ascii="Arial" w:hAnsi="Arial" w:cs="Arial"/>
                <w:sz w:val="20"/>
                <w:szCs w:val="20"/>
              </w:rPr>
              <w:br/>
            </w:r>
            <w:r w:rsidRPr="00F557D2">
              <w:rPr>
                <w:rFonts w:ascii="Arial" w:hAnsi="Arial" w:cs="Arial"/>
                <w:b/>
                <w:bCs/>
                <w:sz w:val="20"/>
                <w:szCs w:val="20"/>
              </w:rPr>
              <w:t>- Theoretical Frameworks: Nuancing the application of Lefebvre’s spatial triad and explicitly linking Harvey’s uneven development to capitalist urbanization.</w:t>
            </w:r>
            <w:r w:rsidRPr="00F557D2">
              <w:rPr>
                <w:rFonts w:ascii="Arial" w:hAnsi="Arial" w:cs="Arial"/>
                <w:sz w:val="20"/>
                <w:szCs w:val="20"/>
              </w:rPr>
              <w:br/>
            </w:r>
            <w:r w:rsidRPr="00F557D2">
              <w:rPr>
                <w:rFonts w:ascii="Arial" w:hAnsi="Arial" w:cs="Arial"/>
                <w:b/>
                <w:bCs/>
                <w:sz w:val="20"/>
                <w:szCs w:val="20"/>
              </w:rPr>
              <w:t>- Urban Context: Fact-checking population data for Delhi and specifying the Delhi Metro timeline if later phases are referenced.</w:t>
            </w:r>
            <w:r w:rsidRPr="00F557D2">
              <w:rPr>
                <w:rFonts w:ascii="Arial" w:hAnsi="Arial" w:cs="Arial"/>
                <w:sz w:val="20"/>
                <w:szCs w:val="20"/>
              </w:rPr>
              <w:br/>
            </w:r>
            <w:r w:rsidRPr="00F557D2">
              <w:rPr>
                <w:rFonts w:ascii="Arial" w:hAnsi="Arial" w:cs="Arial"/>
                <w:b/>
                <w:bCs/>
                <w:sz w:val="20"/>
                <w:szCs w:val="20"/>
              </w:rPr>
              <w:t>- Literary Analysis: Deeper engagement with caste and gender dynamics and a brief comparison with other Delhi-centric novels like The White Tiger or The Ministry of Utmost Happiness.</w:t>
            </w:r>
            <w:r w:rsidRPr="00F557D2">
              <w:rPr>
                <w:rFonts w:ascii="Arial" w:hAnsi="Arial" w:cs="Arial"/>
                <w:sz w:val="20"/>
                <w:szCs w:val="20"/>
              </w:rPr>
              <w:br/>
            </w:r>
            <w:r w:rsidRPr="00F557D2">
              <w:rPr>
                <w:rFonts w:ascii="Arial" w:hAnsi="Arial" w:cs="Arial"/>
                <w:b/>
                <w:bCs/>
                <w:sz w:val="20"/>
                <w:szCs w:val="20"/>
              </w:rPr>
              <w:t>- Methodological Clarity: Clarifying how textual analysis intersects with urban theory and whether discourse analysis is employed.</w:t>
            </w:r>
          </w:p>
        </w:tc>
        <w:tc>
          <w:tcPr>
            <w:tcW w:w="1803" w:type="pct"/>
            <w:gridSpan w:val="2"/>
          </w:tcPr>
          <w:p w14:paraId="0AD92928" w14:textId="4EB80634" w:rsidR="00724C5A" w:rsidRPr="00F557D2" w:rsidRDefault="00724C5A">
            <w:pPr>
              <w:pStyle w:val="Heading2"/>
              <w:jc w:val="left"/>
              <w:rPr>
                <w:rFonts w:ascii="Arial" w:hAnsi="Arial" w:cs="Arial"/>
                <w:b w:val="0"/>
                <w:lang w:val="en-GB"/>
              </w:rPr>
            </w:pPr>
          </w:p>
        </w:tc>
      </w:tr>
      <w:tr w:rsidR="00724C5A" w:rsidRPr="00F557D2" w14:paraId="4DE81D48" w14:textId="77777777" w:rsidTr="00724C5A">
        <w:trPr>
          <w:trHeight w:val="703"/>
        </w:trPr>
        <w:tc>
          <w:tcPr>
            <w:tcW w:w="968" w:type="pct"/>
            <w:noWrap/>
          </w:tcPr>
          <w:p w14:paraId="292BF551" w14:textId="77777777" w:rsidR="00724C5A" w:rsidRPr="00F557D2" w:rsidRDefault="00724C5A">
            <w:pPr>
              <w:ind w:left="360"/>
              <w:rPr>
                <w:rFonts w:ascii="Arial" w:hAnsi="Arial" w:cs="Arial"/>
                <w:b/>
                <w:bCs/>
                <w:sz w:val="20"/>
                <w:szCs w:val="20"/>
              </w:rPr>
            </w:pPr>
            <w:r w:rsidRPr="00F557D2">
              <w:rPr>
                <w:rFonts w:ascii="Arial" w:hAnsi="Arial" w:cs="Arial"/>
                <w:b/>
                <w:bCs/>
                <w:sz w:val="20"/>
                <w:szCs w:val="20"/>
              </w:rPr>
              <w:t>Are the references sufficient and recent? If you have suggestions of additional references, please mention them in the review form.</w:t>
            </w:r>
          </w:p>
        </w:tc>
        <w:tc>
          <w:tcPr>
            <w:tcW w:w="2229" w:type="pct"/>
            <w:gridSpan w:val="2"/>
          </w:tcPr>
          <w:p w14:paraId="773F2060" w14:textId="77777777" w:rsidR="00724C5A" w:rsidRPr="00F557D2" w:rsidRDefault="00724C5A">
            <w:pPr>
              <w:pStyle w:val="ListParagraph"/>
              <w:ind w:left="0"/>
              <w:rPr>
                <w:rFonts w:ascii="Arial" w:hAnsi="Arial" w:cs="Arial"/>
                <w:sz w:val="20"/>
                <w:szCs w:val="20"/>
              </w:rPr>
            </w:pPr>
            <w:r w:rsidRPr="00F557D2">
              <w:rPr>
                <w:rFonts w:ascii="Arial" w:hAnsi="Arial" w:cs="Arial"/>
                <w:b/>
                <w:bCs/>
                <w:sz w:val="20"/>
                <w:szCs w:val="20"/>
              </w:rPr>
              <w:t>The references provide foundational texts and key works on Delhi’s urbanism. However, additions and updates are suggested to enhance scholarly depth and timeliness. These include:</w:t>
            </w:r>
            <w:r w:rsidRPr="00F557D2">
              <w:rPr>
                <w:rFonts w:ascii="Arial" w:hAnsi="Arial" w:cs="Arial"/>
                <w:sz w:val="20"/>
                <w:szCs w:val="20"/>
              </w:rPr>
              <w:br/>
            </w:r>
            <w:r w:rsidRPr="00F557D2">
              <w:rPr>
                <w:rFonts w:ascii="Arial" w:hAnsi="Arial" w:cs="Arial"/>
                <w:b/>
                <w:bCs/>
                <w:sz w:val="20"/>
                <w:szCs w:val="20"/>
              </w:rPr>
              <w:t>1. Recent Urban Studies (Post-2020): Sources on Delhi’s neoliberal urbanism, caste/spatial segregation, and gender and urban space.</w:t>
            </w:r>
            <w:r w:rsidRPr="00F557D2">
              <w:rPr>
                <w:rFonts w:ascii="Arial" w:hAnsi="Arial" w:cs="Arial"/>
                <w:sz w:val="20"/>
                <w:szCs w:val="20"/>
              </w:rPr>
              <w:t xml:space="preserve"> </w:t>
            </w:r>
            <w:r w:rsidRPr="00F557D2">
              <w:rPr>
                <w:rFonts w:ascii="Arial" w:hAnsi="Arial" w:cs="Arial"/>
                <w:sz w:val="20"/>
                <w:szCs w:val="20"/>
              </w:rPr>
              <w:br/>
            </w:r>
            <w:r w:rsidRPr="00F557D2">
              <w:rPr>
                <w:rFonts w:ascii="Arial" w:hAnsi="Arial" w:cs="Arial"/>
                <w:sz w:val="20"/>
                <w:szCs w:val="20"/>
              </w:rPr>
              <w:br/>
            </w:r>
            <w:r w:rsidRPr="00F557D2">
              <w:rPr>
                <w:rFonts w:ascii="Arial" w:hAnsi="Arial" w:cs="Arial"/>
                <w:b/>
                <w:bCs/>
                <w:sz w:val="20"/>
                <w:szCs w:val="20"/>
              </w:rPr>
              <w:t>Suggested Additional references:</w:t>
            </w:r>
            <w:r w:rsidRPr="00F557D2">
              <w:rPr>
                <w:rFonts w:ascii="Arial" w:hAnsi="Arial" w:cs="Arial"/>
                <w:sz w:val="20"/>
                <w:szCs w:val="20"/>
              </w:rPr>
              <w:br/>
            </w:r>
            <w:r w:rsidRPr="00F557D2">
              <w:rPr>
                <w:rFonts w:ascii="Arial" w:hAnsi="Arial" w:cs="Arial"/>
                <w:sz w:val="20"/>
                <w:szCs w:val="20"/>
              </w:rPr>
              <w:br/>
            </w:r>
            <w:r w:rsidRPr="00F557D2">
              <w:rPr>
                <w:rFonts w:ascii="Arial" w:hAnsi="Arial" w:cs="Arial"/>
                <w:b/>
                <w:bCs/>
                <w:sz w:val="20"/>
                <w:szCs w:val="20"/>
              </w:rPr>
              <w:t>Delhi’s Neoliberal Urbanism:</w:t>
            </w:r>
            <w:r w:rsidRPr="00F557D2">
              <w:rPr>
                <w:rFonts w:ascii="Arial" w:hAnsi="Arial" w:cs="Arial"/>
                <w:sz w:val="20"/>
                <w:szCs w:val="20"/>
              </w:rPr>
              <w:br/>
            </w:r>
            <w:proofErr w:type="spellStart"/>
            <w:r w:rsidRPr="00F557D2">
              <w:rPr>
                <w:rFonts w:ascii="Arial" w:hAnsi="Arial" w:cs="Arial"/>
                <w:b/>
                <w:bCs/>
                <w:sz w:val="20"/>
                <w:szCs w:val="20"/>
              </w:rPr>
              <w:t>Bhan</w:t>
            </w:r>
            <w:proofErr w:type="spellEnd"/>
            <w:r w:rsidRPr="00F557D2">
              <w:rPr>
                <w:rFonts w:ascii="Arial" w:hAnsi="Arial" w:cs="Arial"/>
                <w:b/>
                <w:bCs/>
                <w:sz w:val="20"/>
                <w:szCs w:val="20"/>
              </w:rPr>
              <w:t>, G. (2019). Notes on a Southern Urban Practice. Environment and Urbanization, 31(2), 639–654.</w:t>
            </w:r>
            <w:r w:rsidRPr="00F557D2">
              <w:rPr>
                <w:rFonts w:ascii="Arial" w:hAnsi="Arial" w:cs="Arial"/>
                <w:sz w:val="20"/>
                <w:szCs w:val="20"/>
              </w:rPr>
              <w:br/>
            </w:r>
            <w:r w:rsidRPr="00F557D2">
              <w:rPr>
                <w:rFonts w:ascii="Arial" w:hAnsi="Arial" w:cs="Arial"/>
                <w:b/>
                <w:bCs/>
                <w:sz w:val="20"/>
                <w:szCs w:val="20"/>
              </w:rPr>
              <w:t>(This reference critiques Delhi’s exclusionary planning and complements Harvey’s uneven development.)</w:t>
            </w:r>
            <w:r w:rsidRPr="00F557D2">
              <w:rPr>
                <w:rFonts w:ascii="Arial" w:hAnsi="Arial" w:cs="Arial"/>
                <w:sz w:val="20"/>
                <w:szCs w:val="20"/>
              </w:rPr>
              <w:br/>
            </w:r>
            <w:proofErr w:type="spellStart"/>
            <w:r w:rsidRPr="00F557D2">
              <w:rPr>
                <w:rFonts w:ascii="Arial" w:hAnsi="Arial" w:cs="Arial"/>
                <w:b/>
                <w:bCs/>
                <w:sz w:val="20"/>
                <w:szCs w:val="20"/>
              </w:rPr>
              <w:t>Zérah</w:t>
            </w:r>
            <w:proofErr w:type="spellEnd"/>
            <w:r w:rsidRPr="00F557D2">
              <w:rPr>
                <w:rFonts w:ascii="Arial" w:hAnsi="Arial" w:cs="Arial"/>
                <w:b/>
                <w:bCs/>
                <w:sz w:val="20"/>
                <w:szCs w:val="20"/>
              </w:rPr>
              <w:t>, M.-H. (2022). Infrastructure and the Politics of Urban Space: Delhi’s Metro. Contemporary South Asia, 30(1), 78–92.</w:t>
            </w:r>
            <w:r w:rsidRPr="00F557D2">
              <w:rPr>
                <w:rFonts w:ascii="Arial" w:hAnsi="Arial" w:cs="Arial"/>
                <w:sz w:val="20"/>
                <w:szCs w:val="20"/>
              </w:rPr>
              <w:t xml:space="preserve"> </w:t>
            </w:r>
            <w:r w:rsidRPr="00F557D2">
              <w:rPr>
                <w:rFonts w:ascii="Arial" w:hAnsi="Arial" w:cs="Arial"/>
                <w:sz w:val="20"/>
                <w:szCs w:val="20"/>
              </w:rPr>
              <w:br/>
            </w:r>
          </w:p>
          <w:p w14:paraId="166EFEF1" w14:textId="4FDA9B40" w:rsidR="00724C5A" w:rsidRPr="00F557D2" w:rsidRDefault="00724C5A">
            <w:pPr>
              <w:pStyle w:val="ListParagraph"/>
              <w:ind w:left="0"/>
              <w:rPr>
                <w:rFonts w:ascii="Arial" w:hAnsi="Arial" w:cs="Arial"/>
                <w:b/>
                <w:bCs/>
                <w:sz w:val="20"/>
                <w:szCs w:val="20"/>
              </w:rPr>
            </w:pPr>
            <w:r w:rsidRPr="00F557D2">
              <w:rPr>
                <w:rFonts w:ascii="Arial" w:hAnsi="Arial" w:cs="Arial"/>
                <w:sz w:val="20"/>
                <w:szCs w:val="20"/>
              </w:rPr>
              <w:br/>
            </w:r>
            <w:r w:rsidRPr="00F557D2">
              <w:rPr>
                <w:rFonts w:ascii="Arial" w:hAnsi="Arial" w:cs="Arial"/>
                <w:b/>
                <w:bCs/>
                <w:sz w:val="20"/>
                <w:szCs w:val="20"/>
              </w:rPr>
              <w:t>Caste/Spatial Segregation:</w:t>
            </w:r>
            <w:r w:rsidRPr="00F557D2">
              <w:rPr>
                <w:rFonts w:ascii="Arial" w:hAnsi="Arial" w:cs="Arial"/>
                <w:sz w:val="20"/>
                <w:szCs w:val="20"/>
              </w:rPr>
              <w:br/>
            </w:r>
            <w:r w:rsidRPr="00F557D2">
              <w:rPr>
                <w:rFonts w:ascii="Arial" w:hAnsi="Arial" w:cs="Arial"/>
                <w:b/>
                <w:bCs/>
                <w:sz w:val="20"/>
                <w:szCs w:val="20"/>
              </w:rPr>
              <w:t>Yadav, S. (2020). Caste and the City: A Study of Delhi’s Urban Villages. Economic &amp; Political Weekly, 55(12), 45–52.</w:t>
            </w:r>
            <w:r w:rsidRPr="00F557D2">
              <w:rPr>
                <w:rFonts w:ascii="Arial" w:hAnsi="Arial" w:cs="Arial"/>
                <w:sz w:val="20"/>
                <w:szCs w:val="20"/>
              </w:rPr>
              <w:br/>
            </w:r>
            <w:r w:rsidRPr="00F557D2">
              <w:rPr>
                <w:rFonts w:ascii="Arial" w:hAnsi="Arial" w:cs="Arial"/>
                <w:b/>
                <w:bCs/>
                <w:sz w:val="20"/>
                <w:szCs w:val="20"/>
              </w:rPr>
              <w:t>(Fills a gap in the article's analysis of slums/urban villages.)</w:t>
            </w:r>
            <w:r w:rsidRPr="00F557D2">
              <w:rPr>
                <w:rFonts w:ascii="Arial" w:hAnsi="Arial" w:cs="Arial"/>
                <w:sz w:val="20"/>
                <w:szCs w:val="20"/>
              </w:rPr>
              <w:t xml:space="preserve"> </w:t>
            </w:r>
            <w:r w:rsidRPr="00F557D2">
              <w:rPr>
                <w:rFonts w:ascii="Arial" w:hAnsi="Arial" w:cs="Arial"/>
                <w:sz w:val="20"/>
                <w:szCs w:val="20"/>
              </w:rPr>
              <w:br/>
            </w:r>
            <w:r w:rsidRPr="00F557D2">
              <w:rPr>
                <w:rFonts w:ascii="Arial" w:hAnsi="Arial" w:cs="Arial"/>
                <w:sz w:val="20"/>
                <w:szCs w:val="20"/>
              </w:rPr>
              <w:br/>
            </w:r>
            <w:r w:rsidRPr="00F557D2">
              <w:rPr>
                <w:rFonts w:ascii="Arial" w:hAnsi="Arial" w:cs="Arial"/>
                <w:b/>
                <w:bCs/>
                <w:sz w:val="20"/>
                <w:szCs w:val="20"/>
              </w:rPr>
              <w:t>2. Literary Theory and Global South Urbanism: Works on comparative urban fiction, slow violence, and digital/new media spaces.</w:t>
            </w:r>
            <w:r w:rsidRPr="00F557D2">
              <w:rPr>
                <w:rFonts w:ascii="Arial" w:hAnsi="Arial" w:cs="Arial"/>
                <w:sz w:val="20"/>
                <w:szCs w:val="20"/>
              </w:rPr>
              <w:t xml:space="preserve"> </w:t>
            </w:r>
            <w:r w:rsidRPr="00F557D2">
              <w:rPr>
                <w:rFonts w:ascii="Arial" w:hAnsi="Arial" w:cs="Arial"/>
                <w:sz w:val="20"/>
                <w:szCs w:val="20"/>
              </w:rPr>
              <w:br/>
            </w:r>
            <w:r w:rsidRPr="00F557D2">
              <w:rPr>
                <w:rFonts w:ascii="Arial" w:hAnsi="Arial" w:cs="Arial"/>
                <w:sz w:val="20"/>
                <w:szCs w:val="20"/>
              </w:rPr>
              <w:br/>
            </w:r>
            <w:r w:rsidRPr="00F557D2">
              <w:rPr>
                <w:rFonts w:ascii="Arial" w:hAnsi="Arial" w:cs="Arial"/>
                <w:b/>
                <w:bCs/>
                <w:sz w:val="20"/>
                <w:szCs w:val="20"/>
              </w:rPr>
              <w:t>Huq, H. (2021). Making Sense of the City: Literary Imaginaries of Delhi and Dhaka. Oxford University Press.</w:t>
            </w:r>
            <w:r w:rsidRPr="00F557D2">
              <w:rPr>
                <w:rFonts w:ascii="Arial" w:hAnsi="Arial" w:cs="Arial"/>
                <w:sz w:val="20"/>
                <w:szCs w:val="20"/>
              </w:rPr>
              <w:br/>
            </w:r>
            <w:r w:rsidRPr="00F557D2">
              <w:rPr>
                <w:rFonts w:ascii="Arial" w:hAnsi="Arial" w:cs="Arial"/>
                <w:b/>
                <w:bCs/>
                <w:sz w:val="20"/>
                <w:szCs w:val="20"/>
              </w:rPr>
              <w:t xml:space="preserve">(Contextualizes </w:t>
            </w:r>
            <w:proofErr w:type="spellStart"/>
            <w:r w:rsidRPr="00F557D2">
              <w:rPr>
                <w:rFonts w:ascii="Arial" w:hAnsi="Arial" w:cs="Arial"/>
                <w:b/>
                <w:bCs/>
                <w:sz w:val="20"/>
                <w:szCs w:val="20"/>
              </w:rPr>
              <w:t>Batabyal's</w:t>
            </w:r>
            <w:proofErr w:type="spellEnd"/>
            <w:r w:rsidRPr="00F557D2">
              <w:rPr>
                <w:rFonts w:ascii="Arial" w:hAnsi="Arial" w:cs="Arial"/>
                <w:b/>
                <w:bCs/>
                <w:sz w:val="20"/>
                <w:szCs w:val="20"/>
              </w:rPr>
              <w:t xml:space="preserve"> novel within South Asian urban narratives.) </w:t>
            </w:r>
            <w:r w:rsidRPr="00F557D2">
              <w:rPr>
                <w:rFonts w:ascii="Arial" w:hAnsi="Arial" w:cs="Arial"/>
                <w:sz w:val="20"/>
                <w:szCs w:val="20"/>
              </w:rPr>
              <w:br/>
            </w:r>
            <w:r w:rsidRPr="00F557D2">
              <w:rPr>
                <w:rFonts w:ascii="Arial" w:hAnsi="Arial" w:cs="Arial"/>
                <w:b/>
                <w:bCs/>
                <w:sz w:val="20"/>
                <w:szCs w:val="20"/>
              </w:rPr>
              <w:t xml:space="preserve">Nixon, R. (2022). Slow Violence and the Environmentalism of the Poor. Harvard University </w:t>
            </w:r>
            <w:r w:rsidRPr="00F557D2">
              <w:rPr>
                <w:rFonts w:ascii="Arial" w:hAnsi="Arial" w:cs="Arial"/>
                <w:b/>
                <w:bCs/>
                <w:sz w:val="20"/>
                <w:szCs w:val="20"/>
              </w:rPr>
              <w:lastRenderedPageBreak/>
              <w:t>Press.</w:t>
            </w:r>
            <w:r w:rsidRPr="00F557D2">
              <w:rPr>
                <w:rFonts w:ascii="Arial" w:hAnsi="Arial" w:cs="Arial"/>
                <w:sz w:val="20"/>
                <w:szCs w:val="20"/>
              </w:rPr>
              <w:br/>
            </w:r>
            <w:r w:rsidRPr="00F557D2">
              <w:rPr>
                <w:rFonts w:ascii="Arial" w:hAnsi="Arial" w:cs="Arial"/>
                <w:b/>
                <w:bCs/>
                <w:sz w:val="20"/>
                <w:szCs w:val="20"/>
              </w:rPr>
              <w:t>(Useful for linking slum demolitions to environmental justice.)</w:t>
            </w:r>
            <w:r w:rsidRPr="00F557D2">
              <w:rPr>
                <w:rFonts w:ascii="Arial" w:hAnsi="Arial" w:cs="Arial"/>
                <w:sz w:val="20"/>
                <w:szCs w:val="20"/>
              </w:rPr>
              <w:br/>
            </w:r>
            <w:r w:rsidRPr="00F557D2">
              <w:rPr>
                <w:rFonts w:ascii="Arial" w:hAnsi="Arial" w:cs="Arial"/>
                <w:sz w:val="20"/>
                <w:szCs w:val="20"/>
              </w:rPr>
              <w:br/>
            </w:r>
            <w:r w:rsidRPr="00F557D2">
              <w:rPr>
                <w:rFonts w:ascii="Arial" w:hAnsi="Arial" w:cs="Arial"/>
                <w:b/>
                <w:bCs/>
                <w:sz w:val="20"/>
                <w:szCs w:val="20"/>
              </w:rPr>
              <w:t>Minor Updates: Ensuring current population projections are accurately cited and supplementing older works with newer editions or related publications.</w:t>
            </w:r>
          </w:p>
        </w:tc>
        <w:tc>
          <w:tcPr>
            <w:tcW w:w="1803" w:type="pct"/>
            <w:gridSpan w:val="2"/>
          </w:tcPr>
          <w:p w14:paraId="3B372736" w14:textId="29ED7EF3" w:rsidR="00724C5A" w:rsidRPr="00F557D2" w:rsidRDefault="00724C5A">
            <w:pPr>
              <w:pStyle w:val="Heading2"/>
              <w:jc w:val="left"/>
              <w:rPr>
                <w:rFonts w:ascii="Arial" w:hAnsi="Arial" w:cs="Arial"/>
                <w:b w:val="0"/>
                <w:lang w:val="en-GB"/>
              </w:rPr>
            </w:pPr>
          </w:p>
        </w:tc>
      </w:tr>
      <w:tr w:rsidR="00724C5A" w:rsidRPr="00F557D2" w14:paraId="1B0F194B" w14:textId="77777777" w:rsidTr="00724C5A">
        <w:trPr>
          <w:trHeight w:val="386"/>
        </w:trPr>
        <w:tc>
          <w:tcPr>
            <w:tcW w:w="968" w:type="pct"/>
            <w:noWrap/>
          </w:tcPr>
          <w:p w14:paraId="5CB824C0" w14:textId="77777777" w:rsidR="00724C5A" w:rsidRPr="00F557D2" w:rsidRDefault="00724C5A">
            <w:pPr>
              <w:pStyle w:val="Heading2"/>
              <w:ind w:left="360"/>
              <w:jc w:val="left"/>
              <w:rPr>
                <w:rFonts w:ascii="Arial" w:hAnsi="Arial" w:cs="Arial"/>
                <w:bCs w:val="0"/>
                <w:lang w:val="en-GB"/>
              </w:rPr>
            </w:pPr>
            <w:r w:rsidRPr="00F557D2">
              <w:rPr>
                <w:rFonts w:ascii="Arial" w:hAnsi="Arial" w:cs="Arial"/>
                <w:bCs w:val="0"/>
                <w:lang w:val="en-GB"/>
              </w:rPr>
              <w:t>Is the language/English quality of the article suitable for scholarly communications?</w:t>
            </w:r>
          </w:p>
          <w:p w14:paraId="1F66D289" w14:textId="77777777" w:rsidR="00724C5A" w:rsidRPr="00F557D2" w:rsidRDefault="00724C5A">
            <w:pPr>
              <w:rPr>
                <w:rFonts w:ascii="Arial" w:hAnsi="Arial" w:cs="Arial"/>
                <w:sz w:val="20"/>
                <w:szCs w:val="20"/>
              </w:rPr>
            </w:pPr>
          </w:p>
        </w:tc>
        <w:tc>
          <w:tcPr>
            <w:tcW w:w="2229" w:type="pct"/>
            <w:gridSpan w:val="2"/>
          </w:tcPr>
          <w:p w14:paraId="46A7A41E" w14:textId="1B71A2B7" w:rsidR="00724C5A" w:rsidRPr="00F557D2" w:rsidRDefault="00724C5A">
            <w:pPr>
              <w:rPr>
                <w:rFonts w:ascii="Arial" w:hAnsi="Arial" w:cs="Arial"/>
                <w:sz w:val="20"/>
                <w:szCs w:val="20"/>
              </w:rPr>
            </w:pPr>
            <w:r w:rsidRPr="00F557D2">
              <w:rPr>
                <w:rFonts w:ascii="Arial" w:eastAsia="Times New Roman" w:hAnsi="Arial" w:cs="Arial"/>
                <w:b/>
                <w:bCs/>
                <w:sz w:val="20"/>
                <w:szCs w:val="20"/>
              </w:rPr>
              <w:t xml:space="preserve">The manuscript demonstrates strong academic writing and the language is scholarly appropriate with a clear signposting and logical flow. </w:t>
            </w:r>
            <w:proofErr w:type="gramStart"/>
            <w:r w:rsidRPr="00F557D2">
              <w:rPr>
                <w:rFonts w:ascii="Arial" w:eastAsia="Times New Roman" w:hAnsi="Arial" w:cs="Arial"/>
                <w:b/>
                <w:bCs/>
                <w:sz w:val="20"/>
                <w:szCs w:val="20"/>
              </w:rPr>
              <w:t>However</w:t>
            </w:r>
            <w:proofErr w:type="gramEnd"/>
            <w:r w:rsidRPr="00F557D2">
              <w:rPr>
                <w:rFonts w:ascii="Arial" w:eastAsia="Times New Roman" w:hAnsi="Arial" w:cs="Arial"/>
                <w:b/>
                <w:bCs/>
                <w:sz w:val="20"/>
                <w:szCs w:val="20"/>
              </w:rPr>
              <w:t xml:space="preserve"> some sentences are overly complex or repetitive, with multiple clauses which can disrupt readability. The theoretical passages are quite dense and could be streamlined for readability.</w:t>
            </w:r>
            <w:r w:rsidRPr="00F557D2">
              <w:rPr>
                <w:rFonts w:ascii="Arial" w:eastAsia="Times New Roman" w:hAnsi="Arial" w:cs="Arial"/>
                <w:sz w:val="20"/>
                <w:szCs w:val="20"/>
              </w:rPr>
              <w:br/>
            </w:r>
            <w:r w:rsidRPr="00F557D2">
              <w:rPr>
                <w:rFonts w:ascii="Arial" w:eastAsia="Times New Roman" w:hAnsi="Arial" w:cs="Arial"/>
                <w:b/>
                <w:bCs/>
                <w:sz w:val="20"/>
                <w:szCs w:val="20"/>
              </w:rPr>
              <w:t>Therefore there are areas where language precision, conciseness, and stylistic conventions could be refined to meet top-tier scholarly standards.</w:t>
            </w:r>
            <w:r w:rsidRPr="00F557D2">
              <w:rPr>
                <w:rFonts w:ascii="Arial" w:eastAsia="Times New Roman" w:hAnsi="Arial" w:cs="Arial"/>
                <w:sz w:val="20"/>
                <w:szCs w:val="20"/>
              </w:rPr>
              <w:br/>
            </w:r>
            <w:r w:rsidRPr="00F557D2">
              <w:rPr>
                <w:rFonts w:ascii="Arial" w:eastAsia="Times New Roman" w:hAnsi="Arial" w:cs="Arial"/>
                <w:b/>
                <w:bCs/>
                <w:sz w:val="20"/>
                <w:szCs w:val="20"/>
              </w:rPr>
              <w:t>The article would benefit from:</w:t>
            </w:r>
            <w:r w:rsidRPr="00F557D2">
              <w:rPr>
                <w:rFonts w:ascii="Arial" w:eastAsia="Times New Roman" w:hAnsi="Arial" w:cs="Arial"/>
                <w:sz w:val="20"/>
                <w:szCs w:val="20"/>
              </w:rPr>
              <w:br/>
            </w:r>
            <w:r w:rsidRPr="00F557D2">
              <w:rPr>
                <w:rFonts w:ascii="Arial" w:eastAsia="Times New Roman" w:hAnsi="Arial" w:cs="Arial"/>
                <w:b/>
                <w:bCs/>
                <w:sz w:val="20"/>
                <w:szCs w:val="20"/>
              </w:rPr>
              <w:t>- A reduction in wordiness (especially in the abstract and theoretical sections).</w:t>
            </w:r>
            <w:r w:rsidRPr="00F557D2">
              <w:rPr>
                <w:rFonts w:ascii="Arial" w:eastAsia="Times New Roman" w:hAnsi="Arial" w:cs="Arial"/>
                <w:sz w:val="20"/>
                <w:szCs w:val="20"/>
              </w:rPr>
              <w:br/>
            </w:r>
            <w:r w:rsidRPr="00F557D2">
              <w:rPr>
                <w:rFonts w:ascii="Arial" w:eastAsia="Times New Roman" w:hAnsi="Arial" w:cs="Arial"/>
                <w:b/>
                <w:bCs/>
                <w:sz w:val="20"/>
                <w:szCs w:val="20"/>
              </w:rPr>
              <w:t>- More active voice (than passive) to enhance clarity and directness.</w:t>
            </w:r>
            <w:r w:rsidRPr="00F557D2">
              <w:rPr>
                <w:rFonts w:ascii="Arial" w:eastAsia="Times New Roman" w:hAnsi="Arial" w:cs="Arial"/>
                <w:sz w:val="20"/>
                <w:szCs w:val="20"/>
              </w:rPr>
              <w:br/>
            </w:r>
            <w:r w:rsidRPr="00F557D2">
              <w:rPr>
                <w:rFonts w:ascii="Arial" w:eastAsia="Times New Roman" w:hAnsi="Arial" w:cs="Arial"/>
                <w:b/>
                <w:bCs/>
                <w:sz w:val="20"/>
                <w:szCs w:val="20"/>
              </w:rPr>
              <w:t>- Consistent UK/US English spelling (e.g., "urbanisation" vs. "urbanization").</w:t>
            </w:r>
            <w:r w:rsidRPr="00F557D2">
              <w:rPr>
                <w:rFonts w:ascii="Arial" w:eastAsia="Times New Roman" w:hAnsi="Arial" w:cs="Arial"/>
                <w:sz w:val="20"/>
                <w:szCs w:val="20"/>
              </w:rPr>
              <w:br/>
            </w:r>
          </w:p>
        </w:tc>
        <w:tc>
          <w:tcPr>
            <w:tcW w:w="1803" w:type="pct"/>
            <w:gridSpan w:val="2"/>
          </w:tcPr>
          <w:p w14:paraId="284FDE47" w14:textId="0AF26799" w:rsidR="00724C5A" w:rsidRPr="00F557D2" w:rsidRDefault="00724C5A">
            <w:pPr>
              <w:rPr>
                <w:rFonts w:ascii="Arial" w:hAnsi="Arial" w:cs="Arial"/>
                <w:sz w:val="20"/>
                <w:szCs w:val="20"/>
              </w:rPr>
            </w:pPr>
          </w:p>
        </w:tc>
      </w:tr>
      <w:tr w:rsidR="00724C5A" w:rsidRPr="00F557D2" w14:paraId="5B86D8E4" w14:textId="77777777" w:rsidTr="00724C5A">
        <w:trPr>
          <w:trHeight w:val="1178"/>
        </w:trPr>
        <w:tc>
          <w:tcPr>
            <w:tcW w:w="968" w:type="pct"/>
            <w:noWrap/>
          </w:tcPr>
          <w:p w14:paraId="2D4A215F" w14:textId="77777777" w:rsidR="00724C5A" w:rsidRPr="00F557D2" w:rsidRDefault="00724C5A">
            <w:pPr>
              <w:pStyle w:val="Heading2"/>
              <w:jc w:val="left"/>
              <w:rPr>
                <w:rFonts w:ascii="Arial" w:hAnsi="Arial" w:cs="Arial"/>
                <w:b w:val="0"/>
                <w:bCs w:val="0"/>
                <w:lang w:val="en-GB"/>
              </w:rPr>
            </w:pPr>
            <w:r w:rsidRPr="00F557D2">
              <w:rPr>
                <w:rFonts w:ascii="Arial" w:hAnsi="Arial" w:cs="Arial"/>
                <w:bCs w:val="0"/>
                <w:u w:val="single"/>
                <w:lang w:val="en-GB"/>
              </w:rPr>
              <w:t>Optional/General</w:t>
            </w:r>
            <w:r w:rsidRPr="00F557D2">
              <w:rPr>
                <w:rFonts w:ascii="Arial" w:hAnsi="Arial" w:cs="Arial"/>
                <w:bCs w:val="0"/>
                <w:lang w:val="en-GB"/>
              </w:rPr>
              <w:t xml:space="preserve"> </w:t>
            </w:r>
            <w:r w:rsidRPr="00F557D2">
              <w:rPr>
                <w:rFonts w:ascii="Arial" w:hAnsi="Arial" w:cs="Arial"/>
                <w:b w:val="0"/>
                <w:bCs w:val="0"/>
                <w:lang w:val="en-GB"/>
              </w:rPr>
              <w:t>comments</w:t>
            </w:r>
          </w:p>
          <w:p w14:paraId="0FEF0C29" w14:textId="77777777" w:rsidR="00724C5A" w:rsidRPr="00F557D2" w:rsidRDefault="00724C5A">
            <w:pPr>
              <w:pStyle w:val="Heading2"/>
              <w:jc w:val="left"/>
              <w:rPr>
                <w:rFonts w:ascii="Arial" w:hAnsi="Arial" w:cs="Arial"/>
                <w:b w:val="0"/>
                <w:lang w:val="en-GB"/>
              </w:rPr>
            </w:pPr>
          </w:p>
        </w:tc>
        <w:tc>
          <w:tcPr>
            <w:tcW w:w="2229" w:type="pct"/>
            <w:gridSpan w:val="2"/>
          </w:tcPr>
          <w:p w14:paraId="50A7D5CC" w14:textId="77777777" w:rsidR="00724C5A" w:rsidRPr="00F557D2" w:rsidRDefault="00724C5A" w:rsidP="00B81B37">
            <w:pPr>
              <w:pStyle w:val="NormalWeb"/>
              <w:spacing w:before="0" w:beforeAutospacing="0" w:after="0" w:afterAutospacing="0"/>
              <w:rPr>
                <w:rFonts w:ascii="Arial" w:hAnsi="Arial" w:cs="Arial"/>
                <w:b/>
                <w:sz w:val="20"/>
                <w:szCs w:val="20"/>
                <w:lang w:val="en-GB"/>
              </w:rPr>
            </w:pPr>
            <w:r w:rsidRPr="00F557D2">
              <w:rPr>
                <w:rFonts w:ascii="Arial" w:hAnsi="Arial" w:cs="Arial"/>
                <w:b/>
                <w:sz w:val="20"/>
                <w:szCs w:val="20"/>
                <w:lang w:val="en-GB"/>
              </w:rPr>
              <w:t>This section offers additional suggestions to further strengthen the manuscript. These include:</w:t>
            </w:r>
          </w:p>
          <w:p w14:paraId="51C1D9D6" w14:textId="77777777" w:rsidR="00724C5A" w:rsidRPr="00F557D2" w:rsidRDefault="00724C5A" w:rsidP="00B81B37">
            <w:pPr>
              <w:pStyle w:val="NormalWeb"/>
              <w:spacing w:before="0" w:beforeAutospacing="0" w:after="0" w:afterAutospacing="0"/>
              <w:rPr>
                <w:rFonts w:ascii="Arial" w:hAnsi="Arial" w:cs="Arial"/>
                <w:b/>
                <w:sz w:val="20"/>
                <w:szCs w:val="20"/>
                <w:lang w:val="en-GB"/>
              </w:rPr>
            </w:pPr>
            <w:r w:rsidRPr="00F557D2">
              <w:rPr>
                <w:rFonts w:ascii="Arial" w:hAnsi="Arial" w:cs="Arial"/>
                <w:b/>
                <w:sz w:val="20"/>
                <w:szCs w:val="20"/>
                <w:lang w:val="en-GB"/>
              </w:rPr>
              <w:t>- Interdisciplinary Appeal: The interdisciplinary approach advances scholarship in urban geography, literary analysis, and postcolonial studies.</w:t>
            </w:r>
          </w:p>
          <w:p w14:paraId="14CEC1B5" w14:textId="77777777" w:rsidR="00724C5A" w:rsidRPr="00F557D2" w:rsidRDefault="00724C5A" w:rsidP="00B81B37">
            <w:pPr>
              <w:pStyle w:val="NormalWeb"/>
              <w:spacing w:before="0" w:beforeAutospacing="0" w:after="0" w:afterAutospacing="0"/>
              <w:rPr>
                <w:rFonts w:ascii="Arial" w:hAnsi="Arial" w:cs="Arial"/>
                <w:b/>
                <w:sz w:val="20"/>
                <w:szCs w:val="20"/>
                <w:lang w:val="en-GB"/>
              </w:rPr>
            </w:pPr>
            <w:r w:rsidRPr="00F557D2">
              <w:rPr>
                <w:rFonts w:ascii="Arial" w:hAnsi="Arial" w:cs="Arial"/>
                <w:b/>
                <w:sz w:val="20"/>
                <w:szCs w:val="20"/>
                <w:lang w:val="en-GB"/>
              </w:rPr>
              <w:t xml:space="preserve">The addition </w:t>
            </w:r>
            <w:proofErr w:type="gramStart"/>
            <w:r w:rsidRPr="00F557D2">
              <w:rPr>
                <w:rFonts w:ascii="Arial" w:hAnsi="Arial" w:cs="Arial"/>
                <w:b/>
                <w:sz w:val="20"/>
                <w:szCs w:val="20"/>
                <w:lang w:val="en-GB"/>
              </w:rPr>
              <w:t>of  a</w:t>
            </w:r>
            <w:proofErr w:type="gramEnd"/>
            <w:r w:rsidRPr="00F557D2">
              <w:rPr>
                <w:rFonts w:ascii="Arial" w:hAnsi="Arial" w:cs="Arial"/>
                <w:b/>
                <w:sz w:val="20"/>
                <w:szCs w:val="20"/>
                <w:lang w:val="en-GB"/>
              </w:rPr>
              <w:t xml:space="preserve"> sentence in the introduction or abstract could explicitly state how this interdisciplinary approach advances scholarship in all these fields </w:t>
            </w:r>
          </w:p>
          <w:p w14:paraId="5AEA03DC" w14:textId="77777777" w:rsidR="00724C5A" w:rsidRPr="00F557D2" w:rsidRDefault="00724C5A" w:rsidP="00B81B37">
            <w:pPr>
              <w:pStyle w:val="NormalWeb"/>
              <w:spacing w:before="0" w:beforeAutospacing="0" w:after="0" w:afterAutospacing="0"/>
              <w:rPr>
                <w:rFonts w:ascii="Arial" w:hAnsi="Arial" w:cs="Arial"/>
                <w:b/>
                <w:sz w:val="20"/>
                <w:szCs w:val="20"/>
                <w:lang w:val="en-GB"/>
              </w:rPr>
            </w:pPr>
            <w:r w:rsidRPr="00F557D2">
              <w:rPr>
                <w:rFonts w:ascii="Arial" w:hAnsi="Arial" w:cs="Arial"/>
                <w:b/>
                <w:sz w:val="20"/>
                <w:szCs w:val="20"/>
                <w:lang w:val="en-GB"/>
              </w:rPr>
              <w:t xml:space="preserve">Example:  "By merging literary close-reading with </w:t>
            </w:r>
            <w:proofErr w:type="spellStart"/>
            <w:r w:rsidRPr="00F557D2">
              <w:rPr>
                <w:rFonts w:ascii="Arial" w:hAnsi="Arial" w:cs="Arial"/>
                <w:b/>
                <w:sz w:val="20"/>
                <w:szCs w:val="20"/>
                <w:lang w:val="en-GB"/>
              </w:rPr>
              <w:t>sociospatial</w:t>
            </w:r>
            <w:proofErr w:type="spellEnd"/>
            <w:r w:rsidRPr="00F557D2">
              <w:rPr>
                <w:rFonts w:ascii="Arial" w:hAnsi="Arial" w:cs="Arial"/>
                <w:b/>
                <w:sz w:val="20"/>
                <w:szCs w:val="20"/>
                <w:lang w:val="en-GB"/>
              </w:rPr>
              <w:t xml:space="preserve"> theory, this study offers urban </w:t>
            </w:r>
            <w:proofErr w:type="gramStart"/>
            <w:r w:rsidRPr="00F557D2">
              <w:rPr>
                <w:rFonts w:ascii="Arial" w:hAnsi="Arial" w:cs="Arial"/>
                <w:b/>
                <w:sz w:val="20"/>
                <w:szCs w:val="20"/>
                <w:lang w:val="en-GB"/>
              </w:rPr>
              <w:t>geographers</w:t>
            </w:r>
            <w:proofErr w:type="gramEnd"/>
            <w:r w:rsidRPr="00F557D2">
              <w:rPr>
                <w:rFonts w:ascii="Arial" w:hAnsi="Arial" w:cs="Arial"/>
                <w:b/>
                <w:sz w:val="20"/>
                <w:szCs w:val="20"/>
                <w:lang w:val="en-GB"/>
              </w:rPr>
              <w:t xml:space="preserve"> fresh methodological tools while equipping literary scholars with a spatial analytical framework"). </w:t>
            </w:r>
          </w:p>
          <w:p w14:paraId="5EA2F738" w14:textId="77777777" w:rsidR="00724C5A" w:rsidRPr="00F557D2" w:rsidRDefault="00724C5A" w:rsidP="00B81B37">
            <w:pPr>
              <w:pStyle w:val="NormalWeb"/>
              <w:spacing w:before="0" w:beforeAutospacing="0" w:after="0" w:afterAutospacing="0"/>
              <w:rPr>
                <w:rFonts w:ascii="Arial" w:hAnsi="Arial" w:cs="Arial"/>
                <w:b/>
                <w:sz w:val="20"/>
                <w:szCs w:val="20"/>
                <w:lang w:val="en-GB"/>
              </w:rPr>
            </w:pPr>
            <w:r w:rsidRPr="00F557D2">
              <w:rPr>
                <w:rFonts w:ascii="Arial" w:hAnsi="Arial" w:cs="Arial"/>
                <w:b/>
                <w:sz w:val="20"/>
                <w:szCs w:val="20"/>
                <w:lang w:val="en-GB"/>
              </w:rPr>
              <w:t xml:space="preserve"> - Policy Implications: While the focus of the </w:t>
            </w:r>
            <w:proofErr w:type="gramStart"/>
            <w:r w:rsidRPr="00F557D2">
              <w:rPr>
                <w:rFonts w:ascii="Arial" w:hAnsi="Arial" w:cs="Arial"/>
                <w:b/>
                <w:sz w:val="20"/>
                <w:szCs w:val="20"/>
                <w:lang w:val="en-GB"/>
              </w:rPr>
              <w:t>article  is</w:t>
            </w:r>
            <w:proofErr w:type="gramEnd"/>
            <w:r w:rsidRPr="00F557D2">
              <w:rPr>
                <w:rFonts w:ascii="Arial" w:hAnsi="Arial" w:cs="Arial"/>
                <w:b/>
                <w:sz w:val="20"/>
                <w:szCs w:val="20"/>
                <w:lang w:val="en-GB"/>
              </w:rPr>
              <w:t xml:space="preserve"> literary, briefly note how the novel’s critique of Delhi’s urban planning could inform real-world policy debates (in the conclusion):  </w:t>
            </w:r>
          </w:p>
          <w:p w14:paraId="2CF3198E" w14:textId="77777777" w:rsidR="00724C5A" w:rsidRPr="00F557D2" w:rsidRDefault="00724C5A" w:rsidP="00B81B37">
            <w:pPr>
              <w:pStyle w:val="NormalWeb"/>
              <w:spacing w:before="0" w:beforeAutospacing="0" w:after="0" w:afterAutospacing="0"/>
              <w:rPr>
                <w:rFonts w:ascii="Arial" w:hAnsi="Arial" w:cs="Arial"/>
                <w:b/>
                <w:sz w:val="20"/>
                <w:szCs w:val="20"/>
                <w:lang w:val="en-GB"/>
              </w:rPr>
            </w:pPr>
            <w:r w:rsidRPr="00F557D2">
              <w:rPr>
                <w:rFonts w:ascii="Arial" w:hAnsi="Arial" w:cs="Arial"/>
                <w:b/>
                <w:sz w:val="20"/>
                <w:szCs w:val="20"/>
                <w:lang w:val="en-GB"/>
              </w:rPr>
              <w:t xml:space="preserve"> Example: "</w:t>
            </w:r>
            <w:proofErr w:type="spellStart"/>
            <w:r w:rsidRPr="00F557D2">
              <w:rPr>
                <w:rFonts w:ascii="Arial" w:hAnsi="Arial" w:cs="Arial"/>
                <w:b/>
                <w:sz w:val="20"/>
                <w:szCs w:val="20"/>
                <w:lang w:val="en-GB"/>
              </w:rPr>
              <w:t>Batabyal’s</w:t>
            </w:r>
            <w:proofErr w:type="spellEnd"/>
            <w:r w:rsidRPr="00F557D2">
              <w:rPr>
                <w:rFonts w:ascii="Arial" w:hAnsi="Arial" w:cs="Arial"/>
                <w:b/>
                <w:sz w:val="20"/>
                <w:szCs w:val="20"/>
                <w:lang w:val="en-GB"/>
              </w:rPr>
              <w:t xml:space="preserve"> depiction of slum demolitions and Metro-driven displacement resonates with contemporary debates on equitable urban development, suggesting literature as a lens for policymakers to assess human costs of infrastructural projects."</w:t>
            </w:r>
          </w:p>
          <w:p w14:paraId="052819E2" w14:textId="77777777" w:rsidR="00724C5A" w:rsidRPr="00F557D2" w:rsidRDefault="00724C5A" w:rsidP="00B81B37">
            <w:pPr>
              <w:pStyle w:val="NormalWeb"/>
              <w:spacing w:before="0" w:beforeAutospacing="0" w:after="0" w:afterAutospacing="0"/>
              <w:rPr>
                <w:rFonts w:ascii="Arial" w:hAnsi="Arial" w:cs="Arial"/>
                <w:b/>
                <w:sz w:val="20"/>
                <w:szCs w:val="20"/>
                <w:lang w:val="en-GB"/>
              </w:rPr>
            </w:pPr>
            <w:r w:rsidRPr="00F557D2">
              <w:rPr>
                <w:rFonts w:ascii="Arial" w:hAnsi="Arial" w:cs="Arial"/>
                <w:b/>
                <w:sz w:val="20"/>
                <w:szCs w:val="20"/>
                <w:lang w:val="en-GB"/>
              </w:rPr>
              <w:t xml:space="preserve">- Visual Aids:  the inclusion of </w:t>
            </w:r>
            <w:proofErr w:type="gramStart"/>
            <w:r w:rsidRPr="00F557D2">
              <w:rPr>
                <w:rFonts w:ascii="Arial" w:hAnsi="Arial" w:cs="Arial"/>
                <w:b/>
                <w:sz w:val="20"/>
                <w:szCs w:val="20"/>
                <w:lang w:val="en-GB"/>
              </w:rPr>
              <w:t>a  map</w:t>
            </w:r>
            <w:proofErr w:type="gramEnd"/>
            <w:r w:rsidRPr="00F557D2">
              <w:rPr>
                <w:rFonts w:ascii="Arial" w:hAnsi="Arial" w:cs="Arial"/>
                <w:b/>
                <w:sz w:val="20"/>
                <w:szCs w:val="20"/>
                <w:lang w:val="en-GB"/>
              </w:rPr>
              <w:t xml:space="preserve"> of Delhi marking key novel settings (such as, Connaught Place, Yamuna </w:t>
            </w:r>
            <w:proofErr w:type="spellStart"/>
            <w:r w:rsidRPr="00F557D2">
              <w:rPr>
                <w:rFonts w:ascii="Arial" w:hAnsi="Arial" w:cs="Arial"/>
                <w:b/>
                <w:sz w:val="20"/>
                <w:szCs w:val="20"/>
                <w:lang w:val="en-GB"/>
              </w:rPr>
              <w:t>Pushta</w:t>
            </w:r>
            <w:proofErr w:type="spellEnd"/>
            <w:r w:rsidRPr="00F557D2">
              <w:rPr>
                <w:rFonts w:ascii="Arial" w:hAnsi="Arial" w:cs="Arial"/>
                <w:b/>
                <w:sz w:val="20"/>
                <w:szCs w:val="20"/>
                <w:lang w:val="en-GB"/>
              </w:rPr>
              <w:t xml:space="preserve">) would reinforce spatial analysis.  </w:t>
            </w:r>
          </w:p>
          <w:p w14:paraId="6E75968A" w14:textId="77777777" w:rsidR="00724C5A" w:rsidRPr="00F557D2" w:rsidRDefault="00724C5A" w:rsidP="00B81B37">
            <w:pPr>
              <w:pStyle w:val="NormalWeb"/>
              <w:spacing w:before="0" w:beforeAutospacing="0" w:after="0" w:afterAutospacing="0"/>
              <w:rPr>
                <w:rFonts w:ascii="Arial" w:hAnsi="Arial" w:cs="Arial"/>
                <w:b/>
                <w:sz w:val="20"/>
                <w:szCs w:val="20"/>
                <w:lang w:val="en-GB"/>
              </w:rPr>
            </w:pPr>
            <w:r w:rsidRPr="00F557D2">
              <w:rPr>
                <w:rFonts w:ascii="Arial" w:hAnsi="Arial" w:cs="Arial"/>
                <w:b/>
                <w:sz w:val="20"/>
                <w:szCs w:val="20"/>
                <w:lang w:val="en-GB"/>
              </w:rPr>
              <w:t xml:space="preserve"> - Future Research: Expand the future research line to highlight methodological gaps:  </w:t>
            </w:r>
          </w:p>
          <w:p w14:paraId="60B241C8" w14:textId="301D291D" w:rsidR="00724C5A" w:rsidRPr="00F557D2" w:rsidRDefault="00724C5A">
            <w:pPr>
              <w:pStyle w:val="NormalWeb"/>
              <w:spacing w:before="0" w:beforeAutospacing="0" w:after="0" w:afterAutospacing="0"/>
              <w:rPr>
                <w:rFonts w:ascii="Arial" w:hAnsi="Arial" w:cs="Arial"/>
                <w:b/>
                <w:sz w:val="20"/>
                <w:szCs w:val="20"/>
                <w:lang w:val="en-GB"/>
              </w:rPr>
            </w:pPr>
            <w:r w:rsidRPr="00F557D2">
              <w:rPr>
                <w:rFonts w:ascii="Arial" w:hAnsi="Arial" w:cs="Arial"/>
                <w:b/>
                <w:sz w:val="20"/>
                <w:szCs w:val="20"/>
                <w:lang w:val="en-GB"/>
              </w:rPr>
              <w:t xml:space="preserve"> Example:  "Digital humanities tools (such as GIS mapping of literary settings) could further quantify spatial narratives in urban fiction."</w:t>
            </w:r>
          </w:p>
        </w:tc>
        <w:tc>
          <w:tcPr>
            <w:tcW w:w="1803" w:type="pct"/>
            <w:gridSpan w:val="2"/>
          </w:tcPr>
          <w:p w14:paraId="31927B09" w14:textId="28726B0E" w:rsidR="00724C5A" w:rsidRPr="00F557D2" w:rsidRDefault="00724C5A">
            <w:pPr>
              <w:rPr>
                <w:rFonts w:ascii="Arial" w:hAnsi="Arial" w:cs="Arial"/>
                <w:sz w:val="20"/>
                <w:szCs w:val="20"/>
              </w:rPr>
            </w:pPr>
          </w:p>
        </w:tc>
      </w:tr>
    </w:tbl>
    <w:p w14:paraId="5F3B8DC0" w14:textId="77777777" w:rsidR="00D26ABA" w:rsidRPr="00F557D2" w:rsidRDefault="00D26ABA" w:rsidP="00D26ABA">
      <w:pPr>
        <w:pStyle w:val="BodyText"/>
        <w:rPr>
          <w:rFonts w:ascii="Arial" w:hAnsi="Arial" w:cs="Arial"/>
          <w:b/>
          <w:bCs/>
          <w:sz w:val="20"/>
          <w:szCs w:val="20"/>
          <w:u w:val="single"/>
          <w:lang w:val="en-GB"/>
        </w:rPr>
      </w:pPr>
    </w:p>
    <w:p w14:paraId="0FA30360" w14:textId="77777777" w:rsidR="00D26ABA" w:rsidRPr="00F557D2" w:rsidRDefault="00D26ABA" w:rsidP="00D26ABA">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62"/>
        <w:gridCol w:w="7092"/>
        <w:gridCol w:w="7080"/>
      </w:tblGrid>
      <w:tr w:rsidR="001A29B7" w:rsidRPr="00F557D2" w14:paraId="54A0C463" w14:textId="77777777" w:rsidTr="001A29B7">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570E54F0" w14:textId="77777777" w:rsidR="001A29B7" w:rsidRPr="00F557D2" w:rsidRDefault="001A29B7" w:rsidP="001A29B7">
            <w:pPr>
              <w:spacing w:line="276" w:lineRule="auto"/>
              <w:rPr>
                <w:rFonts w:ascii="Arial" w:eastAsia="Arial Unicode MS" w:hAnsi="Arial" w:cs="Arial"/>
                <w:b/>
                <w:sz w:val="20"/>
                <w:szCs w:val="20"/>
                <w:u w:val="single"/>
                <w:lang w:eastAsia="en-US"/>
              </w:rPr>
            </w:pPr>
            <w:bookmarkStart w:id="2" w:name="_Hlk156057883"/>
            <w:bookmarkStart w:id="3" w:name="_Hlk156057704"/>
            <w:r w:rsidRPr="00F557D2">
              <w:rPr>
                <w:rFonts w:ascii="Arial" w:eastAsia="Arial Unicode MS" w:hAnsi="Arial" w:cs="Arial"/>
                <w:b/>
                <w:sz w:val="20"/>
                <w:szCs w:val="20"/>
                <w:highlight w:val="yellow"/>
                <w:u w:val="single"/>
                <w:lang w:eastAsia="en-US"/>
              </w:rPr>
              <w:t>PART  2:</w:t>
            </w:r>
            <w:r w:rsidRPr="00F557D2">
              <w:rPr>
                <w:rFonts w:ascii="Arial" w:eastAsia="Arial Unicode MS" w:hAnsi="Arial" w:cs="Arial"/>
                <w:b/>
                <w:sz w:val="20"/>
                <w:szCs w:val="20"/>
                <w:u w:val="single"/>
                <w:lang w:eastAsia="en-US"/>
              </w:rPr>
              <w:t xml:space="preserve"> </w:t>
            </w:r>
          </w:p>
          <w:p w14:paraId="5BDD5207" w14:textId="77777777" w:rsidR="001A29B7" w:rsidRPr="00F557D2" w:rsidRDefault="001A29B7" w:rsidP="001A29B7">
            <w:pPr>
              <w:spacing w:line="276" w:lineRule="auto"/>
              <w:rPr>
                <w:rFonts w:ascii="Arial" w:eastAsia="Arial Unicode MS" w:hAnsi="Arial" w:cs="Arial"/>
                <w:b/>
                <w:sz w:val="20"/>
                <w:szCs w:val="20"/>
                <w:u w:val="single"/>
                <w:lang w:eastAsia="en-US"/>
              </w:rPr>
            </w:pPr>
          </w:p>
        </w:tc>
      </w:tr>
      <w:tr w:rsidR="001A29B7" w:rsidRPr="00F557D2" w14:paraId="357C5C4E" w14:textId="77777777" w:rsidTr="001A29B7">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69AEEBF" w14:textId="77777777" w:rsidR="001A29B7" w:rsidRPr="00F557D2" w:rsidRDefault="001A29B7" w:rsidP="001A29B7">
            <w:pPr>
              <w:spacing w:line="276" w:lineRule="auto"/>
              <w:rPr>
                <w:rFonts w:ascii="Arial" w:eastAsia="Arial Unicode MS" w:hAnsi="Arial" w:cs="Arial"/>
                <w:sz w:val="20"/>
                <w:szCs w:val="20"/>
                <w:lang w:eastAsia="en-US"/>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0C5D4A0" w14:textId="77777777" w:rsidR="001A29B7" w:rsidRPr="00F557D2" w:rsidRDefault="001A29B7" w:rsidP="001A29B7">
            <w:pPr>
              <w:keepNext/>
              <w:spacing w:line="276" w:lineRule="auto"/>
              <w:outlineLvl w:val="1"/>
              <w:rPr>
                <w:rFonts w:ascii="Arial" w:eastAsia="MS Mincho" w:hAnsi="Arial" w:cs="Arial"/>
                <w:b/>
                <w:bCs/>
                <w:sz w:val="20"/>
                <w:szCs w:val="20"/>
                <w:lang w:eastAsia="en-US"/>
              </w:rPr>
            </w:pPr>
            <w:r w:rsidRPr="00F557D2">
              <w:rPr>
                <w:rFonts w:ascii="Arial" w:eastAsia="MS Mincho" w:hAnsi="Arial" w:cs="Arial"/>
                <w:b/>
                <w:bCs/>
                <w:sz w:val="20"/>
                <w:szCs w:val="20"/>
                <w:lang w:eastAsia="en-US"/>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707AE3A6" w14:textId="77777777" w:rsidR="001A29B7" w:rsidRPr="00F557D2" w:rsidRDefault="001A29B7" w:rsidP="001A29B7">
            <w:pPr>
              <w:keepNext/>
              <w:spacing w:line="276" w:lineRule="auto"/>
              <w:outlineLvl w:val="1"/>
              <w:rPr>
                <w:rFonts w:ascii="Arial" w:eastAsia="MS Mincho" w:hAnsi="Arial" w:cs="Arial"/>
                <w:bCs/>
                <w:sz w:val="20"/>
                <w:szCs w:val="20"/>
                <w:lang w:eastAsia="en-US"/>
              </w:rPr>
            </w:pPr>
            <w:r w:rsidRPr="00F557D2">
              <w:rPr>
                <w:rFonts w:ascii="Arial" w:eastAsia="MS Mincho" w:hAnsi="Arial" w:cs="Arial"/>
                <w:b/>
                <w:bCs/>
                <w:sz w:val="20"/>
                <w:szCs w:val="20"/>
                <w:lang w:eastAsia="en-US"/>
              </w:rPr>
              <w:t>Author’s comment</w:t>
            </w:r>
            <w:r w:rsidRPr="00F557D2">
              <w:rPr>
                <w:rFonts w:ascii="Arial" w:eastAsia="MS Mincho" w:hAnsi="Arial" w:cs="Arial"/>
                <w:bCs/>
                <w:sz w:val="20"/>
                <w:szCs w:val="20"/>
                <w:lang w:eastAsia="en-US"/>
              </w:rPr>
              <w:t xml:space="preserve"> </w:t>
            </w:r>
            <w:r w:rsidRPr="00F557D2">
              <w:rPr>
                <w:rFonts w:ascii="Arial" w:eastAsia="MS Mincho" w:hAnsi="Arial" w:cs="Arial"/>
                <w:bCs/>
                <w:i/>
                <w:sz w:val="20"/>
                <w:szCs w:val="20"/>
                <w:lang w:eastAsia="en-US"/>
              </w:rPr>
              <w:t>(if agreed with reviewer, correct the manuscript and highlight that part in the manuscript. It is mandatory that authors should write his/her feedback here)</w:t>
            </w:r>
          </w:p>
        </w:tc>
      </w:tr>
      <w:tr w:rsidR="001A29B7" w:rsidRPr="00F557D2" w14:paraId="089B726D" w14:textId="77777777" w:rsidTr="001A29B7">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EEDDFB1" w14:textId="77777777" w:rsidR="001A29B7" w:rsidRPr="00F557D2" w:rsidRDefault="001A29B7" w:rsidP="001A29B7">
            <w:pPr>
              <w:spacing w:line="276" w:lineRule="auto"/>
              <w:rPr>
                <w:rFonts w:ascii="Arial" w:eastAsia="Arial Unicode MS" w:hAnsi="Arial" w:cs="Arial"/>
                <w:b/>
                <w:sz w:val="20"/>
                <w:szCs w:val="20"/>
                <w:lang w:eastAsia="en-US"/>
              </w:rPr>
            </w:pPr>
            <w:r w:rsidRPr="00F557D2">
              <w:rPr>
                <w:rFonts w:ascii="Arial" w:eastAsia="Arial Unicode MS" w:hAnsi="Arial" w:cs="Arial"/>
                <w:b/>
                <w:sz w:val="20"/>
                <w:szCs w:val="20"/>
                <w:lang w:eastAsia="en-US"/>
              </w:rPr>
              <w:t xml:space="preserve">Are there ethical issues in this manuscript? </w:t>
            </w:r>
          </w:p>
          <w:p w14:paraId="06AB94D2" w14:textId="77777777" w:rsidR="001A29B7" w:rsidRPr="00F557D2" w:rsidRDefault="001A29B7" w:rsidP="001A29B7">
            <w:pPr>
              <w:spacing w:line="276" w:lineRule="auto"/>
              <w:rPr>
                <w:rFonts w:ascii="Arial" w:eastAsia="Arial Unicode MS" w:hAnsi="Arial" w:cs="Arial"/>
                <w:sz w:val="20"/>
                <w:szCs w:val="20"/>
                <w:lang w:eastAsia="en-US"/>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F78F827" w14:textId="77777777" w:rsidR="001A29B7" w:rsidRPr="00F557D2" w:rsidRDefault="001A29B7" w:rsidP="001A29B7">
            <w:pPr>
              <w:spacing w:line="276" w:lineRule="auto"/>
              <w:rPr>
                <w:rFonts w:ascii="Arial" w:eastAsia="Arial Unicode MS" w:hAnsi="Arial" w:cs="Arial"/>
                <w:i/>
                <w:iCs/>
                <w:sz w:val="20"/>
                <w:szCs w:val="20"/>
                <w:u w:val="single"/>
                <w:lang w:eastAsia="en-US"/>
              </w:rPr>
            </w:pPr>
            <w:r w:rsidRPr="00F557D2">
              <w:rPr>
                <w:rFonts w:ascii="Arial" w:eastAsia="Arial Unicode MS" w:hAnsi="Arial" w:cs="Arial"/>
                <w:i/>
                <w:iCs/>
                <w:sz w:val="20"/>
                <w:szCs w:val="20"/>
                <w:u w:val="single"/>
                <w:lang w:eastAsia="en-US"/>
              </w:rPr>
              <w:t xml:space="preserve">(If yes, </w:t>
            </w:r>
            <w:proofErr w:type="gramStart"/>
            <w:r w:rsidRPr="00F557D2">
              <w:rPr>
                <w:rFonts w:ascii="Arial" w:eastAsia="Arial Unicode MS" w:hAnsi="Arial" w:cs="Arial"/>
                <w:i/>
                <w:iCs/>
                <w:sz w:val="20"/>
                <w:szCs w:val="20"/>
                <w:u w:val="single"/>
                <w:lang w:eastAsia="en-US"/>
              </w:rPr>
              <w:t>Kindly</w:t>
            </w:r>
            <w:proofErr w:type="gramEnd"/>
            <w:r w:rsidRPr="00F557D2">
              <w:rPr>
                <w:rFonts w:ascii="Arial" w:eastAsia="Arial Unicode MS" w:hAnsi="Arial" w:cs="Arial"/>
                <w:i/>
                <w:iCs/>
                <w:sz w:val="20"/>
                <w:szCs w:val="20"/>
                <w:u w:val="single"/>
                <w:lang w:eastAsia="en-US"/>
              </w:rPr>
              <w:t xml:space="preserve"> please write down the ethical issues here in details)</w:t>
            </w:r>
          </w:p>
          <w:p w14:paraId="5ED4F564" w14:textId="77777777" w:rsidR="001A29B7" w:rsidRPr="00F557D2" w:rsidRDefault="001A29B7" w:rsidP="001A29B7">
            <w:pPr>
              <w:spacing w:line="276" w:lineRule="auto"/>
              <w:rPr>
                <w:rFonts w:ascii="Arial" w:eastAsia="Arial Unicode MS" w:hAnsi="Arial" w:cs="Arial"/>
                <w:sz w:val="20"/>
                <w:szCs w:val="20"/>
                <w:lang w:eastAsia="en-US"/>
              </w:rPr>
            </w:pPr>
          </w:p>
          <w:p w14:paraId="2AD6D5AC" w14:textId="77777777" w:rsidR="001A29B7" w:rsidRPr="00F557D2" w:rsidRDefault="001A29B7" w:rsidP="001A29B7">
            <w:pPr>
              <w:spacing w:line="276" w:lineRule="auto"/>
              <w:rPr>
                <w:rFonts w:ascii="Arial" w:eastAsia="Arial Unicode MS" w:hAnsi="Arial" w:cs="Arial"/>
                <w:sz w:val="20"/>
                <w:szCs w:val="20"/>
                <w:lang w:eastAsia="en-US"/>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0ECFE0E2" w14:textId="77777777" w:rsidR="001A29B7" w:rsidRPr="00F557D2" w:rsidRDefault="001A29B7" w:rsidP="001A29B7">
            <w:pPr>
              <w:spacing w:line="276" w:lineRule="auto"/>
              <w:rPr>
                <w:rFonts w:ascii="Arial" w:eastAsia="Arial Unicode MS" w:hAnsi="Arial" w:cs="Arial"/>
                <w:sz w:val="20"/>
                <w:szCs w:val="20"/>
                <w:lang w:eastAsia="en-US"/>
              </w:rPr>
            </w:pPr>
          </w:p>
          <w:p w14:paraId="57F2F6D2" w14:textId="77777777" w:rsidR="001A29B7" w:rsidRPr="00F557D2" w:rsidRDefault="001A29B7" w:rsidP="001A29B7">
            <w:pPr>
              <w:spacing w:line="276" w:lineRule="auto"/>
              <w:rPr>
                <w:rFonts w:ascii="Arial" w:eastAsia="Arial Unicode MS" w:hAnsi="Arial" w:cs="Arial"/>
                <w:sz w:val="20"/>
                <w:szCs w:val="20"/>
                <w:lang w:eastAsia="en-US"/>
              </w:rPr>
            </w:pPr>
          </w:p>
          <w:p w14:paraId="1EF3C363" w14:textId="77777777" w:rsidR="001A29B7" w:rsidRPr="00F557D2" w:rsidRDefault="001A29B7" w:rsidP="001A29B7">
            <w:pPr>
              <w:spacing w:line="276" w:lineRule="auto"/>
              <w:rPr>
                <w:rFonts w:ascii="Arial" w:eastAsia="Arial Unicode MS" w:hAnsi="Arial" w:cs="Arial"/>
                <w:sz w:val="20"/>
                <w:szCs w:val="20"/>
                <w:lang w:eastAsia="en-US"/>
              </w:rPr>
            </w:pPr>
          </w:p>
        </w:tc>
      </w:tr>
      <w:bookmarkEnd w:id="2"/>
    </w:tbl>
    <w:p w14:paraId="4E8181AF" w14:textId="00E23B22" w:rsidR="001A29B7" w:rsidRPr="00F557D2" w:rsidRDefault="001A29B7" w:rsidP="001A29B7">
      <w:pPr>
        <w:rPr>
          <w:rFonts w:ascii="Arial" w:eastAsia="Times New Roman" w:hAnsi="Arial" w:cs="Arial"/>
          <w:sz w:val="20"/>
          <w:szCs w:val="20"/>
          <w:lang w:val="en-US" w:eastAsia="en-US"/>
        </w:rPr>
      </w:pPr>
    </w:p>
    <w:p w14:paraId="24B2A13C" w14:textId="77777777" w:rsidR="00F557D2" w:rsidRPr="00F557D2" w:rsidRDefault="00F557D2" w:rsidP="00F557D2">
      <w:pPr>
        <w:pStyle w:val="Affiliation"/>
        <w:spacing w:after="0" w:line="240" w:lineRule="auto"/>
        <w:jc w:val="left"/>
        <w:rPr>
          <w:rFonts w:ascii="Arial" w:hAnsi="Arial" w:cs="Arial"/>
          <w:b/>
          <w:u w:val="single"/>
        </w:rPr>
      </w:pPr>
      <w:r w:rsidRPr="00F557D2">
        <w:rPr>
          <w:rFonts w:ascii="Arial" w:hAnsi="Arial" w:cs="Arial"/>
          <w:b/>
          <w:u w:val="single"/>
        </w:rPr>
        <w:t>Reviewer details:</w:t>
      </w:r>
    </w:p>
    <w:p w14:paraId="02033031" w14:textId="73E04E31" w:rsidR="00F557D2" w:rsidRPr="00F557D2" w:rsidRDefault="00F557D2" w:rsidP="001A29B7">
      <w:pPr>
        <w:rPr>
          <w:rFonts w:ascii="Arial" w:eastAsia="Times New Roman" w:hAnsi="Arial" w:cs="Arial"/>
          <w:sz w:val="20"/>
          <w:szCs w:val="20"/>
          <w:lang w:val="en-US" w:eastAsia="en-US"/>
        </w:rPr>
      </w:pPr>
    </w:p>
    <w:p w14:paraId="7F249C64" w14:textId="012FBDAB" w:rsidR="00F557D2" w:rsidRPr="00F557D2" w:rsidRDefault="00F557D2" w:rsidP="001A29B7">
      <w:pPr>
        <w:rPr>
          <w:rFonts w:ascii="Arial" w:eastAsia="Times New Roman" w:hAnsi="Arial" w:cs="Arial"/>
          <w:b/>
          <w:sz w:val="20"/>
          <w:szCs w:val="20"/>
          <w:lang w:val="en-US" w:eastAsia="en-US"/>
        </w:rPr>
      </w:pPr>
      <w:bookmarkStart w:id="4" w:name="_Hlk202017964"/>
      <w:r w:rsidRPr="00F557D2">
        <w:rPr>
          <w:rFonts w:ascii="Arial" w:hAnsi="Arial" w:cs="Arial"/>
          <w:b/>
          <w:color w:val="000000"/>
          <w:sz w:val="20"/>
          <w:szCs w:val="20"/>
        </w:rPr>
        <w:t>Wael Salah Fahmi</w:t>
      </w:r>
      <w:r w:rsidRPr="00F557D2">
        <w:rPr>
          <w:rFonts w:ascii="Arial" w:hAnsi="Arial" w:cs="Arial"/>
          <w:b/>
          <w:color w:val="000000"/>
          <w:sz w:val="20"/>
          <w:szCs w:val="20"/>
        </w:rPr>
        <w:t xml:space="preserve">, </w:t>
      </w:r>
      <w:r w:rsidRPr="00F557D2">
        <w:rPr>
          <w:rFonts w:ascii="Arial" w:hAnsi="Arial" w:cs="Arial"/>
          <w:b/>
          <w:color w:val="000000"/>
          <w:sz w:val="20"/>
          <w:szCs w:val="20"/>
        </w:rPr>
        <w:t>Helwan University</w:t>
      </w:r>
      <w:r w:rsidRPr="00F557D2">
        <w:rPr>
          <w:rFonts w:ascii="Arial" w:hAnsi="Arial" w:cs="Arial"/>
          <w:b/>
          <w:color w:val="000000"/>
          <w:sz w:val="20"/>
          <w:szCs w:val="20"/>
        </w:rPr>
        <w:t xml:space="preserve">, </w:t>
      </w:r>
      <w:r w:rsidRPr="00F557D2">
        <w:rPr>
          <w:rFonts w:ascii="Arial" w:hAnsi="Arial" w:cs="Arial"/>
          <w:b/>
          <w:color w:val="000000"/>
          <w:sz w:val="20"/>
          <w:szCs w:val="20"/>
        </w:rPr>
        <w:t>Egypt</w:t>
      </w:r>
    </w:p>
    <w:bookmarkEnd w:id="3"/>
    <w:bookmarkEnd w:id="4"/>
    <w:p w14:paraId="5958F85B" w14:textId="77777777" w:rsidR="001A29B7" w:rsidRPr="00F557D2" w:rsidRDefault="001A29B7" w:rsidP="001A29B7">
      <w:pPr>
        <w:rPr>
          <w:rFonts w:ascii="Arial" w:eastAsia="Times New Roman" w:hAnsi="Arial" w:cs="Arial"/>
          <w:sz w:val="20"/>
          <w:szCs w:val="20"/>
          <w:lang w:val="en-US" w:eastAsia="en-US"/>
        </w:rPr>
      </w:pPr>
    </w:p>
    <w:p w14:paraId="7BC54566" w14:textId="77777777" w:rsidR="00D26ABA" w:rsidRPr="00F557D2" w:rsidRDefault="00D26ABA" w:rsidP="00D26ABA">
      <w:pPr>
        <w:pStyle w:val="BodyText"/>
        <w:rPr>
          <w:rFonts w:ascii="Arial" w:hAnsi="Arial" w:cs="Arial"/>
          <w:b/>
          <w:bCs/>
          <w:sz w:val="20"/>
          <w:szCs w:val="20"/>
          <w:u w:val="single"/>
          <w:lang w:val="en-GB"/>
        </w:rPr>
      </w:pPr>
      <w:bookmarkStart w:id="5" w:name="_GoBack"/>
      <w:bookmarkEnd w:id="0"/>
      <w:bookmarkEnd w:id="1"/>
      <w:bookmarkEnd w:id="5"/>
    </w:p>
    <w:sectPr w:rsidR="00D26ABA" w:rsidRPr="00F557D2" w:rsidSect="007B2AF7">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CB6302" w14:textId="77777777" w:rsidR="000467E9" w:rsidRPr="0000007A" w:rsidRDefault="000467E9" w:rsidP="0099583E">
      <w:r>
        <w:separator/>
      </w:r>
    </w:p>
  </w:endnote>
  <w:endnote w:type="continuationSeparator" w:id="0">
    <w:p w14:paraId="1DED4310" w14:textId="77777777" w:rsidR="000467E9" w:rsidRPr="0000007A" w:rsidRDefault="000467E9"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00"/>
    <w:family w:val="roman"/>
    <w:pitch w:val="variable"/>
    <w:sig w:usb0="00000003" w:usb1="00000000" w:usb2="00000000" w:usb3="00000000" w:csb0="00000001" w:csb1="00000000"/>
  </w:font>
  <w:font w:name="Aptos Display">
    <w:altName w:val="Calibri"/>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5125D"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1A545D" w:rsidRPr="001A545D">
      <w:rPr>
        <w:sz w:val="16"/>
      </w:rPr>
      <w:t xml:space="preserve">Version: </w:t>
    </w:r>
    <w:r w:rsidR="00916495">
      <w:rPr>
        <w:sz w:val="16"/>
      </w:rPr>
      <w:t>3</w:t>
    </w:r>
    <w:r w:rsidR="001A545D" w:rsidRPr="001A545D">
      <w:rPr>
        <w:sz w:val="16"/>
      </w:rPr>
      <w:t xml:space="preserve"> (0</w:t>
    </w:r>
    <w:r w:rsidR="00916495">
      <w:rPr>
        <w:sz w:val="16"/>
      </w:rPr>
      <w:t>7</w:t>
    </w:r>
    <w:r w:rsidR="001A545D" w:rsidRPr="001A545D">
      <w:rPr>
        <w:sz w:val="16"/>
      </w:rPr>
      <w:t>-07-2024)</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A807A" w14:textId="77777777" w:rsidR="000467E9" w:rsidRPr="0000007A" w:rsidRDefault="000467E9" w:rsidP="0099583E">
      <w:r>
        <w:separator/>
      </w:r>
    </w:p>
  </w:footnote>
  <w:footnote w:type="continuationSeparator" w:id="0">
    <w:p w14:paraId="5A05AC3E" w14:textId="77777777" w:rsidR="000467E9" w:rsidRPr="0000007A" w:rsidRDefault="000467E9"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5A933" w14:textId="77777777" w:rsidR="00545A13" w:rsidRDefault="00545A13" w:rsidP="00545A13">
    <w:pPr>
      <w:spacing w:before="100" w:beforeAutospacing="1" w:after="100" w:afterAutospacing="1"/>
      <w:jc w:val="center"/>
      <w:rPr>
        <w:rFonts w:ascii="Arial" w:hAnsi="Arial" w:cs="Arial"/>
        <w:b/>
        <w:bCs/>
        <w:color w:val="003399"/>
        <w:szCs w:val="20"/>
        <w:u w:val="single"/>
      </w:rPr>
    </w:pPr>
  </w:p>
  <w:p w14:paraId="27A8FB92" w14:textId="77777777" w:rsidR="00B62F41" w:rsidRPr="00254F80" w:rsidRDefault="00545A13" w:rsidP="00545A13">
    <w:pPr>
      <w:spacing w:before="100" w:beforeAutospacing="1" w:after="100" w:afterAutospacing="1"/>
    </w:pPr>
    <w:r w:rsidRPr="00254F80">
      <w:rPr>
        <w:rFonts w:ascii="Arial" w:hAnsi="Arial" w:cs="Arial"/>
        <w:b/>
        <w:bCs/>
        <w:color w:val="003399"/>
        <w:u w:val="single"/>
      </w:rPr>
      <w:t xml:space="preserve">Review Form </w:t>
    </w:r>
    <w:r w:rsidR="00916495">
      <w:rPr>
        <w:rFonts w:ascii="Arial" w:hAnsi="Arial" w:cs="Arial"/>
        <w:b/>
        <w:bCs/>
        <w:color w:val="003399"/>
        <w:u w:val="single"/>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8"/>
  </w:num>
  <w:num w:numId="3">
    <w:abstractNumId w:val="7"/>
  </w:num>
  <w:num w:numId="4">
    <w:abstractNumId w:val="9"/>
  </w:num>
  <w:num w:numId="5">
    <w:abstractNumId w:val="6"/>
  </w:num>
  <w:num w:numId="6">
    <w:abstractNumId w:val="0"/>
  </w:num>
  <w:num w:numId="7">
    <w:abstractNumId w:val="3"/>
  </w:num>
  <w:num w:numId="8">
    <w:abstractNumId w:val="11"/>
  </w:num>
  <w:num w:numId="9">
    <w:abstractNumId w:val="10"/>
  </w:num>
  <w:num w:numId="10">
    <w:abstractNumId w:val="2"/>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2"/>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IN"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7A"/>
    <w:rsid w:val="0000007A"/>
    <w:rsid w:val="000043E7"/>
    <w:rsid w:val="00006187"/>
    <w:rsid w:val="00010403"/>
    <w:rsid w:val="00012C8B"/>
    <w:rsid w:val="00021981"/>
    <w:rsid w:val="000234E1"/>
    <w:rsid w:val="0002598E"/>
    <w:rsid w:val="00035604"/>
    <w:rsid w:val="00037D52"/>
    <w:rsid w:val="000450FC"/>
    <w:rsid w:val="000467E9"/>
    <w:rsid w:val="00053CF6"/>
    <w:rsid w:val="00056CB0"/>
    <w:rsid w:val="000577C2"/>
    <w:rsid w:val="0006257C"/>
    <w:rsid w:val="00084D7C"/>
    <w:rsid w:val="0009086C"/>
    <w:rsid w:val="00091112"/>
    <w:rsid w:val="000936AC"/>
    <w:rsid w:val="00095A59"/>
    <w:rsid w:val="000A2134"/>
    <w:rsid w:val="000A6F41"/>
    <w:rsid w:val="000B4EE5"/>
    <w:rsid w:val="000B5C83"/>
    <w:rsid w:val="000B74A1"/>
    <w:rsid w:val="000B757E"/>
    <w:rsid w:val="000C0837"/>
    <w:rsid w:val="000C3B7E"/>
    <w:rsid w:val="000D17D6"/>
    <w:rsid w:val="00100577"/>
    <w:rsid w:val="00101322"/>
    <w:rsid w:val="00120B61"/>
    <w:rsid w:val="00126F9D"/>
    <w:rsid w:val="00136984"/>
    <w:rsid w:val="00144521"/>
    <w:rsid w:val="00150304"/>
    <w:rsid w:val="0015296D"/>
    <w:rsid w:val="00163622"/>
    <w:rsid w:val="001645A2"/>
    <w:rsid w:val="00164F4E"/>
    <w:rsid w:val="00165685"/>
    <w:rsid w:val="0017480A"/>
    <w:rsid w:val="001766DF"/>
    <w:rsid w:val="00184644"/>
    <w:rsid w:val="0018753A"/>
    <w:rsid w:val="0019527A"/>
    <w:rsid w:val="00197E68"/>
    <w:rsid w:val="001A1605"/>
    <w:rsid w:val="001A29B7"/>
    <w:rsid w:val="001A545D"/>
    <w:rsid w:val="001B0C63"/>
    <w:rsid w:val="001C4707"/>
    <w:rsid w:val="001C6B29"/>
    <w:rsid w:val="001D291E"/>
    <w:rsid w:val="001D3A1D"/>
    <w:rsid w:val="001E4B3D"/>
    <w:rsid w:val="001E6BF7"/>
    <w:rsid w:val="001F24FF"/>
    <w:rsid w:val="001F2913"/>
    <w:rsid w:val="001F707F"/>
    <w:rsid w:val="001F70FF"/>
    <w:rsid w:val="002011F3"/>
    <w:rsid w:val="00201B85"/>
    <w:rsid w:val="00202E80"/>
    <w:rsid w:val="00205D14"/>
    <w:rsid w:val="002105F7"/>
    <w:rsid w:val="00220111"/>
    <w:rsid w:val="0022369C"/>
    <w:rsid w:val="00224CA6"/>
    <w:rsid w:val="00227E8D"/>
    <w:rsid w:val="002320EB"/>
    <w:rsid w:val="0023696A"/>
    <w:rsid w:val="002422CB"/>
    <w:rsid w:val="00244746"/>
    <w:rsid w:val="00245E23"/>
    <w:rsid w:val="0025366D"/>
    <w:rsid w:val="00254F80"/>
    <w:rsid w:val="00262634"/>
    <w:rsid w:val="002643B3"/>
    <w:rsid w:val="00275034"/>
    <w:rsid w:val="00275984"/>
    <w:rsid w:val="00280EC9"/>
    <w:rsid w:val="002855BA"/>
    <w:rsid w:val="00287DE3"/>
    <w:rsid w:val="00291D08"/>
    <w:rsid w:val="00293482"/>
    <w:rsid w:val="00296FF7"/>
    <w:rsid w:val="002B25AB"/>
    <w:rsid w:val="002D656B"/>
    <w:rsid w:val="002D7EA9"/>
    <w:rsid w:val="002E1211"/>
    <w:rsid w:val="002E2339"/>
    <w:rsid w:val="002E6D86"/>
    <w:rsid w:val="002F40FD"/>
    <w:rsid w:val="002F6935"/>
    <w:rsid w:val="00300E55"/>
    <w:rsid w:val="0030385E"/>
    <w:rsid w:val="00312559"/>
    <w:rsid w:val="003204B8"/>
    <w:rsid w:val="00325C33"/>
    <w:rsid w:val="0033692F"/>
    <w:rsid w:val="00346223"/>
    <w:rsid w:val="00363AE9"/>
    <w:rsid w:val="00374ECB"/>
    <w:rsid w:val="00383006"/>
    <w:rsid w:val="003A04E7"/>
    <w:rsid w:val="003A4991"/>
    <w:rsid w:val="003A6E1A"/>
    <w:rsid w:val="003B1AA6"/>
    <w:rsid w:val="003B2172"/>
    <w:rsid w:val="003E02DE"/>
    <w:rsid w:val="003E746A"/>
    <w:rsid w:val="0042465A"/>
    <w:rsid w:val="0042764F"/>
    <w:rsid w:val="00434D4E"/>
    <w:rsid w:val="004356CC"/>
    <w:rsid w:val="004356E8"/>
    <w:rsid w:val="00435B36"/>
    <w:rsid w:val="00442B24"/>
    <w:rsid w:val="0044444D"/>
    <w:rsid w:val="0044519B"/>
    <w:rsid w:val="00445B35"/>
    <w:rsid w:val="00446659"/>
    <w:rsid w:val="0045059B"/>
    <w:rsid w:val="00457AB1"/>
    <w:rsid w:val="00457BC0"/>
    <w:rsid w:val="00462996"/>
    <w:rsid w:val="004674B4"/>
    <w:rsid w:val="004B4CAD"/>
    <w:rsid w:val="004B4FDC"/>
    <w:rsid w:val="004B71EF"/>
    <w:rsid w:val="004C0C1E"/>
    <w:rsid w:val="004C3DF1"/>
    <w:rsid w:val="004D2E36"/>
    <w:rsid w:val="004D4FA9"/>
    <w:rsid w:val="004E45A4"/>
    <w:rsid w:val="00500BE0"/>
    <w:rsid w:val="00501EA6"/>
    <w:rsid w:val="00503AB6"/>
    <w:rsid w:val="005047C5"/>
    <w:rsid w:val="00510920"/>
    <w:rsid w:val="00521812"/>
    <w:rsid w:val="00523D2C"/>
    <w:rsid w:val="00531C82"/>
    <w:rsid w:val="005339A8"/>
    <w:rsid w:val="00533FC1"/>
    <w:rsid w:val="00545075"/>
    <w:rsid w:val="0054564B"/>
    <w:rsid w:val="00545A13"/>
    <w:rsid w:val="00546343"/>
    <w:rsid w:val="00557CD3"/>
    <w:rsid w:val="00560D3C"/>
    <w:rsid w:val="00567DE0"/>
    <w:rsid w:val="005735A5"/>
    <w:rsid w:val="00587587"/>
    <w:rsid w:val="00590B25"/>
    <w:rsid w:val="005A5BE0"/>
    <w:rsid w:val="005B12E0"/>
    <w:rsid w:val="005C25A0"/>
    <w:rsid w:val="005C65E7"/>
    <w:rsid w:val="005D230D"/>
    <w:rsid w:val="005D241C"/>
    <w:rsid w:val="005D3054"/>
    <w:rsid w:val="005D4473"/>
    <w:rsid w:val="005F4568"/>
    <w:rsid w:val="00602F7D"/>
    <w:rsid w:val="00605952"/>
    <w:rsid w:val="00615681"/>
    <w:rsid w:val="00620677"/>
    <w:rsid w:val="00624032"/>
    <w:rsid w:val="00637B93"/>
    <w:rsid w:val="00645A56"/>
    <w:rsid w:val="006532DF"/>
    <w:rsid w:val="0065579D"/>
    <w:rsid w:val="00663792"/>
    <w:rsid w:val="0067046C"/>
    <w:rsid w:val="00675E77"/>
    <w:rsid w:val="00676845"/>
    <w:rsid w:val="00680547"/>
    <w:rsid w:val="0068446F"/>
    <w:rsid w:val="0069428E"/>
    <w:rsid w:val="00696CAD"/>
    <w:rsid w:val="006A5E0B"/>
    <w:rsid w:val="006C3797"/>
    <w:rsid w:val="006C5AF4"/>
    <w:rsid w:val="006E7D6E"/>
    <w:rsid w:val="006F60B1"/>
    <w:rsid w:val="006F6F2F"/>
    <w:rsid w:val="00701186"/>
    <w:rsid w:val="00707BE1"/>
    <w:rsid w:val="00712999"/>
    <w:rsid w:val="0072067C"/>
    <w:rsid w:val="007238EB"/>
    <w:rsid w:val="00724C5A"/>
    <w:rsid w:val="0072789A"/>
    <w:rsid w:val="007317C3"/>
    <w:rsid w:val="00734756"/>
    <w:rsid w:val="0073538B"/>
    <w:rsid w:val="00741BD0"/>
    <w:rsid w:val="007426E6"/>
    <w:rsid w:val="00746370"/>
    <w:rsid w:val="00766889"/>
    <w:rsid w:val="00766A0D"/>
    <w:rsid w:val="00767F8C"/>
    <w:rsid w:val="007702DE"/>
    <w:rsid w:val="00780B67"/>
    <w:rsid w:val="00794C57"/>
    <w:rsid w:val="007959E5"/>
    <w:rsid w:val="007B1099"/>
    <w:rsid w:val="007B2AF7"/>
    <w:rsid w:val="007B6E18"/>
    <w:rsid w:val="007D0246"/>
    <w:rsid w:val="007D5605"/>
    <w:rsid w:val="007E67DE"/>
    <w:rsid w:val="007E77E7"/>
    <w:rsid w:val="007F5873"/>
    <w:rsid w:val="007F6EE0"/>
    <w:rsid w:val="0080546C"/>
    <w:rsid w:val="00806382"/>
    <w:rsid w:val="00815F94"/>
    <w:rsid w:val="0082130C"/>
    <w:rsid w:val="008224E2"/>
    <w:rsid w:val="00825DC9"/>
    <w:rsid w:val="0082676D"/>
    <w:rsid w:val="00831055"/>
    <w:rsid w:val="008423BB"/>
    <w:rsid w:val="00846F1F"/>
    <w:rsid w:val="0087201B"/>
    <w:rsid w:val="00877F10"/>
    <w:rsid w:val="00882091"/>
    <w:rsid w:val="00883F1E"/>
    <w:rsid w:val="008913D5"/>
    <w:rsid w:val="00892CC0"/>
    <w:rsid w:val="00893E75"/>
    <w:rsid w:val="008A6BED"/>
    <w:rsid w:val="008C2778"/>
    <w:rsid w:val="008C2F62"/>
    <w:rsid w:val="008D020E"/>
    <w:rsid w:val="008D1117"/>
    <w:rsid w:val="008D15A4"/>
    <w:rsid w:val="008F36E4"/>
    <w:rsid w:val="00916495"/>
    <w:rsid w:val="00921D73"/>
    <w:rsid w:val="00933C8B"/>
    <w:rsid w:val="00951DD1"/>
    <w:rsid w:val="009553EC"/>
    <w:rsid w:val="00960156"/>
    <w:rsid w:val="0097330E"/>
    <w:rsid w:val="00974330"/>
    <w:rsid w:val="0097498C"/>
    <w:rsid w:val="009749CC"/>
    <w:rsid w:val="00982766"/>
    <w:rsid w:val="009852C4"/>
    <w:rsid w:val="00985F26"/>
    <w:rsid w:val="009915D9"/>
    <w:rsid w:val="00993207"/>
    <w:rsid w:val="0099441A"/>
    <w:rsid w:val="0099583E"/>
    <w:rsid w:val="009A0242"/>
    <w:rsid w:val="009A59ED"/>
    <w:rsid w:val="009B5AA8"/>
    <w:rsid w:val="009C2FC9"/>
    <w:rsid w:val="009C45A0"/>
    <w:rsid w:val="009C5642"/>
    <w:rsid w:val="009E13C3"/>
    <w:rsid w:val="009E6A30"/>
    <w:rsid w:val="009E79E5"/>
    <w:rsid w:val="009F07D4"/>
    <w:rsid w:val="009F29EB"/>
    <w:rsid w:val="00A001A0"/>
    <w:rsid w:val="00A00375"/>
    <w:rsid w:val="00A12C83"/>
    <w:rsid w:val="00A31AAC"/>
    <w:rsid w:val="00A32905"/>
    <w:rsid w:val="00A352C1"/>
    <w:rsid w:val="00A36C95"/>
    <w:rsid w:val="00A37DE3"/>
    <w:rsid w:val="00A519D1"/>
    <w:rsid w:val="00A6343B"/>
    <w:rsid w:val="00A65C50"/>
    <w:rsid w:val="00A66DD2"/>
    <w:rsid w:val="00A8542C"/>
    <w:rsid w:val="00AA41B3"/>
    <w:rsid w:val="00AA6670"/>
    <w:rsid w:val="00AB1ED6"/>
    <w:rsid w:val="00AB397D"/>
    <w:rsid w:val="00AB638A"/>
    <w:rsid w:val="00AB6E43"/>
    <w:rsid w:val="00AC1349"/>
    <w:rsid w:val="00AD6C51"/>
    <w:rsid w:val="00AE5D7A"/>
    <w:rsid w:val="00AE6911"/>
    <w:rsid w:val="00AF3016"/>
    <w:rsid w:val="00AF3A7D"/>
    <w:rsid w:val="00B03A45"/>
    <w:rsid w:val="00B2236C"/>
    <w:rsid w:val="00B22FE6"/>
    <w:rsid w:val="00B3033D"/>
    <w:rsid w:val="00B351FC"/>
    <w:rsid w:val="00B356AF"/>
    <w:rsid w:val="00B370AB"/>
    <w:rsid w:val="00B53368"/>
    <w:rsid w:val="00B558F4"/>
    <w:rsid w:val="00B62087"/>
    <w:rsid w:val="00B62F41"/>
    <w:rsid w:val="00B674CF"/>
    <w:rsid w:val="00B73785"/>
    <w:rsid w:val="00B760E1"/>
    <w:rsid w:val="00B807F8"/>
    <w:rsid w:val="00B81B37"/>
    <w:rsid w:val="00B858FF"/>
    <w:rsid w:val="00B87E9C"/>
    <w:rsid w:val="00B96FF1"/>
    <w:rsid w:val="00BA1AB3"/>
    <w:rsid w:val="00BA6421"/>
    <w:rsid w:val="00BA7B3B"/>
    <w:rsid w:val="00BB34E6"/>
    <w:rsid w:val="00BB4FEC"/>
    <w:rsid w:val="00BC2678"/>
    <w:rsid w:val="00BC402F"/>
    <w:rsid w:val="00BD27BA"/>
    <w:rsid w:val="00BE13EF"/>
    <w:rsid w:val="00BE40A5"/>
    <w:rsid w:val="00BE6454"/>
    <w:rsid w:val="00BF39A4"/>
    <w:rsid w:val="00C02797"/>
    <w:rsid w:val="00C10283"/>
    <w:rsid w:val="00C110CC"/>
    <w:rsid w:val="00C20210"/>
    <w:rsid w:val="00C22886"/>
    <w:rsid w:val="00C23907"/>
    <w:rsid w:val="00C25C8F"/>
    <w:rsid w:val="00C263C6"/>
    <w:rsid w:val="00C41B8A"/>
    <w:rsid w:val="00C41D23"/>
    <w:rsid w:val="00C555F6"/>
    <w:rsid w:val="00C635B6"/>
    <w:rsid w:val="00C70DFC"/>
    <w:rsid w:val="00C82466"/>
    <w:rsid w:val="00C84097"/>
    <w:rsid w:val="00CB429B"/>
    <w:rsid w:val="00CC2753"/>
    <w:rsid w:val="00CD093E"/>
    <w:rsid w:val="00CD1556"/>
    <w:rsid w:val="00CD1FD7"/>
    <w:rsid w:val="00CE199A"/>
    <w:rsid w:val="00CE5AC7"/>
    <w:rsid w:val="00CE6AC6"/>
    <w:rsid w:val="00CE7576"/>
    <w:rsid w:val="00CF0BBB"/>
    <w:rsid w:val="00D1283A"/>
    <w:rsid w:val="00D17979"/>
    <w:rsid w:val="00D2075F"/>
    <w:rsid w:val="00D26ABA"/>
    <w:rsid w:val="00D3257B"/>
    <w:rsid w:val="00D32D9E"/>
    <w:rsid w:val="00D40416"/>
    <w:rsid w:val="00D45CF7"/>
    <w:rsid w:val="00D46D22"/>
    <w:rsid w:val="00D4782A"/>
    <w:rsid w:val="00D7603E"/>
    <w:rsid w:val="00D8579C"/>
    <w:rsid w:val="00D90124"/>
    <w:rsid w:val="00D9392F"/>
    <w:rsid w:val="00DA41F5"/>
    <w:rsid w:val="00DB5B54"/>
    <w:rsid w:val="00DB7E1B"/>
    <w:rsid w:val="00DC1D81"/>
    <w:rsid w:val="00DC24DC"/>
    <w:rsid w:val="00DD074C"/>
    <w:rsid w:val="00DF64E9"/>
    <w:rsid w:val="00E15231"/>
    <w:rsid w:val="00E451EA"/>
    <w:rsid w:val="00E52663"/>
    <w:rsid w:val="00E53E52"/>
    <w:rsid w:val="00E57F4B"/>
    <w:rsid w:val="00E63889"/>
    <w:rsid w:val="00E64408"/>
    <w:rsid w:val="00E65EB7"/>
    <w:rsid w:val="00E71C8D"/>
    <w:rsid w:val="00E72360"/>
    <w:rsid w:val="00E877A2"/>
    <w:rsid w:val="00E972A7"/>
    <w:rsid w:val="00EA2839"/>
    <w:rsid w:val="00EB3E91"/>
    <w:rsid w:val="00EC5D12"/>
    <w:rsid w:val="00EC6894"/>
    <w:rsid w:val="00ED6B12"/>
    <w:rsid w:val="00EE0455"/>
    <w:rsid w:val="00EE0D3E"/>
    <w:rsid w:val="00EE565A"/>
    <w:rsid w:val="00EF326D"/>
    <w:rsid w:val="00EF53FE"/>
    <w:rsid w:val="00F245A7"/>
    <w:rsid w:val="00F2643C"/>
    <w:rsid w:val="00F3295A"/>
    <w:rsid w:val="00F34D8E"/>
    <w:rsid w:val="00F3669D"/>
    <w:rsid w:val="00F405F8"/>
    <w:rsid w:val="00F41154"/>
    <w:rsid w:val="00F4700F"/>
    <w:rsid w:val="00F51F7F"/>
    <w:rsid w:val="00F5411E"/>
    <w:rsid w:val="00F54ABC"/>
    <w:rsid w:val="00F557D2"/>
    <w:rsid w:val="00F573EA"/>
    <w:rsid w:val="00F57E9D"/>
    <w:rsid w:val="00F65A3B"/>
    <w:rsid w:val="00F73AA1"/>
    <w:rsid w:val="00FA6528"/>
    <w:rsid w:val="00FC2E17"/>
    <w:rsid w:val="00FC498F"/>
    <w:rsid w:val="00FC6387"/>
    <w:rsid w:val="00FC6802"/>
    <w:rsid w:val="00FC6B17"/>
    <w:rsid w:val="00FD70A7"/>
    <w:rsid w:val="00FE0CE4"/>
    <w:rsid w:val="00FE6E12"/>
    <w:rsid w:val="00FF09A0"/>
    <w:rsid w:val="00FF0B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BC0448"/>
  <w15:chartTrackingRefBased/>
  <w15:docId w15:val="{EB462298-FDCD-7240-85CF-43E43D5B5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56E8"/>
    <w:rPr>
      <w:rFonts w:ascii="Times New Roman" w:eastAsiaTheme="minorEastAsia" w:hAnsi="Times New Roman"/>
      <w:sz w:val="24"/>
      <w:szCs w:val="24"/>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eastAsia="en-US"/>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lang w:val="en-US" w:eastAsia="en-US"/>
    </w:rPr>
  </w:style>
  <w:style w:type="paragraph" w:styleId="BodyText">
    <w:name w:val="Body Text"/>
    <w:basedOn w:val="Normal"/>
    <w:link w:val="BodyTextChar"/>
    <w:rsid w:val="0000007A"/>
    <w:pPr>
      <w:jc w:val="both"/>
    </w:pPr>
    <w:rPr>
      <w:rFonts w:ascii="Helvetica" w:eastAsia="MS Mincho" w:hAnsi="Helvetica" w:cs="Helvetica"/>
      <w:lang w:val="fr-FR" w:eastAsia="en-US"/>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rPr>
      <w:rFonts w:eastAsia="Times New Roman"/>
      <w:lang w:val="en-US" w:eastAsia="en-US"/>
    </w:r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rPr>
      <w:rFonts w:eastAsia="Times New Roman"/>
      <w:lang w:val="en-US" w:eastAsia="en-US"/>
    </w:r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rPr>
      <w:rFonts w:eastAsia="Times New Roman"/>
      <w:lang w:val="en-US" w:eastAsia="en-US"/>
    </w:rPr>
  </w:style>
  <w:style w:type="paragraph" w:styleId="Revision">
    <w:name w:val="Revision"/>
    <w:hidden/>
    <w:uiPriority w:val="99"/>
    <w:semiHidden/>
    <w:rsid w:val="00E57F4B"/>
    <w:rPr>
      <w:sz w:val="22"/>
      <w:szCs w:val="22"/>
      <w:lang w:val="en-US" w:eastAsia="en-US"/>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uiPriority w:val="99"/>
    <w:semiHidden/>
    <w:unhideWhenUsed/>
    <w:rsid w:val="00FF0BB3"/>
    <w:rPr>
      <w:color w:val="605E5C"/>
      <w:shd w:val="clear" w:color="auto" w:fill="E1DFDD"/>
    </w:rPr>
  </w:style>
  <w:style w:type="paragraph" w:customStyle="1" w:styleId="Affiliation">
    <w:name w:val="Affiliation"/>
    <w:basedOn w:val="Normal"/>
    <w:rsid w:val="00F557D2"/>
    <w:pPr>
      <w:spacing w:after="240" w:line="240" w:lineRule="exact"/>
      <w:jc w:val="right"/>
    </w:pPr>
    <w:rPr>
      <w:rFonts w:ascii="Helvetica" w:eastAsia="Times New Roman" w:hAnsi="Helvetic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06989056">
      <w:bodyDiv w:val="1"/>
      <w:marLeft w:val="0"/>
      <w:marRight w:val="0"/>
      <w:marTop w:val="0"/>
      <w:marBottom w:val="0"/>
      <w:divBdr>
        <w:top w:val="none" w:sz="0" w:space="0" w:color="auto"/>
        <w:left w:val="none" w:sz="0" w:space="0" w:color="auto"/>
        <w:bottom w:val="none" w:sz="0" w:space="0" w:color="auto"/>
        <w:right w:val="none" w:sz="0" w:space="0" w:color="auto"/>
      </w:divBdr>
    </w:div>
    <w:div w:id="742140945">
      <w:bodyDiv w:val="1"/>
      <w:marLeft w:val="0"/>
      <w:marRight w:val="0"/>
      <w:marTop w:val="0"/>
      <w:marBottom w:val="0"/>
      <w:divBdr>
        <w:top w:val="none" w:sz="0" w:space="0" w:color="auto"/>
        <w:left w:val="none" w:sz="0" w:space="0" w:color="auto"/>
        <w:bottom w:val="none" w:sz="0" w:space="0" w:color="auto"/>
        <w:right w:val="none" w:sz="0" w:space="0" w:color="auto"/>
      </w:divBdr>
    </w:div>
    <w:div w:id="804935426">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1017583402">
      <w:bodyDiv w:val="1"/>
      <w:marLeft w:val="0"/>
      <w:marRight w:val="0"/>
      <w:marTop w:val="0"/>
      <w:marBottom w:val="0"/>
      <w:divBdr>
        <w:top w:val="none" w:sz="0" w:space="0" w:color="auto"/>
        <w:left w:val="none" w:sz="0" w:space="0" w:color="auto"/>
        <w:bottom w:val="none" w:sz="0" w:space="0" w:color="auto"/>
        <w:right w:val="none" w:sz="0" w:space="0" w:color="auto"/>
      </w:divBdr>
    </w:div>
    <w:div w:id="1178616629">
      <w:bodyDiv w:val="1"/>
      <w:marLeft w:val="0"/>
      <w:marRight w:val="0"/>
      <w:marTop w:val="0"/>
      <w:marBottom w:val="0"/>
      <w:divBdr>
        <w:top w:val="none" w:sz="0" w:space="0" w:color="auto"/>
        <w:left w:val="none" w:sz="0" w:space="0" w:color="auto"/>
        <w:bottom w:val="none" w:sz="0" w:space="0" w:color="auto"/>
        <w:right w:val="none" w:sz="0" w:space="0" w:color="auto"/>
      </w:divBdr>
    </w:div>
    <w:div w:id="1192500582">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720588294">
      <w:bodyDiv w:val="1"/>
      <w:marLeft w:val="0"/>
      <w:marRight w:val="0"/>
      <w:marTop w:val="0"/>
      <w:marBottom w:val="0"/>
      <w:divBdr>
        <w:top w:val="none" w:sz="0" w:space="0" w:color="auto"/>
        <w:left w:val="none" w:sz="0" w:space="0" w:color="auto"/>
        <w:bottom w:val="none" w:sz="0" w:space="0" w:color="auto"/>
        <w:right w:val="none" w:sz="0" w:space="0" w:color="auto"/>
      </w:divBdr>
    </w:div>
    <w:div w:id="2033724560">
      <w:bodyDiv w:val="1"/>
      <w:marLeft w:val="0"/>
      <w:marRight w:val="0"/>
      <w:marTop w:val="0"/>
      <w:marBottom w:val="0"/>
      <w:divBdr>
        <w:top w:val="none" w:sz="0" w:space="0" w:color="auto"/>
        <w:left w:val="none" w:sz="0" w:space="0" w:color="auto"/>
        <w:bottom w:val="none" w:sz="0" w:space="0" w:color="auto"/>
        <w:right w:val="none" w:sz="0" w:space="0" w:color="auto"/>
      </w:divBdr>
      <w:divsChild>
        <w:div w:id="1367484199">
          <w:marLeft w:val="0"/>
          <w:marRight w:val="0"/>
          <w:marTop w:val="0"/>
          <w:marBottom w:val="0"/>
          <w:divBdr>
            <w:top w:val="none" w:sz="0" w:space="0" w:color="auto"/>
            <w:left w:val="none" w:sz="0" w:space="0" w:color="auto"/>
            <w:bottom w:val="none" w:sz="0" w:space="0" w:color="auto"/>
            <w:right w:val="none" w:sz="0" w:space="0" w:color="auto"/>
          </w:divBdr>
        </w:div>
        <w:div w:id="1695841659">
          <w:marLeft w:val="0"/>
          <w:marRight w:val="0"/>
          <w:marTop w:val="0"/>
          <w:marBottom w:val="0"/>
          <w:divBdr>
            <w:top w:val="none" w:sz="0" w:space="0" w:color="auto"/>
            <w:left w:val="none" w:sz="0" w:space="0" w:color="auto"/>
            <w:bottom w:val="none" w:sz="0" w:space="0" w:color="auto"/>
            <w:right w:val="none" w:sz="0" w:space="0" w:color="auto"/>
          </w:divBdr>
          <w:divsChild>
            <w:div w:id="1599673428">
              <w:marLeft w:val="0"/>
              <w:marRight w:val="0"/>
              <w:marTop w:val="0"/>
              <w:marBottom w:val="0"/>
              <w:divBdr>
                <w:top w:val="none" w:sz="0" w:space="0" w:color="auto"/>
                <w:left w:val="none" w:sz="0" w:space="0" w:color="auto"/>
                <w:bottom w:val="none" w:sz="0" w:space="0" w:color="auto"/>
                <w:right w:val="none" w:sz="0" w:space="0" w:color="auto"/>
              </w:divBdr>
            </w:div>
            <w:div w:id="1679580995">
              <w:marLeft w:val="0"/>
              <w:marRight w:val="0"/>
              <w:marTop w:val="0"/>
              <w:marBottom w:val="0"/>
              <w:divBdr>
                <w:top w:val="none" w:sz="0" w:space="0" w:color="auto"/>
                <w:left w:val="none" w:sz="0" w:space="0" w:color="auto"/>
                <w:bottom w:val="none" w:sz="0" w:space="0" w:color="auto"/>
                <w:right w:val="none" w:sz="0" w:space="0" w:color="auto"/>
              </w:divBdr>
            </w:div>
            <w:div w:id="667247824">
              <w:marLeft w:val="0"/>
              <w:marRight w:val="0"/>
              <w:marTop w:val="0"/>
              <w:marBottom w:val="0"/>
              <w:divBdr>
                <w:top w:val="none" w:sz="0" w:space="0" w:color="auto"/>
                <w:left w:val="none" w:sz="0" w:space="0" w:color="auto"/>
                <w:bottom w:val="none" w:sz="0" w:space="0" w:color="auto"/>
                <w:right w:val="none" w:sz="0" w:space="0" w:color="auto"/>
              </w:divBdr>
            </w:div>
            <w:div w:id="192037138">
              <w:marLeft w:val="0"/>
              <w:marRight w:val="0"/>
              <w:marTop w:val="0"/>
              <w:marBottom w:val="0"/>
              <w:divBdr>
                <w:top w:val="none" w:sz="0" w:space="0" w:color="auto"/>
                <w:left w:val="none" w:sz="0" w:space="0" w:color="auto"/>
                <w:bottom w:val="none" w:sz="0" w:space="0" w:color="auto"/>
                <w:right w:val="none" w:sz="0" w:space="0" w:color="auto"/>
              </w:divBdr>
            </w:div>
            <w:div w:id="127817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ajl2c.com/index.php/AJL2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21CBC-DDB2-4D34-8A82-8C91C9E1F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1329</Words>
  <Characters>7577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8889</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1441873</vt:i4>
      </vt:variant>
      <vt:variant>
        <vt:i4>0</vt:i4>
      </vt:variant>
      <vt:variant>
        <vt:i4>0</vt:i4>
      </vt:variant>
      <vt:variant>
        <vt:i4>5</vt:i4>
      </vt:variant>
      <vt:variant>
        <vt:lpwstr>https://journalajl2c.com/index.php/AJL2C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SDI 1137</cp:lastModifiedBy>
  <cp:revision>5</cp:revision>
  <dcterms:created xsi:type="dcterms:W3CDTF">2025-06-24T10:39:00Z</dcterms:created>
  <dcterms:modified xsi:type="dcterms:W3CDTF">2025-06-28T10:15:00Z</dcterms:modified>
</cp:coreProperties>
</file>