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7EDF8" w14:textId="4A4367D9" w:rsidR="00E7696D" w:rsidRPr="00E7696D" w:rsidRDefault="00E7696D" w:rsidP="00E7696D">
      <w:pPr>
        <w:pStyle w:val="Author"/>
        <w:rPr>
          <w:rFonts w:ascii="Arial" w:hAnsi="Arial" w:cs="Arial"/>
          <w:bCs/>
          <w:i/>
          <w:iCs/>
          <w:kern w:val="28"/>
          <w:sz w:val="18"/>
          <w:szCs w:val="18"/>
          <w:u w:val="single"/>
          <w:lang w:val="en-US"/>
        </w:rPr>
      </w:pPr>
      <w:r w:rsidRPr="00E7696D">
        <w:rPr>
          <w:rFonts w:ascii="Arial" w:hAnsi="Arial" w:cs="Arial"/>
          <w:bCs/>
          <w:i/>
          <w:iCs/>
          <w:kern w:val="28"/>
          <w:sz w:val="18"/>
          <w:szCs w:val="18"/>
          <w:u w:val="single"/>
        </w:rPr>
        <w:t>Original Research Article</w:t>
      </w:r>
    </w:p>
    <w:p w14:paraId="532FA8AD" w14:textId="16F02577" w:rsidR="00A258C3" w:rsidRPr="00103EF8" w:rsidRDefault="001C180D" w:rsidP="00103EF8">
      <w:pPr>
        <w:pStyle w:val="Author"/>
        <w:spacing w:line="240" w:lineRule="auto"/>
        <w:rPr>
          <w:rFonts w:ascii="Arial" w:hAnsi="Arial" w:cs="Arial"/>
          <w:sz w:val="36"/>
        </w:rPr>
      </w:pPr>
      <w:r w:rsidRPr="00103EF8">
        <w:rPr>
          <w:rFonts w:ascii="Arial" w:hAnsi="Arial" w:cs="Arial"/>
          <w:bCs/>
          <w:iCs/>
          <w:kern w:val="28"/>
          <w:sz w:val="36"/>
        </w:rPr>
        <w:t xml:space="preserve">The Socio-Economic Value of Dryland Buffer Zones to Adjacent Community </w:t>
      </w:r>
    </w:p>
    <w:p w14:paraId="7379892B" w14:textId="77777777" w:rsidR="00C14186" w:rsidRPr="00103EF8" w:rsidRDefault="00C14186" w:rsidP="00441B6F">
      <w:pPr>
        <w:pStyle w:val="Affiliation"/>
        <w:spacing w:after="0" w:line="240" w:lineRule="auto"/>
        <w:rPr>
          <w:rFonts w:ascii="Arial" w:hAnsi="Arial" w:cs="Arial"/>
          <w:i/>
        </w:rPr>
      </w:pPr>
    </w:p>
    <w:p w14:paraId="117E06D2" w14:textId="77777777" w:rsidR="00B01FCD" w:rsidRPr="00103EF8" w:rsidRDefault="00CB6D5A" w:rsidP="00441B6F">
      <w:pPr>
        <w:pStyle w:val="Copyright"/>
        <w:spacing w:after="0" w:line="240" w:lineRule="auto"/>
        <w:jc w:val="both"/>
        <w:rPr>
          <w:rFonts w:ascii="Arial" w:hAnsi="Arial" w:cs="Arial"/>
        </w:rPr>
        <w:sectPr w:rsidR="00B01FCD" w:rsidRPr="00103EF8" w:rsidSect="0062319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103EF8">
        <w:rPr>
          <w:rFonts w:ascii="Arial" w:hAnsi="Arial" w:cs="Arial"/>
          <w:noProof/>
        </w:rPr>
        <mc:AlternateContent>
          <mc:Choice Requires="wps">
            <w:drawing>
              <wp:inline distT="0" distB="0" distL="0" distR="0" wp14:anchorId="080E7228" wp14:editId="2D3E273F">
                <wp:extent cx="5303520" cy="635"/>
                <wp:effectExtent l="0" t="0" r="11430" b="18415"/>
                <wp:docPr id="1949791605"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A16265D"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" strokeweight="1.5pt">
                <o:lock v:ext="edit" shapetype="f"/>
                <w10:anchorlock/>
              </v:shape>
            </w:pict>
          </mc:Fallback>
        </mc:AlternateContent>
      </w:r>
      <w:r w:rsidR="00FB3A86" w:rsidRPr="00103EF8">
        <w:rPr>
          <w:rFonts w:ascii="Arial" w:hAnsi="Arial" w:cs="Arial"/>
        </w:rPr>
        <w:t>.</w:t>
      </w:r>
    </w:p>
    <w:p w14:paraId="4A7114EF" w14:textId="74E0AB8A" w:rsidR="00790ADA" w:rsidRPr="00103EF8" w:rsidRDefault="00B01FCD" w:rsidP="00441B6F">
      <w:pPr>
        <w:pStyle w:val="AbstHead"/>
        <w:spacing w:after="0"/>
        <w:jc w:val="both"/>
        <w:rPr>
          <w:rFonts w:ascii="Arial" w:hAnsi="Arial" w:cs="Arial"/>
        </w:rPr>
      </w:pPr>
      <w:r w:rsidRPr="00103EF8">
        <w:rPr>
          <w:rFonts w:ascii="Arial" w:hAnsi="Arial" w:cs="Arial"/>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03EF8" w14:paraId="7415CC80" w14:textId="77777777" w:rsidTr="001E44FE">
        <w:tc>
          <w:tcPr>
            <w:tcW w:w="9576" w:type="dxa"/>
            <w:shd w:val="clear" w:color="auto" w:fill="F2F2F2"/>
          </w:tcPr>
          <w:p w14:paraId="02EDB3C2" w14:textId="481530DD" w:rsidR="00505F06" w:rsidRPr="00103EF8" w:rsidRDefault="00413453" w:rsidP="00441B6F">
            <w:pPr>
              <w:pStyle w:val="Body"/>
              <w:spacing w:after="0"/>
              <w:rPr>
                <w:rFonts w:ascii="Arial" w:eastAsia="Calibri" w:hAnsi="Arial" w:cs="Arial"/>
                <w:szCs w:val="22"/>
              </w:rPr>
            </w:pPr>
            <w:r>
              <w:t xml:space="preserve">Forest degradation remains a pressing environmental concern in Kenya, particularly within buffer zones where community livelihoods intersect with conservation efforts. This study investigates how </w:t>
            </w:r>
            <w:commentRangeStart w:id="0"/>
            <w:r>
              <w:t>economic benefits</w:t>
            </w:r>
            <w:commentRangeEnd w:id="0"/>
            <w:r w:rsidR="00162A51">
              <w:rPr>
                <w:rStyle w:val="Refdecomentrio"/>
                <w:rFonts w:ascii="Times New Roman" w:hAnsi="Times New Roman"/>
                <w:lang w:val="nb-NO" w:eastAsia="nb-NO"/>
              </w:rPr>
              <w:commentReference w:id="0"/>
            </w:r>
            <w:r>
              <w:t xml:space="preserve"> derived from forest-related activities influence forest cover change in the Endau Forest. The primary objective was to assess whether perceived and actual economic gains from sustainable practices affect community participation in forest conservation. A descriptive survey design was employed, involving 298 randomly selected households from communities </w:t>
            </w:r>
            <w:commentRangeStart w:id="1"/>
            <w:r>
              <w:t>around Endau Forest</w:t>
            </w:r>
            <w:commentRangeEnd w:id="1"/>
            <w:r w:rsidR="00162A51">
              <w:rPr>
                <w:rStyle w:val="Refdecomentrio"/>
                <w:rFonts w:ascii="Times New Roman" w:hAnsi="Times New Roman"/>
                <w:lang w:val="nb-NO" w:eastAsia="nb-NO"/>
              </w:rPr>
              <w:commentReference w:id="1"/>
            </w:r>
            <w:r>
              <w:t xml:space="preserve">. Data were </w:t>
            </w:r>
            <w:commentRangeStart w:id="2"/>
            <w:r>
              <w:t xml:space="preserve">collected using structured questionnaires </w:t>
            </w:r>
            <w:commentRangeEnd w:id="2"/>
            <w:r w:rsidR="00162A51">
              <w:rPr>
                <w:rStyle w:val="Refdecomentrio"/>
                <w:rFonts w:ascii="Times New Roman" w:hAnsi="Times New Roman"/>
                <w:lang w:val="nb-NO" w:eastAsia="nb-NO"/>
              </w:rPr>
              <w:commentReference w:id="2"/>
            </w:r>
            <w:r>
              <w:t xml:space="preserve">and supplemented by semi-structured interviews with six key informants, including two forest conservators, two foresters, local leaders, and a ranger. Descriptive statistics, correlation, and regression analyses were used to examine the relationship between economic incentives and forest cover dynamics. </w:t>
            </w:r>
            <w:commentRangeStart w:id="3"/>
            <w:r>
              <w:t>Results showed that activities such as charcoal production and firewood collection were perceived as major drivers of forest degradation</w:t>
            </w:r>
            <w:commentRangeEnd w:id="3"/>
            <w:r w:rsidR="00162A51">
              <w:rPr>
                <w:rStyle w:val="Refdecomentrio"/>
                <w:rFonts w:ascii="Times New Roman" w:hAnsi="Times New Roman"/>
                <w:lang w:val="nb-NO" w:eastAsia="nb-NO"/>
              </w:rPr>
              <w:commentReference w:id="3"/>
            </w:r>
            <w:r>
              <w:t>. However, communities also recognised the potential of sustainable practices, such as ecotourism and farm forestry, to offer viable economic alternatives. A strong positive correlation (</w:t>
            </w:r>
            <w:r w:rsidR="00210EB4" w:rsidRPr="00210EB4">
              <w:rPr>
                <w:i/>
                <w:iCs/>
              </w:rPr>
              <w:t>r</w:t>
            </w:r>
            <w:r w:rsidR="00210EB4">
              <w:t xml:space="preserve"> = 0.860, </w:t>
            </w:r>
            <w:r w:rsidR="00210EB4" w:rsidRPr="00210EB4">
              <w:rPr>
                <w:i/>
                <w:iCs/>
              </w:rPr>
              <w:t>p</w:t>
            </w:r>
            <w:r w:rsidR="00210EB4">
              <w:t xml:space="preserve"> = 0.001) and a statistically significant regression coefficient (</w:t>
            </w:r>
            <w:r w:rsidR="00210EB4" w:rsidRPr="00210EB4">
              <w:rPr>
                <w:i/>
                <w:iCs/>
              </w:rPr>
              <w:t>β</w:t>
            </w:r>
            <w:r w:rsidR="00210EB4">
              <w:t xml:space="preserve"> = 0.210, </w:t>
            </w:r>
            <w:r w:rsidR="00210EB4" w:rsidRPr="00210EB4">
              <w:rPr>
                <w:i/>
                <w:iCs/>
              </w:rPr>
              <w:t>p</w:t>
            </w:r>
            <w:r w:rsidR="00210EB4">
              <w:t xml:space="preserve"> = 0.028) indicated that economic incentives positively influence conservation behaviour. The findings highlight the importance of integrating economic development with forest conservation strategies. Policy interventions that promote alternative livelihoods could enhance sustainable forest management in buffer zones.</w:t>
            </w:r>
          </w:p>
        </w:tc>
      </w:tr>
    </w:tbl>
    <w:p w14:paraId="03533F18" w14:textId="77777777" w:rsidR="00636EB2" w:rsidRPr="00103EF8" w:rsidRDefault="00636EB2" w:rsidP="00441B6F">
      <w:pPr>
        <w:pStyle w:val="Body"/>
        <w:spacing w:after="0"/>
        <w:rPr>
          <w:rFonts w:ascii="Arial" w:hAnsi="Arial" w:cs="Arial"/>
          <w:i/>
        </w:rPr>
      </w:pPr>
    </w:p>
    <w:p w14:paraId="2BA83830" w14:textId="251659FB" w:rsidR="00A24E7E" w:rsidRPr="00103EF8" w:rsidRDefault="00A24E7E" w:rsidP="00441B6F">
      <w:pPr>
        <w:pStyle w:val="Body"/>
        <w:spacing w:after="0"/>
        <w:rPr>
          <w:rFonts w:ascii="Arial" w:hAnsi="Arial" w:cs="Arial"/>
          <w:i/>
        </w:rPr>
      </w:pPr>
      <w:r w:rsidRPr="009D107A">
        <w:rPr>
          <w:rFonts w:ascii="Arial" w:hAnsi="Arial" w:cs="Arial"/>
          <w:b/>
          <w:bCs/>
          <w:i/>
        </w:rPr>
        <w:t xml:space="preserve">Keywords: </w:t>
      </w:r>
      <w:r w:rsidR="00210EB4">
        <w:t xml:space="preserve">Forest conservation, economic benefits, buffer zones, Endau Forest, sustainable livelihoods, deforestation, </w:t>
      </w:r>
      <w:r w:rsidR="00210EB4" w:rsidRPr="00103EF8">
        <w:rPr>
          <w:rFonts w:ascii="Arial" w:hAnsi="Arial" w:cs="Arial"/>
          <w:i/>
        </w:rPr>
        <w:t xml:space="preserve">Dryland Forest, Economic incentives. </w:t>
      </w:r>
    </w:p>
    <w:p w14:paraId="172E9D06" w14:textId="77777777" w:rsidR="00505F06" w:rsidRPr="00103EF8" w:rsidRDefault="00505F06" w:rsidP="00441B6F">
      <w:pPr>
        <w:pStyle w:val="Body"/>
        <w:spacing w:after="0"/>
        <w:rPr>
          <w:rFonts w:ascii="Arial" w:hAnsi="Arial" w:cs="Arial"/>
          <w:i/>
        </w:rPr>
      </w:pPr>
    </w:p>
    <w:p w14:paraId="34BC13CA" w14:textId="5DB815FD" w:rsidR="00790ADA" w:rsidRPr="00162A51" w:rsidRDefault="00902823" w:rsidP="001C180D">
      <w:pPr>
        <w:pStyle w:val="AbstHead"/>
        <w:spacing w:after="0"/>
        <w:jc w:val="both"/>
        <w:rPr>
          <w:rFonts w:ascii="Arial" w:hAnsi="Arial" w:cs="Arial"/>
          <w:b w:val="0"/>
          <w:bCs/>
        </w:rPr>
      </w:pPr>
      <w:commentRangeStart w:id="4"/>
      <w:r w:rsidRPr="00103EF8">
        <w:rPr>
          <w:rFonts w:ascii="Arial" w:hAnsi="Arial" w:cs="Arial"/>
        </w:rPr>
        <w:t xml:space="preserve">1. INTRODUCTION </w:t>
      </w:r>
      <w:commentRangeEnd w:id="4"/>
      <w:r w:rsidR="00162A51">
        <w:rPr>
          <w:rStyle w:val="Refdecomentrio"/>
          <w:rFonts w:ascii="Times New Roman" w:hAnsi="Times New Roman"/>
          <w:b w:val="0"/>
          <w:caps w:val="0"/>
          <w:lang w:val="nb-NO" w:eastAsia="nb-NO"/>
        </w:rPr>
        <w:commentReference w:id="4"/>
      </w:r>
    </w:p>
    <w:p w14:paraId="3AC06F99" w14:textId="7EE674C3" w:rsidR="00F0152C" w:rsidRPr="00C6424E" w:rsidRDefault="00F0152C" w:rsidP="00F0152C">
      <w:pPr>
        <w:jc w:val="both"/>
        <w:rPr>
          <w:rFonts w:eastAsia="Calibri" w:cs="Helvetica"/>
          <w:color w:val="000000" w:themeColor="text1"/>
          <w:szCs w:val="24"/>
        </w:rPr>
      </w:pPr>
      <w:r w:rsidRPr="00C6424E">
        <w:rPr>
          <w:rFonts w:eastAsia="Calibri" w:cs="Helvetica"/>
          <w:color w:val="000000" w:themeColor="text1"/>
          <w:szCs w:val="24"/>
        </w:rPr>
        <w:t>Dryland forests are vital ecosystems that cover approximately 27% of the Earth's forested area. Dryland forests provide environmental services such as carbon sequestration and biodiversity conservation. Dryland forests are a source of livelihood that supports approximately two billion people in the world. Despite their importance, these ecosystems are increasingly threatened by human activities like agricultural expansion, logging, and overgrazing, as well as by the impacts of climate change. Globally, the degradation of dryland forests contributes to rising carbon emissions, exacerbates desertification, and diminishes biodiversity. According to FAO 2020, all types of forests constitute 31% of the total land in the world. Studies by FAO have shown that the forest cover has been decreasing at alarming rates. The first Forest Research Assessment (FRA) was done in 1948. In 1948, FRA indicated that 66% of the world was forested. In 2020, only 30.8% (4.06 billion hectares) of the world was forested. Therefore, more than half of the area that was occupied by the forest in 1948 has been deforested. More than half of the forests have been deforested in seven decades. Despite extensive research on tropical rainforests, there is a significant gap in the literature concerning the spatiotemporal dynamics of dryland forests, particularly in understanding the specific patterns and drivers of change over extended periods. Addressing these knowledge gaps is crucial for developing effective conservation strategies that are tailored to the unique challenges faced by dryland forests.</w:t>
      </w:r>
      <w:sdt>
        <w:sdtPr>
          <w:rPr>
            <w:rFonts w:eastAsia="Calibri" w:cs="Helvetica"/>
            <w:color w:val="000000" w:themeColor="text1"/>
            <w:szCs w:val="24"/>
          </w:rPr>
          <w:id w:val="1211759888"/>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FAO20 \l 1033 </w:instrText>
          </w:r>
          <w:r w:rsidRPr="00C6424E">
            <w:rPr>
              <w:rFonts w:eastAsia="Calibri" w:cs="Helvetica"/>
              <w:color w:val="000000" w:themeColor="text1"/>
              <w:szCs w:val="24"/>
            </w:rPr>
            <w:fldChar w:fldCharType="separate"/>
          </w:r>
          <w:r>
            <w:rPr>
              <w:rFonts w:eastAsia="Calibri" w:cs="Helvetica"/>
              <w:noProof/>
              <w:color w:val="000000" w:themeColor="text1"/>
              <w:szCs w:val="24"/>
            </w:rPr>
            <w:t xml:space="preserve"> </w:t>
          </w:r>
          <w:r w:rsidRPr="00F0152C">
            <w:rPr>
              <w:rFonts w:eastAsia="Calibri" w:cs="Helvetica"/>
              <w:noProof/>
              <w:color w:val="000000" w:themeColor="text1"/>
              <w:szCs w:val="24"/>
            </w:rPr>
            <w:t>[1]</w:t>
          </w:r>
          <w:r w:rsidRPr="00C6424E">
            <w:rPr>
              <w:rFonts w:eastAsia="Calibri" w:cs="Helvetica"/>
              <w:color w:val="000000" w:themeColor="text1"/>
              <w:szCs w:val="24"/>
            </w:rPr>
            <w:fldChar w:fldCharType="end"/>
          </w:r>
        </w:sdtContent>
      </w:sdt>
      <w:sdt>
        <w:sdtPr>
          <w:rPr>
            <w:rFonts w:eastAsia="Calibri" w:cs="Helvetica"/>
            <w:color w:val="000000" w:themeColor="text1"/>
            <w:szCs w:val="24"/>
          </w:rPr>
          <w:id w:val="-773474092"/>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FAO19 \l 1033 </w:instrText>
          </w:r>
          <w:r w:rsidRPr="00C6424E">
            <w:rPr>
              <w:rFonts w:eastAsia="Calibri" w:cs="Helvetica"/>
              <w:color w:val="000000" w:themeColor="text1"/>
              <w:szCs w:val="24"/>
            </w:rPr>
            <w:fldChar w:fldCharType="separate"/>
          </w:r>
          <w:r>
            <w:rPr>
              <w:rFonts w:eastAsia="Calibri" w:cs="Helvetica"/>
              <w:noProof/>
              <w:color w:val="000000" w:themeColor="text1"/>
              <w:szCs w:val="24"/>
            </w:rPr>
            <w:t xml:space="preserve"> </w:t>
          </w:r>
          <w:r w:rsidRPr="00F0152C">
            <w:rPr>
              <w:rFonts w:eastAsia="Calibri" w:cs="Helvetica"/>
              <w:noProof/>
              <w:color w:val="000000" w:themeColor="text1"/>
              <w:szCs w:val="24"/>
            </w:rPr>
            <w:t>[2]</w:t>
          </w:r>
          <w:r w:rsidRPr="00C6424E">
            <w:rPr>
              <w:rFonts w:eastAsia="Calibri" w:cs="Helvetica"/>
              <w:color w:val="000000" w:themeColor="text1"/>
              <w:szCs w:val="24"/>
            </w:rPr>
            <w:fldChar w:fldCharType="end"/>
          </w:r>
        </w:sdtContent>
      </w:sdt>
      <w:sdt>
        <w:sdtPr>
          <w:rPr>
            <w:rFonts w:eastAsia="Calibri" w:cs="Helvetica"/>
            <w:color w:val="000000" w:themeColor="text1"/>
            <w:szCs w:val="24"/>
          </w:rPr>
          <w:id w:val="-671480977"/>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FAO20 \l 1033 </w:instrText>
          </w:r>
          <w:r w:rsidRPr="00C6424E">
            <w:rPr>
              <w:rFonts w:eastAsia="Calibri" w:cs="Helvetica"/>
              <w:color w:val="000000" w:themeColor="text1"/>
              <w:szCs w:val="24"/>
            </w:rPr>
            <w:fldChar w:fldCharType="separate"/>
          </w:r>
          <w:r>
            <w:rPr>
              <w:rFonts w:eastAsia="Calibri" w:cs="Helvetica"/>
              <w:noProof/>
              <w:color w:val="000000" w:themeColor="text1"/>
              <w:szCs w:val="24"/>
            </w:rPr>
            <w:t xml:space="preserve"> </w:t>
          </w:r>
          <w:r w:rsidRPr="00F0152C">
            <w:rPr>
              <w:rFonts w:eastAsia="Calibri" w:cs="Helvetica"/>
              <w:noProof/>
              <w:color w:val="000000" w:themeColor="text1"/>
              <w:szCs w:val="24"/>
            </w:rPr>
            <w:t>[1]</w:t>
          </w:r>
          <w:r w:rsidRPr="00C6424E">
            <w:rPr>
              <w:rFonts w:eastAsia="Calibri" w:cs="Helvetica"/>
              <w:color w:val="000000" w:themeColor="text1"/>
              <w:szCs w:val="24"/>
            </w:rPr>
            <w:fldChar w:fldCharType="end"/>
          </w:r>
        </w:sdtContent>
      </w:sdt>
    </w:p>
    <w:p w14:paraId="0386193A" w14:textId="77777777" w:rsidR="00F0152C" w:rsidRPr="00C6424E" w:rsidRDefault="00F0152C" w:rsidP="00F0152C">
      <w:pPr>
        <w:jc w:val="both"/>
        <w:rPr>
          <w:rFonts w:eastAsia="Calibri" w:cs="Helvetica"/>
          <w:color w:val="000000" w:themeColor="text1"/>
          <w:szCs w:val="24"/>
        </w:rPr>
      </w:pPr>
    </w:p>
    <w:p w14:paraId="4A8274FA" w14:textId="41D36A8B" w:rsidR="00F0152C" w:rsidRPr="00C6424E" w:rsidRDefault="00F0152C" w:rsidP="00F0152C">
      <w:pPr>
        <w:jc w:val="both"/>
        <w:rPr>
          <w:rFonts w:eastAsia="Calibri" w:cs="Helvetica"/>
          <w:color w:val="000000" w:themeColor="text1"/>
          <w:szCs w:val="24"/>
        </w:rPr>
      </w:pPr>
      <w:r w:rsidRPr="00C6424E">
        <w:rPr>
          <w:rFonts w:eastAsia="Calibri" w:cs="Helvetica"/>
          <w:color w:val="000000" w:themeColor="text1"/>
          <w:szCs w:val="24"/>
        </w:rPr>
        <w:lastRenderedPageBreak/>
        <w:t>African forests account for only 16% (636 million hectares) of the world's forests</w:t>
      </w:r>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CITATION FAO20 \l 1033 </w:instrText>
      </w:r>
      <w:r w:rsidRPr="00C6424E">
        <w:rPr>
          <w:rFonts w:eastAsia="Calibri" w:cs="Helvetica"/>
          <w:color w:val="000000" w:themeColor="text1"/>
          <w:szCs w:val="24"/>
        </w:rPr>
        <w:fldChar w:fldCharType="separate"/>
      </w:r>
      <w:r>
        <w:rPr>
          <w:rFonts w:eastAsia="Calibri" w:cs="Helvetica"/>
          <w:noProof/>
          <w:color w:val="000000" w:themeColor="text1"/>
          <w:szCs w:val="24"/>
        </w:rPr>
        <w:t xml:space="preserve"> [1]</w:t>
      </w:r>
      <w:r w:rsidRPr="00C6424E">
        <w:rPr>
          <w:rFonts w:eastAsia="Calibri" w:cs="Helvetica"/>
          <w:color w:val="000000" w:themeColor="text1"/>
          <w:szCs w:val="24"/>
        </w:rPr>
        <w:fldChar w:fldCharType="end"/>
      </w:r>
      <w:r w:rsidRPr="00C6424E">
        <w:rPr>
          <w:rFonts w:eastAsia="Calibri" w:cs="Helvetica"/>
          <w:color w:val="000000" w:themeColor="text1"/>
          <w:szCs w:val="24"/>
        </w:rPr>
        <w:t>. The African forest cover is almost half the world's average.  However, Africa experienced significant deforestation, losing 3.9 million hectares annually between 2010 and 2020. Forest services such as food, fibre, medicinal, pharmaceutical plants, timber, and biofuel production will be affected if deforestation continues. In Africa, dryland forests are especially vulnerable due to rapid population growth, poverty, and a heavy reliance on natural resources for livelihoods. Dryland forests that are found in regions such as the Sahel, in the Horn of Africa, and Southern Africa, are under immense pressure from agricultural expansion, charcoal production, and unsustainable land-use practices. While there is growing research on the drivers of deforestation in Africa, regional studies often cover short periods. The specific impacts of economic activities on forest cover remain underexplored. The intersection of economic factors with forest cover change is particularly critical, as economic pressures frequently lead to the conversion of forested land into agricultural land or the extraction of forest resources for income generation.</w:t>
      </w:r>
      <w:sdt>
        <w:sdtPr>
          <w:rPr>
            <w:rFonts w:eastAsia="Calibri" w:cs="Helvetica"/>
            <w:color w:val="000000" w:themeColor="text1"/>
            <w:szCs w:val="24"/>
          </w:rPr>
          <w:id w:val="-2068945932"/>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FAO20 \l 1033 </w:instrText>
          </w:r>
          <w:r w:rsidRPr="00C6424E">
            <w:rPr>
              <w:rFonts w:eastAsia="Calibri" w:cs="Helvetica"/>
              <w:color w:val="000000" w:themeColor="text1"/>
              <w:szCs w:val="24"/>
            </w:rPr>
            <w:fldChar w:fldCharType="separate"/>
          </w:r>
          <w:r w:rsidRPr="00F0152C">
            <w:rPr>
              <w:rFonts w:eastAsia="Calibri" w:cs="Helvetica"/>
              <w:noProof/>
              <w:color w:val="000000" w:themeColor="text1"/>
              <w:szCs w:val="24"/>
            </w:rPr>
            <w:t xml:space="preserve">                     [1]       </w:t>
          </w:r>
          <w:r w:rsidRPr="00C6424E">
            <w:rPr>
              <w:rFonts w:eastAsia="Calibri" w:cs="Helvetica"/>
              <w:color w:val="000000" w:themeColor="text1"/>
              <w:szCs w:val="24"/>
            </w:rPr>
            <w:fldChar w:fldCharType="end"/>
          </w:r>
        </w:sdtContent>
      </w:sdt>
      <w:sdt>
        <w:sdtPr>
          <w:rPr>
            <w:rFonts w:eastAsia="Calibri" w:cs="Helvetica"/>
            <w:color w:val="000000" w:themeColor="text1"/>
            <w:szCs w:val="24"/>
          </w:rPr>
          <w:id w:val="-848636479"/>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CITATION Uni19 \l 1033 </w:instrText>
          </w:r>
          <w:r w:rsidRPr="00C6424E">
            <w:rPr>
              <w:rFonts w:eastAsia="Calibri" w:cs="Helvetica"/>
              <w:color w:val="000000" w:themeColor="text1"/>
              <w:szCs w:val="24"/>
            </w:rPr>
            <w:fldChar w:fldCharType="separate"/>
          </w:r>
          <w:r>
            <w:rPr>
              <w:rFonts w:eastAsia="Calibri" w:cs="Helvetica"/>
              <w:noProof/>
              <w:color w:val="000000" w:themeColor="text1"/>
              <w:szCs w:val="24"/>
            </w:rPr>
            <w:t xml:space="preserve"> </w:t>
          </w:r>
          <w:r w:rsidRPr="00F0152C">
            <w:rPr>
              <w:rFonts w:eastAsia="Calibri" w:cs="Helvetica"/>
              <w:noProof/>
              <w:color w:val="000000" w:themeColor="text1"/>
              <w:szCs w:val="24"/>
            </w:rPr>
            <w:t>[3]</w:t>
          </w:r>
          <w:r w:rsidRPr="00C6424E">
            <w:rPr>
              <w:rFonts w:eastAsia="Calibri" w:cs="Helvetica"/>
              <w:color w:val="000000" w:themeColor="text1"/>
              <w:szCs w:val="24"/>
            </w:rPr>
            <w:fldChar w:fldCharType="end"/>
          </w:r>
        </w:sdtContent>
      </w:sdt>
      <w:sdt>
        <w:sdtPr>
          <w:rPr>
            <w:rFonts w:eastAsia="Calibri" w:cs="Helvetica"/>
            <w:color w:val="000000" w:themeColor="text1"/>
            <w:szCs w:val="24"/>
          </w:rPr>
          <w:id w:val="-231387664"/>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Moh17 \l 1033 </w:instrText>
          </w:r>
          <w:r w:rsidRPr="00C6424E">
            <w:rPr>
              <w:rFonts w:eastAsia="Calibri" w:cs="Helvetica"/>
              <w:color w:val="000000" w:themeColor="text1"/>
              <w:szCs w:val="24"/>
            </w:rPr>
            <w:fldChar w:fldCharType="separate"/>
          </w:r>
          <w:r>
            <w:rPr>
              <w:rFonts w:eastAsia="Calibri" w:cs="Helvetica"/>
              <w:noProof/>
              <w:color w:val="000000" w:themeColor="text1"/>
              <w:szCs w:val="24"/>
            </w:rPr>
            <w:t xml:space="preserve"> </w:t>
          </w:r>
          <w:r w:rsidRPr="00F0152C">
            <w:rPr>
              <w:rFonts w:eastAsia="Calibri" w:cs="Helvetica"/>
              <w:noProof/>
              <w:color w:val="000000" w:themeColor="text1"/>
              <w:szCs w:val="24"/>
            </w:rPr>
            <w:t>[4]</w:t>
          </w:r>
          <w:r w:rsidRPr="00C6424E">
            <w:rPr>
              <w:rFonts w:eastAsia="Calibri" w:cs="Helvetica"/>
              <w:color w:val="000000" w:themeColor="text1"/>
              <w:szCs w:val="24"/>
            </w:rPr>
            <w:fldChar w:fldCharType="end"/>
          </w:r>
        </w:sdtContent>
      </w:sdt>
      <w:sdt>
        <w:sdtPr>
          <w:rPr>
            <w:rFonts w:eastAsia="Calibri" w:cs="Helvetica"/>
            <w:color w:val="000000" w:themeColor="text1"/>
            <w:szCs w:val="24"/>
          </w:rPr>
          <w:id w:val="577481800"/>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Ruu22 \l 1033 </w:instrText>
          </w:r>
          <w:r w:rsidRPr="00C6424E">
            <w:rPr>
              <w:rFonts w:eastAsia="Calibri" w:cs="Helvetica"/>
              <w:color w:val="000000" w:themeColor="text1"/>
              <w:szCs w:val="24"/>
            </w:rPr>
            <w:fldChar w:fldCharType="separate"/>
          </w:r>
          <w:r>
            <w:rPr>
              <w:rFonts w:eastAsia="Calibri" w:cs="Helvetica"/>
              <w:noProof/>
              <w:color w:val="000000" w:themeColor="text1"/>
              <w:szCs w:val="24"/>
            </w:rPr>
            <w:t xml:space="preserve"> </w:t>
          </w:r>
          <w:r w:rsidRPr="00F0152C">
            <w:rPr>
              <w:rFonts w:eastAsia="Calibri" w:cs="Helvetica"/>
              <w:noProof/>
              <w:color w:val="000000" w:themeColor="text1"/>
              <w:szCs w:val="24"/>
            </w:rPr>
            <w:t>[5]</w:t>
          </w:r>
          <w:r w:rsidRPr="00C6424E">
            <w:rPr>
              <w:rFonts w:eastAsia="Calibri" w:cs="Helvetica"/>
              <w:color w:val="000000" w:themeColor="text1"/>
              <w:szCs w:val="24"/>
            </w:rPr>
            <w:fldChar w:fldCharType="end"/>
          </w:r>
        </w:sdtContent>
      </w:sdt>
    </w:p>
    <w:p w14:paraId="09CE696C" w14:textId="77777777" w:rsidR="00F0152C" w:rsidRPr="00C6424E" w:rsidRDefault="00F0152C" w:rsidP="00F0152C">
      <w:pPr>
        <w:ind w:right="301"/>
        <w:jc w:val="both"/>
        <w:rPr>
          <w:rFonts w:eastAsia="Calibri" w:cs="Helvetica"/>
          <w:color w:val="000000" w:themeColor="text1"/>
          <w:szCs w:val="24"/>
        </w:rPr>
      </w:pPr>
    </w:p>
    <w:p w14:paraId="4EAF1C77" w14:textId="7773BD3B" w:rsidR="00F0152C" w:rsidRPr="00C6424E" w:rsidRDefault="00F0152C" w:rsidP="00F0152C">
      <w:pPr>
        <w:jc w:val="both"/>
        <w:rPr>
          <w:rFonts w:eastAsia="Calibri" w:cs="Helvetica"/>
          <w:color w:val="000000" w:themeColor="text1"/>
          <w:szCs w:val="24"/>
        </w:rPr>
      </w:pPr>
      <w:r w:rsidRPr="00C6424E">
        <w:rPr>
          <w:rFonts w:eastAsia="Calibri" w:cs="Helvetica"/>
          <w:color w:val="000000" w:themeColor="text1"/>
          <w:szCs w:val="24"/>
        </w:rPr>
        <w:t>In East Africa, dryland forests are facing significant threats due to economic, environmental, and social pressures. These forests are crucial for the ecological balance and the livelihoods of local communities, yet they have experienced notable degradation over the past four decades. However, the literature on forest cover change in East Africa often lacks a comprehensive analysis of the spatial and temporal dynamics specific to dryland forests, which are distinct from other forest types in the region. Moreover, there is limited literature on how members of Participatory Forest Management (PFM), which is used to mitigate forest degradation in dryland forest areas, benefits directly.</w:t>
      </w:r>
      <w:sdt>
        <w:sdtPr>
          <w:rPr>
            <w:rFonts w:eastAsia="Calibri" w:cs="Helvetica"/>
            <w:color w:val="000000" w:themeColor="text1"/>
            <w:szCs w:val="24"/>
          </w:rPr>
          <w:id w:val="-45529171"/>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Win191 \l 1033 </w:instrText>
          </w:r>
          <w:r w:rsidRPr="00C6424E">
            <w:rPr>
              <w:rFonts w:eastAsia="Calibri" w:cs="Helvetica"/>
              <w:color w:val="000000" w:themeColor="text1"/>
              <w:szCs w:val="24"/>
            </w:rPr>
            <w:fldChar w:fldCharType="separate"/>
          </w:r>
          <w:r>
            <w:rPr>
              <w:rFonts w:eastAsia="Calibri" w:cs="Helvetica"/>
              <w:noProof/>
              <w:color w:val="000000" w:themeColor="text1"/>
              <w:szCs w:val="24"/>
            </w:rPr>
            <w:t xml:space="preserve"> </w:t>
          </w:r>
          <w:r w:rsidRPr="00F0152C">
            <w:rPr>
              <w:rFonts w:eastAsia="Calibri" w:cs="Helvetica"/>
              <w:noProof/>
              <w:color w:val="000000" w:themeColor="text1"/>
              <w:szCs w:val="24"/>
            </w:rPr>
            <w:t>[6]</w:t>
          </w:r>
          <w:r w:rsidRPr="00C6424E">
            <w:rPr>
              <w:rFonts w:eastAsia="Calibri" w:cs="Helvetica"/>
              <w:color w:val="000000" w:themeColor="text1"/>
              <w:szCs w:val="24"/>
            </w:rPr>
            <w:fldChar w:fldCharType="end"/>
          </w:r>
        </w:sdtContent>
      </w:sdt>
      <w:sdt>
        <w:sdtPr>
          <w:rPr>
            <w:rFonts w:eastAsia="Calibri" w:cs="Helvetica"/>
            <w:color w:val="000000" w:themeColor="text1"/>
            <w:szCs w:val="24"/>
          </w:rPr>
          <w:id w:val="2022428751"/>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Win191 \l 1033 </w:instrText>
          </w:r>
          <w:r w:rsidRPr="00C6424E">
            <w:rPr>
              <w:rFonts w:eastAsia="Calibri" w:cs="Helvetica"/>
              <w:color w:val="000000" w:themeColor="text1"/>
              <w:szCs w:val="24"/>
            </w:rPr>
            <w:fldChar w:fldCharType="separate"/>
          </w:r>
          <w:r>
            <w:rPr>
              <w:rFonts w:eastAsia="Calibri" w:cs="Helvetica"/>
              <w:noProof/>
              <w:color w:val="000000" w:themeColor="text1"/>
              <w:szCs w:val="24"/>
            </w:rPr>
            <w:t xml:space="preserve"> </w:t>
          </w:r>
          <w:r w:rsidRPr="00F0152C">
            <w:rPr>
              <w:rFonts w:eastAsia="Calibri" w:cs="Helvetica"/>
              <w:noProof/>
              <w:color w:val="000000" w:themeColor="text1"/>
              <w:szCs w:val="24"/>
            </w:rPr>
            <w:t>[6]</w:t>
          </w:r>
          <w:r w:rsidRPr="00C6424E">
            <w:rPr>
              <w:rFonts w:eastAsia="Calibri" w:cs="Helvetica"/>
              <w:color w:val="000000" w:themeColor="text1"/>
              <w:szCs w:val="24"/>
            </w:rPr>
            <w:fldChar w:fldCharType="end"/>
          </w:r>
        </w:sdtContent>
      </w:sdt>
    </w:p>
    <w:p w14:paraId="01BAC389" w14:textId="77777777" w:rsidR="00F0152C" w:rsidRDefault="00F0152C" w:rsidP="00755B6A">
      <w:pPr>
        <w:jc w:val="both"/>
        <w:rPr>
          <w:rFonts w:eastAsia="Calibri"/>
          <w:color w:val="000000" w:themeColor="text1"/>
          <w:szCs w:val="24"/>
        </w:rPr>
      </w:pPr>
    </w:p>
    <w:p w14:paraId="01694A22" w14:textId="1120E4C0" w:rsidR="00755B6A" w:rsidRPr="00103EF8" w:rsidRDefault="00755B6A" w:rsidP="00755B6A">
      <w:pPr>
        <w:jc w:val="both"/>
        <w:rPr>
          <w:rFonts w:eastAsia="Calibri"/>
          <w:color w:val="000000" w:themeColor="text1"/>
          <w:szCs w:val="24"/>
        </w:rPr>
      </w:pPr>
      <w:r w:rsidRPr="00103EF8">
        <w:rPr>
          <w:rFonts w:eastAsia="Calibri"/>
          <w:color w:val="000000" w:themeColor="text1"/>
          <w:szCs w:val="24"/>
        </w:rPr>
        <w:t xml:space="preserve">Economic activities in forest are widely recognised as major drivers of deforestation and forest degradation, yet the specific impacts of these activities on dryland forests are less understood, particularly on a global scale. According to </w:t>
      </w:r>
      <w:sdt>
        <w:sdtPr>
          <w:rPr>
            <w:rFonts w:eastAsia="Calibri"/>
            <w:color w:val="000000" w:themeColor="text1"/>
            <w:szCs w:val="24"/>
          </w:rPr>
          <w:id w:val="-1505049087"/>
          <w:citation/>
        </w:sdtPr>
        <w:sdtEndPr/>
        <w:sdtContent>
          <w:r w:rsidRPr="00103EF8">
            <w:rPr>
              <w:rFonts w:eastAsia="Calibri"/>
              <w:color w:val="000000" w:themeColor="text1"/>
              <w:szCs w:val="24"/>
            </w:rPr>
            <w:fldChar w:fldCharType="begin"/>
          </w:r>
          <w:r w:rsidRPr="00103EF8">
            <w:rPr>
              <w:rFonts w:eastAsia="Calibri"/>
              <w:color w:val="000000" w:themeColor="text1"/>
              <w:szCs w:val="24"/>
            </w:rPr>
            <w:instrText xml:space="preserve"> CITATION Hea23 \l 1033 </w:instrText>
          </w:r>
          <w:r w:rsidRPr="00103EF8">
            <w:rPr>
              <w:rFonts w:eastAsia="Calibri"/>
              <w:color w:val="000000" w:themeColor="text1"/>
              <w:szCs w:val="24"/>
            </w:rPr>
            <w:fldChar w:fldCharType="separate"/>
          </w:r>
          <w:r w:rsidR="00F0152C">
            <w:rPr>
              <w:rFonts w:eastAsia="Calibri"/>
              <w:noProof/>
              <w:color w:val="000000" w:themeColor="text1"/>
              <w:szCs w:val="24"/>
            </w:rPr>
            <w:t xml:space="preserve"> </w:t>
          </w:r>
          <w:r w:rsidR="00F0152C" w:rsidRPr="00F0152C">
            <w:rPr>
              <w:rFonts w:eastAsia="Calibri"/>
              <w:noProof/>
              <w:color w:val="000000" w:themeColor="text1"/>
              <w:szCs w:val="24"/>
            </w:rPr>
            <w:t>[7]</w:t>
          </w:r>
          <w:r w:rsidRPr="00103EF8">
            <w:rPr>
              <w:rFonts w:eastAsia="Calibri"/>
              <w:color w:val="000000" w:themeColor="text1"/>
              <w:szCs w:val="24"/>
            </w:rPr>
            <w:fldChar w:fldCharType="end"/>
          </w:r>
        </w:sdtContent>
      </w:sdt>
      <w:r w:rsidRPr="00103EF8">
        <w:rPr>
          <w:rFonts w:eastAsia="Calibri"/>
          <w:color w:val="000000" w:themeColor="text1"/>
          <w:szCs w:val="24"/>
        </w:rPr>
        <w:fldChar w:fldCharType="begin"/>
      </w:r>
      <w:r w:rsidRPr="00103EF8">
        <w:rPr>
          <w:rFonts w:eastAsia="Calibri"/>
          <w:color w:val="000000" w:themeColor="text1"/>
          <w:szCs w:val="24"/>
        </w:rPr>
        <w:instrText xml:space="preserve">CITATION FAO20 \l 1033 </w:instrText>
      </w:r>
      <w:r w:rsidRPr="00103EF8">
        <w:rPr>
          <w:rFonts w:eastAsia="Calibri"/>
          <w:color w:val="000000" w:themeColor="text1"/>
          <w:szCs w:val="24"/>
        </w:rPr>
        <w:fldChar w:fldCharType="separate"/>
      </w:r>
      <w:r w:rsidR="00F0152C">
        <w:rPr>
          <w:rFonts w:eastAsia="Calibri"/>
          <w:noProof/>
          <w:color w:val="000000" w:themeColor="text1"/>
          <w:szCs w:val="24"/>
        </w:rPr>
        <w:t xml:space="preserve"> [1]</w:t>
      </w:r>
      <w:r w:rsidRPr="00103EF8">
        <w:rPr>
          <w:rFonts w:eastAsia="Calibri"/>
          <w:color w:val="000000" w:themeColor="text1"/>
          <w:szCs w:val="24"/>
        </w:rPr>
        <w:fldChar w:fldCharType="end"/>
      </w:r>
      <w:r w:rsidRPr="00103EF8">
        <w:rPr>
          <w:rFonts w:eastAsia="Calibri"/>
          <w:color w:val="000000" w:themeColor="text1"/>
          <w:szCs w:val="24"/>
        </w:rPr>
        <w:t>, Africa had the highest rate of deforestation per year between 2010 and 2020, at 3.9 million hectares per year. In countries like Sudan, dryland forest cover decreased due to anthropogenic activities. While there is substantial literature on the economic drivers of deforestation, such as agricultural expansion and logging, much of this research has focused on humid tropical forests, where the dynamics may differ from those in dryland regions. In Africa, economic factors like the demand for charcoal and agricultural land have been identified as key contributors to forest loss, but the nuanced relationships between these factors and forest cover change require further exploration. In East Africa, the interplay between economic drives of deforestation is critical but under-researched. This study aims to fill this gap by examining how economic activities, such as agricultural expansion and charcoal production, have influenced dryland forest cover in the region, offering insights into balancing economic development with sustainable forest management.</w:t>
      </w:r>
      <w:sdt>
        <w:sdtPr>
          <w:rPr>
            <w:rFonts w:eastAsia="Calibri"/>
            <w:color w:val="000000" w:themeColor="text1"/>
            <w:szCs w:val="24"/>
          </w:rPr>
          <w:id w:val="-308326746"/>
          <w:citation/>
        </w:sdtPr>
        <w:sdtEndPr/>
        <w:sdtContent>
          <w:r w:rsidRPr="00103EF8">
            <w:rPr>
              <w:rFonts w:eastAsia="Calibri"/>
              <w:color w:val="000000" w:themeColor="text1"/>
              <w:szCs w:val="24"/>
            </w:rPr>
            <w:fldChar w:fldCharType="begin"/>
          </w:r>
          <w:r w:rsidRPr="00103EF8">
            <w:rPr>
              <w:rFonts w:eastAsia="Calibri"/>
              <w:color w:val="000000" w:themeColor="text1"/>
              <w:szCs w:val="24"/>
            </w:rPr>
            <w:instrText xml:space="preserve"> CITATION Ema23 \l 1033 </w:instrText>
          </w:r>
          <w:r w:rsidRPr="00103EF8">
            <w:rPr>
              <w:rFonts w:eastAsia="Calibri"/>
              <w:color w:val="000000" w:themeColor="text1"/>
              <w:szCs w:val="24"/>
            </w:rPr>
            <w:fldChar w:fldCharType="separate"/>
          </w:r>
          <w:r w:rsidR="00F0152C">
            <w:rPr>
              <w:rFonts w:eastAsia="Calibri"/>
              <w:noProof/>
              <w:color w:val="000000" w:themeColor="text1"/>
              <w:szCs w:val="24"/>
            </w:rPr>
            <w:t xml:space="preserve"> </w:t>
          </w:r>
          <w:r w:rsidR="00F0152C" w:rsidRPr="00F0152C">
            <w:rPr>
              <w:rFonts w:eastAsia="Calibri"/>
              <w:noProof/>
              <w:color w:val="000000" w:themeColor="text1"/>
              <w:szCs w:val="24"/>
            </w:rPr>
            <w:t>[8]</w:t>
          </w:r>
          <w:r w:rsidRPr="00103EF8">
            <w:rPr>
              <w:rFonts w:eastAsia="Calibri"/>
              <w:color w:val="000000" w:themeColor="text1"/>
              <w:szCs w:val="24"/>
            </w:rPr>
            <w:fldChar w:fldCharType="end"/>
          </w:r>
        </w:sdtContent>
      </w:sdt>
      <w:sdt>
        <w:sdtPr>
          <w:rPr>
            <w:rFonts w:eastAsia="Calibri"/>
            <w:color w:val="000000" w:themeColor="text1"/>
            <w:szCs w:val="24"/>
          </w:rPr>
          <w:id w:val="647247830"/>
          <w:citation/>
        </w:sdtPr>
        <w:sdtEndPr/>
        <w:sdtContent>
          <w:r w:rsidRPr="00103EF8">
            <w:rPr>
              <w:rFonts w:eastAsia="Calibri"/>
              <w:color w:val="000000" w:themeColor="text1"/>
              <w:szCs w:val="24"/>
            </w:rPr>
            <w:fldChar w:fldCharType="begin"/>
          </w:r>
          <w:r w:rsidRPr="00103EF8">
            <w:rPr>
              <w:rFonts w:eastAsia="Calibri"/>
              <w:color w:val="000000" w:themeColor="text1"/>
              <w:szCs w:val="24"/>
            </w:rPr>
            <w:instrText xml:space="preserve"> CITATION Tan20 \l 1033 </w:instrText>
          </w:r>
          <w:r w:rsidRPr="00103EF8">
            <w:rPr>
              <w:rFonts w:eastAsia="Calibri"/>
              <w:color w:val="000000" w:themeColor="text1"/>
              <w:szCs w:val="24"/>
            </w:rPr>
            <w:fldChar w:fldCharType="separate"/>
          </w:r>
          <w:r w:rsidR="00F0152C">
            <w:rPr>
              <w:rFonts w:eastAsia="Calibri"/>
              <w:noProof/>
              <w:color w:val="000000" w:themeColor="text1"/>
              <w:szCs w:val="24"/>
            </w:rPr>
            <w:t xml:space="preserve"> </w:t>
          </w:r>
          <w:r w:rsidR="00F0152C" w:rsidRPr="00F0152C">
            <w:rPr>
              <w:rFonts w:eastAsia="Calibri"/>
              <w:noProof/>
              <w:color w:val="000000" w:themeColor="text1"/>
              <w:szCs w:val="24"/>
            </w:rPr>
            <w:t>[9]</w:t>
          </w:r>
          <w:r w:rsidRPr="00103EF8">
            <w:rPr>
              <w:rFonts w:eastAsia="Calibri"/>
              <w:color w:val="000000" w:themeColor="text1"/>
              <w:szCs w:val="24"/>
            </w:rPr>
            <w:fldChar w:fldCharType="end"/>
          </w:r>
        </w:sdtContent>
      </w:sdt>
    </w:p>
    <w:p w14:paraId="7145D8FA" w14:textId="77777777" w:rsidR="00790ADA" w:rsidRPr="00103EF8" w:rsidRDefault="00790ADA" w:rsidP="00441B6F">
      <w:pPr>
        <w:pStyle w:val="Body"/>
        <w:spacing w:after="0"/>
        <w:rPr>
          <w:rFonts w:ascii="Arial" w:hAnsi="Arial" w:cs="Arial"/>
        </w:rPr>
      </w:pPr>
    </w:p>
    <w:p w14:paraId="22950858" w14:textId="049DD0B3" w:rsidR="00790ADA" w:rsidRPr="00103EF8" w:rsidRDefault="00902823" w:rsidP="00441B6F">
      <w:pPr>
        <w:pStyle w:val="AbstHead"/>
        <w:spacing w:after="0"/>
        <w:jc w:val="both"/>
        <w:rPr>
          <w:rFonts w:ascii="Arial" w:hAnsi="Arial" w:cs="Arial"/>
        </w:rPr>
      </w:pPr>
      <w:r w:rsidRPr="00103EF8">
        <w:rPr>
          <w:rFonts w:ascii="Arial" w:hAnsi="Arial" w:cs="Arial"/>
        </w:rPr>
        <w:t xml:space="preserve">2. Material and methods </w:t>
      </w:r>
    </w:p>
    <w:p w14:paraId="35A19EA5" w14:textId="77777777" w:rsidR="00947656" w:rsidRPr="00103EF8" w:rsidRDefault="00947656" w:rsidP="00441B6F">
      <w:pPr>
        <w:pStyle w:val="AbstHead"/>
        <w:spacing w:after="0"/>
        <w:jc w:val="both"/>
        <w:rPr>
          <w:rFonts w:ascii="Arial" w:hAnsi="Arial" w:cs="Arial"/>
        </w:rPr>
      </w:pPr>
    </w:p>
    <w:p w14:paraId="23265BE6" w14:textId="20AD34AA" w:rsidR="00947656" w:rsidRPr="00103EF8" w:rsidRDefault="00947656" w:rsidP="00D333E9">
      <w:pPr>
        <w:pStyle w:val="AbstHead"/>
        <w:spacing w:after="0"/>
        <w:jc w:val="both"/>
        <w:rPr>
          <w:rFonts w:eastAsia="Calibri"/>
          <w:b w:val="0"/>
          <w:bCs/>
          <w:caps w:val="0"/>
          <w:color w:val="000000" w:themeColor="text1"/>
          <w:szCs w:val="24"/>
        </w:rPr>
      </w:pPr>
      <w:r w:rsidRPr="00103EF8">
        <w:rPr>
          <w:rFonts w:eastAsia="Calibri"/>
          <w:b w:val="0"/>
          <w:bCs/>
          <w:caps w:val="0"/>
          <w:color w:val="000000" w:themeColor="text1"/>
          <w:szCs w:val="24"/>
        </w:rPr>
        <w:t xml:space="preserve">This research used a descriptive survey design. The research design enabled the researcher to conduct and write coherent research, serving as a master </w:t>
      </w:r>
      <w:r w:rsidR="00D333E9" w:rsidRPr="00103EF8">
        <w:rPr>
          <w:rFonts w:ascii="Times New Roman" w:eastAsia="Calibri" w:hAnsi="Times New Roman"/>
          <w:b w:val="0"/>
          <w:caps w:val="0"/>
          <w:color w:val="000000"/>
          <w:sz w:val="24"/>
          <w:szCs w:val="24"/>
          <w14:ligatures w14:val="standardContextual"/>
        </w:rPr>
        <w:t xml:space="preserve">Plan </w:t>
      </w:r>
      <w:sdt>
        <w:sdtPr>
          <w:rPr>
            <w:rFonts w:ascii="Times New Roman" w:eastAsia="Calibri" w:hAnsi="Times New Roman"/>
            <w:b w:val="0"/>
            <w:caps w:val="0"/>
            <w:color w:val="000000"/>
            <w:sz w:val="24"/>
            <w:szCs w:val="24"/>
            <w14:ligatures w14:val="standardContextual"/>
          </w:rPr>
          <w:id w:val="1800110704"/>
          <w:citation/>
        </w:sdtPr>
        <w:sdtEndPr/>
        <w:sdtContent>
          <w:r w:rsidR="00F02C10" w:rsidRPr="00103EF8">
            <w:rPr>
              <w:rFonts w:ascii="Times New Roman" w:eastAsia="Calibri" w:hAnsi="Times New Roman"/>
              <w:b w:val="0"/>
              <w:caps w:val="0"/>
              <w:color w:val="000000"/>
              <w:sz w:val="24"/>
              <w:szCs w:val="24"/>
              <w14:ligatures w14:val="standardContextual"/>
            </w:rPr>
            <w:fldChar w:fldCharType="begin"/>
          </w:r>
          <w:r w:rsidR="00F02C10" w:rsidRPr="00103EF8">
            <w:rPr>
              <w:rFonts w:ascii="Times New Roman" w:eastAsia="Calibri" w:hAnsi="Times New Roman"/>
              <w:b w:val="0"/>
              <w:caps w:val="0"/>
              <w:color w:val="000000"/>
              <w:sz w:val="24"/>
              <w:szCs w:val="24"/>
              <w14:ligatures w14:val="standardContextual"/>
            </w:rPr>
            <w:instrText xml:space="preserve"> CITATION Cre23 \l 1033 </w:instrText>
          </w:r>
          <w:r w:rsidR="00F02C10" w:rsidRPr="00103EF8">
            <w:rPr>
              <w:rFonts w:ascii="Times New Roman" w:eastAsia="Calibri" w:hAnsi="Times New Roman"/>
              <w:b w:val="0"/>
              <w:caps w:val="0"/>
              <w:color w:val="000000"/>
              <w:sz w:val="24"/>
              <w:szCs w:val="24"/>
              <w14:ligatures w14:val="standardContextual"/>
            </w:rPr>
            <w:fldChar w:fldCharType="separate"/>
          </w:r>
          <w:r w:rsidR="00F0152C" w:rsidRPr="00F0152C">
            <w:rPr>
              <w:rFonts w:ascii="Times New Roman" w:eastAsia="Calibri" w:hAnsi="Times New Roman"/>
              <w:noProof/>
              <w:color w:val="000000"/>
              <w:sz w:val="24"/>
              <w:szCs w:val="24"/>
              <w14:ligatures w14:val="standardContextual"/>
            </w:rPr>
            <w:t>[10]</w:t>
          </w:r>
          <w:r w:rsidR="00F02C10" w:rsidRPr="00103EF8">
            <w:rPr>
              <w:rFonts w:ascii="Times New Roman" w:eastAsia="Calibri" w:hAnsi="Times New Roman"/>
              <w:b w:val="0"/>
              <w:caps w:val="0"/>
              <w:color w:val="000000"/>
              <w:sz w:val="24"/>
              <w:szCs w:val="24"/>
              <w14:ligatures w14:val="standardContextual"/>
            </w:rPr>
            <w:fldChar w:fldCharType="end"/>
          </w:r>
        </w:sdtContent>
      </w:sdt>
      <w:r w:rsidRPr="00103EF8">
        <w:rPr>
          <w:rFonts w:eastAsia="Calibri"/>
          <w:b w:val="0"/>
          <w:bCs/>
          <w:color w:val="000000" w:themeColor="text1"/>
          <w:szCs w:val="24"/>
        </w:rPr>
        <w:t xml:space="preserve">. </w:t>
      </w:r>
      <w:r w:rsidRPr="00103EF8">
        <w:rPr>
          <w:rFonts w:eastAsia="Calibri"/>
          <w:b w:val="0"/>
          <w:bCs/>
          <w:caps w:val="0"/>
          <w:color w:val="000000" w:themeColor="text1"/>
          <w:szCs w:val="24"/>
        </w:rPr>
        <w:lastRenderedPageBreak/>
        <w:t xml:space="preserve">The study's research design incorporated a positivist philosophy, employed survey methods for data collection, and adopted a cross-sectional time horizon. </w:t>
      </w:r>
    </w:p>
    <w:p w14:paraId="6CB4CA82" w14:textId="77777777" w:rsidR="00947656" w:rsidRPr="00103EF8" w:rsidRDefault="00947656" w:rsidP="00D333E9">
      <w:pPr>
        <w:pStyle w:val="AbstHead"/>
        <w:spacing w:after="0"/>
        <w:jc w:val="both"/>
        <w:rPr>
          <w:rFonts w:ascii="Arial" w:hAnsi="Arial" w:cs="Arial"/>
          <w:b w:val="0"/>
          <w:bCs/>
        </w:rPr>
      </w:pPr>
    </w:p>
    <w:p w14:paraId="291ED316" w14:textId="7D92435F" w:rsidR="00527D9E" w:rsidRPr="00103EF8" w:rsidRDefault="00527D9E" w:rsidP="00D333E9">
      <w:pPr>
        <w:pStyle w:val="Body"/>
        <w:spacing w:after="0"/>
        <w:rPr>
          <w:rFonts w:ascii="Arial" w:hAnsi="Arial" w:cs="Arial"/>
        </w:rPr>
      </w:pPr>
      <w:r w:rsidRPr="00103EF8">
        <w:rPr>
          <w:rFonts w:eastAsia="Calibri"/>
          <w:noProof/>
          <w:color w:val="000000" w:themeColor="text1"/>
          <w:szCs w:val="24"/>
        </w:rPr>
        <w:drawing>
          <wp:inline distT="0" distB="0" distL="0" distR="0" wp14:anchorId="6F2F7DC2" wp14:editId="44BE2393">
            <wp:extent cx="5211762" cy="1799111"/>
            <wp:effectExtent l="0" t="0" r="8255" b="0"/>
            <wp:docPr id="45218352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29495" cy="1805233"/>
                    </a:xfrm>
                    <a:prstGeom prst="rect">
                      <a:avLst/>
                    </a:prstGeom>
                    <a:noFill/>
                    <a:ln>
                      <a:noFill/>
                    </a:ln>
                  </pic:spPr>
                </pic:pic>
              </a:graphicData>
            </a:graphic>
          </wp:inline>
        </w:drawing>
      </w:r>
    </w:p>
    <w:p w14:paraId="635E6864" w14:textId="57597BA5" w:rsidR="00527D9E" w:rsidRPr="00103EF8" w:rsidRDefault="00527D9E" w:rsidP="00D333E9">
      <w:pPr>
        <w:pStyle w:val="Legenda"/>
        <w:jc w:val="both"/>
        <w:rPr>
          <w:rFonts w:ascii="Arial" w:hAnsi="Arial" w:cs="Arial"/>
          <w:b/>
          <w:bCs/>
        </w:rPr>
      </w:pPr>
      <w:r w:rsidRPr="00103EF8">
        <w:rPr>
          <w:b/>
          <w:bCs/>
        </w:rPr>
        <w:t xml:space="preserve">Figure </w:t>
      </w:r>
      <w:r w:rsidRPr="00103EF8">
        <w:rPr>
          <w:b/>
          <w:bCs/>
        </w:rPr>
        <w:fldChar w:fldCharType="begin"/>
      </w:r>
      <w:r w:rsidRPr="00103EF8">
        <w:rPr>
          <w:b/>
          <w:bCs/>
        </w:rPr>
        <w:instrText xml:space="preserve"> SEQ Figure \* ARABIC </w:instrText>
      </w:r>
      <w:r w:rsidRPr="00103EF8">
        <w:rPr>
          <w:b/>
          <w:bCs/>
        </w:rPr>
        <w:fldChar w:fldCharType="separate"/>
      </w:r>
      <w:r w:rsidRPr="00103EF8">
        <w:rPr>
          <w:b/>
          <w:bCs/>
        </w:rPr>
        <w:t>1</w:t>
      </w:r>
      <w:r w:rsidRPr="00103EF8">
        <w:rPr>
          <w:b/>
          <w:bCs/>
        </w:rPr>
        <w:fldChar w:fldCharType="end"/>
      </w:r>
      <w:r w:rsidRPr="00103EF8">
        <w:rPr>
          <w:b/>
          <w:bCs/>
        </w:rPr>
        <w:t>: Endau Forest (Study Area)</w:t>
      </w:r>
    </w:p>
    <w:p w14:paraId="2227D1A7" w14:textId="2BD1F269" w:rsidR="00947656" w:rsidRPr="00103EF8" w:rsidRDefault="00947656" w:rsidP="00D333E9">
      <w:pPr>
        <w:jc w:val="both"/>
        <w:rPr>
          <w:color w:val="000000" w:themeColor="text1"/>
        </w:rPr>
      </w:pPr>
      <w:r w:rsidRPr="00103EF8">
        <w:rPr>
          <w:rFonts w:eastAsia="Calibri"/>
          <w:color w:val="000000" w:themeColor="text1"/>
          <w:szCs w:val="24"/>
        </w:rPr>
        <w:t xml:space="preserve">This research was conducted in the Mutitu Sub-County in Kitui County. The forest is located on Endau Hill, with several peaks ranging between 814 M and 1400 M above sea level. The sampling frame was derived from households within the buffer zone, which was divided into four administrative sublocations. To ensure fair representation, proportionate sampling was used, distributing the sample size among these sublocations according to their respective population sizes. This approach guaranteed that each sublocation was adequately represented in the study.  </w:t>
      </w:r>
      <w:r w:rsidR="00641B59" w:rsidRPr="00103EF8">
        <w:rPr>
          <w:rFonts w:eastAsia="SimSun"/>
          <w:color w:val="000000" w:themeColor="text1"/>
          <w:szCs w:val="24"/>
        </w:rPr>
        <w:t xml:space="preserve">This paper used a sample size of 298, which was calculated using the Yamane formula. From 2020 household. Proportionate distribution was used for fair representation . </w:t>
      </w:r>
      <w:sdt>
        <w:sdtPr>
          <w:rPr>
            <w:rFonts w:eastAsia="SimSun"/>
            <w:color w:val="000000" w:themeColor="text1"/>
            <w:szCs w:val="24"/>
          </w:rPr>
          <w:id w:val="-1795813739"/>
          <w:citation/>
        </w:sdtPr>
        <w:sdtEndPr/>
        <w:sdtContent>
          <w:r w:rsidR="00F02C10" w:rsidRPr="00103EF8">
            <w:rPr>
              <w:rFonts w:eastAsia="SimSun"/>
              <w:color w:val="000000" w:themeColor="text1"/>
              <w:szCs w:val="24"/>
            </w:rPr>
            <w:fldChar w:fldCharType="begin"/>
          </w:r>
          <w:r w:rsidR="00F02C10" w:rsidRPr="00103EF8">
            <w:rPr>
              <w:rFonts w:eastAsia="SimSun"/>
              <w:color w:val="000000" w:themeColor="text1"/>
              <w:szCs w:val="24"/>
            </w:rPr>
            <w:instrText xml:space="preserve"> CITATION Cre23 \l 1033 </w:instrText>
          </w:r>
          <w:r w:rsidR="00F02C10" w:rsidRPr="00103EF8">
            <w:rPr>
              <w:rFonts w:eastAsia="SimSun"/>
              <w:color w:val="000000" w:themeColor="text1"/>
              <w:szCs w:val="24"/>
            </w:rPr>
            <w:fldChar w:fldCharType="separate"/>
          </w:r>
          <w:r w:rsidR="00F0152C" w:rsidRPr="00F0152C">
            <w:rPr>
              <w:rFonts w:eastAsia="SimSun"/>
              <w:noProof/>
              <w:color w:val="000000" w:themeColor="text1"/>
              <w:szCs w:val="24"/>
            </w:rPr>
            <w:t>[10]</w:t>
          </w:r>
          <w:r w:rsidR="00F02C10" w:rsidRPr="00103EF8">
            <w:rPr>
              <w:rFonts w:eastAsia="SimSun"/>
              <w:color w:val="000000" w:themeColor="text1"/>
              <w:szCs w:val="24"/>
            </w:rPr>
            <w:fldChar w:fldCharType="end"/>
          </w:r>
        </w:sdtContent>
      </w:sdt>
      <w:r w:rsidR="0024176A" w:rsidRPr="00103EF8">
        <w:rPr>
          <w:color w:val="000000" w:themeColor="text1"/>
        </w:rPr>
        <w:t>The highest number of respondents came from Ndetani 121 (40.6%), reflecting its population size. While some imbalance did exist, all sub-locations were reasonably represented, followed by Yiuku 73 (24.49%), Katumbi 53 (17.78%), and the lowest from Kathua 51 (17.11%), which enhanced the validity of the data and reduced location bias.</w:t>
      </w:r>
    </w:p>
    <w:p w14:paraId="358C2572" w14:textId="77777777" w:rsidR="00F02C10" w:rsidRPr="00103EF8" w:rsidRDefault="00F02C10" w:rsidP="00D333E9">
      <w:pPr>
        <w:jc w:val="both"/>
        <w:rPr>
          <w:rFonts w:eastAsia="Calibri"/>
          <w:color w:val="000000" w:themeColor="text1"/>
          <w:szCs w:val="24"/>
        </w:rPr>
      </w:pPr>
    </w:p>
    <w:p w14:paraId="1B14941E" w14:textId="77777777" w:rsidR="00902823" w:rsidRPr="00103EF8" w:rsidRDefault="00000F8F" w:rsidP="00D333E9">
      <w:pPr>
        <w:pStyle w:val="Head1"/>
        <w:spacing w:after="0"/>
        <w:jc w:val="both"/>
        <w:rPr>
          <w:rFonts w:ascii="Arial" w:hAnsi="Arial" w:cs="Arial"/>
        </w:rPr>
      </w:pPr>
      <w:r w:rsidRPr="00103EF8">
        <w:rPr>
          <w:rFonts w:ascii="Arial" w:hAnsi="Arial" w:cs="Arial"/>
        </w:rPr>
        <w:t>3. results and discussion</w:t>
      </w:r>
    </w:p>
    <w:p w14:paraId="7F830EA6" w14:textId="77777777" w:rsidR="00790ADA" w:rsidRPr="00103EF8" w:rsidRDefault="00790ADA" w:rsidP="00D333E9">
      <w:pPr>
        <w:pStyle w:val="Head1"/>
        <w:spacing w:after="0"/>
        <w:jc w:val="both"/>
        <w:rPr>
          <w:rFonts w:ascii="Arial" w:hAnsi="Arial" w:cs="Arial"/>
        </w:rPr>
      </w:pPr>
    </w:p>
    <w:p w14:paraId="6B34B2ED" w14:textId="675EC6AA" w:rsidR="00F16895" w:rsidRPr="00103EF8" w:rsidRDefault="00F16895" w:rsidP="00D333E9">
      <w:pPr>
        <w:pStyle w:val="Body"/>
        <w:spacing w:after="0"/>
        <w:rPr>
          <w:rFonts w:ascii="Arial" w:hAnsi="Arial" w:cs="Arial"/>
          <w:b/>
          <w:caps/>
          <w:sz w:val="22"/>
        </w:rPr>
      </w:pPr>
      <w:r w:rsidRPr="00103EF8">
        <w:rPr>
          <w:rFonts w:ascii="Arial" w:hAnsi="Arial" w:cs="Arial"/>
          <w:b/>
          <w:caps/>
          <w:sz w:val="22"/>
        </w:rPr>
        <w:t xml:space="preserve">3.1 RESULTS  </w:t>
      </w:r>
    </w:p>
    <w:p w14:paraId="6A0D106E" w14:textId="4629DAC4" w:rsidR="00F16895" w:rsidRPr="00103EF8" w:rsidRDefault="00F16895" w:rsidP="00D333E9">
      <w:pPr>
        <w:pStyle w:val="Body"/>
        <w:spacing w:after="0"/>
        <w:rPr>
          <w:rFonts w:ascii="Arial" w:hAnsi="Arial" w:cs="Arial"/>
          <w:i/>
          <w:iCs/>
        </w:rPr>
      </w:pPr>
      <w:r w:rsidRPr="00103EF8">
        <w:rPr>
          <w:rFonts w:ascii="Arial" w:hAnsi="Arial" w:cs="Arial"/>
          <w:b/>
          <w:i/>
          <w:iCs/>
          <w:u w:val="single"/>
        </w:rPr>
        <w:t xml:space="preserve">3.1.1 Economic Causes of Forest Cover Change  </w:t>
      </w:r>
    </w:p>
    <w:p w14:paraId="693C863B" w14:textId="77777777" w:rsidR="00D503F5" w:rsidRDefault="00D503F5" w:rsidP="00D503F5">
      <w:pPr>
        <w:jc w:val="both"/>
        <w:rPr>
          <w:color w:val="000000" w:themeColor="text1"/>
        </w:rPr>
      </w:pPr>
      <w:r w:rsidRPr="00E93511">
        <w:t>Most of the respondents (72.5%) agreed</w:t>
      </w:r>
      <w:r>
        <w:rPr>
          <w:color w:val="000000" w:themeColor="text1"/>
        </w:rPr>
        <w:t xml:space="preserve"> that charcoal production was the major contributor to deforestation, while 13.8% remained neutral and 13.8% disagreed. Firewood collection contributed to the reduction of forest cover. A total of 69.8% of respondents agreed, indicating that firewood collection remains a significant contributor to forest degradation. However, 16.1% remained neutral, and 14.0% disagreed. The results indicate that agricultural expansion is one of the key drivers of forest cover change in the Endau, especially in the buffer zones. A total of 69.1% of respondents agreed, while 14.4% remained neutral and 16.5% disagreed. </w:t>
      </w:r>
    </w:p>
    <w:p w14:paraId="51F668DD" w14:textId="77777777" w:rsidR="00D503F5" w:rsidRDefault="00D503F5" w:rsidP="00D503F5">
      <w:pPr>
        <w:jc w:val="both"/>
        <w:rPr>
          <w:color w:val="000000" w:themeColor="text1"/>
        </w:rPr>
      </w:pPr>
    </w:p>
    <w:p w14:paraId="7521C18B" w14:textId="77777777" w:rsidR="00D503F5" w:rsidRDefault="00D503F5" w:rsidP="00D503F5">
      <w:pPr>
        <w:jc w:val="both"/>
        <w:rPr>
          <w:color w:val="000000" w:themeColor="text1"/>
        </w:rPr>
      </w:pPr>
      <w:r>
        <w:rPr>
          <w:color w:val="000000" w:themeColor="text1"/>
        </w:rPr>
        <w:t xml:space="preserve">The results noted that the grazing livestock in the forest contributes to the degradation of the forest, with 72.5% of respondents agreeing, while 14.8% remained neutral, and 12.7% disagreed. Economic hardships led many households to rely on forest resources for survival. A total of 68.5% of respondents agreed, while 19.8% were neutral and 11.7% disagreed. The demand for timber and wood products was also identified as a key factor influencing deforestation. A total of 69.8% of respondents agreed, while 18.5% remained neutral and 11.7% disagreed. Market demand for agricultural products encouraged deforestation for farming activities. A total of 68.5% of respondents agreed, while 15.4% remained neutral and 16.1% disagreed. </w:t>
      </w:r>
    </w:p>
    <w:p w14:paraId="1ED82EF0" w14:textId="77777777" w:rsidR="00792CF8" w:rsidRPr="00103EF8" w:rsidRDefault="00792CF8" w:rsidP="00D333E9">
      <w:pPr>
        <w:jc w:val="both"/>
        <w:rPr>
          <w:color w:val="000000" w:themeColor="text1"/>
        </w:rPr>
      </w:pPr>
    </w:p>
    <w:p w14:paraId="2BF9E155" w14:textId="0BAD42DD" w:rsidR="00FD1128" w:rsidRPr="00FD1128" w:rsidRDefault="00FD1128" w:rsidP="00D333E9">
      <w:pPr>
        <w:jc w:val="both"/>
        <w:rPr>
          <w:rStyle w:val="nfaseSutil"/>
          <w:b/>
          <w:bCs/>
        </w:rPr>
      </w:pPr>
      <w:r w:rsidRPr="00FD1128">
        <w:rPr>
          <w:rStyle w:val="nfaseSutil"/>
          <w:b/>
          <w:bCs/>
        </w:rPr>
        <w:t xml:space="preserve">3.1.1 Charcoal burning </w:t>
      </w:r>
    </w:p>
    <w:p w14:paraId="53C17DCB" w14:textId="7FE26998" w:rsidR="00792CF8" w:rsidRPr="00103EF8" w:rsidRDefault="00792CF8" w:rsidP="00D333E9">
      <w:pPr>
        <w:jc w:val="both"/>
      </w:pPr>
      <w:r w:rsidRPr="00103EF8">
        <w:lastRenderedPageBreak/>
        <w:t>Most of the households in Endau buffer zone communities rely heavily on forest-based activities to supplement their income, particularly during periods of economic stress or environmental hardship. Charcoal production emerged as the most dominant livelihood activity and a major contributor to forest degradation. The availability of county-issued licenses permitting charcoal production for domestic use has created a regulatory loophole. These permits are frequently exploited by commercial traders, leading to large-scale and often unregulated deforestation.  As one community leader explained:</w:t>
      </w:r>
    </w:p>
    <w:p w14:paraId="4103B747" w14:textId="77777777" w:rsidR="00792CF8" w:rsidRPr="00103EF8" w:rsidRDefault="00792CF8" w:rsidP="00D333E9">
      <w:pPr>
        <w:ind w:left="720"/>
        <w:jc w:val="both"/>
        <w:rPr>
          <w:i/>
          <w:iCs/>
        </w:rPr>
      </w:pPr>
      <w:r w:rsidRPr="00103EF8">
        <w:rPr>
          <w:i/>
          <w:iCs/>
        </w:rPr>
        <w:t>"Charcoal production remains a major livelihood, making it difficult to control deforestation. Since the county government gives licenses to produce charcoal for local use, traders take advantage of this situation and do mass production of charcoal."</w:t>
      </w:r>
    </w:p>
    <w:p w14:paraId="469AF32A" w14:textId="77777777" w:rsidR="00792CF8" w:rsidRPr="00103EF8" w:rsidRDefault="00792CF8" w:rsidP="00D333E9">
      <w:pPr>
        <w:jc w:val="both"/>
      </w:pPr>
      <w:r w:rsidRPr="00103EF8">
        <w:t>A forest officer added:</w:t>
      </w:r>
    </w:p>
    <w:p w14:paraId="416F59F7" w14:textId="77777777" w:rsidR="00792CF8" w:rsidRPr="00103EF8" w:rsidRDefault="00792CF8" w:rsidP="00984030">
      <w:pPr>
        <w:ind w:left="720"/>
        <w:jc w:val="both"/>
        <w:rPr>
          <w:i/>
          <w:iCs/>
        </w:rPr>
      </w:pPr>
      <w:r w:rsidRPr="00103EF8">
        <w:t>"</w:t>
      </w:r>
      <w:r w:rsidRPr="00103EF8">
        <w:rPr>
          <w:i/>
          <w:iCs/>
        </w:rPr>
        <w:t>When there is drought for a long time, the residents have no other economic activities, hence they produce charcoal and graze livestock in the forest."</w:t>
      </w:r>
    </w:p>
    <w:p w14:paraId="67DB2C0C" w14:textId="77777777" w:rsidR="00792CF8" w:rsidRPr="00103EF8" w:rsidRDefault="00792CF8" w:rsidP="00D333E9">
      <w:pPr>
        <w:jc w:val="both"/>
      </w:pPr>
      <w:r w:rsidRPr="00103EF8">
        <w:t>The profitability of charcoal, especially when combined with limited oversight, incentivises overharvesting and undermines conservation regulations. Similarly, small-scale agriculture is practised in parts of the buffer zone, with trees often cleared to expand farmland. This is especially problematic in areas with insecure land tenure, where forest boundaries are poorly defined or contested.</w:t>
      </w:r>
    </w:p>
    <w:p w14:paraId="5E35C7F6" w14:textId="77777777" w:rsidR="00792CF8" w:rsidRPr="00103EF8" w:rsidRDefault="00792CF8" w:rsidP="00D333E9">
      <w:pPr>
        <w:jc w:val="both"/>
      </w:pPr>
    </w:p>
    <w:p w14:paraId="50450F05" w14:textId="5B8DDDBA" w:rsidR="00792CF8" w:rsidRPr="00FD1128" w:rsidRDefault="00F16895" w:rsidP="00D333E9">
      <w:pPr>
        <w:pStyle w:val="Ttulo4"/>
        <w:jc w:val="both"/>
        <w:rPr>
          <w:b/>
          <w:color w:val="auto"/>
        </w:rPr>
      </w:pPr>
      <w:r w:rsidRPr="00FD1128">
        <w:rPr>
          <w:rFonts w:ascii="Arial" w:hAnsi="Arial" w:cs="Arial"/>
          <w:b/>
          <w:color w:val="auto"/>
        </w:rPr>
        <w:t xml:space="preserve">3.1.2 </w:t>
      </w:r>
      <w:r w:rsidR="00792CF8" w:rsidRPr="00FD1128">
        <w:rPr>
          <w:b/>
          <w:color w:val="auto"/>
        </w:rPr>
        <w:t>Illegal Logging and Commercial Interests</w:t>
      </w:r>
    </w:p>
    <w:p w14:paraId="045E06D1" w14:textId="77777777" w:rsidR="00792CF8" w:rsidRPr="00103EF8" w:rsidRDefault="00792CF8" w:rsidP="00D333E9">
      <w:pPr>
        <w:jc w:val="both"/>
      </w:pPr>
      <w:r w:rsidRPr="00103EF8">
        <w:t>Illegal logging, though officially banned, remains widespread in parts of Endau Forest. The practice continues due to its high profitability and protection by influential actors. A conservation officer observed:</w:t>
      </w:r>
    </w:p>
    <w:p w14:paraId="263824CB" w14:textId="77777777" w:rsidR="00792CF8" w:rsidRPr="00103EF8" w:rsidRDefault="00792CF8" w:rsidP="00D333E9">
      <w:pPr>
        <w:ind w:left="720"/>
        <w:jc w:val="both"/>
        <w:rPr>
          <w:i/>
          <w:iCs/>
        </w:rPr>
      </w:pPr>
      <w:r w:rsidRPr="00103EF8">
        <w:t>"</w:t>
      </w:r>
      <w:r w:rsidRPr="00103EF8">
        <w:rPr>
          <w:i/>
          <w:iCs/>
        </w:rPr>
        <w:t>Illegal logging remains lucrative, making it difficult to convince people to stop. Most of the people who participate in illegal logging are either politicians or well-connected people."</w:t>
      </w:r>
    </w:p>
    <w:p w14:paraId="52E8414F" w14:textId="40CA9F0D" w:rsidR="00792CF8" w:rsidRDefault="00792CF8" w:rsidP="00D333E9">
      <w:pPr>
        <w:jc w:val="both"/>
      </w:pPr>
      <w:r w:rsidRPr="00103EF8">
        <w:t>The value of some indigenous trees is very high, incentivising some business people to cut down the trees and sell even without a permit, even among those who are aware of the ecological consequences. While forest patrols and enforcement exist, they are often undermined by a lack of sufficient human resources, political interference and budgetary constraints.</w:t>
      </w:r>
    </w:p>
    <w:p w14:paraId="50857680" w14:textId="77777777" w:rsidR="0038291C" w:rsidRPr="00103EF8" w:rsidRDefault="0038291C" w:rsidP="00D333E9">
      <w:pPr>
        <w:jc w:val="both"/>
      </w:pPr>
    </w:p>
    <w:p w14:paraId="331E4B11" w14:textId="77777777" w:rsidR="00792CF8" w:rsidRPr="00103EF8" w:rsidRDefault="00792CF8" w:rsidP="00D333E9">
      <w:pPr>
        <w:jc w:val="both"/>
      </w:pPr>
      <w:r w:rsidRPr="00103EF8">
        <w:t>Other forms of commercial use, such as livestock grazing, further complicate forest management. Despite recommendations from the National Environment Management Authority (NEMA) to limit grazing, allowances are made for residents to pay nominal fees for grazing rights. However, these permissions are often expanded informally. A conservation officer explained:</w:t>
      </w:r>
    </w:p>
    <w:p w14:paraId="2C329D13" w14:textId="77777777" w:rsidR="00792CF8" w:rsidRPr="00103EF8" w:rsidRDefault="00792CF8" w:rsidP="00D333E9">
      <w:pPr>
        <w:ind w:left="720"/>
        <w:jc w:val="both"/>
        <w:rPr>
          <w:i/>
          <w:iCs/>
        </w:rPr>
      </w:pPr>
      <w:r w:rsidRPr="00103EF8">
        <w:rPr>
          <w:i/>
          <w:iCs/>
        </w:rPr>
        <w:t>"The residents pay Ksh 100 per month to graze cows in the forest. Also, those who wish to graze sheep pay Ksh 40 per month to be allowed."</w:t>
      </w:r>
    </w:p>
    <w:p w14:paraId="2CC0A9D6" w14:textId="77777777" w:rsidR="00792CF8" w:rsidRDefault="00792CF8" w:rsidP="00D333E9">
      <w:pPr>
        <w:jc w:val="both"/>
      </w:pPr>
      <w:r w:rsidRPr="00103EF8">
        <w:t>While intended to regulate access, these small fees are rarely enforced in practice and often encourage rather than limit unsustainable grazing practices. There are only four KFS rangers to guard the whole forest, hence little reinforcement.</w:t>
      </w:r>
    </w:p>
    <w:p w14:paraId="5D202540" w14:textId="77777777" w:rsidR="002A0E56" w:rsidRPr="00103EF8" w:rsidRDefault="002A0E56" w:rsidP="00D333E9">
      <w:pPr>
        <w:jc w:val="both"/>
      </w:pPr>
    </w:p>
    <w:p w14:paraId="464E741C" w14:textId="77777777" w:rsidR="00792CF8" w:rsidRPr="00103EF8" w:rsidRDefault="00792CF8" w:rsidP="00D333E9">
      <w:pPr>
        <w:jc w:val="both"/>
      </w:pPr>
      <w:r w:rsidRPr="00103EF8">
        <w:t>Further, Payments for Ecosystem Services (PES) were mentioned as a potential motivator for community-level conservation. These financial incentives reward individuals or groups who actively protect forest resources. However, their current scale and outreach remain limited. As noted in the results, while these positive alternatives show promise, they remain insufficient to outweigh the high financial appeal of charcoal production and illegal logging.</w:t>
      </w:r>
    </w:p>
    <w:p w14:paraId="3779717E" w14:textId="77777777" w:rsidR="00792CF8" w:rsidRPr="00103EF8" w:rsidRDefault="00792CF8" w:rsidP="00D333E9">
      <w:pPr>
        <w:jc w:val="both"/>
        <w:rPr>
          <w:color w:val="000000" w:themeColor="text1"/>
        </w:rPr>
      </w:pPr>
    </w:p>
    <w:p w14:paraId="2E10A9F9" w14:textId="7139035A" w:rsidR="00863BD3" w:rsidRDefault="00792CF8" w:rsidP="00DA7C9D">
      <w:pPr>
        <w:jc w:val="both"/>
      </w:pPr>
      <w:r w:rsidRPr="00103EF8">
        <w:t xml:space="preserve">Based on the Pearson correlation analysis between Economic Benefits and Dryland Forest Cover Change, the findings indicate a strong positive relationship, with a correlation coefficient </w:t>
      </w:r>
      <w:r w:rsidRPr="00103EF8">
        <w:lastRenderedPageBreak/>
        <w:t>of 0.860. This relationship is statistically significant (</w:t>
      </w:r>
      <w:r w:rsidRPr="00103EF8">
        <w:rPr>
          <w:i/>
          <w:iCs/>
        </w:rPr>
        <w:t>p</w:t>
      </w:r>
      <w:r w:rsidRPr="00103EF8">
        <w:t xml:space="preserve"> = 0.01), implying that the association is highly unlikely to have occurred by chance. </w:t>
      </w:r>
    </w:p>
    <w:p w14:paraId="50D6EAB1" w14:textId="77777777" w:rsidR="00DA7C9D" w:rsidRPr="00103EF8" w:rsidRDefault="00DA7C9D" w:rsidP="00DA7C9D">
      <w:pPr>
        <w:jc w:val="both"/>
        <w:rPr>
          <w:rFonts w:ascii="Arial" w:hAnsi="Arial" w:cs="Arial"/>
        </w:rPr>
      </w:pPr>
    </w:p>
    <w:p w14:paraId="7214F9C6" w14:textId="737F0F75" w:rsidR="00E053D0" w:rsidRPr="00103EF8" w:rsidRDefault="00C30A0F" w:rsidP="00D333E9">
      <w:pPr>
        <w:pStyle w:val="Body"/>
        <w:spacing w:after="0"/>
        <w:rPr>
          <w:rFonts w:ascii="Arial" w:hAnsi="Arial" w:cs="Arial"/>
        </w:rPr>
      </w:pPr>
      <w:r w:rsidRPr="00103EF8">
        <w:rPr>
          <w:rFonts w:ascii="Arial" w:hAnsi="Arial" w:cs="Arial"/>
          <w:b/>
          <w:caps/>
          <w:sz w:val="22"/>
        </w:rPr>
        <w:t xml:space="preserve">3.2 </w:t>
      </w:r>
      <w:r w:rsidR="00D333E9" w:rsidRPr="00103EF8">
        <w:rPr>
          <w:rFonts w:ascii="Arial" w:hAnsi="Arial" w:cs="Arial"/>
          <w:b/>
          <w:sz w:val="22"/>
        </w:rPr>
        <w:t xml:space="preserve">Discussion  </w:t>
      </w:r>
    </w:p>
    <w:p w14:paraId="29BF1239" w14:textId="77777777" w:rsidR="00790ADA" w:rsidRPr="00103EF8" w:rsidRDefault="00790ADA" w:rsidP="00D333E9">
      <w:pPr>
        <w:pStyle w:val="Body"/>
        <w:spacing w:after="0"/>
        <w:rPr>
          <w:rFonts w:ascii="Arial" w:hAnsi="Arial" w:cs="Arial"/>
        </w:rPr>
      </w:pPr>
    </w:p>
    <w:p w14:paraId="1FFAD64E" w14:textId="294D9381" w:rsidR="00D333E9" w:rsidRPr="00103EF8" w:rsidRDefault="00D333E9" w:rsidP="00D333E9">
      <w:pPr>
        <w:jc w:val="both"/>
        <w:rPr>
          <w:color w:val="000000" w:themeColor="text1"/>
        </w:rPr>
      </w:pPr>
      <w:r w:rsidRPr="00103EF8">
        <w:rPr>
          <w:color w:val="000000" w:themeColor="text1"/>
        </w:rPr>
        <w:t>Charcoal production remains a critical driver of deforestation in the Endau region. More than two-thirds of respondents reported that residents frequently cut down trees to produce charcoal, especially during periods of drought when alternative income sources are limited. Charcoal serves as a primary source of income for many rural households; however, its production often involves unsustainable harvesting practices that accelerate forest degradation. Boscow highlights similar patterns in dryland regions, where charcoal production significantly contributes to forest loss. Introducing alternative energy sources, such as briquettes, along with afforestation programs, could help reduce dependency on charcoal.</w:t>
      </w:r>
      <w:sdt>
        <w:sdtPr>
          <w:rPr>
            <w:color w:val="000000" w:themeColor="text1"/>
          </w:rPr>
          <w:id w:val="-1179273013"/>
          <w:citation/>
        </w:sdtPr>
        <w:sdtEndPr/>
        <w:sdtContent>
          <w:r w:rsidR="00F02C10" w:rsidRPr="00103EF8">
            <w:rPr>
              <w:color w:val="000000" w:themeColor="text1"/>
            </w:rPr>
            <w:fldChar w:fldCharType="begin"/>
          </w:r>
          <w:r w:rsidR="00F02C10" w:rsidRPr="00103EF8">
            <w:rPr>
              <w:color w:val="000000" w:themeColor="text1"/>
            </w:rPr>
            <w:instrText xml:space="preserve"> CITATION Bos17 \l 1033 </w:instrText>
          </w:r>
          <w:r w:rsidR="00F02C10" w:rsidRPr="00103EF8">
            <w:rPr>
              <w:color w:val="000000" w:themeColor="text1"/>
            </w:rPr>
            <w:fldChar w:fldCharType="separate"/>
          </w:r>
          <w:r w:rsidR="00F0152C" w:rsidRPr="00F0152C">
            <w:rPr>
              <w:noProof/>
              <w:color w:val="000000" w:themeColor="text1"/>
            </w:rPr>
            <w:t>[11]</w:t>
          </w:r>
          <w:r w:rsidR="00F02C10" w:rsidRPr="00103EF8">
            <w:rPr>
              <w:color w:val="000000" w:themeColor="text1"/>
            </w:rPr>
            <w:fldChar w:fldCharType="end"/>
          </w:r>
        </w:sdtContent>
      </w:sdt>
    </w:p>
    <w:p w14:paraId="74FC36DD" w14:textId="77777777" w:rsidR="00D333E9" w:rsidRPr="00103EF8" w:rsidRDefault="00D333E9" w:rsidP="00D333E9">
      <w:pPr>
        <w:jc w:val="both"/>
        <w:rPr>
          <w:color w:val="000000" w:themeColor="text1"/>
        </w:rPr>
      </w:pPr>
    </w:p>
    <w:p w14:paraId="0AD1B5E6" w14:textId="20D8C4F2" w:rsidR="00D333E9" w:rsidRPr="00103EF8" w:rsidRDefault="00D333E9" w:rsidP="00D333E9">
      <w:pPr>
        <w:jc w:val="both"/>
        <w:rPr>
          <w:color w:val="000000" w:themeColor="text1"/>
        </w:rPr>
      </w:pPr>
      <w:r w:rsidRPr="00103EF8">
        <w:rPr>
          <w:color w:val="000000" w:themeColor="text1"/>
        </w:rPr>
        <w:t>Firewood collection also contributes to forest cover change, although some respondents perceived its impact as less severe. Selling firewood for income gradually depletes tree cover, particularly in areas where other energy sources are unavailable. Mbuvi notes that firewood remains the main cooking fuel in many rural communities, and without viable alternatives, this reliance is likely to persist. Even limited tree-cutting in dryland forests can have serious long-term ecological consequences, necessitating the development of sustainable energy solutions and community education on forest conservation.</w:t>
      </w:r>
      <w:sdt>
        <w:sdtPr>
          <w:rPr>
            <w:color w:val="000000" w:themeColor="text1"/>
          </w:rPr>
          <w:id w:val="-1186362632"/>
          <w:citation/>
        </w:sdtPr>
        <w:sdtEndPr/>
        <w:sdtContent>
          <w:r w:rsidR="00F02C10" w:rsidRPr="00103EF8">
            <w:rPr>
              <w:color w:val="000000" w:themeColor="text1"/>
            </w:rPr>
            <w:fldChar w:fldCharType="begin"/>
          </w:r>
          <w:r w:rsidR="00F02C10" w:rsidRPr="00103EF8">
            <w:rPr>
              <w:color w:val="000000" w:themeColor="text1"/>
            </w:rPr>
            <w:instrText xml:space="preserve"> CITATION MŨS18 \l 1033 </w:instrText>
          </w:r>
          <w:r w:rsidR="00F02C10" w:rsidRPr="00103EF8">
            <w:rPr>
              <w:color w:val="000000" w:themeColor="text1"/>
            </w:rPr>
            <w:fldChar w:fldCharType="separate"/>
          </w:r>
          <w:r w:rsidR="00F0152C" w:rsidRPr="00F0152C">
            <w:rPr>
              <w:noProof/>
              <w:color w:val="000000" w:themeColor="text1"/>
            </w:rPr>
            <w:t>[12]</w:t>
          </w:r>
          <w:r w:rsidR="00F02C10" w:rsidRPr="00103EF8">
            <w:rPr>
              <w:color w:val="000000" w:themeColor="text1"/>
            </w:rPr>
            <w:fldChar w:fldCharType="end"/>
          </w:r>
        </w:sdtContent>
      </w:sdt>
    </w:p>
    <w:p w14:paraId="2A3BE48A" w14:textId="77777777" w:rsidR="00D333E9" w:rsidRPr="00103EF8" w:rsidRDefault="00D333E9" w:rsidP="00D333E9">
      <w:pPr>
        <w:jc w:val="both"/>
        <w:rPr>
          <w:color w:val="000000" w:themeColor="text1"/>
        </w:rPr>
      </w:pPr>
    </w:p>
    <w:p w14:paraId="56BB4D82" w14:textId="623B5E3B" w:rsidR="00D333E9" w:rsidRPr="00103EF8" w:rsidRDefault="00D333E9" w:rsidP="00D333E9">
      <w:pPr>
        <w:jc w:val="both"/>
        <w:rPr>
          <w:color w:val="000000" w:themeColor="text1"/>
        </w:rPr>
      </w:pPr>
      <w:r w:rsidRPr="00103EF8">
        <w:rPr>
          <w:color w:val="000000" w:themeColor="text1"/>
        </w:rPr>
        <w:t>Livestock grazing emerged as another significant factor affecting forest ecosystems. Respondents reported grazing their animals in the forest during dry seasons, especially during prolonged droughts. Community members are permitted to graze livestock in forest areas under certain conditions, such as during emergencies or with payment. However, studies by Gebregergs et al. (2019) show that overgrazing leads to soil compaction, hinders forest regeneration, and contributes to deforestation. Implementing controlled grazing systems, such as designated zones and rotational grazing practices, may mitigate these effects and enhance forest sustainability.</w:t>
      </w:r>
      <w:sdt>
        <w:sdtPr>
          <w:rPr>
            <w:color w:val="000000" w:themeColor="text1"/>
          </w:rPr>
          <w:id w:val="689725609"/>
          <w:citation/>
        </w:sdtPr>
        <w:sdtEndPr/>
        <w:sdtContent>
          <w:r w:rsidR="00F02C10" w:rsidRPr="00103EF8">
            <w:rPr>
              <w:color w:val="000000" w:themeColor="text1"/>
            </w:rPr>
            <w:fldChar w:fldCharType="begin"/>
          </w:r>
          <w:r w:rsidR="00F02C10" w:rsidRPr="00103EF8">
            <w:rPr>
              <w:color w:val="000000" w:themeColor="text1"/>
            </w:rPr>
            <w:instrText xml:space="preserve"> CITATION Geb19 \l 1033 </w:instrText>
          </w:r>
          <w:r w:rsidR="00F02C10" w:rsidRPr="00103EF8">
            <w:rPr>
              <w:color w:val="000000" w:themeColor="text1"/>
            </w:rPr>
            <w:fldChar w:fldCharType="separate"/>
          </w:r>
          <w:r w:rsidR="00F0152C" w:rsidRPr="00F0152C">
            <w:rPr>
              <w:noProof/>
              <w:color w:val="000000" w:themeColor="text1"/>
            </w:rPr>
            <w:t>[13]</w:t>
          </w:r>
          <w:r w:rsidR="00F02C10" w:rsidRPr="00103EF8">
            <w:rPr>
              <w:color w:val="000000" w:themeColor="text1"/>
            </w:rPr>
            <w:fldChar w:fldCharType="end"/>
          </w:r>
        </w:sdtContent>
      </w:sdt>
    </w:p>
    <w:p w14:paraId="6A996A16" w14:textId="77777777" w:rsidR="00D333E9" w:rsidRPr="00103EF8" w:rsidRDefault="00D333E9" w:rsidP="00D333E9">
      <w:pPr>
        <w:jc w:val="both"/>
        <w:rPr>
          <w:color w:val="000000" w:themeColor="text1"/>
        </w:rPr>
      </w:pPr>
    </w:p>
    <w:p w14:paraId="1A87C37B" w14:textId="75EB4879" w:rsidR="00D333E9" w:rsidRPr="00103EF8" w:rsidRDefault="00D333E9" w:rsidP="00D333E9">
      <w:pPr>
        <w:jc w:val="both"/>
        <w:rPr>
          <w:color w:val="000000" w:themeColor="text1"/>
        </w:rPr>
      </w:pPr>
      <w:r w:rsidRPr="00103EF8">
        <w:rPr>
          <w:color w:val="000000" w:themeColor="text1"/>
        </w:rPr>
        <w:t xml:space="preserve">Agricultural expansion was widely cited as a contributor to forest clearance, driven by high market demand and the pursuit of economic gains. Respondents acknowledged that both commercial and subsistence farming contribute to deforestation, as forested land is often cleared to increase crop production. Sedano et al. (2022) argue that without sustainable land management, farming activities pose a substantial threat to forest ecosystems. These findings concur with </w:t>
      </w:r>
      <w:sdt>
        <w:sdtPr>
          <w:rPr>
            <w:color w:val="000000" w:themeColor="text1"/>
          </w:rPr>
          <w:id w:val="-936434001"/>
          <w:citation/>
        </w:sdtPr>
        <w:sdtEndPr/>
        <w:sdtContent>
          <w:r w:rsidR="00F02C10" w:rsidRPr="00103EF8">
            <w:rPr>
              <w:color w:val="000000" w:themeColor="text1"/>
            </w:rPr>
            <w:fldChar w:fldCharType="begin"/>
          </w:r>
          <w:r w:rsidR="00F02C10" w:rsidRPr="00103EF8">
            <w:rPr>
              <w:color w:val="000000" w:themeColor="text1"/>
            </w:rPr>
            <w:instrText xml:space="preserve"> CITATION Sed22 \l 1033 </w:instrText>
          </w:r>
          <w:r w:rsidR="00F02C10" w:rsidRPr="00103EF8">
            <w:rPr>
              <w:color w:val="000000" w:themeColor="text1"/>
            </w:rPr>
            <w:fldChar w:fldCharType="separate"/>
          </w:r>
          <w:r w:rsidR="00F0152C" w:rsidRPr="00F0152C">
            <w:rPr>
              <w:noProof/>
              <w:color w:val="000000" w:themeColor="text1"/>
            </w:rPr>
            <w:t>[14]</w:t>
          </w:r>
          <w:r w:rsidR="00F02C10" w:rsidRPr="00103EF8">
            <w:rPr>
              <w:color w:val="000000" w:themeColor="text1"/>
            </w:rPr>
            <w:fldChar w:fldCharType="end"/>
          </w:r>
        </w:sdtContent>
      </w:sdt>
      <w:r w:rsidRPr="00103EF8">
        <w:t xml:space="preserve">Doggart </w:t>
      </w:r>
      <w:r w:rsidRPr="00103EF8">
        <w:rPr>
          <w:i/>
        </w:rPr>
        <w:t>et al</w:t>
      </w:r>
      <w:r w:rsidRPr="00103EF8">
        <w:t>. (2020) who found that agriculture is the most dominant economic factor that led to deforestation.</w:t>
      </w:r>
      <w:sdt>
        <w:sdtPr>
          <w:id w:val="-511454569"/>
          <w:citation/>
        </w:sdtPr>
        <w:sdtEndPr/>
        <w:sdtContent>
          <w:r w:rsidR="006C59F0" w:rsidRPr="00103EF8">
            <w:fldChar w:fldCharType="begin"/>
          </w:r>
          <w:r w:rsidR="006C59F0" w:rsidRPr="00103EF8">
            <w:instrText xml:space="preserve"> CITATION Nik20 \l 1033 </w:instrText>
          </w:r>
          <w:r w:rsidR="006C59F0" w:rsidRPr="00103EF8">
            <w:fldChar w:fldCharType="separate"/>
          </w:r>
          <w:r w:rsidR="00F0152C">
            <w:rPr>
              <w:noProof/>
            </w:rPr>
            <w:t xml:space="preserve"> [15]</w:t>
          </w:r>
          <w:r w:rsidR="006C59F0" w:rsidRPr="00103EF8">
            <w:fldChar w:fldCharType="end"/>
          </w:r>
        </w:sdtContent>
      </w:sdt>
      <w:r w:rsidRPr="00103EF8">
        <w:rPr>
          <w:color w:val="000000" w:themeColor="text1"/>
        </w:rPr>
        <w:t xml:space="preserve"> Promoting conservation farming, offering incentives for agroforestry, and enforcing land-use regulations could help reduce agriculturally driven deforestation and protect forest resources.</w:t>
      </w:r>
    </w:p>
    <w:p w14:paraId="65631854" w14:textId="77777777" w:rsidR="00D333E9" w:rsidRPr="00103EF8" w:rsidRDefault="00D333E9" w:rsidP="00D333E9">
      <w:pPr>
        <w:jc w:val="both"/>
        <w:rPr>
          <w:color w:val="000000" w:themeColor="text1"/>
        </w:rPr>
      </w:pPr>
    </w:p>
    <w:p w14:paraId="25A935C5" w14:textId="7C381A7C" w:rsidR="00D333E9" w:rsidRPr="00103EF8" w:rsidRDefault="00D333E9" w:rsidP="00D333E9">
      <w:pPr>
        <w:jc w:val="both"/>
        <w:rPr>
          <w:color w:val="000000" w:themeColor="text1"/>
        </w:rPr>
      </w:pPr>
      <w:r w:rsidRPr="00103EF8">
        <w:rPr>
          <w:color w:val="000000" w:themeColor="text1"/>
        </w:rPr>
        <w:t>Economic vulnerability plays a central role in driving forest degradation. Households facing financial hardship often turn to logging, charcoal production, and firewood collection to meet their basic needs. These unsustainable practices result in the continued loss of forest cover. Fagariba et al. (2018) identify poverty as a key driver of environmental degradation in forest-dependent communities. Addressing this issue requires the implementation of alternative livelihood programs and the promotion of community-based forest management to balance economic needs with environmental protection.</w:t>
      </w:r>
      <w:sdt>
        <w:sdtPr>
          <w:rPr>
            <w:color w:val="000000" w:themeColor="text1"/>
          </w:rPr>
          <w:id w:val="1635527884"/>
          <w:citation/>
        </w:sdtPr>
        <w:sdtEndPr/>
        <w:sdtContent>
          <w:r w:rsidR="006C59F0" w:rsidRPr="00103EF8">
            <w:rPr>
              <w:color w:val="000000" w:themeColor="text1"/>
            </w:rPr>
            <w:fldChar w:fldCharType="begin"/>
          </w:r>
          <w:r w:rsidR="006C59F0" w:rsidRPr="00103EF8">
            <w:rPr>
              <w:color w:val="000000" w:themeColor="text1"/>
            </w:rPr>
            <w:instrText xml:space="preserve"> CITATION Fag18 \l 1033 </w:instrText>
          </w:r>
          <w:r w:rsidR="006C59F0" w:rsidRPr="00103EF8">
            <w:rPr>
              <w:color w:val="000000" w:themeColor="text1"/>
            </w:rPr>
            <w:fldChar w:fldCharType="separate"/>
          </w:r>
          <w:r w:rsidR="00F0152C">
            <w:rPr>
              <w:noProof/>
              <w:color w:val="000000" w:themeColor="text1"/>
            </w:rPr>
            <w:t xml:space="preserve"> </w:t>
          </w:r>
          <w:r w:rsidR="00F0152C" w:rsidRPr="00F0152C">
            <w:rPr>
              <w:noProof/>
              <w:color w:val="000000" w:themeColor="text1"/>
            </w:rPr>
            <w:t>[16]</w:t>
          </w:r>
          <w:r w:rsidR="006C59F0" w:rsidRPr="00103EF8">
            <w:rPr>
              <w:color w:val="000000" w:themeColor="text1"/>
            </w:rPr>
            <w:fldChar w:fldCharType="end"/>
          </w:r>
        </w:sdtContent>
      </w:sdt>
    </w:p>
    <w:p w14:paraId="67808594" w14:textId="77777777" w:rsidR="00D333E9" w:rsidRPr="00103EF8" w:rsidRDefault="00D333E9" w:rsidP="00D333E9">
      <w:pPr>
        <w:jc w:val="both"/>
        <w:rPr>
          <w:color w:val="000000" w:themeColor="text1"/>
        </w:rPr>
      </w:pPr>
    </w:p>
    <w:p w14:paraId="489175C0" w14:textId="58C0239F" w:rsidR="00D333E9" w:rsidRPr="00103EF8" w:rsidRDefault="00D333E9" w:rsidP="00D333E9">
      <w:pPr>
        <w:jc w:val="both"/>
        <w:rPr>
          <w:color w:val="000000" w:themeColor="text1"/>
        </w:rPr>
      </w:pPr>
      <w:r w:rsidRPr="00103EF8">
        <w:rPr>
          <w:color w:val="000000" w:themeColor="text1"/>
        </w:rPr>
        <w:t xml:space="preserve">Timber harvesting for construction and commercial use also contributes significantly to forest loss. As the population grows, the demand for forest products increases, consistent with the forest transition theory. Petersen et al. (2021) report that unsustainable logging, coupled with weak enforcement of forestry regulations, exacerbates deforestation. Strengthening </w:t>
      </w:r>
      <w:r w:rsidRPr="00103EF8">
        <w:rPr>
          <w:color w:val="000000" w:themeColor="text1"/>
        </w:rPr>
        <w:lastRenderedPageBreak/>
        <w:t>regulatory frameworks and promoting tree-planting initiatives could help mitigate the negative impacts of timber extraction.</w:t>
      </w:r>
      <w:sdt>
        <w:sdtPr>
          <w:rPr>
            <w:color w:val="000000" w:themeColor="text1"/>
          </w:rPr>
          <w:id w:val="-1288277908"/>
          <w:citation/>
        </w:sdtPr>
        <w:sdtEndPr/>
        <w:sdtContent>
          <w:r w:rsidR="006C59F0" w:rsidRPr="00103EF8">
            <w:rPr>
              <w:color w:val="000000" w:themeColor="text1"/>
            </w:rPr>
            <w:fldChar w:fldCharType="begin"/>
          </w:r>
          <w:r w:rsidR="006C59F0" w:rsidRPr="00103EF8">
            <w:rPr>
              <w:color w:val="000000" w:themeColor="text1"/>
            </w:rPr>
            <w:instrText xml:space="preserve"> CITATION Pet21 \l 1033 </w:instrText>
          </w:r>
          <w:r w:rsidR="006C59F0" w:rsidRPr="00103EF8">
            <w:rPr>
              <w:color w:val="000000" w:themeColor="text1"/>
            </w:rPr>
            <w:fldChar w:fldCharType="separate"/>
          </w:r>
          <w:r w:rsidR="00F0152C">
            <w:rPr>
              <w:noProof/>
              <w:color w:val="000000" w:themeColor="text1"/>
            </w:rPr>
            <w:t xml:space="preserve"> </w:t>
          </w:r>
          <w:r w:rsidR="00F0152C" w:rsidRPr="00F0152C">
            <w:rPr>
              <w:noProof/>
              <w:color w:val="000000" w:themeColor="text1"/>
            </w:rPr>
            <w:t>[17]</w:t>
          </w:r>
          <w:r w:rsidR="006C59F0" w:rsidRPr="00103EF8">
            <w:rPr>
              <w:color w:val="000000" w:themeColor="text1"/>
            </w:rPr>
            <w:fldChar w:fldCharType="end"/>
          </w:r>
        </w:sdtContent>
      </w:sdt>
    </w:p>
    <w:p w14:paraId="0F5F31AD" w14:textId="77777777" w:rsidR="00D333E9" w:rsidRPr="00103EF8" w:rsidRDefault="00D333E9" w:rsidP="00D333E9">
      <w:pPr>
        <w:jc w:val="both"/>
        <w:rPr>
          <w:color w:val="000000" w:themeColor="text1"/>
        </w:rPr>
      </w:pPr>
    </w:p>
    <w:p w14:paraId="5201750A" w14:textId="742EDA0B" w:rsidR="00D333E9" w:rsidRPr="00103EF8" w:rsidRDefault="00D333E9" w:rsidP="00D333E9">
      <w:pPr>
        <w:jc w:val="both"/>
        <w:rPr>
          <w:color w:val="000000" w:themeColor="text1"/>
        </w:rPr>
      </w:pPr>
      <w:r w:rsidRPr="00103EF8">
        <w:rPr>
          <w:color w:val="000000" w:themeColor="text1"/>
        </w:rPr>
        <w:t xml:space="preserve">The cumulative findings indicate that multiple economic activities, charcoal production, firewood collection, agricultural expansion, livestock grazing, and timber harvesting, are collectively responsible for forest degradation in the region. These pressures are primarily driven by economic necessity, market demand, and limited livelihood alternatives. These results are consistent with </w:t>
      </w:r>
      <w:r w:rsidRPr="00103EF8">
        <w:t xml:space="preserve">Ranjan </w:t>
      </w:r>
      <w:r w:rsidRPr="00103EF8">
        <w:rPr>
          <w:i/>
          <w:iCs/>
        </w:rPr>
        <w:t>et al</w:t>
      </w:r>
      <w:r w:rsidRPr="00103EF8">
        <w:t>. (2025) Who found that forest cover change was caused by economic drivers such as agriculture, grazing, and timber harvesting.</w:t>
      </w:r>
      <w:sdt>
        <w:sdtPr>
          <w:id w:val="-1035885876"/>
          <w:citation/>
        </w:sdtPr>
        <w:sdtEndPr/>
        <w:sdtContent>
          <w:r w:rsidR="006C59F0" w:rsidRPr="00103EF8">
            <w:fldChar w:fldCharType="begin"/>
          </w:r>
          <w:r w:rsidR="006C59F0" w:rsidRPr="00103EF8">
            <w:instrText xml:space="preserve"> CITATION Gau \l 1033 </w:instrText>
          </w:r>
          <w:r w:rsidR="006C59F0" w:rsidRPr="00103EF8">
            <w:fldChar w:fldCharType="separate"/>
          </w:r>
          <w:r w:rsidR="00F0152C">
            <w:rPr>
              <w:noProof/>
            </w:rPr>
            <w:t>[18]</w:t>
          </w:r>
          <w:r w:rsidR="006C59F0" w:rsidRPr="00103EF8">
            <w:fldChar w:fldCharType="end"/>
          </w:r>
        </w:sdtContent>
      </w:sdt>
      <w:r w:rsidRPr="00103EF8">
        <w:rPr>
          <w:color w:val="000000" w:themeColor="text1"/>
        </w:rPr>
        <w:t xml:space="preserve"> The high level of agreement among respondents reinforces the urgency of addressing the economic drivers of deforestation through integrated forest conservation strategies.</w:t>
      </w:r>
    </w:p>
    <w:p w14:paraId="1CF3ED82" w14:textId="77777777" w:rsidR="00D333E9" w:rsidRPr="00103EF8" w:rsidRDefault="00D333E9" w:rsidP="00D333E9">
      <w:pPr>
        <w:jc w:val="both"/>
        <w:rPr>
          <w:color w:val="000000" w:themeColor="text1"/>
        </w:rPr>
      </w:pPr>
    </w:p>
    <w:p w14:paraId="54EB44C7" w14:textId="0BF9495B" w:rsidR="00D333E9" w:rsidRPr="00103EF8" w:rsidRDefault="00FD1128" w:rsidP="00D333E9">
      <w:pPr>
        <w:jc w:val="both"/>
        <w:rPr>
          <w:color w:val="000000" w:themeColor="text1"/>
        </w:rPr>
      </w:pPr>
      <w:r>
        <w:rPr>
          <w:color w:val="000000" w:themeColor="text1"/>
        </w:rPr>
        <w:t>The result suggests that as economic benefits derived from forest conservation increase, there is a corresponding positive impact on dryland forest cover. In practical terms, this means that communities that perceive or receive tangible economic incentives, such as income from ecotourism, sustainable logging, agroforestry, or payments for ecosystem services, are more likely to engage in practices that protect and restore forest cover.</w:t>
      </w:r>
    </w:p>
    <w:p w14:paraId="60BA7B1B" w14:textId="77777777" w:rsidR="00D333E9" w:rsidRPr="00103EF8" w:rsidRDefault="00D333E9" w:rsidP="00D333E9">
      <w:pPr>
        <w:jc w:val="both"/>
        <w:rPr>
          <w:color w:val="000000" w:themeColor="text1"/>
        </w:rPr>
      </w:pPr>
    </w:p>
    <w:p w14:paraId="6D119B77" w14:textId="359C83C4" w:rsidR="00D333E9" w:rsidRPr="00103EF8" w:rsidRDefault="00D333E9" w:rsidP="00D333E9">
      <w:pPr>
        <w:jc w:val="both"/>
        <w:rPr>
          <w:color w:val="000000" w:themeColor="text1"/>
        </w:rPr>
      </w:pPr>
      <w:r w:rsidRPr="00103EF8">
        <w:rPr>
          <w:color w:val="000000" w:themeColor="text1"/>
        </w:rPr>
        <w:t xml:space="preserve">These findings align with </w:t>
      </w:r>
      <w:r w:rsidRPr="00103EF8">
        <w:rPr>
          <w:rFonts w:eastAsia="Calibri"/>
          <w:color w:val="000000" w:themeColor="text1"/>
          <w:szCs w:val="24"/>
        </w:rPr>
        <w:t xml:space="preserve">Waisse </w:t>
      </w:r>
      <w:r w:rsidRPr="00103EF8">
        <w:rPr>
          <w:rFonts w:eastAsia="Calibri"/>
          <w:i/>
          <w:color w:val="000000" w:themeColor="text1"/>
          <w:szCs w:val="24"/>
        </w:rPr>
        <w:t>et al</w:t>
      </w:r>
      <w:r w:rsidRPr="00103EF8">
        <w:rPr>
          <w:rFonts w:eastAsia="Calibri"/>
          <w:color w:val="000000" w:themeColor="text1"/>
          <w:szCs w:val="24"/>
        </w:rPr>
        <w:t xml:space="preserve">. (2023)   </w:t>
      </w:r>
      <w:sdt>
        <w:sdtPr>
          <w:rPr>
            <w:rFonts w:eastAsia="Calibri"/>
            <w:color w:val="000000" w:themeColor="text1"/>
            <w:szCs w:val="24"/>
          </w:rPr>
          <w:id w:val="485295346"/>
          <w:citation/>
        </w:sdtPr>
        <w:sdtEndPr/>
        <w:sdtContent>
          <w:r w:rsidR="006C59F0" w:rsidRPr="00103EF8">
            <w:rPr>
              <w:rFonts w:eastAsia="Calibri"/>
              <w:color w:val="000000" w:themeColor="text1"/>
              <w:szCs w:val="24"/>
            </w:rPr>
            <w:fldChar w:fldCharType="begin"/>
          </w:r>
          <w:r w:rsidR="006C59F0" w:rsidRPr="00103EF8">
            <w:rPr>
              <w:rFonts w:eastAsia="Calibri"/>
              <w:color w:val="000000" w:themeColor="text1"/>
              <w:szCs w:val="24"/>
            </w:rPr>
            <w:instrText xml:space="preserve"> CITATION Mik23 \l 1033 </w:instrText>
          </w:r>
          <w:r w:rsidR="006C59F0" w:rsidRPr="00103EF8">
            <w:rPr>
              <w:rFonts w:eastAsia="Calibri"/>
              <w:color w:val="000000" w:themeColor="text1"/>
              <w:szCs w:val="24"/>
            </w:rPr>
            <w:fldChar w:fldCharType="separate"/>
          </w:r>
          <w:r w:rsidR="00F0152C" w:rsidRPr="00F0152C">
            <w:rPr>
              <w:rFonts w:eastAsia="Calibri"/>
              <w:noProof/>
              <w:color w:val="000000" w:themeColor="text1"/>
              <w:szCs w:val="24"/>
            </w:rPr>
            <w:t>[19]</w:t>
          </w:r>
          <w:r w:rsidR="006C59F0" w:rsidRPr="00103EF8">
            <w:rPr>
              <w:rFonts w:eastAsia="Calibri"/>
              <w:color w:val="000000" w:themeColor="text1"/>
              <w:szCs w:val="24"/>
            </w:rPr>
            <w:fldChar w:fldCharType="end"/>
          </w:r>
        </w:sdtContent>
      </w:sdt>
      <w:r w:rsidRPr="00103EF8">
        <w:rPr>
          <w:color w:val="000000" w:themeColor="text1"/>
        </w:rPr>
        <w:t>who posit the importance of integrating livelihood support mechanisms into forest conservation strategies. For instance, economic viability has been shown to play a key role in influencing community attitudes and behaviours towards environmental stewardship. When communities benefit economically from conservation initiatives, they are more motivated to participate in sustainable land management practices.</w:t>
      </w:r>
    </w:p>
    <w:p w14:paraId="57860A35" w14:textId="77777777" w:rsidR="00D333E9" w:rsidRPr="00103EF8" w:rsidRDefault="00D333E9" w:rsidP="00D333E9">
      <w:pPr>
        <w:jc w:val="both"/>
        <w:rPr>
          <w:color w:val="000000" w:themeColor="text1"/>
        </w:rPr>
      </w:pPr>
    </w:p>
    <w:p w14:paraId="4C427556" w14:textId="500C68B4" w:rsidR="00D333E9" w:rsidRPr="00103EF8" w:rsidRDefault="00D333E9" w:rsidP="00D333E9">
      <w:pPr>
        <w:jc w:val="both"/>
        <w:rPr>
          <w:color w:val="000000" w:themeColor="text1"/>
        </w:rPr>
      </w:pPr>
      <w:r w:rsidRPr="00103EF8">
        <w:rPr>
          <w:color w:val="000000" w:themeColor="text1"/>
        </w:rPr>
        <w:t>This strong correlation reinforces the need for policy frameworks that link conservation efforts with economic empowerment, particularly in dryland regions where forest-dependent communities face economic hardship. Programs that enhance access to credit, promote value-added forest products, and ensure equitable benefit-sharing can help reduce deforestation pressures and support long-term ecological sustainability. A Pearson correlation coefficient of 0.860, statistically significant at the 0.001 level, indicates a strong positive relationship between economic incentives and forest conservation. This suggests that when communities derive financial benefits from sustainable forest practices, they are more likely to engage in conservation activities. Matta and Alavalapati (2016) support this view, arguing that economic incentives enhance local participation in environmental protection programs. Opportunities such as ecotourism, agroforestry, and sustainable logging not only improve livelihoods but also promote long-term forest health.</w:t>
      </w:r>
      <w:sdt>
        <w:sdtPr>
          <w:rPr>
            <w:color w:val="000000" w:themeColor="text1"/>
          </w:rPr>
          <w:id w:val="1933006683"/>
          <w:citation/>
        </w:sdtPr>
        <w:sdtEndPr/>
        <w:sdtContent>
          <w:r w:rsidR="003A7EC8" w:rsidRPr="00103EF8">
            <w:rPr>
              <w:color w:val="000000" w:themeColor="text1"/>
            </w:rPr>
            <w:fldChar w:fldCharType="begin"/>
          </w:r>
          <w:r w:rsidR="003A7EC8" w:rsidRPr="00103EF8">
            <w:rPr>
              <w:color w:val="000000" w:themeColor="text1"/>
            </w:rPr>
            <w:instrText xml:space="preserve"> CITATION Jag16 \l 1033 </w:instrText>
          </w:r>
          <w:r w:rsidR="003A7EC8" w:rsidRPr="00103EF8">
            <w:rPr>
              <w:color w:val="000000" w:themeColor="text1"/>
            </w:rPr>
            <w:fldChar w:fldCharType="separate"/>
          </w:r>
          <w:r w:rsidR="00F0152C" w:rsidRPr="00F0152C">
            <w:rPr>
              <w:noProof/>
              <w:color w:val="000000" w:themeColor="text1"/>
            </w:rPr>
            <w:t>[20]</w:t>
          </w:r>
          <w:r w:rsidR="003A7EC8" w:rsidRPr="00103EF8">
            <w:rPr>
              <w:color w:val="000000" w:themeColor="text1"/>
            </w:rPr>
            <w:fldChar w:fldCharType="end"/>
          </w:r>
        </w:sdtContent>
      </w:sdt>
    </w:p>
    <w:p w14:paraId="2C9C352B" w14:textId="77777777" w:rsidR="00D333E9" w:rsidRPr="00103EF8" w:rsidRDefault="00D333E9" w:rsidP="00D333E9">
      <w:pPr>
        <w:jc w:val="both"/>
        <w:rPr>
          <w:color w:val="000000" w:themeColor="text1"/>
        </w:rPr>
      </w:pPr>
    </w:p>
    <w:p w14:paraId="7FB06CB0" w14:textId="489C0E41" w:rsidR="00D333E9" w:rsidRPr="00103EF8" w:rsidRDefault="00D333E9" w:rsidP="00D333E9">
      <w:pPr>
        <w:jc w:val="both"/>
        <w:rPr>
          <w:color w:val="000000" w:themeColor="text1"/>
        </w:rPr>
      </w:pPr>
      <w:r w:rsidRPr="00103EF8">
        <w:rPr>
          <w:color w:val="000000" w:themeColor="text1"/>
        </w:rPr>
        <w:t>The findings also point to the importance of incorporating livelihood improvement initiatives into conservation strategies. Programs such as payment for ecosystem services (PES), community forestry enterprises, and equitable access to forest resources have been shown to reduce pressure on forests. Marnelly et al. (2023) emphasise that enhancing credit access and promoting sustainable economic activities can shift community dependence away from forest exploitation. Kiria and Onundo (2022) further assert that financial incentives are vital for encouraging responsible forest stewardship. Integrating economic benefits with conservation policies is therefore essential for achieving lasting sustainability in dryland forest ecosystems.</w:t>
      </w:r>
      <w:sdt>
        <w:sdtPr>
          <w:rPr>
            <w:color w:val="000000" w:themeColor="text1"/>
          </w:rPr>
          <w:id w:val="-634409611"/>
          <w:citation/>
        </w:sdtPr>
        <w:sdtEndPr/>
        <w:sdtContent>
          <w:r w:rsidR="003A7EC8" w:rsidRPr="00103EF8">
            <w:rPr>
              <w:color w:val="000000" w:themeColor="text1"/>
            </w:rPr>
            <w:fldChar w:fldCharType="begin"/>
          </w:r>
          <w:r w:rsidR="003A7EC8" w:rsidRPr="00103EF8">
            <w:rPr>
              <w:color w:val="000000" w:themeColor="text1"/>
            </w:rPr>
            <w:instrText xml:space="preserve"> CITATION Eco23 \l 1033 </w:instrText>
          </w:r>
          <w:r w:rsidR="003A7EC8" w:rsidRPr="00103EF8">
            <w:rPr>
              <w:color w:val="000000" w:themeColor="text1"/>
            </w:rPr>
            <w:fldChar w:fldCharType="separate"/>
          </w:r>
          <w:r w:rsidR="00F0152C" w:rsidRPr="00F0152C">
            <w:rPr>
              <w:noProof/>
              <w:color w:val="000000" w:themeColor="text1"/>
            </w:rPr>
            <w:t>[21]</w:t>
          </w:r>
          <w:r w:rsidR="003A7EC8" w:rsidRPr="00103EF8">
            <w:rPr>
              <w:color w:val="000000" w:themeColor="text1"/>
            </w:rPr>
            <w:fldChar w:fldCharType="end"/>
          </w:r>
        </w:sdtContent>
      </w:sdt>
      <w:sdt>
        <w:sdtPr>
          <w:rPr>
            <w:color w:val="000000" w:themeColor="text1"/>
          </w:rPr>
          <w:id w:val="1592132183"/>
          <w:citation/>
        </w:sdtPr>
        <w:sdtEndPr/>
        <w:sdtContent>
          <w:r w:rsidR="00092CEB" w:rsidRPr="00103EF8">
            <w:rPr>
              <w:color w:val="000000" w:themeColor="text1"/>
            </w:rPr>
            <w:fldChar w:fldCharType="begin"/>
          </w:r>
          <w:r w:rsidR="00092CEB" w:rsidRPr="00103EF8">
            <w:rPr>
              <w:color w:val="000000" w:themeColor="text1"/>
            </w:rPr>
            <w:instrText xml:space="preserve"> CITATION Edw22 \l 1033 </w:instrText>
          </w:r>
          <w:r w:rsidR="00092CEB" w:rsidRPr="00103EF8">
            <w:rPr>
              <w:color w:val="000000" w:themeColor="text1"/>
            </w:rPr>
            <w:fldChar w:fldCharType="separate"/>
          </w:r>
          <w:r w:rsidR="00F0152C">
            <w:rPr>
              <w:noProof/>
              <w:color w:val="000000" w:themeColor="text1"/>
            </w:rPr>
            <w:t xml:space="preserve"> </w:t>
          </w:r>
          <w:r w:rsidR="00F0152C" w:rsidRPr="00F0152C">
            <w:rPr>
              <w:noProof/>
              <w:color w:val="000000" w:themeColor="text1"/>
            </w:rPr>
            <w:t>[22]</w:t>
          </w:r>
          <w:r w:rsidR="00092CEB" w:rsidRPr="00103EF8">
            <w:rPr>
              <w:color w:val="000000" w:themeColor="text1"/>
            </w:rPr>
            <w:fldChar w:fldCharType="end"/>
          </w:r>
        </w:sdtContent>
      </w:sdt>
    </w:p>
    <w:p w14:paraId="15AECB65" w14:textId="77777777" w:rsidR="00D333E9" w:rsidRPr="00103EF8" w:rsidRDefault="00D333E9" w:rsidP="00D333E9">
      <w:pPr>
        <w:pStyle w:val="Body"/>
        <w:spacing w:after="0"/>
        <w:rPr>
          <w:rFonts w:ascii="Arial" w:hAnsi="Arial" w:cs="Arial"/>
        </w:rPr>
      </w:pPr>
    </w:p>
    <w:p w14:paraId="222AE0C3" w14:textId="77777777" w:rsidR="00B01FCD" w:rsidRPr="00103EF8" w:rsidRDefault="00000F8F" w:rsidP="00D333E9">
      <w:pPr>
        <w:pStyle w:val="ConcHead"/>
        <w:spacing w:after="0"/>
        <w:jc w:val="both"/>
        <w:rPr>
          <w:rFonts w:ascii="Arial" w:hAnsi="Arial" w:cs="Arial"/>
        </w:rPr>
      </w:pPr>
      <w:r w:rsidRPr="00103EF8">
        <w:rPr>
          <w:rFonts w:ascii="Arial" w:hAnsi="Arial" w:cs="Arial"/>
        </w:rPr>
        <w:t>4. Conclusion</w:t>
      </w:r>
    </w:p>
    <w:p w14:paraId="61FD5A53" w14:textId="77777777" w:rsidR="00790ADA" w:rsidRPr="00103EF8" w:rsidRDefault="00790ADA" w:rsidP="00D333E9">
      <w:pPr>
        <w:pStyle w:val="ConcHead"/>
        <w:spacing w:after="0"/>
        <w:jc w:val="both"/>
        <w:rPr>
          <w:rFonts w:ascii="Arial" w:hAnsi="Arial" w:cs="Arial"/>
        </w:rPr>
      </w:pPr>
    </w:p>
    <w:p w14:paraId="38E58C8A" w14:textId="4752286F" w:rsidR="002A0E56" w:rsidRPr="00103EF8" w:rsidRDefault="002A0E56" w:rsidP="00D333E9">
      <w:pPr>
        <w:jc w:val="both"/>
      </w:pPr>
      <w:r w:rsidRPr="00103EF8">
        <w:t xml:space="preserve">Economic factors also emerged as a critical theme influencing forest cover change. Respondents identified activities such as charcoal production and firewood collection as major contributors to forest degradation. Conversely, they recognised that forests provide essential </w:t>
      </w:r>
      <w:r w:rsidRPr="00103EF8">
        <w:lastRenderedPageBreak/>
        <w:t xml:space="preserve">economic benefits, incentivising communities to engage in sustainable practices. The perceptions indicated that when communities perceive economic advantages connected to forest conservation, they are more likely to support and participate in initiatives that protect forest resources. There were perceptions indicating a significant relationship (correlation </w:t>
      </w:r>
      <w:r w:rsidRPr="00FD1128">
        <w:rPr>
          <w:i/>
          <w:iCs/>
        </w:rPr>
        <w:t xml:space="preserve">r </w:t>
      </w:r>
      <w:r w:rsidRPr="00103EF8">
        <w:t xml:space="preserve">= 0.860, </w:t>
      </w:r>
      <w:r w:rsidRPr="00FD1128">
        <w:rPr>
          <w:i/>
          <w:iCs/>
        </w:rPr>
        <w:t>p</w:t>
      </w:r>
      <w:r w:rsidRPr="00103EF8">
        <w:t xml:space="preserve"> = 0.0001 between economic benefits derived from sustainable practices and forest conservation. The regression result was at </w:t>
      </w:r>
      <w:r w:rsidRPr="00FD1128">
        <w:rPr>
          <w:i/>
          <w:iCs/>
        </w:rPr>
        <w:t>β</w:t>
      </w:r>
      <w:r w:rsidRPr="00103EF8">
        <w:t xml:space="preserve"> = 0.210; </w:t>
      </w:r>
      <w:r w:rsidRPr="00FD1128">
        <w:rPr>
          <w:i/>
          <w:iCs/>
        </w:rPr>
        <w:t>p</w:t>
      </w:r>
      <w:r w:rsidRPr="00103EF8">
        <w:t xml:space="preserve"> = 0.028.  The mean score of 3.92 for the perception that charcoal production contributes to forest degradation reflects the prevailing economic dependencies threatening forests. Respondents strongly recognised the potential of alternative economic incentives, such as ecotourism and farm forestry, in mitigating deforestation, signaling a need for policies integrating economic viability with conservation efforts.</w:t>
      </w:r>
    </w:p>
    <w:p w14:paraId="767E0EBE" w14:textId="77777777" w:rsidR="00FD1128" w:rsidRPr="00C6424E" w:rsidRDefault="00FD1128" w:rsidP="00FD1128">
      <w:pPr>
        <w:pStyle w:val="ReferHead"/>
        <w:spacing w:after="0"/>
        <w:jc w:val="both"/>
        <w:rPr>
          <w:rFonts w:cs="Helvetica"/>
          <w:b w:val="0"/>
          <w:caps w:val="0"/>
          <w:sz w:val="20"/>
        </w:rPr>
      </w:pPr>
    </w:p>
    <w:p w14:paraId="5D089764" w14:textId="77777777" w:rsidR="00FD1128" w:rsidRPr="00C6424E" w:rsidRDefault="00FD1128" w:rsidP="00FD1128">
      <w:pPr>
        <w:pStyle w:val="ReferHead"/>
        <w:spacing w:after="0"/>
        <w:jc w:val="both"/>
        <w:rPr>
          <w:rFonts w:cs="Helvetica"/>
          <w:bCs/>
        </w:rPr>
      </w:pPr>
      <w:r w:rsidRPr="00C6424E">
        <w:rPr>
          <w:rFonts w:cs="Helvetica"/>
          <w:bCs/>
        </w:rPr>
        <w:t xml:space="preserve">Ethical approval </w:t>
      </w:r>
    </w:p>
    <w:p w14:paraId="07D89654" w14:textId="3F62ACEC" w:rsidR="00790ADA" w:rsidRDefault="00FD1128" w:rsidP="00FD2793">
      <w:pPr>
        <w:jc w:val="both"/>
        <w:rPr>
          <w:rFonts w:cs="Helvetica"/>
          <w:lang w:eastAsia="en-GB"/>
        </w:rPr>
      </w:pPr>
      <w:r w:rsidRPr="00B91CBE">
        <w:rPr>
          <w:rFonts w:cs="Helvetica"/>
          <w:lang w:eastAsia="en-GB"/>
        </w:rPr>
        <w:t>This study was approved by the Chuka University Ethics Committee. Informed consent was obtained from all participants.</w:t>
      </w:r>
    </w:p>
    <w:p w14:paraId="59145BAD" w14:textId="77777777" w:rsidR="00F318CB" w:rsidRDefault="00F318CB" w:rsidP="00FD2793">
      <w:pPr>
        <w:jc w:val="both"/>
        <w:rPr>
          <w:rFonts w:cs="Helvetica"/>
          <w:lang w:eastAsia="en-GB"/>
        </w:rPr>
      </w:pPr>
    </w:p>
    <w:p w14:paraId="49E73627" w14:textId="77777777" w:rsidR="00F318CB" w:rsidRPr="00C6424E" w:rsidRDefault="00F318CB" w:rsidP="00F318CB">
      <w:pPr>
        <w:pStyle w:val="DefAcrHead"/>
        <w:spacing w:after="0"/>
        <w:jc w:val="both"/>
        <w:rPr>
          <w:rFonts w:cs="Helvetica"/>
        </w:rPr>
      </w:pPr>
      <w:r w:rsidRPr="00C6424E">
        <w:rPr>
          <w:rFonts w:cs="Helvetica"/>
        </w:rPr>
        <w:t>Definitions, Acronyms, Abbreviations</w:t>
      </w:r>
    </w:p>
    <w:p w14:paraId="4615595F" w14:textId="77777777" w:rsidR="00F318CB" w:rsidRPr="00C6424E" w:rsidRDefault="00F318CB" w:rsidP="00F318CB">
      <w:pPr>
        <w:pStyle w:val="Body"/>
        <w:spacing w:after="0"/>
        <w:rPr>
          <w:rFonts w:cs="Helvetica"/>
        </w:rPr>
      </w:pPr>
      <w:r w:rsidRPr="00C6424E">
        <w:rPr>
          <w:rFonts w:cs="Helvetica"/>
          <w:b/>
          <w:bCs/>
        </w:rPr>
        <w:t>CFA</w:t>
      </w:r>
      <w:r w:rsidRPr="00C6424E">
        <w:rPr>
          <w:rFonts w:cs="Helvetica"/>
        </w:rPr>
        <w:t xml:space="preserve"> Community Forest Association</w:t>
      </w:r>
    </w:p>
    <w:p w14:paraId="3C127E3C" w14:textId="77777777" w:rsidR="00F318CB" w:rsidRPr="00C6424E" w:rsidRDefault="00F318CB" w:rsidP="00F318CB">
      <w:pPr>
        <w:pStyle w:val="Body"/>
        <w:spacing w:after="0"/>
        <w:rPr>
          <w:rFonts w:cs="Helvetica"/>
        </w:rPr>
      </w:pPr>
      <w:r w:rsidRPr="00C6424E">
        <w:rPr>
          <w:rFonts w:cs="Helvetica"/>
          <w:b/>
          <w:bCs/>
        </w:rPr>
        <w:t>PFM</w:t>
      </w:r>
      <w:r w:rsidRPr="00C6424E">
        <w:rPr>
          <w:rFonts w:cs="Helvetica"/>
        </w:rPr>
        <w:t xml:space="preserve"> Participatory Forest Management</w:t>
      </w:r>
    </w:p>
    <w:p w14:paraId="2C818CC7" w14:textId="77777777" w:rsidR="00F318CB" w:rsidRPr="00C6424E" w:rsidRDefault="00F318CB" w:rsidP="00F318CB">
      <w:pPr>
        <w:pStyle w:val="Body"/>
        <w:spacing w:after="0"/>
        <w:rPr>
          <w:rFonts w:cs="Helvetica"/>
        </w:rPr>
      </w:pPr>
    </w:p>
    <w:p w14:paraId="010284FD" w14:textId="77777777" w:rsidR="00F318CB" w:rsidRPr="00C6424E" w:rsidRDefault="00F318CB" w:rsidP="00F318CB">
      <w:pPr>
        <w:ind w:left="720" w:hanging="720"/>
        <w:jc w:val="both"/>
        <w:rPr>
          <w:rFonts w:eastAsia="Calibri" w:cs="Helvetica"/>
          <w:color w:val="000000" w:themeColor="text1"/>
          <w:szCs w:val="24"/>
        </w:rPr>
      </w:pPr>
      <w:bookmarkStart w:id="5" w:name="_Hlk177322147"/>
      <w:r w:rsidRPr="00C6424E">
        <w:rPr>
          <w:rFonts w:eastAsia="Calibri" w:cs="Helvetica"/>
          <w:b/>
          <w:bCs/>
          <w:color w:val="000000" w:themeColor="text1"/>
          <w:szCs w:val="24"/>
        </w:rPr>
        <w:t>Buffer Zones:</w:t>
      </w:r>
      <w:r w:rsidRPr="00C6424E">
        <w:rPr>
          <w:rFonts w:eastAsia="Calibri" w:cs="Helvetica"/>
          <w:color w:val="000000" w:themeColor="text1"/>
          <w:szCs w:val="24"/>
        </w:rPr>
        <w:t xml:space="preserve"> The area approximately five kilometres from the forest boundary. </w:t>
      </w:r>
    </w:p>
    <w:bookmarkEnd w:id="5"/>
    <w:p w14:paraId="58B49774" w14:textId="77777777" w:rsidR="00F318CB" w:rsidRPr="00C6424E" w:rsidRDefault="00F318CB" w:rsidP="00F318CB">
      <w:pPr>
        <w:ind w:left="720" w:hanging="720"/>
        <w:jc w:val="both"/>
        <w:rPr>
          <w:rFonts w:eastAsia="Calibri" w:cs="Helvetica"/>
          <w:color w:val="000000" w:themeColor="text1"/>
          <w:szCs w:val="24"/>
        </w:rPr>
      </w:pPr>
      <w:r w:rsidRPr="00C6424E">
        <w:rPr>
          <w:rFonts w:eastAsia="Calibri" w:cs="Helvetica"/>
          <w:b/>
          <w:color w:val="000000" w:themeColor="text1"/>
          <w:szCs w:val="24"/>
        </w:rPr>
        <w:t>Community Forest</w:t>
      </w:r>
      <w:r w:rsidRPr="00C6424E">
        <w:rPr>
          <w:rFonts w:eastAsia="Calibri" w:cs="Helvetica"/>
          <w:color w:val="000000" w:themeColor="text1"/>
          <w:szCs w:val="24"/>
        </w:rPr>
        <w:t>: The people who live within a five-kilometre radius around the forest boundary. They form the forest buffer zone and are interested in the forest.</w:t>
      </w:r>
    </w:p>
    <w:p w14:paraId="23232A2A" w14:textId="77777777" w:rsidR="00F318CB" w:rsidRPr="00C6424E" w:rsidRDefault="00F318CB" w:rsidP="00F318CB">
      <w:pPr>
        <w:ind w:left="720" w:hanging="720"/>
        <w:jc w:val="both"/>
        <w:rPr>
          <w:rFonts w:eastAsia="Calibri" w:cs="Helvetica"/>
          <w:color w:val="000000" w:themeColor="text1"/>
          <w:szCs w:val="24"/>
        </w:rPr>
      </w:pPr>
      <w:r w:rsidRPr="00C6424E">
        <w:rPr>
          <w:rFonts w:eastAsia="Calibri" w:cs="Helvetica"/>
          <w:b/>
          <w:bCs/>
          <w:color w:val="000000" w:themeColor="text1"/>
          <w:szCs w:val="24"/>
        </w:rPr>
        <w:t xml:space="preserve">Deforestation: </w:t>
      </w:r>
      <w:r w:rsidRPr="00C6424E">
        <w:rPr>
          <w:rFonts w:eastAsia="Calibri" w:cs="Helvetica"/>
          <w:color w:val="000000" w:themeColor="text1"/>
          <w:szCs w:val="24"/>
        </w:rPr>
        <w:t>The conversion of forests to other land uses.</w:t>
      </w:r>
    </w:p>
    <w:p w14:paraId="17155737" w14:textId="77777777" w:rsidR="00F318CB" w:rsidRPr="00C6424E" w:rsidRDefault="00F318CB" w:rsidP="00F318CB">
      <w:pPr>
        <w:ind w:left="720" w:hanging="720"/>
        <w:jc w:val="both"/>
        <w:rPr>
          <w:rFonts w:eastAsia="Calibri" w:cs="Helvetica"/>
          <w:color w:val="000000" w:themeColor="text1"/>
          <w:szCs w:val="24"/>
        </w:rPr>
      </w:pPr>
      <w:r w:rsidRPr="00C6424E">
        <w:rPr>
          <w:rFonts w:eastAsia="Calibri" w:cs="Helvetica"/>
          <w:b/>
          <w:bCs/>
          <w:color w:val="000000" w:themeColor="text1"/>
          <w:szCs w:val="24"/>
        </w:rPr>
        <w:t xml:space="preserve">Dryland Areas: </w:t>
      </w:r>
      <w:r w:rsidRPr="00C6424E">
        <w:rPr>
          <w:rFonts w:eastAsia="Calibri" w:cs="Helvetica"/>
          <w:color w:val="000000" w:themeColor="text1"/>
          <w:szCs w:val="24"/>
        </w:rPr>
        <w:t>The areas that receive very little rainfall throughout the year, and very little crop farming is done due to aridity. Dryland areas are places where the ratio of annual precipitation and mean annual potential evapotranspiration is less than 0.65.</w:t>
      </w:r>
    </w:p>
    <w:p w14:paraId="28BF972C" w14:textId="77777777" w:rsidR="00F318CB" w:rsidRPr="00C6424E" w:rsidRDefault="00F318CB" w:rsidP="00F318CB">
      <w:pPr>
        <w:ind w:left="720" w:hanging="720"/>
        <w:jc w:val="both"/>
        <w:rPr>
          <w:rFonts w:eastAsia="Calibri" w:cs="Helvetica"/>
          <w:color w:val="000000" w:themeColor="text1"/>
          <w:szCs w:val="24"/>
        </w:rPr>
      </w:pPr>
      <w:r w:rsidRPr="00C6424E">
        <w:rPr>
          <w:rFonts w:eastAsia="Calibri" w:cs="Helvetica"/>
          <w:b/>
          <w:color w:val="000000" w:themeColor="text1"/>
          <w:szCs w:val="24"/>
        </w:rPr>
        <w:t xml:space="preserve">Dryland Forests: </w:t>
      </w:r>
      <w:bookmarkStart w:id="6" w:name="_Hlk169866387"/>
      <w:r w:rsidRPr="00C6424E">
        <w:rPr>
          <w:rFonts w:eastAsia="Calibri" w:cs="Helvetica"/>
          <w:bCs/>
          <w:color w:val="000000" w:themeColor="text1"/>
          <w:szCs w:val="24"/>
        </w:rPr>
        <w:t xml:space="preserve">Forests found in areas with low precipitation and high evaporation (dryland). These trees should cover more than half a hectare. </w:t>
      </w:r>
    </w:p>
    <w:bookmarkEnd w:id="6"/>
    <w:p w14:paraId="591743AE" w14:textId="77777777" w:rsidR="00F318CB" w:rsidRPr="00C6424E" w:rsidRDefault="00F318CB" w:rsidP="00F318CB">
      <w:pPr>
        <w:ind w:left="720" w:hanging="720"/>
        <w:jc w:val="both"/>
        <w:rPr>
          <w:rFonts w:eastAsia="Calibri" w:cs="Helvetica"/>
          <w:color w:val="000000" w:themeColor="text1"/>
          <w:szCs w:val="24"/>
        </w:rPr>
      </w:pPr>
      <w:r w:rsidRPr="00C6424E">
        <w:rPr>
          <w:rFonts w:eastAsia="Calibri" w:cs="Helvetica"/>
          <w:b/>
          <w:bCs/>
          <w:color w:val="000000" w:themeColor="text1"/>
          <w:szCs w:val="24"/>
        </w:rPr>
        <w:t>Sustainable Forest Management (SFM):</w:t>
      </w:r>
      <w:r w:rsidRPr="00C6424E">
        <w:rPr>
          <w:rFonts w:eastAsia="Calibri" w:cs="Helvetica"/>
          <w:color w:val="000000" w:themeColor="text1"/>
          <w:szCs w:val="24"/>
        </w:rPr>
        <w:t xml:space="preserve"> It is the approach aimed at ensuring that forest ecosystems are managed in a way that maintains their biodiversity, productivity, regeneration capacity, and vitality, while also meeting social, economic, and ecological needs.</w:t>
      </w:r>
    </w:p>
    <w:p w14:paraId="6C8C5C19" w14:textId="77777777" w:rsidR="00F318CB" w:rsidRPr="00C6424E" w:rsidRDefault="00F318CB" w:rsidP="00F318CB">
      <w:pPr>
        <w:ind w:left="720" w:hanging="720"/>
        <w:jc w:val="both"/>
        <w:rPr>
          <w:rFonts w:eastAsia="Calibri" w:cs="Helvetica"/>
          <w:color w:val="000000" w:themeColor="text1"/>
          <w:szCs w:val="24"/>
        </w:rPr>
      </w:pPr>
      <w:r w:rsidRPr="00C6424E">
        <w:rPr>
          <w:rFonts w:eastAsia="Calibri" w:cs="Helvetica"/>
          <w:b/>
          <w:bCs/>
          <w:color w:val="000000" w:themeColor="text1"/>
          <w:szCs w:val="24"/>
        </w:rPr>
        <w:t>Sustainable Forest Practices (SFP):</w:t>
      </w:r>
      <w:r w:rsidRPr="00C6424E">
        <w:rPr>
          <w:rFonts w:eastAsia="Calibri" w:cs="Helvetica"/>
          <w:color w:val="000000" w:themeColor="text1"/>
          <w:szCs w:val="24"/>
        </w:rPr>
        <w:t xml:space="preserve"> These are specific actions used by individuals or communities to achieve sustainability in forest management. The practices that will enable the farm forest to continue thriving. </w:t>
      </w:r>
    </w:p>
    <w:p w14:paraId="5FB62EE1" w14:textId="77777777" w:rsidR="00F318CB" w:rsidRPr="00103EF8" w:rsidRDefault="00F318CB" w:rsidP="00F318CB">
      <w:pPr>
        <w:pStyle w:val="Body"/>
        <w:spacing w:after="0"/>
        <w:rPr>
          <w:rFonts w:ascii="Arial" w:hAnsi="Arial" w:cs="Arial"/>
        </w:rPr>
      </w:pPr>
    </w:p>
    <w:p w14:paraId="03AC0537" w14:textId="77777777" w:rsidR="00F318CB" w:rsidRPr="00FD1128" w:rsidRDefault="00F318CB" w:rsidP="00FD2793">
      <w:pPr>
        <w:jc w:val="both"/>
        <w:rPr>
          <w:rFonts w:cs="Helvetica"/>
          <w:lang w:eastAsia="en-GB"/>
        </w:rPr>
      </w:pPr>
    </w:p>
    <w:sdt>
      <w:sdtPr>
        <w:rPr>
          <w:rFonts w:ascii="Helvetica" w:hAnsi="Helvetica"/>
          <w:b w:val="0"/>
          <w:kern w:val="0"/>
          <w:sz w:val="20"/>
        </w:rPr>
        <w:id w:val="267674233"/>
        <w:docPartObj>
          <w:docPartGallery w:val="Bibliographies"/>
          <w:docPartUnique/>
        </w:docPartObj>
      </w:sdtPr>
      <w:sdtEndPr/>
      <w:sdtContent>
        <w:p w14:paraId="05F212F1" w14:textId="60326286" w:rsidR="005E5202" w:rsidRPr="00103EF8" w:rsidRDefault="005E5202" w:rsidP="00D333E9">
          <w:pPr>
            <w:pStyle w:val="Ttulo1"/>
            <w:jc w:val="both"/>
          </w:pPr>
          <w:r w:rsidRPr="00103EF8">
            <w:t>References</w:t>
          </w:r>
        </w:p>
        <w:sdt>
          <w:sdtPr>
            <w:id w:val="-573587230"/>
            <w:bibliography/>
          </w:sdtPr>
          <w:sdtEndPr/>
          <w:sdtContent>
            <w:p w14:paraId="1308D345" w14:textId="77777777" w:rsidR="00294F83" w:rsidRDefault="005E5202" w:rsidP="00F0152C">
              <w:pPr>
                <w:jc w:val="both"/>
                <w:rPr>
                  <w:rFonts w:ascii="Times New Roman" w:hAnsi="Times New Roman"/>
                  <w:noProof/>
                  <w:lang w:val="en-US"/>
                </w:rPr>
              </w:pPr>
              <w:r w:rsidRPr="00103EF8">
                <w:fldChar w:fldCharType="begin"/>
              </w:r>
              <w:r w:rsidRPr="00103EF8">
                <w:instrText xml:space="preserve"> BIBLIOGRAPHY </w:instrText>
              </w:r>
              <w:r w:rsidRPr="00103EF8">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7799"/>
              </w:tblGrid>
              <w:tr w:rsidR="00294F83" w14:paraId="36144C2C" w14:textId="77777777">
                <w:trPr>
                  <w:divId w:val="1438258653"/>
                  <w:tblCellSpacing w:w="15" w:type="dxa"/>
                </w:trPr>
                <w:tc>
                  <w:tcPr>
                    <w:tcW w:w="50" w:type="pct"/>
                    <w:hideMark/>
                  </w:tcPr>
                  <w:p w14:paraId="55892B7F" w14:textId="444E831D" w:rsidR="00294F83" w:rsidRDefault="00294F83">
                    <w:pPr>
                      <w:pStyle w:val="Bibliografia"/>
                      <w:rPr>
                        <w:noProof/>
                        <w:sz w:val="24"/>
                        <w:szCs w:val="24"/>
                      </w:rPr>
                    </w:pPr>
                    <w:r>
                      <w:rPr>
                        <w:noProof/>
                      </w:rPr>
                      <w:t xml:space="preserve">[1] </w:t>
                    </w:r>
                  </w:p>
                </w:tc>
                <w:tc>
                  <w:tcPr>
                    <w:tcW w:w="0" w:type="auto"/>
                    <w:hideMark/>
                  </w:tcPr>
                  <w:p w14:paraId="0A569163" w14:textId="77777777" w:rsidR="00294F83" w:rsidRDefault="00294F83" w:rsidP="00FD2793">
                    <w:pPr>
                      <w:pStyle w:val="Bibliografia"/>
                      <w:jc w:val="both"/>
                      <w:rPr>
                        <w:noProof/>
                      </w:rPr>
                    </w:pPr>
                    <w:r>
                      <w:rPr>
                        <w:noProof/>
                      </w:rPr>
                      <w:t>FAO, "Global Forest Resources Assessment 2020: Main report," Food and Agriculture Organization of the United Nations, Rome, 2020.</w:t>
                    </w:r>
                  </w:p>
                </w:tc>
              </w:tr>
              <w:tr w:rsidR="00294F83" w14:paraId="16B06E9D" w14:textId="77777777">
                <w:trPr>
                  <w:divId w:val="1438258653"/>
                  <w:tblCellSpacing w:w="15" w:type="dxa"/>
                </w:trPr>
                <w:tc>
                  <w:tcPr>
                    <w:tcW w:w="50" w:type="pct"/>
                    <w:hideMark/>
                  </w:tcPr>
                  <w:p w14:paraId="43BAF938" w14:textId="77777777" w:rsidR="00294F83" w:rsidRDefault="00294F83">
                    <w:pPr>
                      <w:pStyle w:val="Bibliografia"/>
                      <w:rPr>
                        <w:noProof/>
                      </w:rPr>
                    </w:pPr>
                    <w:r>
                      <w:rPr>
                        <w:noProof/>
                      </w:rPr>
                      <w:t xml:space="preserve">[2] </w:t>
                    </w:r>
                  </w:p>
                </w:tc>
                <w:tc>
                  <w:tcPr>
                    <w:tcW w:w="0" w:type="auto"/>
                    <w:hideMark/>
                  </w:tcPr>
                  <w:p w14:paraId="76F7ACE3" w14:textId="77777777" w:rsidR="00294F83" w:rsidRDefault="00294F83" w:rsidP="00FD2793">
                    <w:pPr>
                      <w:pStyle w:val="Bibliografia"/>
                      <w:jc w:val="both"/>
                      <w:rPr>
                        <w:noProof/>
                      </w:rPr>
                    </w:pPr>
                    <w:r>
                      <w:rPr>
                        <w:noProof/>
                      </w:rPr>
                      <w:t>FAO, "Trees, forests and land use in drylands: the first global assessment-Full report," FAO Forestry, Rome, 2019.</w:t>
                    </w:r>
                  </w:p>
                </w:tc>
              </w:tr>
              <w:tr w:rsidR="00294F83" w14:paraId="7ECBA9DA" w14:textId="77777777">
                <w:trPr>
                  <w:divId w:val="1438258653"/>
                  <w:tblCellSpacing w:w="15" w:type="dxa"/>
                </w:trPr>
                <w:tc>
                  <w:tcPr>
                    <w:tcW w:w="50" w:type="pct"/>
                    <w:hideMark/>
                  </w:tcPr>
                  <w:p w14:paraId="0990311D" w14:textId="77777777" w:rsidR="00294F83" w:rsidRDefault="00294F83">
                    <w:pPr>
                      <w:pStyle w:val="Bibliografia"/>
                      <w:rPr>
                        <w:noProof/>
                      </w:rPr>
                    </w:pPr>
                    <w:r>
                      <w:rPr>
                        <w:noProof/>
                      </w:rPr>
                      <w:t xml:space="preserve">[3] </w:t>
                    </w:r>
                  </w:p>
                </w:tc>
                <w:tc>
                  <w:tcPr>
                    <w:tcW w:w="0" w:type="auto"/>
                    <w:hideMark/>
                  </w:tcPr>
                  <w:p w14:paraId="7BB8E239" w14:textId="77777777" w:rsidR="00294F83" w:rsidRDefault="00294F83" w:rsidP="00FD2793">
                    <w:pPr>
                      <w:pStyle w:val="Bibliografia"/>
                      <w:jc w:val="both"/>
                      <w:rPr>
                        <w:noProof/>
                      </w:rPr>
                    </w:pPr>
                    <w:r>
                      <w:rPr>
                        <w:noProof/>
                      </w:rPr>
                      <w:t>U. N. E. Programme, "Climate Change Impacts on Africa's Economic Growth," African Development Bank, Nairobi, 2019.</w:t>
                    </w:r>
                  </w:p>
                </w:tc>
              </w:tr>
              <w:tr w:rsidR="00294F83" w14:paraId="08FE734C" w14:textId="77777777">
                <w:trPr>
                  <w:divId w:val="1438258653"/>
                  <w:tblCellSpacing w:w="15" w:type="dxa"/>
                </w:trPr>
                <w:tc>
                  <w:tcPr>
                    <w:tcW w:w="50" w:type="pct"/>
                    <w:hideMark/>
                  </w:tcPr>
                  <w:p w14:paraId="664007DB" w14:textId="77777777" w:rsidR="00294F83" w:rsidRDefault="00294F83">
                    <w:pPr>
                      <w:pStyle w:val="Bibliografia"/>
                      <w:rPr>
                        <w:noProof/>
                      </w:rPr>
                    </w:pPr>
                    <w:r>
                      <w:rPr>
                        <w:noProof/>
                      </w:rPr>
                      <w:t xml:space="preserve">[4] </w:t>
                    </w:r>
                  </w:p>
                </w:tc>
                <w:tc>
                  <w:tcPr>
                    <w:tcW w:w="0" w:type="auto"/>
                    <w:hideMark/>
                  </w:tcPr>
                  <w:p w14:paraId="417A398B" w14:textId="77777777" w:rsidR="00294F83" w:rsidRDefault="00294F83" w:rsidP="00FD2793">
                    <w:pPr>
                      <w:pStyle w:val="Bibliografia"/>
                      <w:jc w:val="both"/>
                      <w:rPr>
                        <w:noProof/>
                      </w:rPr>
                    </w:pPr>
                    <w:r>
                      <w:rPr>
                        <w:noProof/>
                      </w:rPr>
                      <w:t xml:space="preserve">J. Mohammed, O.-F. A. Kofi and H. Yusif, "Factors influencing households' participation in forest management in the northern region of Ghana," </w:t>
                    </w:r>
                    <w:r>
                      <w:rPr>
                        <w:i/>
                        <w:iCs/>
                        <w:noProof/>
                      </w:rPr>
                      <w:t xml:space="preserve">Independent Journal of Management &amp; Production, </w:t>
                    </w:r>
                    <w:r>
                      <w:rPr>
                        <w:noProof/>
                      </w:rPr>
                      <w:t xml:space="preserve">pp. 1324-1340, 2017. </w:t>
                    </w:r>
                  </w:p>
                </w:tc>
              </w:tr>
              <w:tr w:rsidR="00294F83" w14:paraId="67211778" w14:textId="77777777">
                <w:trPr>
                  <w:divId w:val="1438258653"/>
                  <w:tblCellSpacing w:w="15" w:type="dxa"/>
                </w:trPr>
                <w:tc>
                  <w:tcPr>
                    <w:tcW w:w="50" w:type="pct"/>
                    <w:hideMark/>
                  </w:tcPr>
                  <w:p w14:paraId="2499F05F" w14:textId="77777777" w:rsidR="00294F83" w:rsidRDefault="00294F83">
                    <w:pPr>
                      <w:pStyle w:val="Bibliografia"/>
                      <w:rPr>
                        <w:noProof/>
                      </w:rPr>
                    </w:pPr>
                    <w:r>
                      <w:rPr>
                        <w:noProof/>
                      </w:rPr>
                      <w:lastRenderedPageBreak/>
                      <w:t xml:space="preserve">[5] </w:t>
                    </w:r>
                  </w:p>
                </w:tc>
                <w:tc>
                  <w:tcPr>
                    <w:tcW w:w="0" w:type="auto"/>
                    <w:hideMark/>
                  </w:tcPr>
                  <w:p w14:paraId="40A7241C" w14:textId="77777777" w:rsidR="00294F83" w:rsidRDefault="00294F83" w:rsidP="00FD2793">
                    <w:pPr>
                      <w:pStyle w:val="Bibliografia"/>
                      <w:jc w:val="both"/>
                      <w:rPr>
                        <w:noProof/>
                      </w:rPr>
                    </w:pPr>
                    <w:r>
                      <w:rPr>
                        <w:noProof/>
                      </w:rPr>
                      <w:t xml:space="preserve">R. M. David, N. J. Rosser and D. N. M. Donoghue, "Remote sensing for monitoring tropical dryland forests: a review of current research, knowledge gaps and future directions for Southern Africa," </w:t>
                    </w:r>
                    <w:r>
                      <w:rPr>
                        <w:i/>
                        <w:iCs/>
                        <w:noProof/>
                      </w:rPr>
                      <w:t xml:space="preserve">Environmental Research Communication, </w:t>
                    </w:r>
                    <w:r>
                      <w:rPr>
                        <w:noProof/>
                      </w:rPr>
                      <w:t xml:space="preserve">p. 4, 2022. </w:t>
                    </w:r>
                  </w:p>
                </w:tc>
              </w:tr>
              <w:tr w:rsidR="00294F83" w14:paraId="49527C9E" w14:textId="77777777">
                <w:trPr>
                  <w:divId w:val="1438258653"/>
                  <w:tblCellSpacing w:w="15" w:type="dxa"/>
                </w:trPr>
                <w:tc>
                  <w:tcPr>
                    <w:tcW w:w="50" w:type="pct"/>
                    <w:hideMark/>
                  </w:tcPr>
                  <w:p w14:paraId="7B8E3380" w14:textId="77777777" w:rsidR="00294F83" w:rsidRDefault="00294F83">
                    <w:pPr>
                      <w:pStyle w:val="Bibliografia"/>
                      <w:rPr>
                        <w:noProof/>
                      </w:rPr>
                    </w:pPr>
                    <w:r>
                      <w:rPr>
                        <w:noProof/>
                      </w:rPr>
                      <w:t xml:space="preserve">[6] </w:t>
                    </w:r>
                  </w:p>
                </w:tc>
                <w:tc>
                  <w:tcPr>
                    <w:tcW w:w="0" w:type="auto"/>
                    <w:hideMark/>
                  </w:tcPr>
                  <w:p w14:paraId="195ABEB2" w14:textId="77777777" w:rsidR="00294F83" w:rsidRDefault="00294F83" w:rsidP="00FD2793">
                    <w:pPr>
                      <w:pStyle w:val="Bibliografia"/>
                      <w:jc w:val="both"/>
                      <w:rPr>
                        <w:noProof/>
                      </w:rPr>
                    </w:pPr>
                    <w:r>
                      <w:rPr>
                        <w:noProof/>
                      </w:rPr>
                      <w:t xml:space="preserve">W. Mwikali, "Historical Causes of Farmer-Herder Conflict in Kitui East Sub-County, Kenya, 1895-1963," </w:t>
                    </w:r>
                    <w:r>
                      <w:rPr>
                        <w:i/>
                        <w:iCs/>
                        <w:noProof/>
                      </w:rPr>
                      <w:t xml:space="preserve">International Journal of Humanities Social Sciences and Education, </w:t>
                    </w:r>
                    <w:r>
                      <w:rPr>
                        <w:noProof/>
                      </w:rPr>
                      <w:t xml:space="preserve">pp. 55-64, 2019. </w:t>
                    </w:r>
                  </w:p>
                </w:tc>
              </w:tr>
              <w:tr w:rsidR="00294F83" w14:paraId="61AF5735" w14:textId="77777777">
                <w:trPr>
                  <w:divId w:val="1438258653"/>
                  <w:tblCellSpacing w:w="15" w:type="dxa"/>
                </w:trPr>
                <w:tc>
                  <w:tcPr>
                    <w:tcW w:w="50" w:type="pct"/>
                    <w:hideMark/>
                  </w:tcPr>
                  <w:p w14:paraId="7C839DF3" w14:textId="77777777" w:rsidR="00294F83" w:rsidRDefault="00294F83">
                    <w:pPr>
                      <w:pStyle w:val="Bibliografia"/>
                      <w:rPr>
                        <w:noProof/>
                      </w:rPr>
                    </w:pPr>
                    <w:r>
                      <w:rPr>
                        <w:noProof/>
                      </w:rPr>
                      <w:t xml:space="preserve">[7] </w:t>
                    </w:r>
                  </w:p>
                </w:tc>
                <w:tc>
                  <w:tcPr>
                    <w:tcW w:w="0" w:type="auto"/>
                    <w:hideMark/>
                  </w:tcPr>
                  <w:p w14:paraId="604F6A56" w14:textId="77777777" w:rsidR="00294F83" w:rsidRDefault="00294F83" w:rsidP="00FD2793">
                    <w:pPr>
                      <w:pStyle w:val="Bibliografia"/>
                      <w:jc w:val="both"/>
                      <w:rPr>
                        <w:noProof/>
                      </w:rPr>
                    </w:pPr>
                    <w:r>
                      <w:rPr>
                        <w:noProof/>
                      </w:rPr>
                      <w:t xml:space="preserve">H. MacDonald, "Envisioning better forest transitions: A review of recent forest transition scholarship," </w:t>
                    </w:r>
                    <w:r>
                      <w:rPr>
                        <w:i/>
                        <w:iCs/>
                        <w:noProof/>
                      </w:rPr>
                      <w:t xml:space="preserve">Heliyon, </w:t>
                    </w:r>
                    <w:r>
                      <w:rPr>
                        <w:noProof/>
                      </w:rPr>
                      <w:t xml:space="preserve">p. 1, 2023. </w:t>
                    </w:r>
                  </w:p>
                </w:tc>
              </w:tr>
              <w:tr w:rsidR="00294F83" w14:paraId="482DC04D" w14:textId="77777777">
                <w:trPr>
                  <w:divId w:val="1438258653"/>
                  <w:tblCellSpacing w:w="15" w:type="dxa"/>
                </w:trPr>
                <w:tc>
                  <w:tcPr>
                    <w:tcW w:w="50" w:type="pct"/>
                    <w:hideMark/>
                  </w:tcPr>
                  <w:p w14:paraId="1EB170A9" w14:textId="77777777" w:rsidR="00294F83" w:rsidRDefault="00294F83">
                    <w:pPr>
                      <w:pStyle w:val="Bibliografia"/>
                      <w:rPr>
                        <w:noProof/>
                      </w:rPr>
                    </w:pPr>
                    <w:r>
                      <w:rPr>
                        <w:noProof/>
                      </w:rPr>
                      <w:t xml:space="preserve">[8] </w:t>
                    </w:r>
                  </w:p>
                </w:tc>
                <w:tc>
                  <w:tcPr>
                    <w:tcW w:w="0" w:type="auto"/>
                    <w:hideMark/>
                  </w:tcPr>
                  <w:p w14:paraId="183BC629" w14:textId="77777777" w:rsidR="00294F83" w:rsidRDefault="00294F83" w:rsidP="00FD2793">
                    <w:pPr>
                      <w:pStyle w:val="Bibliografia"/>
                      <w:jc w:val="both"/>
                      <w:rPr>
                        <w:noProof/>
                      </w:rPr>
                    </w:pPr>
                    <w:r>
                      <w:rPr>
                        <w:noProof/>
                      </w:rPr>
                      <w:t xml:space="preserve">E. H. Yasin, C. Kornel and M. Hemida, "Assessment and Mapping of Forest Cover Change in Dryland, Sudan Using Remote Sensing," </w:t>
                    </w:r>
                    <w:r>
                      <w:rPr>
                        <w:i/>
                        <w:iCs/>
                        <w:noProof/>
                      </w:rPr>
                      <w:t xml:space="preserve">Conservation, Exploitation and Restoration of Mountain Ecosystem, </w:t>
                    </w:r>
                    <w:r>
                      <w:rPr>
                        <w:noProof/>
                      </w:rPr>
                      <w:t xml:space="preserve">pp. 1-16, 2023. </w:t>
                    </w:r>
                  </w:p>
                </w:tc>
              </w:tr>
              <w:tr w:rsidR="00294F83" w14:paraId="6B33F307" w14:textId="77777777">
                <w:trPr>
                  <w:divId w:val="1438258653"/>
                  <w:tblCellSpacing w:w="15" w:type="dxa"/>
                </w:trPr>
                <w:tc>
                  <w:tcPr>
                    <w:tcW w:w="50" w:type="pct"/>
                    <w:hideMark/>
                  </w:tcPr>
                  <w:p w14:paraId="1E3726A9" w14:textId="77777777" w:rsidR="00294F83" w:rsidRDefault="00294F83">
                    <w:pPr>
                      <w:pStyle w:val="Bibliografia"/>
                      <w:rPr>
                        <w:noProof/>
                      </w:rPr>
                    </w:pPr>
                    <w:r>
                      <w:rPr>
                        <w:noProof/>
                      </w:rPr>
                      <w:t xml:space="preserve">[9] </w:t>
                    </w:r>
                  </w:p>
                </w:tc>
                <w:tc>
                  <w:tcPr>
                    <w:tcW w:w="0" w:type="auto"/>
                    <w:hideMark/>
                  </w:tcPr>
                  <w:p w14:paraId="44D2EF52" w14:textId="77777777" w:rsidR="00294F83" w:rsidRDefault="00294F83" w:rsidP="00FD2793">
                    <w:pPr>
                      <w:pStyle w:val="Bibliografia"/>
                      <w:jc w:val="both"/>
                      <w:rPr>
                        <w:noProof/>
                      </w:rPr>
                    </w:pPr>
                    <w:r>
                      <w:rPr>
                        <w:noProof/>
                      </w:rPr>
                      <w:t xml:space="preserve">T. Hasnat, Climate Change Effects, Adaptation, and Mitigation Techniques in Tropical Dry Forest, Bangladesh: University of Chittagong, 2020. </w:t>
                    </w:r>
                  </w:p>
                </w:tc>
              </w:tr>
              <w:tr w:rsidR="00294F83" w14:paraId="3B488AC1" w14:textId="77777777">
                <w:trPr>
                  <w:divId w:val="1438258653"/>
                  <w:tblCellSpacing w:w="15" w:type="dxa"/>
                </w:trPr>
                <w:tc>
                  <w:tcPr>
                    <w:tcW w:w="50" w:type="pct"/>
                    <w:hideMark/>
                  </w:tcPr>
                  <w:p w14:paraId="42FF565E" w14:textId="77777777" w:rsidR="00294F83" w:rsidRDefault="00294F83">
                    <w:pPr>
                      <w:pStyle w:val="Bibliografia"/>
                      <w:rPr>
                        <w:noProof/>
                      </w:rPr>
                    </w:pPr>
                    <w:r>
                      <w:rPr>
                        <w:noProof/>
                      </w:rPr>
                      <w:t xml:space="preserve">[10] </w:t>
                    </w:r>
                  </w:p>
                </w:tc>
                <w:tc>
                  <w:tcPr>
                    <w:tcW w:w="0" w:type="auto"/>
                    <w:hideMark/>
                  </w:tcPr>
                  <w:p w14:paraId="58A133AE" w14:textId="77777777" w:rsidR="00294F83" w:rsidRDefault="00294F83" w:rsidP="00FD2793">
                    <w:pPr>
                      <w:pStyle w:val="Bibliografia"/>
                      <w:jc w:val="both"/>
                      <w:rPr>
                        <w:noProof/>
                      </w:rPr>
                    </w:pPr>
                    <w:r>
                      <w:rPr>
                        <w:noProof/>
                      </w:rPr>
                      <w:t xml:space="preserve">J. W. Creswell and D. Creswell, Qualitative, Quantitative, and Mixed Methods Approaches Sixth Edition, London: SAGE, 2023. </w:t>
                    </w:r>
                  </w:p>
                </w:tc>
              </w:tr>
              <w:tr w:rsidR="00294F83" w14:paraId="434B954B" w14:textId="77777777">
                <w:trPr>
                  <w:divId w:val="1438258653"/>
                  <w:tblCellSpacing w:w="15" w:type="dxa"/>
                </w:trPr>
                <w:tc>
                  <w:tcPr>
                    <w:tcW w:w="50" w:type="pct"/>
                    <w:hideMark/>
                  </w:tcPr>
                  <w:p w14:paraId="68FFE135" w14:textId="77777777" w:rsidR="00294F83" w:rsidRDefault="00294F83">
                    <w:pPr>
                      <w:pStyle w:val="Bibliografia"/>
                      <w:rPr>
                        <w:noProof/>
                      </w:rPr>
                    </w:pPr>
                    <w:r>
                      <w:rPr>
                        <w:noProof/>
                      </w:rPr>
                      <w:t xml:space="preserve">[11] </w:t>
                    </w:r>
                  </w:p>
                </w:tc>
                <w:tc>
                  <w:tcPr>
                    <w:tcW w:w="0" w:type="auto"/>
                    <w:hideMark/>
                  </w:tcPr>
                  <w:p w14:paraId="3B6F98F4" w14:textId="77777777" w:rsidR="00294F83" w:rsidRDefault="00294F83" w:rsidP="00FD2793">
                    <w:pPr>
                      <w:pStyle w:val="Bibliografia"/>
                      <w:jc w:val="both"/>
                      <w:rPr>
                        <w:noProof/>
                      </w:rPr>
                    </w:pPr>
                    <w:r>
                      <w:rPr>
                        <w:noProof/>
                      </w:rPr>
                      <w:t xml:space="preserve">E. M. Boscow Okumu, "Determinants of Successful Collective Management of Forest Resources: Evidence from Kenyan Community Forest," </w:t>
                    </w:r>
                    <w:r>
                      <w:rPr>
                        <w:i/>
                        <w:iCs/>
                        <w:noProof/>
                      </w:rPr>
                      <w:t xml:space="preserve">Environment for Development, </w:t>
                    </w:r>
                    <w:r>
                      <w:rPr>
                        <w:noProof/>
                      </w:rPr>
                      <w:t xml:space="preserve">2017. </w:t>
                    </w:r>
                  </w:p>
                </w:tc>
              </w:tr>
              <w:tr w:rsidR="00294F83" w14:paraId="28815C51" w14:textId="77777777">
                <w:trPr>
                  <w:divId w:val="1438258653"/>
                  <w:tblCellSpacing w:w="15" w:type="dxa"/>
                </w:trPr>
                <w:tc>
                  <w:tcPr>
                    <w:tcW w:w="50" w:type="pct"/>
                    <w:hideMark/>
                  </w:tcPr>
                  <w:p w14:paraId="45AB311E" w14:textId="77777777" w:rsidR="00294F83" w:rsidRDefault="00294F83">
                    <w:pPr>
                      <w:pStyle w:val="Bibliografia"/>
                      <w:rPr>
                        <w:noProof/>
                      </w:rPr>
                    </w:pPr>
                    <w:r>
                      <w:rPr>
                        <w:noProof/>
                      </w:rPr>
                      <w:t xml:space="preserve">[12] </w:t>
                    </w:r>
                  </w:p>
                </w:tc>
                <w:tc>
                  <w:tcPr>
                    <w:tcW w:w="0" w:type="auto"/>
                    <w:hideMark/>
                  </w:tcPr>
                  <w:p w14:paraId="538821B1" w14:textId="77777777" w:rsidR="00294F83" w:rsidRDefault="00294F83" w:rsidP="00FD2793">
                    <w:pPr>
                      <w:pStyle w:val="Bibliografia"/>
                      <w:jc w:val="both"/>
                      <w:rPr>
                        <w:noProof/>
                      </w:rPr>
                    </w:pPr>
                    <w:r>
                      <w:rPr>
                        <w:noProof/>
                      </w:rPr>
                      <w:t>M. T. Mbuvi, "Policy Makers' Perspective on Impacts of Decentralizing Forest Management in Kenya on Forestry Conservation and Community Livelihoods," Kenyatta University, Nairobi, 2020.</w:t>
                    </w:r>
                  </w:p>
                </w:tc>
              </w:tr>
              <w:tr w:rsidR="00294F83" w14:paraId="01DCBB14" w14:textId="77777777">
                <w:trPr>
                  <w:divId w:val="1438258653"/>
                  <w:tblCellSpacing w:w="15" w:type="dxa"/>
                </w:trPr>
                <w:tc>
                  <w:tcPr>
                    <w:tcW w:w="50" w:type="pct"/>
                    <w:hideMark/>
                  </w:tcPr>
                  <w:p w14:paraId="05BF612D" w14:textId="77777777" w:rsidR="00294F83" w:rsidRDefault="00294F83">
                    <w:pPr>
                      <w:pStyle w:val="Bibliografia"/>
                      <w:rPr>
                        <w:noProof/>
                      </w:rPr>
                    </w:pPr>
                    <w:r>
                      <w:rPr>
                        <w:noProof/>
                      </w:rPr>
                      <w:t xml:space="preserve">[13] </w:t>
                    </w:r>
                  </w:p>
                </w:tc>
                <w:tc>
                  <w:tcPr>
                    <w:tcW w:w="0" w:type="auto"/>
                    <w:hideMark/>
                  </w:tcPr>
                  <w:p w14:paraId="19FFB558" w14:textId="77777777" w:rsidR="00294F83" w:rsidRDefault="00294F83" w:rsidP="00FD2793">
                    <w:pPr>
                      <w:pStyle w:val="Bibliografia"/>
                      <w:jc w:val="both"/>
                      <w:rPr>
                        <w:noProof/>
                      </w:rPr>
                    </w:pPr>
                    <w:r>
                      <w:rPr>
                        <w:noProof/>
                      </w:rPr>
                      <w:t xml:space="preserve">T. Gebregergs, Z. K. Tessema, N. Solomon and E. Birhane, "Carbon sequestration and soil restoration potential of grazing lands under exclosure management in a semi-arid environment of northern Ethiopia," </w:t>
                    </w:r>
                    <w:r>
                      <w:rPr>
                        <w:i/>
                        <w:iCs/>
                        <w:noProof/>
                      </w:rPr>
                      <w:t xml:space="preserve">Ecology Evolution, </w:t>
                    </w:r>
                    <w:r>
                      <w:rPr>
                        <w:noProof/>
                      </w:rPr>
                      <w:t xml:space="preserve">p. 6470, 2019. </w:t>
                    </w:r>
                  </w:p>
                </w:tc>
              </w:tr>
              <w:tr w:rsidR="00294F83" w14:paraId="05F2360F" w14:textId="77777777">
                <w:trPr>
                  <w:divId w:val="1438258653"/>
                  <w:tblCellSpacing w:w="15" w:type="dxa"/>
                </w:trPr>
                <w:tc>
                  <w:tcPr>
                    <w:tcW w:w="50" w:type="pct"/>
                    <w:hideMark/>
                  </w:tcPr>
                  <w:p w14:paraId="0C019408" w14:textId="77777777" w:rsidR="00294F83" w:rsidRDefault="00294F83">
                    <w:pPr>
                      <w:pStyle w:val="Bibliografia"/>
                      <w:rPr>
                        <w:noProof/>
                      </w:rPr>
                    </w:pPr>
                    <w:r>
                      <w:rPr>
                        <w:noProof/>
                      </w:rPr>
                      <w:t xml:space="preserve">[14] </w:t>
                    </w:r>
                  </w:p>
                </w:tc>
                <w:tc>
                  <w:tcPr>
                    <w:tcW w:w="0" w:type="auto"/>
                    <w:hideMark/>
                  </w:tcPr>
                  <w:p w14:paraId="3398BF5E" w14:textId="77777777" w:rsidR="00294F83" w:rsidRDefault="00294F83" w:rsidP="00FD2793">
                    <w:pPr>
                      <w:pStyle w:val="Bibliografia"/>
                      <w:jc w:val="both"/>
                      <w:rPr>
                        <w:noProof/>
                      </w:rPr>
                    </w:pPr>
                    <w:r>
                      <w:rPr>
                        <w:noProof/>
                      </w:rPr>
                      <w:t xml:space="preserve">F. Sedano, A. Mizu-Siampale, L. Duncanson and M. Liang, "Influence of Charcoal Production on Forest Degradation in Zambia: A Remote Sensing Perspective," </w:t>
                    </w:r>
                    <w:r>
                      <w:rPr>
                        <w:i/>
                        <w:iCs/>
                        <w:noProof/>
                      </w:rPr>
                      <w:t xml:space="preserve">Remote Sense, </w:t>
                    </w:r>
                    <w:r>
                      <w:rPr>
                        <w:noProof/>
                      </w:rPr>
                      <w:t xml:space="preserve">p. 3352 (2022). </w:t>
                    </w:r>
                  </w:p>
                </w:tc>
              </w:tr>
              <w:tr w:rsidR="00294F83" w14:paraId="4B93D772" w14:textId="77777777">
                <w:trPr>
                  <w:divId w:val="1438258653"/>
                  <w:tblCellSpacing w:w="15" w:type="dxa"/>
                </w:trPr>
                <w:tc>
                  <w:tcPr>
                    <w:tcW w:w="50" w:type="pct"/>
                    <w:hideMark/>
                  </w:tcPr>
                  <w:p w14:paraId="38109B87" w14:textId="77777777" w:rsidR="00294F83" w:rsidRDefault="00294F83">
                    <w:pPr>
                      <w:pStyle w:val="Bibliografia"/>
                      <w:rPr>
                        <w:noProof/>
                      </w:rPr>
                    </w:pPr>
                    <w:r>
                      <w:rPr>
                        <w:noProof/>
                      </w:rPr>
                      <w:t xml:space="preserve">[15] </w:t>
                    </w:r>
                  </w:p>
                </w:tc>
                <w:tc>
                  <w:tcPr>
                    <w:tcW w:w="0" w:type="auto"/>
                    <w:hideMark/>
                  </w:tcPr>
                  <w:p w14:paraId="702B6378" w14:textId="77777777" w:rsidR="00294F83" w:rsidRDefault="00294F83" w:rsidP="00FD2793">
                    <w:pPr>
                      <w:pStyle w:val="Bibliografia"/>
                      <w:jc w:val="both"/>
                      <w:rPr>
                        <w:noProof/>
                      </w:rPr>
                    </w:pPr>
                    <w:r>
                      <w:rPr>
                        <w:noProof/>
                      </w:rPr>
                      <w:t xml:space="preserve">N. Doggart, T. Morgan-Brown, E. Lyimo, B. Mbilinyi, CharlesKMeshack, S. MSallu and D. Spracklen, "Agriculture is the main driver of deforestation in Tanzania," </w:t>
                    </w:r>
                    <w:r>
                      <w:rPr>
                        <w:i/>
                        <w:iCs/>
                        <w:noProof/>
                      </w:rPr>
                      <w:t xml:space="preserve">Environmental Research Letter, </w:t>
                    </w:r>
                    <w:r>
                      <w:rPr>
                        <w:noProof/>
                      </w:rPr>
                      <w:t xml:space="preserve">p. 1, 2020. </w:t>
                    </w:r>
                  </w:p>
                </w:tc>
              </w:tr>
              <w:tr w:rsidR="00294F83" w14:paraId="3CA2D35C" w14:textId="77777777">
                <w:trPr>
                  <w:divId w:val="1438258653"/>
                  <w:tblCellSpacing w:w="15" w:type="dxa"/>
                </w:trPr>
                <w:tc>
                  <w:tcPr>
                    <w:tcW w:w="50" w:type="pct"/>
                    <w:hideMark/>
                  </w:tcPr>
                  <w:p w14:paraId="01BD1D24" w14:textId="77777777" w:rsidR="00294F83" w:rsidRDefault="00294F83">
                    <w:pPr>
                      <w:pStyle w:val="Bibliografia"/>
                      <w:rPr>
                        <w:noProof/>
                      </w:rPr>
                    </w:pPr>
                    <w:r>
                      <w:rPr>
                        <w:noProof/>
                      </w:rPr>
                      <w:t xml:space="preserve">[16] </w:t>
                    </w:r>
                  </w:p>
                </w:tc>
                <w:tc>
                  <w:tcPr>
                    <w:tcW w:w="0" w:type="auto"/>
                    <w:hideMark/>
                  </w:tcPr>
                  <w:p w14:paraId="4F1390B2" w14:textId="77777777" w:rsidR="00294F83" w:rsidRDefault="00294F83" w:rsidP="00FD2793">
                    <w:pPr>
                      <w:pStyle w:val="Bibliografia"/>
                      <w:jc w:val="both"/>
                      <w:rPr>
                        <w:noProof/>
                      </w:rPr>
                    </w:pPr>
                    <w:r>
                      <w:rPr>
                        <w:noProof/>
                      </w:rPr>
                      <w:t xml:space="preserve">C. J. Fagariba, S. Song and S. K. G. Soule, "Livelihood Economic Activities Causing Deforestation in Northern Ghana: Evidence of Sissala West District," </w:t>
                    </w:r>
                    <w:r>
                      <w:rPr>
                        <w:i/>
                        <w:iCs/>
                        <w:noProof/>
                      </w:rPr>
                      <w:t xml:space="preserve">Open Journal of Ecology, </w:t>
                    </w:r>
                    <w:r>
                      <w:rPr>
                        <w:noProof/>
                      </w:rPr>
                      <w:t xml:space="preserve">pp. 57-74, 2018. </w:t>
                    </w:r>
                  </w:p>
                </w:tc>
              </w:tr>
              <w:tr w:rsidR="00294F83" w14:paraId="492F0809" w14:textId="77777777">
                <w:trPr>
                  <w:divId w:val="1438258653"/>
                  <w:tblCellSpacing w:w="15" w:type="dxa"/>
                </w:trPr>
                <w:tc>
                  <w:tcPr>
                    <w:tcW w:w="50" w:type="pct"/>
                    <w:hideMark/>
                  </w:tcPr>
                  <w:p w14:paraId="4D9340F8" w14:textId="77777777" w:rsidR="00294F83" w:rsidRDefault="00294F83">
                    <w:pPr>
                      <w:pStyle w:val="Bibliografia"/>
                      <w:rPr>
                        <w:noProof/>
                      </w:rPr>
                    </w:pPr>
                    <w:r>
                      <w:rPr>
                        <w:noProof/>
                      </w:rPr>
                      <w:t xml:space="preserve">[17] </w:t>
                    </w:r>
                  </w:p>
                </w:tc>
                <w:tc>
                  <w:tcPr>
                    <w:tcW w:w="0" w:type="auto"/>
                    <w:hideMark/>
                  </w:tcPr>
                  <w:p w14:paraId="25304E0D" w14:textId="77777777" w:rsidR="00294F83" w:rsidRDefault="00294F83" w:rsidP="00FD2793">
                    <w:pPr>
                      <w:pStyle w:val="Bibliografia"/>
                      <w:jc w:val="both"/>
                      <w:rPr>
                        <w:noProof/>
                      </w:rPr>
                    </w:pPr>
                    <w:r>
                      <w:rPr>
                        <w:noProof/>
                      </w:rPr>
                      <w:t xml:space="preserve">M. Petersen, C. Bergmann, P. Roden and M. Nüsse, "Contextualizing land-use and land-cover change with local knowledge: A case study from Pokot Central, Kenya," </w:t>
                    </w:r>
                    <w:r>
                      <w:rPr>
                        <w:i/>
                        <w:iCs/>
                        <w:noProof/>
                      </w:rPr>
                      <w:t xml:space="preserve">Land Degradation &amp; Development, </w:t>
                    </w:r>
                    <w:r>
                      <w:rPr>
                        <w:noProof/>
                      </w:rPr>
                      <w:t xml:space="preserve">vol. 32, p. 2992–3007, 2021. </w:t>
                    </w:r>
                  </w:p>
                </w:tc>
              </w:tr>
              <w:tr w:rsidR="00294F83" w14:paraId="444280A2" w14:textId="77777777">
                <w:trPr>
                  <w:divId w:val="1438258653"/>
                  <w:tblCellSpacing w:w="15" w:type="dxa"/>
                </w:trPr>
                <w:tc>
                  <w:tcPr>
                    <w:tcW w:w="50" w:type="pct"/>
                    <w:hideMark/>
                  </w:tcPr>
                  <w:p w14:paraId="2C542DC4" w14:textId="77777777" w:rsidR="00294F83" w:rsidRDefault="00294F83">
                    <w:pPr>
                      <w:pStyle w:val="Bibliografia"/>
                      <w:rPr>
                        <w:noProof/>
                      </w:rPr>
                    </w:pPr>
                    <w:r>
                      <w:rPr>
                        <w:noProof/>
                      </w:rPr>
                      <w:t xml:space="preserve">[18] </w:t>
                    </w:r>
                  </w:p>
                </w:tc>
                <w:tc>
                  <w:tcPr>
                    <w:tcW w:w="0" w:type="auto"/>
                    <w:hideMark/>
                  </w:tcPr>
                  <w:p w14:paraId="346C92A5" w14:textId="77777777" w:rsidR="00294F83" w:rsidRDefault="00294F83" w:rsidP="00FD2793">
                    <w:pPr>
                      <w:pStyle w:val="Bibliografia"/>
                      <w:jc w:val="both"/>
                      <w:rPr>
                        <w:noProof/>
                      </w:rPr>
                    </w:pPr>
                    <w:r>
                      <w:rPr>
                        <w:noProof/>
                      </w:rPr>
                      <w:t xml:space="preserve">A. Ranjan, K. K. Mandal and S. Mallick, "Analyzing the Trend of LULC Change Over Five Decades in Dhanbad District, Jharkhand (India) Using Geospatial Techniques," </w:t>
                    </w:r>
                    <w:r>
                      <w:rPr>
                        <w:i/>
                        <w:iCs/>
                        <w:noProof/>
                      </w:rPr>
                      <w:t xml:space="preserve">Geospatial Technology for Natural Resource Management, </w:t>
                    </w:r>
                    <w:r>
                      <w:rPr>
                        <w:noProof/>
                      </w:rPr>
                      <w:t xml:space="preserve">p. 33, 2025. </w:t>
                    </w:r>
                  </w:p>
                </w:tc>
              </w:tr>
              <w:tr w:rsidR="00294F83" w14:paraId="1FA0B1A2" w14:textId="77777777">
                <w:trPr>
                  <w:divId w:val="1438258653"/>
                  <w:tblCellSpacing w:w="15" w:type="dxa"/>
                </w:trPr>
                <w:tc>
                  <w:tcPr>
                    <w:tcW w:w="50" w:type="pct"/>
                    <w:hideMark/>
                  </w:tcPr>
                  <w:p w14:paraId="464DA5A3" w14:textId="77777777" w:rsidR="00294F83" w:rsidRDefault="00294F83">
                    <w:pPr>
                      <w:pStyle w:val="Bibliografia"/>
                      <w:rPr>
                        <w:noProof/>
                      </w:rPr>
                    </w:pPr>
                    <w:r>
                      <w:rPr>
                        <w:noProof/>
                      </w:rPr>
                      <w:t xml:space="preserve">[19] </w:t>
                    </w:r>
                  </w:p>
                </w:tc>
                <w:tc>
                  <w:tcPr>
                    <w:tcW w:w="0" w:type="auto"/>
                    <w:hideMark/>
                  </w:tcPr>
                  <w:p w14:paraId="2BD82F70" w14:textId="77777777" w:rsidR="00294F83" w:rsidRDefault="00294F83" w:rsidP="00FD2793">
                    <w:pPr>
                      <w:pStyle w:val="Bibliografia"/>
                      <w:jc w:val="both"/>
                      <w:rPr>
                        <w:noProof/>
                      </w:rPr>
                    </w:pPr>
                    <w:r>
                      <w:rPr>
                        <w:noProof/>
                      </w:rPr>
                      <w:t>M. Waisse, E. Goldman and S. Carter, "Word Resource Institute," 29 8 2023. [Online]. Available: http://Research.wri.org.</w:t>
                    </w:r>
                  </w:p>
                </w:tc>
              </w:tr>
              <w:tr w:rsidR="00294F83" w14:paraId="48E6F4C5" w14:textId="77777777">
                <w:trPr>
                  <w:divId w:val="1438258653"/>
                  <w:tblCellSpacing w:w="15" w:type="dxa"/>
                </w:trPr>
                <w:tc>
                  <w:tcPr>
                    <w:tcW w:w="50" w:type="pct"/>
                    <w:hideMark/>
                  </w:tcPr>
                  <w:p w14:paraId="72CB5470" w14:textId="77777777" w:rsidR="00294F83" w:rsidRDefault="00294F83">
                    <w:pPr>
                      <w:pStyle w:val="Bibliografia"/>
                      <w:rPr>
                        <w:noProof/>
                      </w:rPr>
                    </w:pPr>
                    <w:r>
                      <w:rPr>
                        <w:noProof/>
                      </w:rPr>
                      <w:t xml:space="preserve">[20] </w:t>
                    </w:r>
                  </w:p>
                </w:tc>
                <w:tc>
                  <w:tcPr>
                    <w:tcW w:w="0" w:type="auto"/>
                    <w:hideMark/>
                  </w:tcPr>
                  <w:p w14:paraId="7D733C8D" w14:textId="77777777" w:rsidR="00294F83" w:rsidRDefault="00294F83" w:rsidP="00FD2793">
                    <w:pPr>
                      <w:pStyle w:val="Bibliografia"/>
                      <w:jc w:val="both"/>
                      <w:rPr>
                        <w:noProof/>
                      </w:rPr>
                    </w:pPr>
                    <w:r>
                      <w:rPr>
                        <w:noProof/>
                      </w:rPr>
                      <w:t xml:space="preserve">J. R. Matta and J. R. Alavalapati, "Perceptions of collective action and its success in community based natural resource management: An empirical analysis," </w:t>
                    </w:r>
                    <w:r>
                      <w:rPr>
                        <w:i/>
                        <w:iCs/>
                        <w:noProof/>
                      </w:rPr>
                      <w:t xml:space="preserve">Forest Policy and Economics, </w:t>
                    </w:r>
                    <w:r>
                      <w:rPr>
                        <w:noProof/>
                      </w:rPr>
                      <w:t xml:space="preserve">2016. </w:t>
                    </w:r>
                  </w:p>
                </w:tc>
              </w:tr>
              <w:tr w:rsidR="00294F83" w14:paraId="2A81247E" w14:textId="77777777">
                <w:trPr>
                  <w:divId w:val="1438258653"/>
                  <w:tblCellSpacing w:w="15" w:type="dxa"/>
                </w:trPr>
                <w:tc>
                  <w:tcPr>
                    <w:tcW w:w="50" w:type="pct"/>
                    <w:hideMark/>
                  </w:tcPr>
                  <w:p w14:paraId="5F48F3AB" w14:textId="77777777" w:rsidR="00294F83" w:rsidRDefault="00294F83">
                    <w:pPr>
                      <w:pStyle w:val="Bibliografia"/>
                      <w:rPr>
                        <w:noProof/>
                      </w:rPr>
                    </w:pPr>
                    <w:r>
                      <w:rPr>
                        <w:noProof/>
                      </w:rPr>
                      <w:t xml:space="preserve">[21] </w:t>
                    </w:r>
                  </w:p>
                </w:tc>
                <w:tc>
                  <w:tcPr>
                    <w:tcW w:w="0" w:type="auto"/>
                    <w:hideMark/>
                  </w:tcPr>
                  <w:p w14:paraId="0CB8D99D" w14:textId="77777777" w:rsidR="00294F83" w:rsidRDefault="00294F83" w:rsidP="00FD2793">
                    <w:pPr>
                      <w:pStyle w:val="Bibliografia"/>
                      <w:jc w:val="both"/>
                      <w:rPr>
                        <w:noProof/>
                      </w:rPr>
                    </w:pPr>
                    <w:r>
                      <w:rPr>
                        <w:noProof/>
                      </w:rPr>
                      <w:t xml:space="preserve">R. Marnelly, T. Dahril and Z. Saam, "Ecological and Socio-Economic Factors on the Rate of Participation and Sustainable Forest Management," </w:t>
                    </w:r>
                    <w:r>
                      <w:rPr>
                        <w:i/>
                        <w:iCs/>
                        <w:noProof/>
                      </w:rPr>
                      <w:t xml:space="preserve">International Journal of Energy Economics and Policy, </w:t>
                    </w:r>
                    <w:r>
                      <w:rPr>
                        <w:noProof/>
                      </w:rPr>
                      <w:t xml:space="preserve">pp. 92-101, 2023. </w:t>
                    </w:r>
                  </w:p>
                </w:tc>
              </w:tr>
              <w:tr w:rsidR="00294F83" w14:paraId="074199F0" w14:textId="77777777">
                <w:trPr>
                  <w:divId w:val="1438258653"/>
                  <w:tblCellSpacing w:w="15" w:type="dxa"/>
                </w:trPr>
                <w:tc>
                  <w:tcPr>
                    <w:tcW w:w="50" w:type="pct"/>
                    <w:hideMark/>
                  </w:tcPr>
                  <w:p w14:paraId="3761C20D" w14:textId="77777777" w:rsidR="00294F83" w:rsidRDefault="00294F83">
                    <w:pPr>
                      <w:pStyle w:val="Bibliografia"/>
                      <w:rPr>
                        <w:noProof/>
                      </w:rPr>
                    </w:pPr>
                    <w:r>
                      <w:rPr>
                        <w:noProof/>
                      </w:rPr>
                      <w:t xml:space="preserve">[22] </w:t>
                    </w:r>
                  </w:p>
                </w:tc>
                <w:tc>
                  <w:tcPr>
                    <w:tcW w:w="0" w:type="auto"/>
                    <w:hideMark/>
                  </w:tcPr>
                  <w:p w14:paraId="3C5E431E" w14:textId="77777777" w:rsidR="00294F83" w:rsidRDefault="00294F83" w:rsidP="00FD2793">
                    <w:pPr>
                      <w:pStyle w:val="Bibliografia"/>
                      <w:jc w:val="both"/>
                      <w:rPr>
                        <w:noProof/>
                      </w:rPr>
                    </w:pPr>
                    <w:r>
                      <w:rPr>
                        <w:noProof/>
                      </w:rPr>
                      <w:t xml:space="preserve">E. Kiria and K. Onundo, "Sustainable Approaches For Community Involvement In The Conservation And Management Of Dryland Forest And Their Biodiversity, A Case Of </w:t>
                    </w:r>
                    <w:r>
                      <w:rPr>
                        <w:noProof/>
                      </w:rPr>
                      <w:lastRenderedPageBreak/>
                      <w:t xml:space="preserve">Kijege Forest, Tharaka Nithi County, Kenya," </w:t>
                    </w:r>
                    <w:r>
                      <w:rPr>
                        <w:i/>
                        <w:iCs/>
                        <w:noProof/>
                      </w:rPr>
                      <w:t xml:space="preserve">International Journal of Agriculture, Environment and Bioresearch, </w:t>
                    </w:r>
                    <w:r>
                      <w:rPr>
                        <w:noProof/>
                      </w:rPr>
                      <w:t xml:space="preserve">p. 2, 2022. </w:t>
                    </w:r>
                  </w:p>
                </w:tc>
              </w:tr>
              <w:tr w:rsidR="00294F83" w14:paraId="40C92770" w14:textId="77777777">
                <w:trPr>
                  <w:divId w:val="1438258653"/>
                  <w:tblCellSpacing w:w="15" w:type="dxa"/>
                </w:trPr>
                <w:tc>
                  <w:tcPr>
                    <w:tcW w:w="50" w:type="pct"/>
                    <w:hideMark/>
                  </w:tcPr>
                  <w:p w14:paraId="7ABB3CF6" w14:textId="77777777" w:rsidR="00294F83" w:rsidRDefault="00294F83">
                    <w:pPr>
                      <w:pStyle w:val="Bibliografia"/>
                      <w:rPr>
                        <w:noProof/>
                      </w:rPr>
                    </w:pPr>
                    <w:r>
                      <w:rPr>
                        <w:noProof/>
                      </w:rPr>
                      <w:lastRenderedPageBreak/>
                      <w:t xml:space="preserve">[23] </w:t>
                    </w:r>
                  </w:p>
                </w:tc>
                <w:tc>
                  <w:tcPr>
                    <w:tcW w:w="0" w:type="auto"/>
                    <w:hideMark/>
                  </w:tcPr>
                  <w:p w14:paraId="7C1EB315" w14:textId="77777777" w:rsidR="00294F83" w:rsidRDefault="00294F83" w:rsidP="00FD2793">
                    <w:pPr>
                      <w:pStyle w:val="Bibliografia"/>
                      <w:jc w:val="both"/>
                      <w:rPr>
                        <w:noProof/>
                      </w:rPr>
                    </w:pPr>
                    <w:r>
                      <w:rPr>
                        <w:noProof/>
                      </w:rPr>
                      <w:t xml:space="preserve">R. Cochard, V. H. T. Nguyen, D. T. Ngo and C. A. Kull, "Vietnam's forest cover changes 2005-2016: veering from transition to (yet more) transaction?," </w:t>
                    </w:r>
                    <w:r>
                      <w:rPr>
                        <w:i/>
                        <w:iCs/>
                        <w:noProof/>
                      </w:rPr>
                      <w:t xml:space="preserve">World Development, </w:t>
                    </w:r>
                    <w:r>
                      <w:rPr>
                        <w:noProof/>
                      </w:rPr>
                      <w:t xml:space="preserve">pp. 1-38, 2020. </w:t>
                    </w:r>
                  </w:p>
                </w:tc>
              </w:tr>
              <w:tr w:rsidR="00294F83" w14:paraId="35805F34" w14:textId="77777777">
                <w:trPr>
                  <w:divId w:val="1438258653"/>
                  <w:tblCellSpacing w:w="15" w:type="dxa"/>
                </w:trPr>
                <w:tc>
                  <w:tcPr>
                    <w:tcW w:w="50" w:type="pct"/>
                    <w:hideMark/>
                  </w:tcPr>
                  <w:p w14:paraId="7FFAC26F" w14:textId="77777777" w:rsidR="00294F83" w:rsidRDefault="00294F83">
                    <w:pPr>
                      <w:pStyle w:val="Bibliografia"/>
                      <w:rPr>
                        <w:noProof/>
                      </w:rPr>
                    </w:pPr>
                    <w:r>
                      <w:rPr>
                        <w:noProof/>
                      </w:rPr>
                      <w:t xml:space="preserve">[24] </w:t>
                    </w:r>
                  </w:p>
                </w:tc>
                <w:tc>
                  <w:tcPr>
                    <w:tcW w:w="0" w:type="auto"/>
                    <w:hideMark/>
                  </w:tcPr>
                  <w:p w14:paraId="520218DB" w14:textId="77777777" w:rsidR="00294F83" w:rsidRDefault="00294F83" w:rsidP="00FD2793">
                    <w:pPr>
                      <w:pStyle w:val="Bibliografia"/>
                      <w:jc w:val="both"/>
                      <w:rPr>
                        <w:noProof/>
                      </w:rPr>
                    </w:pPr>
                    <w:r>
                      <w:rPr>
                        <w:noProof/>
                      </w:rPr>
                      <w:t xml:space="preserve">L. Emerton, "Community-Based Incentives For Nature Conservation," </w:t>
                    </w:r>
                    <w:r>
                      <w:rPr>
                        <w:i/>
                        <w:iCs/>
                        <w:noProof/>
                      </w:rPr>
                      <w:t xml:space="preserve">IUCN-The World Conservation Union, </w:t>
                    </w:r>
                    <w:r>
                      <w:rPr>
                        <w:noProof/>
                      </w:rPr>
                      <w:t xml:space="preserve">2024. </w:t>
                    </w:r>
                  </w:p>
                </w:tc>
              </w:tr>
              <w:tr w:rsidR="00294F83" w14:paraId="2BB7513D" w14:textId="77777777">
                <w:trPr>
                  <w:divId w:val="1438258653"/>
                  <w:tblCellSpacing w:w="15" w:type="dxa"/>
                </w:trPr>
                <w:tc>
                  <w:tcPr>
                    <w:tcW w:w="50" w:type="pct"/>
                    <w:hideMark/>
                  </w:tcPr>
                  <w:p w14:paraId="18D118F9" w14:textId="77777777" w:rsidR="00294F83" w:rsidRDefault="00294F83">
                    <w:pPr>
                      <w:pStyle w:val="Bibliografia"/>
                      <w:rPr>
                        <w:noProof/>
                      </w:rPr>
                    </w:pPr>
                    <w:r>
                      <w:rPr>
                        <w:noProof/>
                      </w:rPr>
                      <w:t xml:space="preserve">[25] </w:t>
                    </w:r>
                  </w:p>
                </w:tc>
                <w:tc>
                  <w:tcPr>
                    <w:tcW w:w="0" w:type="auto"/>
                    <w:hideMark/>
                  </w:tcPr>
                  <w:p w14:paraId="28B7BC16" w14:textId="77777777" w:rsidR="00294F83" w:rsidRDefault="00294F83" w:rsidP="00FD2793">
                    <w:pPr>
                      <w:pStyle w:val="Bibliografia"/>
                      <w:jc w:val="both"/>
                      <w:rPr>
                        <w:noProof/>
                      </w:rPr>
                    </w:pPr>
                    <w:r>
                      <w:rPr>
                        <w:noProof/>
                      </w:rPr>
                      <w:t xml:space="preserve">J.-P. Leblond, "Revisiting forest transition explanations: The role of "push" factors and adaptation strategies in forest expansion in northern Phetchabun, Thailand," </w:t>
                    </w:r>
                    <w:r>
                      <w:rPr>
                        <w:i/>
                        <w:iCs/>
                        <w:noProof/>
                      </w:rPr>
                      <w:t xml:space="preserve">Land Use Policy, </w:t>
                    </w:r>
                    <w:r>
                      <w:rPr>
                        <w:noProof/>
                      </w:rPr>
                      <w:t xml:space="preserve">p. 195–214, 2019. </w:t>
                    </w:r>
                  </w:p>
                </w:tc>
              </w:tr>
              <w:tr w:rsidR="00294F83" w14:paraId="3593948F" w14:textId="77777777">
                <w:trPr>
                  <w:divId w:val="1438258653"/>
                  <w:tblCellSpacing w:w="15" w:type="dxa"/>
                </w:trPr>
                <w:tc>
                  <w:tcPr>
                    <w:tcW w:w="50" w:type="pct"/>
                    <w:hideMark/>
                  </w:tcPr>
                  <w:p w14:paraId="32B4624F" w14:textId="77777777" w:rsidR="00294F83" w:rsidRDefault="00294F83">
                    <w:pPr>
                      <w:pStyle w:val="Bibliografia"/>
                      <w:rPr>
                        <w:noProof/>
                      </w:rPr>
                    </w:pPr>
                    <w:r>
                      <w:rPr>
                        <w:noProof/>
                      </w:rPr>
                      <w:t xml:space="preserve">[26] </w:t>
                    </w:r>
                  </w:p>
                </w:tc>
                <w:tc>
                  <w:tcPr>
                    <w:tcW w:w="0" w:type="auto"/>
                    <w:hideMark/>
                  </w:tcPr>
                  <w:p w14:paraId="4D2C3FAC" w14:textId="77777777" w:rsidR="00294F83" w:rsidRDefault="00294F83" w:rsidP="00FD2793">
                    <w:pPr>
                      <w:pStyle w:val="Bibliografia"/>
                      <w:jc w:val="both"/>
                      <w:rPr>
                        <w:noProof/>
                      </w:rPr>
                    </w:pPr>
                    <w:r>
                      <w:rPr>
                        <w:noProof/>
                      </w:rPr>
                      <w:t xml:space="preserve">A. Worku, E. Auch, J. Pretzsch and H. Kassa, "The significance of dry forest income for livelihood resilience: the case of pastrolist ànd agro-pastrolist in dryland of southern Ethiopia," </w:t>
                    </w:r>
                    <w:r>
                      <w:rPr>
                        <w:i/>
                        <w:iCs/>
                        <w:noProof/>
                      </w:rPr>
                      <w:t xml:space="preserve">Forest policy and economics, </w:t>
                    </w:r>
                    <w:r>
                      <w:rPr>
                        <w:noProof/>
                      </w:rPr>
                      <w:t xml:space="preserve">vol. 41, pp. 51-59, 2014. </w:t>
                    </w:r>
                  </w:p>
                </w:tc>
              </w:tr>
              <w:tr w:rsidR="00294F83" w14:paraId="38A0B2EF" w14:textId="77777777">
                <w:trPr>
                  <w:divId w:val="1438258653"/>
                  <w:tblCellSpacing w:w="15" w:type="dxa"/>
                </w:trPr>
                <w:tc>
                  <w:tcPr>
                    <w:tcW w:w="50" w:type="pct"/>
                    <w:hideMark/>
                  </w:tcPr>
                  <w:p w14:paraId="79B6FB13" w14:textId="77777777" w:rsidR="00294F83" w:rsidRDefault="00294F83">
                    <w:pPr>
                      <w:pStyle w:val="Bibliografia"/>
                      <w:rPr>
                        <w:noProof/>
                      </w:rPr>
                    </w:pPr>
                    <w:r>
                      <w:rPr>
                        <w:noProof/>
                      </w:rPr>
                      <w:t xml:space="preserve">[27] </w:t>
                    </w:r>
                  </w:p>
                </w:tc>
                <w:tc>
                  <w:tcPr>
                    <w:tcW w:w="0" w:type="auto"/>
                    <w:hideMark/>
                  </w:tcPr>
                  <w:p w14:paraId="7BCB12E4" w14:textId="77777777" w:rsidR="00294F83" w:rsidRDefault="00294F83" w:rsidP="00FD2793">
                    <w:pPr>
                      <w:pStyle w:val="Bibliografia"/>
                      <w:jc w:val="both"/>
                      <w:rPr>
                        <w:noProof/>
                      </w:rPr>
                    </w:pPr>
                    <w:r>
                      <w:rPr>
                        <w:noProof/>
                      </w:rPr>
                      <w:t xml:space="preserve">N. Solomon, H. Hishe, T. Annang and E. Birhane, "Forest Cover Change, Key Drivers and Community Perception in Wujig Mahgo Waren Forest of Northern Ethiopia," </w:t>
                    </w:r>
                    <w:r>
                      <w:rPr>
                        <w:i/>
                        <w:iCs/>
                        <w:noProof/>
                      </w:rPr>
                      <w:t xml:space="preserve">Land, </w:t>
                    </w:r>
                    <w:r>
                      <w:rPr>
                        <w:noProof/>
                      </w:rPr>
                      <w:t xml:space="preserve">p. 32, 2018. </w:t>
                    </w:r>
                  </w:p>
                </w:tc>
              </w:tr>
              <w:tr w:rsidR="00294F83" w14:paraId="2644A8F9" w14:textId="77777777">
                <w:trPr>
                  <w:divId w:val="1438258653"/>
                  <w:tblCellSpacing w:w="15" w:type="dxa"/>
                </w:trPr>
                <w:tc>
                  <w:tcPr>
                    <w:tcW w:w="50" w:type="pct"/>
                    <w:hideMark/>
                  </w:tcPr>
                  <w:p w14:paraId="07FD4947" w14:textId="77777777" w:rsidR="00294F83" w:rsidRDefault="00294F83">
                    <w:pPr>
                      <w:pStyle w:val="Bibliografia"/>
                      <w:rPr>
                        <w:noProof/>
                      </w:rPr>
                    </w:pPr>
                    <w:r>
                      <w:rPr>
                        <w:noProof/>
                      </w:rPr>
                      <w:t xml:space="preserve">[28] </w:t>
                    </w:r>
                  </w:p>
                </w:tc>
                <w:tc>
                  <w:tcPr>
                    <w:tcW w:w="0" w:type="auto"/>
                    <w:hideMark/>
                  </w:tcPr>
                  <w:p w14:paraId="1AF0E317" w14:textId="77777777" w:rsidR="00294F83" w:rsidRDefault="00294F83" w:rsidP="00FD2793">
                    <w:pPr>
                      <w:pStyle w:val="Bibliografia"/>
                      <w:jc w:val="both"/>
                      <w:rPr>
                        <w:noProof/>
                      </w:rPr>
                    </w:pPr>
                    <w:r>
                      <w:rPr>
                        <w:noProof/>
                      </w:rPr>
                      <w:t xml:space="preserve">M.-A. Kalenga, "Community Forestry in Central Africa: Still a Fragile Sustainable Forest Management Model," </w:t>
                    </w:r>
                    <w:r>
                      <w:rPr>
                        <w:i/>
                        <w:iCs/>
                        <w:noProof/>
                      </w:rPr>
                      <w:t xml:space="preserve">Forests, Governance and Development Policy Advisor, </w:t>
                    </w:r>
                    <w:r>
                      <w:rPr>
                        <w:noProof/>
                      </w:rPr>
                      <w:t xml:space="preserve">pp. 180-183, 2021. </w:t>
                    </w:r>
                  </w:p>
                </w:tc>
              </w:tr>
              <w:tr w:rsidR="00294F83" w14:paraId="05E4749D" w14:textId="77777777">
                <w:trPr>
                  <w:divId w:val="1438258653"/>
                  <w:tblCellSpacing w:w="15" w:type="dxa"/>
                </w:trPr>
                <w:tc>
                  <w:tcPr>
                    <w:tcW w:w="50" w:type="pct"/>
                    <w:hideMark/>
                  </w:tcPr>
                  <w:p w14:paraId="3313141A" w14:textId="77777777" w:rsidR="00294F83" w:rsidRDefault="00294F83">
                    <w:pPr>
                      <w:pStyle w:val="Bibliografia"/>
                      <w:rPr>
                        <w:noProof/>
                      </w:rPr>
                    </w:pPr>
                    <w:r>
                      <w:rPr>
                        <w:noProof/>
                      </w:rPr>
                      <w:t xml:space="preserve">[29] </w:t>
                    </w:r>
                  </w:p>
                </w:tc>
                <w:tc>
                  <w:tcPr>
                    <w:tcW w:w="0" w:type="auto"/>
                    <w:hideMark/>
                  </w:tcPr>
                  <w:p w14:paraId="7DF6F365" w14:textId="77777777" w:rsidR="00294F83" w:rsidRDefault="00294F83" w:rsidP="00FD2793">
                    <w:pPr>
                      <w:pStyle w:val="Bibliografia"/>
                      <w:jc w:val="both"/>
                      <w:rPr>
                        <w:noProof/>
                      </w:rPr>
                    </w:pPr>
                    <w:r>
                      <w:rPr>
                        <w:noProof/>
                      </w:rPr>
                      <w:t xml:space="preserve">B. Melaku, B. Purabi, B. Kees, F. Papa, K. Habtemariam, K. P. Mweru and V. Ingram, "Forests Management and Social Diversity in Africa and Asia," </w:t>
                    </w:r>
                    <w:r>
                      <w:rPr>
                        <w:i/>
                        <w:iCs/>
                        <w:noProof/>
                      </w:rPr>
                      <w:t xml:space="preserve">Springer International Publishing Switzerland, </w:t>
                    </w:r>
                    <w:r>
                      <w:rPr>
                        <w:noProof/>
                      </w:rPr>
                      <w:t xml:space="preserve">p. 1, 2016. </w:t>
                    </w:r>
                  </w:p>
                </w:tc>
              </w:tr>
              <w:tr w:rsidR="00294F83" w14:paraId="1E4AD5DA" w14:textId="77777777">
                <w:trPr>
                  <w:divId w:val="1438258653"/>
                  <w:tblCellSpacing w:w="15" w:type="dxa"/>
                </w:trPr>
                <w:tc>
                  <w:tcPr>
                    <w:tcW w:w="50" w:type="pct"/>
                    <w:hideMark/>
                  </w:tcPr>
                  <w:p w14:paraId="285A5585" w14:textId="77777777" w:rsidR="00294F83" w:rsidRDefault="00294F83">
                    <w:pPr>
                      <w:pStyle w:val="Bibliografia"/>
                      <w:rPr>
                        <w:noProof/>
                      </w:rPr>
                    </w:pPr>
                    <w:r>
                      <w:rPr>
                        <w:noProof/>
                      </w:rPr>
                      <w:t xml:space="preserve">[30] </w:t>
                    </w:r>
                  </w:p>
                </w:tc>
                <w:tc>
                  <w:tcPr>
                    <w:tcW w:w="0" w:type="auto"/>
                    <w:hideMark/>
                  </w:tcPr>
                  <w:p w14:paraId="2C8FA8C8" w14:textId="77777777" w:rsidR="00294F83" w:rsidRDefault="00294F83" w:rsidP="00FD2793">
                    <w:pPr>
                      <w:pStyle w:val="Bibliografia"/>
                      <w:jc w:val="both"/>
                      <w:rPr>
                        <w:noProof/>
                      </w:rPr>
                    </w:pPr>
                    <w:r>
                      <w:rPr>
                        <w:noProof/>
                      </w:rPr>
                      <w:t>GoK, "The Forest Conservation and Management Act," Kenya Gazette supppliment, Nairobi, 2016.</w:t>
                    </w:r>
                  </w:p>
                </w:tc>
              </w:tr>
              <w:tr w:rsidR="00294F83" w14:paraId="26884B83" w14:textId="77777777">
                <w:trPr>
                  <w:divId w:val="1438258653"/>
                  <w:tblCellSpacing w:w="15" w:type="dxa"/>
                </w:trPr>
                <w:tc>
                  <w:tcPr>
                    <w:tcW w:w="50" w:type="pct"/>
                    <w:hideMark/>
                  </w:tcPr>
                  <w:p w14:paraId="37FAD3D4" w14:textId="77777777" w:rsidR="00294F83" w:rsidRDefault="00294F83">
                    <w:pPr>
                      <w:pStyle w:val="Bibliografia"/>
                      <w:rPr>
                        <w:noProof/>
                      </w:rPr>
                    </w:pPr>
                    <w:r>
                      <w:rPr>
                        <w:noProof/>
                      </w:rPr>
                      <w:t xml:space="preserve">[31] </w:t>
                    </w:r>
                  </w:p>
                </w:tc>
                <w:tc>
                  <w:tcPr>
                    <w:tcW w:w="0" w:type="auto"/>
                    <w:hideMark/>
                  </w:tcPr>
                  <w:p w14:paraId="2C9D385E" w14:textId="77777777" w:rsidR="00294F83" w:rsidRDefault="00294F83" w:rsidP="00FD2793">
                    <w:pPr>
                      <w:pStyle w:val="Bibliografia"/>
                      <w:jc w:val="both"/>
                      <w:rPr>
                        <w:noProof/>
                      </w:rPr>
                    </w:pPr>
                    <w:r>
                      <w:rPr>
                        <w:noProof/>
                      </w:rPr>
                      <w:t xml:space="preserve">S. Yurdakul and G. Şahin, "Conflict Analysis in Natural Resources: Examination with Forest Management and Land-Use Change Cases," </w:t>
                    </w:r>
                    <w:r>
                      <w:rPr>
                        <w:i/>
                        <w:iCs/>
                        <w:noProof/>
                      </w:rPr>
                      <w:t xml:space="preserve">St. Kliment Ohridski University Press, </w:t>
                    </w:r>
                    <w:r>
                      <w:rPr>
                        <w:noProof/>
                      </w:rPr>
                      <w:t xml:space="preserve">2021. </w:t>
                    </w:r>
                  </w:p>
                </w:tc>
              </w:tr>
              <w:tr w:rsidR="00294F83" w14:paraId="5B9E0512" w14:textId="77777777">
                <w:trPr>
                  <w:divId w:val="1438258653"/>
                  <w:tblCellSpacing w:w="15" w:type="dxa"/>
                </w:trPr>
                <w:tc>
                  <w:tcPr>
                    <w:tcW w:w="50" w:type="pct"/>
                    <w:hideMark/>
                  </w:tcPr>
                  <w:p w14:paraId="55C5A081" w14:textId="77777777" w:rsidR="00294F83" w:rsidRDefault="00294F83">
                    <w:pPr>
                      <w:pStyle w:val="Bibliografia"/>
                      <w:rPr>
                        <w:noProof/>
                      </w:rPr>
                    </w:pPr>
                    <w:r>
                      <w:rPr>
                        <w:noProof/>
                      </w:rPr>
                      <w:t xml:space="preserve">[32] </w:t>
                    </w:r>
                  </w:p>
                </w:tc>
                <w:tc>
                  <w:tcPr>
                    <w:tcW w:w="0" w:type="auto"/>
                    <w:hideMark/>
                  </w:tcPr>
                  <w:p w14:paraId="19AB4C62" w14:textId="77777777" w:rsidR="00294F83" w:rsidRDefault="00294F83" w:rsidP="00FD2793">
                    <w:pPr>
                      <w:pStyle w:val="Bibliografia"/>
                      <w:jc w:val="both"/>
                      <w:rPr>
                        <w:noProof/>
                      </w:rPr>
                    </w:pPr>
                    <w:r>
                      <w:rPr>
                        <w:noProof/>
                      </w:rPr>
                      <w:t xml:space="preserve">E. H. Yasin, C. Kornel and M. Hemida, "Assessment and Mapping of Forest Cover Change in Dryland, Sudan Using Remote Sensing," </w:t>
                    </w:r>
                    <w:r>
                      <w:rPr>
                        <w:i/>
                        <w:iCs/>
                        <w:noProof/>
                      </w:rPr>
                      <w:t xml:space="preserve">Intechopen, </w:t>
                    </w:r>
                    <w:r>
                      <w:rPr>
                        <w:noProof/>
                      </w:rPr>
                      <w:t xml:space="preserve">p. 1, 2023. </w:t>
                    </w:r>
                  </w:p>
                </w:tc>
              </w:tr>
              <w:tr w:rsidR="00294F83" w14:paraId="44DFE736" w14:textId="77777777">
                <w:trPr>
                  <w:divId w:val="1438258653"/>
                  <w:tblCellSpacing w:w="15" w:type="dxa"/>
                </w:trPr>
                <w:tc>
                  <w:tcPr>
                    <w:tcW w:w="50" w:type="pct"/>
                    <w:hideMark/>
                  </w:tcPr>
                  <w:p w14:paraId="58356997" w14:textId="77777777" w:rsidR="00294F83" w:rsidRDefault="00294F83">
                    <w:pPr>
                      <w:pStyle w:val="Bibliografia"/>
                      <w:rPr>
                        <w:noProof/>
                      </w:rPr>
                    </w:pPr>
                    <w:r>
                      <w:rPr>
                        <w:noProof/>
                      </w:rPr>
                      <w:t xml:space="preserve">[33] </w:t>
                    </w:r>
                  </w:p>
                </w:tc>
                <w:tc>
                  <w:tcPr>
                    <w:tcW w:w="0" w:type="auto"/>
                    <w:hideMark/>
                  </w:tcPr>
                  <w:p w14:paraId="1420AED5" w14:textId="77777777" w:rsidR="00294F83" w:rsidRDefault="00294F83" w:rsidP="00FD2793">
                    <w:pPr>
                      <w:pStyle w:val="Bibliografia"/>
                      <w:jc w:val="both"/>
                      <w:rPr>
                        <w:noProof/>
                      </w:rPr>
                    </w:pPr>
                    <w:r>
                      <w:rPr>
                        <w:noProof/>
                      </w:rPr>
                      <w:t xml:space="preserve">K. Tempa, "Spatiotemporal land use land cover mapping with Sentinel-2 using a semi-automatic random forest classifier and assessment of vegetation change dynamics for Gelephu, Bhutan," </w:t>
                    </w:r>
                    <w:r>
                      <w:rPr>
                        <w:i/>
                        <w:iCs/>
                        <w:noProof/>
                      </w:rPr>
                      <w:t xml:space="preserve">Annual University, </w:t>
                    </w:r>
                    <w:r>
                      <w:rPr>
                        <w:noProof/>
                      </w:rPr>
                      <w:t xml:space="preserve">2023. </w:t>
                    </w:r>
                  </w:p>
                </w:tc>
              </w:tr>
              <w:tr w:rsidR="00294F83" w14:paraId="69613D8E" w14:textId="77777777">
                <w:trPr>
                  <w:divId w:val="1438258653"/>
                  <w:tblCellSpacing w:w="15" w:type="dxa"/>
                </w:trPr>
                <w:tc>
                  <w:tcPr>
                    <w:tcW w:w="50" w:type="pct"/>
                    <w:hideMark/>
                  </w:tcPr>
                  <w:p w14:paraId="5CB5E78B" w14:textId="77777777" w:rsidR="00294F83" w:rsidRDefault="00294F83">
                    <w:pPr>
                      <w:pStyle w:val="Bibliografia"/>
                      <w:rPr>
                        <w:noProof/>
                      </w:rPr>
                    </w:pPr>
                    <w:r>
                      <w:rPr>
                        <w:noProof/>
                      </w:rPr>
                      <w:t xml:space="preserve">[34] </w:t>
                    </w:r>
                  </w:p>
                </w:tc>
                <w:tc>
                  <w:tcPr>
                    <w:tcW w:w="0" w:type="auto"/>
                    <w:hideMark/>
                  </w:tcPr>
                  <w:p w14:paraId="4980B309" w14:textId="77777777" w:rsidR="00294F83" w:rsidRDefault="00294F83" w:rsidP="00FD2793">
                    <w:pPr>
                      <w:pStyle w:val="Bibliografia"/>
                      <w:jc w:val="both"/>
                      <w:rPr>
                        <w:noProof/>
                      </w:rPr>
                    </w:pPr>
                    <w:r>
                      <w:rPr>
                        <w:noProof/>
                      </w:rPr>
                      <w:t xml:space="preserve">M. Savari, H. E. Damaneh and H. E. Damaneh, "Factors influencing local people's participation in sustainable forest management," </w:t>
                    </w:r>
                    <w:r>
                      <w:rPr>
                        <w:i/>
                        <w:iCs/>
                        <w:noProof/>
                      </w:rPr>
                      <w:t xml:space="preserve">Arabian Journal of Geosciences, </w:t>
                    </w:r>
                    <w:r>
                      <w:rPr>
                        <w:noProof/>
                      </w:rPr>
                      <w:t xml:space="preserve">p. 513, 2020. </w:t>
                    </w:r>
                  </w:p>
                </w:tc>
              </w:tr>
              <w:tr w:rsidR="00294F83" w14:paraId="2743A77A" w14:textId="77777777">
                <w:trPr>
                  <w:divId w:val="1438258653"/>
                  <w:tblCellSpacing w:w="15" w:type="dxa"/>
                </w:trPr>
                <w:tc>
                  <w:tcPr>
                    <w:tcW w:w="50" w:type="pct"/>
                    <w:hideMark/>
                  </w:tcPr>
                  <w:p w14:paraId="52834FE5" w14:textId="77777777" w:rsidR="00294F83" w:rsidRDefault="00294F83">
                    <w:pPr>
                      <w:pStyle w:val="Bibliografia"/>
                      <w:rPr>
                        <w:noProof/>
                      </w:rPr>
                    </w:pPr>
                    <w:r>
                      <w:rPr>
                        <w:noProof/>
                      </w:rPr>
                      <w:t xml:space="preserve">[35] </w:t>
                    </w:r>
                  </w:p>
                </w:tc>
                <w:tc>
                  <w:tcPr>
                    <w:tcW w:w="0" w:type="auto"/>
                    <w:hideMark/>
                  </w:tcPr>
                  <w:p w14:paraId="129CDFD5" w14:textId="77777777" w:rsidR="00294F83" w:rsidRDefault="00294F83" w:rsidP="00FD2793">
                    <w:pPr>
                      <w:pStyle w:val="Bibliografia"/>
                      <w:jc w:val="both"/>
                      <w:rPr>
                        <w:noProof/>
                      </w:rPr>
                    </w:pPr>
                    <w:r>
                      <w:rPr>
                        <w:noProof/>
                      </w:rPr>
                      <w:t xml:space="preserve">A. M. O. ·. R. N. Onwonga, O. V. Wasonga and M. J. Kinyanjui, "Spatiotemporal patterns of land use and land cover change in Kibwezi West, Eastern Kenya," </w:t>
                    </w:r>
                    <w:r>
                      <w:rPr>
                        <w:i/>
                        <w:iCs/>
                        <w:noProof/>
                      </w:rPr>
                      <w:t xml:space="preserve">Discover Soil, </w:t>
                    </w:r>
                    <w:r>
                      <w:rPr>
                        <w:noProof/>
                      </w:rPr>
                      <w:t xml:space="preserve">p. 21, 24. </w:t>
                    </w:r>
                  </w:p>
                </w:tc>
              </w:tr>
              <w:tr w:rsidR="00294F83" w14:paraId="13CEFC17" w14:textId="77777777">
                <w:trPr>
                  <w:divId w:val="1438258653"/>
                  <w:tblCellSpacing w:w="15" w:type="dxa"/>
                </w:trPr>
                <w:tc>
                  <w:tcPr>
                    <w:tcW w:w="50" w:type="pct"/>
                    <w:hideMark/>
                  </w:tcPr>
                  <w:p w14:paraId="697CB687" w14:textId="77777777" w:rsidR="00294F83" w:rsidRDefault="00294F83">
                    <w:pPr>
                      <w:pStyle w:val="Bibliografia"/>
                      <w:rPr>
                        <w:noProof/>
                      </w:rPr>
                    </w:pPr>
                    <w:r>
                      <w:rPr>
                        <w:noProof/>
                      </w:rPr>
                      <w:t xml:space="preserve">[36] </w:t>
                    </w:r>
                  </w:p>
                </w:tc>
                <w:tc>
                  <w:tcPr>
                    <w:tcW w:w="0" w:type="auto"/>
                    <w:hideMark/>
                  </w:tcPr>
                  <w:p w14:paraId="7073569F" w14:textId="77777777" w:rsidR="00294F83" w:rsidRDefault="00294F83" w:rsidP="00FD2793">
                    <w:pPr>
                      <w:pStyle w:val="Bibliografia"/>
                      <w:jc w:val="both"/>
                      <w:rPr>
                        <w:noProof/>
                      </w:rPr>
                    </w:pPr>
                    <w:r>
                      <w:rPr>
                        <w:noProof/>
                      </w:rPr>
                      <w:t xml:space="preserve">A. M. Omwoyo, R. N. Onwonga, O. V. Wasonga and M. J. Kinyanjui, "Spatiotemporal patterns of land use and land cover change," </w:t>
                    </w:r>
                    <w:r>
                      <w:rPr>
                        <w:i/>
                        <w:iCs/>
                        <w:noProof/>
                      </w:rPr>
                      <w:t xml:space="preserve">Discover Soil, </w:t>
                    </w:r>
                    <w:r>
                      <w:rPr>
                        <w:noProof/>
                      </w:rPr>
                      <w:t xml:space="preserve">p. 22, 2024. </w:t>
                    </w:r>
                  </w:p>
                </w:tc>
              </w:tr>
              <w:tr w:rsidR="00294F83" w14:paraId="0D117C1C" w14:textId="77777777">
                <w:trPr>
                  <w:divId w:val="1438258653"/>
                  <w:tblCellSpacing w:w="15" w:type="dxa"/>
                </w:trPr>
                <w:tc>
                  <w:tcPr>
                    <w:tcW w:w="50" w:type="pct"/>
                    <w:hideMark/>
                  </w:tcPr>
                  <w:p w14:paraId="06A9A83F" w14:textId="77777777" w:rsidR="00294F83" w:rsidRDefault="00294F83">
                    <w:pPr>
                      <w:pStyle w:val="Bibliografia"/>
                      <w:rPr>
                        <w:noProof/>
                      </w:rPr>
                    </w:pPr>
                    <w:r>
                      <w:rPr>
                        <w:noProof/>
                      </w:rPr>
                      <w:t xml:space="preserve">[37] </w:t>
                    </w:r>
                  </w:p>
                </w:tc>
                <w:tc>
                  <w:tcPr>
                    <w:tcW w:w="0" w:type="auto"/>
                    <w:hideMark/>
                  </w:tcPr>
                  <w:p w14:paraId="35A81A9B" w14:textId="77777777" w:rsidR="00294F83" w:rsidRDefault="00294F83" w:rsidP="00FD2793">
                    <w:pPr>
                      <w:pStyle w:val="Bibliografia"/>
                      <w:jc w:val="both"/>
                      <w:rPr>
                        <w:noProof/>
                      </w:rPr>
                    </w:pPr>
                    <w:r>
                      <w:rPr>
                        <w:noProof/>
                      </w:rPr>
                      <w:t xml:space="preserve">S. C. Okorie, "Nigeria's drylands and rise of violent conflict in the country," </w:t>
                    </w:r>
                    <w:r>
                      <w:rPr>
                        <w:i/>
                        <w:iCs/>
                        <w:noProof/>
                      </w:rPr>
                      <w:t xml:space="preserve">Global Land scape Forum Africa, </w:t>
                    </w:r>
                    <w:r>
                      <w:rPr>
                        <w:noProof/>
                      </w:rPr>
                      <w:t xml:space="preserve">p. 1, 2021. </w:t>
                    </w:r>
                  </w:p>
                </w:tc>
              </w:tr>
              <w:tr w:rsidR="00294F83" w14:paraId="67B28F3F" w14:textId="77777777">
                <w:trPr>
                  <w:divId w:val="1438258653"/>
                  <w:tblCellSpacing w:w="15" w:type="dxa"/>
                </w:trPr>
                <w:tc>
                  <w:tcPr>
                    <w:tcW w:w="50" w:type="pct"/>
                    <w:hideMark/>
                  </w:tcPr>
                  <w:p w14:paraId="72D302CE" w14:textId="77777777" w:rsidR="00294F83" w:rsidRDefault="00294F83">
                    <w:pPr>
                      <w:pStyle w:val="Bibliografia"/>
                      <w:rPr>
                        <w:noProof/>
                      </w:rPr>
                    </w:pPr>
                    <w:r>
                      <w:rPr>
                        <w:noProof/>
                      </w:rPr>
                      <w:t xml:space="preserve">[38] </w:t>
                    </w:r>
                  </w:p>
                </w:tc>
                <w:tc>
                  <w:tcPr>
                    <w:tcW w:w="0" w:type="auto"/>
                    <w:hideMark/>
                  </w:tcPr>
                  <w:p w14:paraId="241F815D" w14:textId="77777777" w:rsidR="00294F83" w:rsidRDefault="00294F83" w:rsidP="00FD2793">
                    <w:pPr>
                      <w:pStyle w:val="Bibliografia"/>
                      <w:jc w:val="both"/>
                      <w:rPr>
                        <w:noProof/>
                      </w:rPr>
                    </w:pPr>
                    <w:r>
                      <w:rPr>
                        <w:noProof/>
                      </w:rPr>
                      <w:t xml:space="preserve">G. W. Ngaruiya and J. Scheffran, "Actors and networks in resource conflict resolution under climate change in rural Kenya," </w:t>
                    </w:r>
                    <w:r>
                      <w:rPr>
                        <w:i/>
                        <w:iCs/>
                        <w:noProof/>
                      </w:rPr>
                      <w:t xml:space="preserve">Earth System Dynamics, </w:t>
                    </w:r>
                    <w:r>
                      <w:rPr>
                        <w:noProof/>
                      </w:rPr>
                      <w:t xml:space="preserve">pp. 441-452, 2016. </w:t>
                    </w:r>
                  </w:p>
                </w:tc>
              </w:tr>
              <w:tr w:rsidR="00294F83" w14:paraId="3FB5BD76" w14:textId="77777777">
                <w:trPr>
                  <w:divId w:val="1438258653"/>
                  <w:tblCellSpacing w:w="15" w:type="dxa"/>
                </w:trPr>
                <w:tc>
                  <w:tcPr>
                    <w:tcW w:w="50" w:type="pct"/>
                    <w:hideMark/>
                  </w:tcPr>
                  <w:p w14:paraId="482E4225" w14:textId="77777777" w:rsidR="00294F83" w:rsidRDefault="00294F83">
                    <w:pPr>
                      <w:pStyle w:val="Bibliografia"/>
                      <w:rPr>
                        <w:noProof/>
                      </w:rPr>
                    </w:pPr>
                    <w:r>
                      <w:rPr>
                        <w:noProof/>
                      </w:rPr>
                      <w:t xml:space="preserve">[39] </w:t>
                    </w:r>
                  </w:p>
                </w:tc>
                <w:tc>
                  <w:tcPr>
                    <w:tcW w:w="0" w:type="auto"/>
                    <w:hideMark/>
                  </w:tcPr>
                  <w:p w14:paraId="31AC729D" w14:textId="77777777" w:rsidR="00294F83" w:rsidRDefault="00294F83" w:rsidP="00FD2793">
                    <w:pPr>
                      <w:pStyle w:val="Bibliografia"/>
                      <w:jc w:val="both"/>
                      <w:rPr>
                        <w:noProof/>
                      </w:rPr>
                    </w:pPr>
                    <w:r>
                      <w:rPr>
                        <w:noProof/>
                      </w:rPr>
                      <w:t xml:space="preserve">M. N. Khan, Y. Ta, A. A. G. M. K. Lodhi and J. Wang, "A regional-level spatiotemporal perspective of land use and land cover change impact on forest aboveground biomass in three gorges reservoir region, China," </w:t>
                    </w:r>
                    <w:r>
                      <w:rPr>
                        <w:i/>
                        <w:iCs/>
                        <w:noProof/>
                      </w:rPr>
                      <w:t xml:space="preserve">Geocarto International, </w:t>
                    </w:r>
                    <w:r>
                      <w:rPr>
                        <w:noProof/>
                      </w:rPr>
                      <w:t xml:space="preserve">2024. </w:t>
                    </w:r>
                  </w:p>
                </w:tc>
              </w:tr>
              <w:tr w:rsidR="00294F83" w14:paraId="037D1DAF" w14:textId="77777777">
                <w:trPr>
                  <w:divId w:val="1438258653"/>
                  <w:tblCellSpacing w:w="15" w:type="dxa"/>
                </w:trPr>
                <w:tc>
                  <w:tcPr>
                    <w:tcW w:w="50" w:type="pct"/>
                    <w:hideMark/>
                  </w:tcPr>
                  <w:p w14:paraId="3A323C32" w14:textId="77777777" w:rsidR="00294F83" w:rsidRDefault="00294F83">
                    <w:pPr>
                      <w:pStyle w:val="Bibliografia"/>
                      <w:rPr>
                        <w:noProof/>
                      </w:rPr>
                    </w:pPr>
                    <w:r>
                      <w:rPr>
                        <w:noProof/>
                      </w:rPr>
                      <w:lastRenderedPageBreak/>
                      <w:t xml:space="preserve">[40] </w:t>
                    </w:r>
                  </w:p>
                </w:tc>
                <w:tc>
                  <w:tcPr>
                    <w:tcW w:w="0" w:type="auto"/>
                    <w:hideMark/>
                  </w:tcPr>
                  <w:p w14:paraId="343C2C52" w14:textId="77777777" w:rsidR="00294F83" w:rsidRDefault="00294F83" w:rsidP="00FD2793">
                    <w:pPr>
                      <w:pStyle w:val="Bibliografia"/>
                      <w:jc w:val="both"/>
                      <w:rPr>
                        <w:noProof/>
                      </w:rPr>
                    </w:pPr>
                    <w:r>
                      <w:rPr>
                        <w:noProof/>
                      </w:rPr>
                      <w:t xml:space="preserve">J. J. Kegamba, K. K. Sangha, P. Wurm and S. T. Garnett, "Conservation benefit-sharing mechanisms and their effectiveness in the Greater Serengeti Ecosystem: local communities' perspectives," </w:t>
                    </w:r>
                    <w:r>
                      <w:rPr>
                        <w:i/>
                        <w:iCs/>
                        <w:noProof/>
                      </w:rPr>
                      <w:t xml:space="preserve">Springer Nature, </w:t>
                    </w:r>
                    <w:r>
                      <w:rPr>
                        <w:noProof/>
                      </w:rPr>
                      <w:t xml:space="preserve">p. 1, 2023. </w:t>
                    </w:r>
                  </w:p>
                </w:tc>
              </w:tr>
              <w:tr w:rsidR="00294F83" w14:paraId="70477C8C" w14:textId="77777777">
                <w:trPr>
                  <w:divId w:val="1438258653"/>
                  <w:tblCellSpacing w:w="15" w:type="dxa"/>
                </w:trPr>
                <w:tc>
                  <w:tcPr>
                    <w:tcW w:w="50" w:type="pct"/>
                    <w:hideMark/>
                  </w:tcPr>
                  <w:p w14:paraId="71E87885" w14:textId="77777777" w:rsidR="00294F83" w:rsidRDefault="00294F83">
                    <w:pPr>
                      <w:pStyle w:val="Bibliografia"/>
                      <w:rPr>
                        <w:noProof/>
                      </w:rPr>
                    </w:pPr>
                    <w:r>
                      <w:rPr>
                        <w:noProof/>
                      </w:rPr>
                      <w:t xml:space="preserve">[41] </w:t>
                    </w:r>
                  </w:p>
                </w:tc>
                <w:tc>
                  <w:tcPr>
                    <w:tcW w:w="0" w:type="auto"/>
                    <w:hideMark/>
                  </w:tcPr>
                  <w:p w14:paraId="7E647E20" w14:textId="77777777" w:rsidR="00294F83" w:rsidRDefault="00294F83" w:rsidP="00FD2793">
                    <w:pPr>
                      <w:pStyle w:val="Bibliografia"/>
                      <w:jc w:val="both"/>
                      <w:rPr>
                        <w:noProof/>
                      </w:rPr>
                    </w:pPr>
                    <w:r>
                      <w:rPr>
                        <w:noProof/>
                      </w:rPr>
                      <w:t xml:space="preserve">R. N. Karaya, C. A. Onyango and G. M. Ogendi, "A community-GIS supported dryland use and cover change assessment: The case of the Njemps flats in Kenya," </w:t>
                    </w:r>
                    <w:r>
                      <w:rPr>
                        <w:i/>
                        <w:iCs/>
                        <w:noProof/>
                      </w:rPr>
                      <w:t xml:space="preserve">Cogent Food &amp; Agriculture, </w:t>
                    </w:r>
                    <w:r>
                      <w:rPr>
                        <w:noProof/>
                      </w:rPr>
                      <w:t xml:space="preserve">pp. 1-19, 2021. </w:t>
                    </w:r>
                  </w:p>
                </w:tc>
              </w:tr>
              <w:tr w:rsidR="00294F83" w14:paraId="58DD04EB" w14:textId="77777777">
                <w:trPr>
                  <w:divId w:val="1438258653"/>
                  <w:tblCellSpacing w:w="15" w:type="dxa"/>
                </w:trPr>
                <w:tc>
                  <w:tcPr>
                    <w:tcW w:w="50" w:type="pct"/>
                    <w:hideMark/>
                  </w:tcPr>
                  <w:p w14:paraId="0181E87F" w14:textId="77777777" w:rsidR="00294F83" w:rsidRDefault="00294F83">
                    <w:pPr>
                      <w:pStyle w:val="Bibliografia"/>
                      <w:rPr>
                        <w:noProof/>
                      </w:rPr>
                    </w:pPr>
                    <w:r>
                      <w:rPr>
                        <w:noProof/>
                      </w:rPr>
                      <w:t xml:space="preserve">[42] </w:t>
                    </w:r>
                  </w:p>
                </w:tc>
                <w:tc>
                  <w:tcPr>
                    <w:tcW w:w="0" w:type="auto"/>
                    <w:hideMark/>
                  </w:tcPr>
                  <w:p w14:paraId="6FC0F752" w14:textId="77777777" w:rsidR="00294F83" w:rsidRDefault="00294F83" w:rsidP="00FD2793">
                    <w:pPr>
                      <w:pStyle w:val="Bibliografia"/>
                      <w:jc w:val="both"/>
                      <w:rPr>
                        <w:noProof/>
                      </w:rPr>
                    </w:pPr>
                    <w:r>
                      <w:rPr>
                        <w:noProof/>
                      </w:rPr>
                      <w:t xml:space="preserve">R. N. Karaya, C. A. Onyango and G. M. Ogendi, "A community-GIS supported dryland use and cover change assessment: The case of the Njemps flats in Kenya," </w:t>
                    </w:r>
                    <w:r>
                      <w:rPr>
                        <w:i/>
                        <w:iCs/>
                        <w:noProof/>
                      </w:rPr>
                      <w:t xml:space="preserve">Cogent Food &amp; Agriculture, </w:t>
                    </w:r>
                    <w:r>
                      <w:rPr>
                        <w:noProof/>
                      </w:rPr>
                      <w:t xml:space="preserve">p. 1872852, 2021. </w:t>
                    </w:r>
                  </w:p>
                </w:tc>
              </w:tr>
              <w:tr w:rsidR="00294F83" w14:paraId="16CE2786" w14:textId="77777777">
                <w:trPr>
                  <w:divId w:val="1438258653"/>
                  <w:tblCellSpacing w:w="15" w:type="dxa"/>
                </w:trPr>
                <w:tc>
                  <w:tcPr>
                    <w:tcW w:w="50" w:type="pct"/>
                    <w:hideMark/>
                  </w:tcPr>
                  <w:p w14:paraId="3212819D" w14:textId="77777777" w:rsidR="00294F83" w:rsidRDefault="00294F83">
                    <w:pPr>
                      <w:pStyle w:val="Bibliografia"/>
                      <w:rPr>
                        <w:noProof/>
                      </w:rPr>
                    </w:pPr>
                    <w:r>
                      <w:rPr>
                        <w:noProof/>
                      </w:rPr>
                      <w:t xml:space="preserve">[43] </w:t>
                    </w:r>
                  </w:p>
                </w:tc>
                <w:tc>
                  <w:tcPr>
                    <w:tcW w:w="0" w:type="auto"/>
                    <w:hideMark/>
                  </w:tcPr>
                  <w:p w14:paraId="0B034080" w14:textId="77777777" w:rsidR="00294F83" w:rsidRDefault="00294F83" w:rsidP="00FD2793">
                    <w:pPr>
                      <w:pStyle w:val="Bibliografia"/>
                      <w:jc w:val="both"/>
                      <w:rPr>
                        <w:noProof/>
                      </w:rPr>
                    </w:pPr>
                    <w:r>
                      <w:rPr>
                        <w:noProof/>
                      </w:rPr>
                      <w:t xml:space="preserve">C. E. Kamais and G. P. Mosol, "Recasting Low Intensity Conflicts in Laikipia County, Kenya, through Protracted Social Conflicts Paradigm: Causes, Socioeconomic, Political and Security Implications," </w:t>
                    </w:r>
                    <w:r>
                      <w:rPr>
                        <w:i/>
                        <w:iCs/>
                        <w:noProof/>
                      </w:rPr>
                      <w:t xml:space="preserve">Open Access Library Journal, </w:t>
                    </w:r>
                    <w:r>
                      <w:rPr>
                        <w:noProof/>
                      </w:rPr>
                      <w:t xml:space="preserve">p. 7, 2022. </w:t>
                    </w:r>
                  </w:p>
                </w:tc>
              </w:tr>
              <w:tr w:rsidR="00294F83" w14:paraId="7FDC648F" w14:textId="77777777">
                <w:trPr>
                  <w:divId w:val="1438258653"/>
                  <w:tblCellSpacing w:w="15" w:type="dxa"/>
                </w:trPr>
                <w:tc>
                  <w:tcPr>
                    <w:tcW w:w="50" w:type="pct"/>
                    <w:hideMark/>
                  </w:tcPr>
                  <w:p w14:paraId="7DCEFBEB" w14:textId="77777777" w:rsidR="00294F83" w:rsidRDefault="00294F83">
                    <w:pPr>
                      <w:pStyle w:val="Bibliografia"/>
                      <w:rPr>
                        <w:noProof/>
                      </w:rPr>
                    </w:pPr>
                    <w:r>
                      <w:rPr>
                        <w:noProof/>
                      </w:rPr>
                      <w:t xml:space="preserve">[44] </w:t>
                    </w:r>
                  </w:p>
                </w:tc>
                <w:tc>
                  <w:tcPr>
                    <w:tcW w:w="0" w:type="auto"/>
                    <w:hideMark/>
                  </w:tcPr>
                  <w:p w14:paraId="08A36813" w14:textId="77777777" w:rsidR="00294F83" w:rsidRDefault="00294F83" w:rsidP="00FD2793">
                    <w:pPr>
                      <w:pStyle w:val="Bibliografia"/>
                      <w:jc w:val="both"/>
                      <w:rPr>
                        <w:noProof/>
                      </w:rPr>
                    </w:pPr>
                    <w:r>
                      <w:rPr>
                        <w:noProof/>
                      </w:rPr>
                      <w:t xml:space="preserve">S. Jin, X. Liu, J. Yang and J. Yuchao, "Spatial-temporal changes of land use/cover change and habitat quality in Sanjiang plain from 1985 to 2017," </w:t>
                    </w:r>
                    <w:r>
                      <w:rPr>
                        <w:i/>
                        <w:iCs/>
                        <w:noProof/>
                      </w:rPr>
                      <w:t xml:space="preserve">Frontiers in Environmental Science, </w:t>
                    </w:r>
                    <w:r>
                      <w:rPr>
                        <w:noProof/>
                      </w:rPr>
                      <w:t xml:space="preserve">2022. </w:t>
                    </w:r>
                  </w:p>
                </w:tc>
              </w:tr>
              <w:tr w:rsidR="00294F83" w14:paraId="57C31508" w14:textId="77777777">
                <w:trPr>
                  <w:divId w:val="1438258653"/>
                  <w:tblCellSpacing w:w="15" w:type="dxa"/>
                </w:trPr>
                <w:tc>
                  <w:tcPr>
                    <w:tcW w:w="50" w:type="pct"/>
                    <w:hideMark/>
                  </w:tcPr>
                  <w:p w14:paraId="450AC2FA" w14:textId="77777777" w:rsidR="00294F83" w:rsidRDefault="00294F83">
                    <w:pPr>
                      <w:pStyle w:val="Bibliografia"/>
                      <w:rPr>
                        <w:noProof/>
                      </w:rPr>
                    </w:pPr>
                    <w:r>
                      <w:rPr>
                        <w:noProof/>
                      </w:rPr>
                      <w:t xml:space="preserve">[45] </w:t>
                    </w:r>
                  </w:p>
                </w:tc>
                <w:tc>
                  <w:tcPr>
                    <w:tcW w:w="0" w:type="auto"/>
                    <w:hideMark/>
                  </w:tcPr>
                  <w:p w14:paraId="48E6C291" w14:textId="77777777" w:rsidR="00294F83" w:rsidRDefault="00294F83" w:rsidP="00FD2793">
                    <w:pPr>
                      <w:pStyle w:val="Bibliografia"/>
                      <w:jc w:val="both"/>
                      <w:rPr>
                        <w:noProof/>
                      </w:rPr>
                    </w:pPr>
                    <w:r>
                      <w:rPr>
                        <w:noProof/>
                      </w:rPr>
                      <w:t xml:space="preserve">A. K. García, "Territorial Conflicts, Agency and the Strategic Appropriation of Interventions in Kenya's Southern Drylands," </w:t>
                    </w:r>
                    <w:r>
                      <w:rPr>
                        <w:i/>
                        <w:iCs/>
                        <w:noProof/>
                      </w:rPr>
                      <w:t xml:space="preserve">Sustainability, </w:t>
                    </w:r>
                    <w:r>
                      <w:rPr>
                        <w:noProof/>
                      </w:rPr>
                      <w:t xml:space="preserve">p. 4156, 2018. </w:t>
                    </w:r>
                  </w:p>
                </w:tc>
              </w:tr>
              <w:tr w:rsidR="00294F83" w14:paraId="360EE5D2" w14:textId="77777777">
                <w:trPr>
                  <w:divId w:val="1438258653"/>
                  <w:tblCellSpacing w:w="15" w:type="dxa"/>
                </w:trPr>
                <w:tc>
                  <w:tcPr>
                    <w:tcW w:w="50" w:type="pct"/>
                    <w:hideMark/>
                  </w:tcPr>
                  <w:p w14:paraId="720AC45F" w14:textId="77777777" w:rsidR="00294F83" w:rsidRDefault="00294F83">
                    <w:pPr>
                      <w:pStyle w:val="Bibliografia"/>
                      <w:rPr>
                        <w:noProof/>
                      </w:rPr>
                    </w:pPr>
                    <w:r>
                      <w:rPr>
                        <w:noProof/>
                      </w:rPr>
                      <w:t xml:space="preserve">[46] </w:t>
                    </w:r>
                  </w:p>
                </w:tc>
                <w:tc>
                  <w:tcPr>
                    <w:tcW w:w="0" w:type="auto"/>
                    <w:hideMark/>
                  </w:tcPr>
                  <w:p w14:paraId="221C6301" w14:textId="77777777" w:rsidR="00294F83" w:rsidRDefault="00294F83" w:rsidP="00FD2793">
                    <w:pPr>
                      <w:pStyle w:val="Bibliografia"/>
                      <w:jc w:val="both"/>
                      <w:rPr>
                        <w:noProof/>
                      </w:rPr>
                    </w:pPr>
                    <w:r>
                      <w:rPr>
                        <w:noProof/>
                      </w:rPr>
                      <w:t xml:space="preserve">S. Y. Erol and G. Şahin, "Conflict Analysis in Natural Resources: Examination with Forest Management and Land-Use Change Cases," </w:t>
                    </w:r>
                    <w:r>
                      <w:rPr>
                        <w:i/>
                        <w:iCs/>
                        <w:noProof/>
                      </w:rPr>
                      <w:t xml:space="preserve">St. Kliment Ohridski University Press, </w:t>
                    </w:r>
                    <w:r>
                      <w:rPr>
                        <w:noProof/>
                      </w:rPr>
                      <w:t xml:space="preserve">2021. </w:t>
                    </w:r>
                  </w:p>
                </w:tc>
              </w:tr>
              <w:tr w:rsidR="00294F83" w14:paraId="484C00A6" w14:textId="77777777">
                <w:trPr>
                  <w:divId w:val="1438258653"/>
                  <w:tblCellSpacing w:w="15" w:type="dxa"/>
                </w:trPr>
                <w:tc>
                  <w:tcPr>
                    <w:tcW w:w="50" w:type="pct"/>
                    <w:hideMark/>
                  </w:tcPr>
                  <w:p w14:paraId="74937590" w14:textId="77777777" w:rsidR="00294F83" w:rsidRDefault="00294F83">
                    <w:pPr>
                      <w:pStyle w:val="Bibliografia"/>
                      <w:rPr>
                        <w:noProof/>
                      </w:rPr>
                    </w:pPr>
                    <w:r>
                      <w:rPr>
                        <w:noProof/>
                      </w:rPr>
                      <w:t xml:space="preserve">[47] </w:t>
                    </w:r>
                  </w:p>
                </w:tc>
                <w:tc>
                  <w:tcPr>
                    <w:tcW w:w="0" w:type="auto"/>
                    <w:hideMark/>
                  </w:tcPr>
                  <w:p w14:paraId="58121211" w14:textId="77777777" w:rsidR="00294F83" w:rsidRDefault="00294F83" w:rsidP="00FD2793">
                    <w:pPr>
                      <w:pStyle w:val="Bibliografia"/>
                      <w:jc w:val="both"/>
                      <w:rPr>
                        <w:noProof/>
                      </w:rPr>
                    </w:pPr>
                    <w:r>
                      <w:rPr>
                        <w:noProof/>
                      </w:rPr>
                      <w:t xml:space="preserve">A. Egeru, P. Okello, P. Mukwaya and P. Isubikalu, "The Effect of Land use/cover change on Biomass Stock in Dryland Areas of Eastern Uganda. A case study of Olio Sub-county in Soroti District," </w:t>
                    </w:r>
                    <w:r>
                      <w:rPr>
                        <w:i/>
                        <w:iCs/>
                        <w:noProof/>
                      </w:rPr>
                      <w:t xml:space="preserve">Journal of Applied Sciences and Environmental Management, </w:t>
                    </w:r>
                    <w:r>
                      <w:rPr>
                        <w:noProof/>
                      </w:rPr>
                      <w:t xml:space="preserve">2011. </w:t>
                    </w:r>
                  </w:p>
                </w:tc>
              </w:tr>
              <w:tr w:rsidR="00294F83" w14:paraId="72A598B1" w14:textId="77777777">
                <w:trPr>
                  <w:divId w:val="1438258653"/>
                  <w:tblCellSpacing w:w="15" w:type="dxa"/>
                </w:trPr>
                <w:tc>
                  <w:tcPr>
                    <w:tcW w:w="50" w:type="pct"/>
                    <w:hideMark/>
                  </w:tcPr>
                  <w:p w14:paraId="26C1BE6B" w14:textId="77777777" w:rsidR="00294F83" w:rsidRDefault="00294F83">
                    <w:pPr>
                      <w:pStyle w:val="Bibliografia"/>
                      <w:rPr>
                        <w:noProof/>
                      </w:rPr>
                    </w:pPr>
                    <w:r>
                      <w:rPr>
                        <w:noProof/>
                      </w:rPr>
                      <w:t xml:space="preserve">[48] </w:t>
                    </w:r>
                  </w:p>
                </w:tc>
                <w:tc>
                  <w:tcPr>
                    <w:tcW w:w="0" w:type="auto"/>
                    <w:hideMark/>
                  </w:tcPr>
                  <w:p w14:paraId="71B2C7BD" w14:textId="77777777" w:rsidR="00294F83" w:rsidRDefault="00294F83" w:rsidP="00FD2793">
                    <w:pPr>
                      <w:pStyle w:val="Bibliografia"/>
                      <w:jc w:val="both"/>
                      <w:rPr>
                        <w:noProof/>
                      </w:rPr>
                    </w:pPr>
                    <w:r>
                      <w:rPr>
                        <w:noProof/>
                      </w:rPr>
                      <w:t xml:space="preserve">S. Dong, Y. Li, Y. Li1 and S. Li, "Spatiotemporal Patterns and Drivers of Land Use and Land Cover Change in the China-Mongolia-Russia Economic Corridor," </w:t>
                    </w:r>
                    <w:r>
                      <w:rPr>
                        <w:i/>
                        <w:iCs/>
                        <w:noProof/>
                      </w:rPr>
                      <w:t xml:space="preserve">Environment Studies, </w:t>
                    </w:r>
                    <w:r>
                      <w:rPr>
                        <w:noProof/>
                      </w:rPr>
                      <w:t xml:space="preserve">pp. 2527-2541, 2021. </w:t>
                    </w:r>
                  </w:p>
                </w:tc>
              </w:tr>
              <w:tr w:rsidR="00294F83" w14:paraId="68E30E93" w14:textId="77777777">
                <w:trPr>
                  <w:divId w:val="1438258653"/>
                  <w:tblCellSpacing w:w="15" w:type="dxa"/>
                </w:trPr>
                <w:tc>
                  <w:tcPr>
                    <w:tcW w:w="50" w:type="pct"/>
                    <w:hideMark/>
                  </w:tcPr>
                  <w:p w14:paraId="55DFA208" w14:textId="77777777" w:rsidR="00294F83" w:rsidRDefault="00294F83">
                    <w:pPr>
                      <w:pStyle w:val="Bibliografia"/>
                      <w:rPr>
                        <w:noProof/>
                      </w:rPr>
                    </w:pPr>
                    <w:r>
                      <w:rPr>
                        <w:noProof/>
                      </w:rPr>
                      <w:t xml:space="preserve">[49] </w:t>
                    </w:r>
                  </w:p>
                </w:tc>
                <w:tc>
                  <w:tcPr>
                    <w:tcW w:w="0" w:type="auto"/>
                    <w:hideMark/>
                  </w:tcPr>
                  <w:p w14:paraId="7F57DDC0" w14:textId="77777777" w:rsidR="00294F83" w:rsidRDefault="00294F83" w:rsidP="00FD2793">
                    <w:pPr>
                      <w:pStyle w:val="Bibliografia"/>
                      <w:jc w:val="both"/>
                      <w:rPr>
                        <w:noProof/>
                      </w:rPr>
                    </w:pPr>
                    <w:r>
                      <w:rPr>
                        <w:noProof/>
                      </w:rPr>
                      <w:t xml:space="preserve">W. Amanuel, M. Tesfaye, A. Worku, G. Seyoum and Z. Mekonnen, "The role of dry land forests for climate change adaptation: the case of Liben Woreda, Southern Oromia, Ethiopia," </w:t>
                    </w:r>
                    <w:r>
                      <w:rPr>
                        <w:i/>
                        <w:iCs/>
                        <w:noProof/>
                      </w:rPr>
                      <w:t xml:space="preserve">Journal of Ecology and Environment, </w:t>
                    </w:r>
                    <w:r>
                      <w:rPr>
                        <w:noProof/>
                      </w:rPr>
                      <w:t xml:space="preserve">vol. 43, p. 11, 2019. </w:t>
                    </w:r>
                  </w:p>
                </w:tc>
              </w:tr>
              <w:tr w:rsidR="00294F83" w14:paraId="55766922" w14:textId="77777777">
                <w:trPr>
                  <w:divId w:val="1438258653"/>
                  <w:tblCellSpacing w:w="15" w:type="dxa"/>
                </w:trPr>
                <w:tc>
                  <w:tcPr>
                    <w:tcW w:w="50" w:type="pct"/>
                    <w:hideMark/>
                  </w:tcPr>
                  <w:p w14:paraId="69B3191B" w14:textId="77777777" w:rsidR="00294F83" w:rsidRDefault="00294F83">
                    <w:pPr>
                      <w:pStyle w:val="Bibliografia"/>
                      <w:rPr>
                        <w:noProof/>
                      </w:rPr>
                    </w:pPr>
                    <w:r>
                      <w:rPr>
                        <w:noProof/>
                      </w:rPr>
                      <w:t xml:space="preserve">[50] </w:t>
                    </w:r>
                  </w:p>
                </w:tc>
                <w:tc>
                  <w:tcPr>
                    <w:tcW w:w="0" w:type="auto"/>
                    <w:hideMark/>
                  </w:tcPr>
                  <w:p w14:paraId="16D71CBE" w14:textId="77777777" w:rsidR="00294F83" w:rsidRDefault="00294F83" w:rsidP="00FD2793">
                    <w:pPr>
                      <w:pStyle w:val="Bibliografia"/>
                      <w:jc w:val="both"/>
                      <w:rPr>
                        <w:noProof/>
                      </w:rPr>
                    </w:pPr>
                    <w:r>
                      <w:rPr>
                        <w:noProof/>
                      </w:rPr>
                      <w:t xml:space="preserve">K. Aipasa and S. Suhardiman, "Land use and land cover change in Manokwari, West Papua Province," </w:t>
                    </w:r>
                    <w:r>
                      <w:rPr>
                        <w:i/>
                        <w:iCs/>
                        <w:noProof/>
                      </w:rPr>
                      <w:t xml:space="preserve">Earth and Environmental Science, </w:t>
                    </w:r>
                    <w:r>
                      <w:rPr>
                        <w:noProof/>
                      </w:rPr>
                      <w:t xml:space="preserve">2023. </w:t>
                    </w:r>
                  </w:p>
                </w:tc>
              </w:tr>
            </w:tbl>
            <w:p w14:paraId="3AAC1B76" w14:textId="77777777" w:rsidR="00294F83" w:rsidRDefault="00294F83">
              <w:pPr>
                <w:divId w:val="1438258653"/>
                <w:rPr>
                  <w:noProof/>
                </w:rPr>
              </w:pPr>
            </w:p>
            <w:p w14:paraId="3C67EFFB" w14:textId="51E688CD" w:rsidR="00B01FCD" w:rsidRPr="00943BC0" w:rsidRDefault="005E5202" w:rsidP="00943BC0">
              <w:pPr>
                <w:jc w:val="both"/>
              </w:pPr>
              <w:r w:rsidRPr="00103EF8">
                <w:rPr>
                  <w:b/>
                  <w:bCs/>
                </w:rPr>
                <w:fldChar w:fldCharType="end"/>
              </w:r>
            </w:p>
          </w:sdtContent>
        </w:sdt>
      </w:sdtContent>
    </w:sdt>
    <w:p w14:paraId="258C5C6D" w14:textId="324CC879" w:rsidR="004D4277" w:rsidRPr="00103EF8" w:rsidRDefault="004D4277" w:rsidP="00D333E9">
      <w:pPr>
        <w:pStyle w:val="Appendix"/>
        <w:spacing w:after="0"/>
        <w:jc w:val="both"/>
        <w:rPr>
          <w:rFonts w:ascii="Arial" w:hAnsi="Arial" w:cs="Arial"/>
          <w:b w:val="0"/>
        </w:rPr>
        <w:sectPr w:rsidR="004D4277" w:rsidRPr="00103EF8" w:rsidSect="0062319C">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14C29658" w14:textId="3D60EBD0" w:rsidR="00B01FCD" w:rsidRPr="00FB3A86" w:rsidRDefault="00B01FCD" w:rsidP="00D333E9">
      <w:pPr>
        <w:pStyle w:val="Appendix"/>
        <w:spacing w:after="0"/>
        <w:jc w:val="both"/>
        <w:rPr>
          <w:rFonts w:ascii="Arial" w:hAnsi="Arial" w:cs="Arial"/>
          <w:b w:val="0"/>
        </w:rPr>
      </w:pPr>
    </w:p>
    <w:sectPr w:rsidR="00B01FCD" w:rsidRPr="00FB3A86" w:rsidSect="0062319C">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QA" w:date="2025-07-14T08:20:00Z" w:initials="LQA">
    <w:p w14:paraId="77322555" w14:textId="77777777" w:rsidR="00162A51" w:rsidRDefault="00162A51" w:rsidP="00162A51">
      <w:pPr>
        <w:pStyle w:val="Textodecomentrio"/>
      </w:pPr>
      <w:r>
        <w:rPr>
          <w:rStyle w:val="Refdecomentrio"/>
        </w:rPr>
        <w:annotationRef/>
      </w:r>
      <w:r>
        <w:t>Timber products?</w:t>
      </w:r>
    </w:p>
  </w:comment>
  <w:comment w:id="1" w:author="LQA" w:date="2025-07-14T08:22:00Z" w:initials="LQA">
    <w:p w14:paraId="50C7EBBA" w14:textId="77777777" w:rsidR="00162A51" w:rsidRDefault="00162A51" w:rsidP="00162A51">
      <w:pPr>
        <w:pStyle w:val="Textodecomentrio"/>
      </w:pPr>
      <w:r>
        <w:rPr>
          <w:rStyle w:val="Refdecomentrio"/>
        </w:rPr>
        <w:annotationRef/>
      </w:r>
      <w:r>
        <w:t>What geographical location? North? South? East? West of Kenya?</w:t>
      </w:r>
    </w:p>
  </w:comment>
  <w:comment w:id="2" w:author="LQA" w:date="2025-07-14T08:25:00Z" w:initials="LQA">
    <w:p w14:paraId="45D3D94D" w14:textId="77777777" w:rsidR="00162A51" w:rsidRDefault="00162A51" w:rsidP="00162A51">
      <w:pPr>
        <w:pStyle w:val="Textodecomentrio"/>
      </w:pPr>
      <w:r>
        <w:rPr>
          <w:rStyle w:val="Refdecomentrio"/>
        </w:rPr>
        <w:annotationRef/>
      </w:r>
      <w:r>
        <w:t>Please review this, quizzes?</w:t>
      </w:r>
    </w:p>
  </w:comment>
  <w:comment w:id="3" w:author="LQA" w:date="2025-07-14T08:28:00Z" w:initials="LQA">
    <w:p w14:paraId="6887D578" w14:textId="77777777" w:rsidR="00162A51" w:rsidRDefault="00162A51" w:rsidP="00162A51">
      <w:pPr>
        <w:pStyle w:val="Textodecomentrio"/>
      </w:pPr>
      <w:r>
        <w:rPr>
          <w:rStyle w:val="Refdecomentrio"/>
        </w:rPr>
        <w:annotationRef/>
      </w:r>
      <w:r>
        <w:t>Please, how many people in the communities practice plant extractivism for these purposes, so that they are the main drivers?</w:t>
      </w:r>
    </w:p>
  </w:comment>
  <w:comment w:id="4" w:author="LQA" w:date="2025-07-14T08:48:00Z" w:initials="LQA">
    <w:p w14:paraId="7A306173" w14:textId="77777777" w:rsidR="00162A51" w:rsidRDefault="00162A51" w:rsidP="00162A51">
      <w:pPr>
        <w:pStyle w:val="Textodecomentrio"/>
      </w:pPr>
      <w:r>
        <w:rPr>
          <w:rStyle w:val="Refdecomentrio"/>
        </w:rPr>
        <w:annotationRef/>
      </w:r>
      <w:r>
        <w:t>NO ROBLEM.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322555" w15:done="0"/>
  <w15:commentEx w15:paraId="50C7EBBA" w15:done="0"/>
  <w15:commentEx w15:paraId="45D3D94D" w15:done="0"/>
  <w15:commentEx w15:paraId="6887D578" w15:done="0"/>
  <w15:commentEx w15:paraId="7A3061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12949C" w16cex:dateUtc="2025-07-14T11:20:00Z"/>
  <w16cex:commentExtensible w16cex:durableId="7504A4D3" w16cex:dateUtc="2025-07-14T11:22:00Z"/>
  <w16cex:commentExtensible w16cex:durableId="66718BEA" w16cex:dateUtc="2025-07-14T11:25:00Z"/>
  <w16cex:commentExtensible w16cex:durableId="4E894CAE" w16cex:dateUtc="2025-07-14T11:28:00Z"/>
  <w16cex:commentExtensible w16cex:durableId="1D9188D5" w16cex:dateUtc="2025-07-14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322555" w16cid:durableId="0112949C"/>
  <w16cid:commentId w16cid:paraId="50C7EBBA" w16cid:durableId="7504A4D3"/>
  <w16cid:commentId w16cid:paraId="45D3D94D" w16cid:durableId="66718BEA"/>
  <w16cid:commentId w16cid:paraId="6887D578" w16cid:durableId="4E894CAE"/>
  <w16cid:commentId w16cid:paraId="7A306173" w16cid:durableId="1D9188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EBE34" w14:textId="77777777" w:rsidR="00D237E0" w:rsidRPr="00103EF8" w:rsidRDefault="00D237E0" w:rsidP="00C37E61">
      <w:r w:rsidRPr="00103EF8">
        <w:separator/>
      </w:r>
    </w:p>
  </w:endnote>
  <w:endnote w:type="continuationSeparator" w:id="0">
    <w:p w14:paraId="709D8D30" w14:textId="77777777" w:rsidR="00D237E0" w:rsidRPr="00103EF8" w:rsidRDefault="00D237E0" w:rsidP="00C37E61">
      <w:r w:rsidRPr="00103E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E0A50" w14:textId="77777777" w:rsidR="00621F9E" w:rsidRDefault="00621F9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F7159" w14:textId="77777777" w:rsidR="00621F9E" w:rsidRDefault="00621F9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F442A" w14:textId="77777777" w:rsidR="009E048A" w:rsidRPr="00103EF8" w:rsidRDefault="009E048A">
    <w:pPr>
      <w:pStyle w:val="Rodap"/>
      <w:rPr>
        <w:rFonts w:ascii="Arial" w:hAnsi="Arial" w:cs="Arial"/>
        <w:sz w:val="16"/>
      </w:rPr>
    </w:pPr>
  </w:p>
  <w:p w14:paraId="0A56B4AF" w14:textId="77777777" w:rsidR="009E048A" w:rsidRPr="00103EF8" w:rsidRDefault="009E048A" w:rsidP="009E048A">
    <w:pPr>
      <w:pStyle w:val="Rodap"/>
      <w:jc w:val="center"/>
      <w:rPr>
        <w:rFonts w:ascii="Arial" w:hAnsi="Arial" w:cs="Arial"/>
        <w:sz w:val="16"/>
      </w:rPr>
    </w:pPr>
    <w:r w:rsidRPr="00103EF8">
      <w:rPr>
        <w:rFonts w:ascii="Arial" w:hAnsi="Arial" w:cs="Arial"/>
        <w:sz w:val="16"/>
      </w:rPr>
      <w:t>____________________________________________________________________________________________</w:t>
    </w:r>
  </w:p>
  <w:p w14:paraId="3B5E649B" w14:textId="77777777" w:rsidR="009E048A" w:rsidRPr="00103EF8" w:rsidRDefault="009E048A">
    <w:pPr>
      <w:pStyle w:val="Rodap"/>
      <w:rPr>
        <w:rFonts w:ascii="Arial" w:hAnsi="Arial" w:cs="Arial"/>
        <w:sz w:val="16"/>
      </w:rPr>
    </w:pPr>
  </w:p>
  <w:p w14:paraId="2F466FA4" w14:textId="77777777" w:rsidR="00754C9A" w:rsidRPr="00103EF8" w:rsidRDefault="00754C9A">
    <w:pPr>
      <w:pStyle w:val="Rodap"/>
      <w:rPr>
        <w:rFonts w:ascii="Arial" w:hAnsi="Arial" w:cs="Arial"/>
        <w:i/>
        <w:sz w:val="16"/>
      </w:rPr>
    </w:pPr>
    <w:r w:rsidRPr="00103EF8">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BBDC6" w14:textId="77777777" w:rsidR="00C37E61" w:rsidRPr="00103EF8" w:rsidRDefault="00C37E61" w:rsidP="00C37E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87AC0" w14:textId="77777777" w:rsidR="00D237E0" w:rsidRPr="00103EF8" w:rsidRDefault="00D237E0" w:rsidP="00C37E61">
      <w:r w:rsidRPr="00103EF8">
        <w:separator/>
      </w:r>
    </w:p>
  </w:footnote>
  <w:footnote w:type="continuationSeparator" w:id="0">
    <w:p w14:paraId="51CE73A1" w14:textId="77777777" w:rsidR="00D237E0" w:rsidRPr="00103EF8" w:rsidRDefault="00D237E0" w:rsidP="00C37E61">
      <w:r w:rsidRPr="00103EF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4E482" w14:textId="58015D33" w:rsidR="00621F9E" w:rsidRDefault="00CE5916">
    <w:pPr>
      <w:pStyle w:val="Cabealho"/>
    </w:pPr>
    <w:r>
      <w:rPr>
        <w:noProof/>
      </w:rPr>
      <w:pict w14:anchorId="35E2C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5614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5AE82" w14:textId="2202EF4E" w:rsidR="00621F9E" w:rsidRDefault="00CE5916">
    <w:pPr>
      <w:pStyle w:val="Cabealho"/>
    </w:pPr>
    <w:r>
      <w:rPr>
        <w:noProof/>
      </w:rPr>
      <w:pict w14:anchorId="7E8727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5614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D47A4" w14:textId="6547157D" w:rsidR="00296529" w:rsidRPr="00103EF8" w:rsidRDefault="00CE5916" w:rsidP="00296529">
    <w:pPr>
      <w:ind w:left="2160"/>
      <w:jc w:val="center"/>
      <w:rPr>
        <w:rFonts w:ascii="Times New Roman" w:eastAsia="Calibri" w:hAnsi="Times New Roman"/>
        <w:i/>
        <w:sz w:val="18"/>
        <w:szCs w:val="22"/>
      </w:rPr>
    </w:pPr>
    <w:r>
      <w:rPr>
        <w:noProof/>
      </w:rPr>
      <w:pict w14:anchorId="420217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5614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AE246CE" w14:textId="77777777" w:rsidR="00296529" w:rsidRPr="00103EF8" w:rsidRDefault="00754C9A" w:rsidP="00296529">
    <w:pPr>
      <w:ind w:left="4320"/>
      <w:rPr>
        <w:rFonts w:ascii="Times New Roman" w:eastAsia="Calibri" w:hAnsi="Times New Roman"/>
        <w:i/>
        <w:sz w:val="18"/>
        <w:szCs w:val="22"/>
      </w:rPr>
    </w:pPr>
    <w:r w:rsidRPr="00103EF8">
      <w:rPr>
        <w:rFonts w:ascii="Times New Roman" w:eastAsia="Calibri" w:hAnsi="Times New Roman"/>
        <w:i/>
        <w:sz w:val="18"/>
        <w:szCs w:val="22"/>
      </w:rPr>
      <w:t xml:space="preserve">.     </w:t>
    </w:r>
  </w:p>
  <w:p w14:paraId="15C319B7" w14:textId="77777777" w:rsidR="00296529" w:rsidRPr="00103EF8" w:rsidRDefault="00754C9A" w:rsidP="00296529">
    <w:pPr>
      <w:jc w:val="center"/>
      <w:rPr>
        <w:rFonts w:ascii="Times New Roman" w:eastAsia="Calibri" w:hAnsi="Times New Roman"/>
        <w:i/>
        <w:sz w:val="18"/>
        <w:szCs w:val="22"/>
      </w:rPr>
    </w:pPr>
    <w:r w:rsidRPr="00103EF8">
      <w:rPr>
        <w:rFonts w:ascii="Times New Roman" w:eastAsia="Calibri" w:hAnsi="Times New Roman"/>
        <w:i/>
        <w:sz w:val="18"/>
        <w:szCs w:val="22"/>
      </w:rPr>
      <w:t>.</w:t>
    </w:r>
  </w:p>
  <w:p w14:paraId="78BE42E4" w14:textId="77777777" w:rsidR="00296529" w:rsidRPr="00103EF8" w:rsidRDefault="00296529" w:rsidP="00296529">
    <w:pPr>
      <w:spacing w:after="200"/>
      <w:jc w:val="center"/>
      <w:rPr>
        <w:rFonts w:ascii="Times New Roman" w:eastAsia="Calibri" w:hAnsi="Times New Roman"/>
        <w:b/>
        <w:i/>
        <w:sz w:val="32"/>
        <w:szCs w:val="22"/>
      </w:rPr>
    </w:pPr>
    <w:r w:rsidRPr="00103EF8">
      <w:rPr>
        <w:rFonts w:ascii="Times New Roman" w:eastAsia="Calibri" w:hAnsi="Times New Roman"/>
        <w:b/>
        <w:i/>
        <w:sz w:val="32"/>
        <w:szCs w:val="22"/>
      </w:rPr>
      <w:t xml:space="preserve">              . </w:t>
    </w:r>
  </w:p>
  <w:p w14:paraId="3619149F" w14:textId="77777777" w:rsidR="00296529" w:rsidRPr="00103EF8" w:rsidRDefault="00296529" w:rsidP="00296529">
    <w:pPr>
      <w:jc w:val="center"/>
      <w:rPr>
        <w:rFonts w:ascii="Times New Roman" w:eastAsia="Calibri" w:hAnsi="Times New Roman"/>
        <w:i/>
        <w:sz w:val="18"/>
        <w:szCs w:val="22"/>
      </w:rPr>
    </w:pPr>
    <w:r w:rsidRPr="00103EF8">
      <w:rPr>
        <w:rFonts w:ascii="Times New Roman" w:eastAsia="Calibri" w:hAnsi="Times New Roman"/>
        <w:i/>
        <w:sz w:val="18"/>
        <w:szCs w:val="22"/>
      </w:rPr>
      <w:t xml:space="preserve">                     </w:t>
    </w:r>
  </w:p>
  <w:p w14:paraId="7B38F1E6" w14:textId="77777777" w:rsidR="00296529" w:rsidRPr="00103EF8" w:rsidRDefault="00296529" w:rsidP="00296529">
    <w:pPr>
      <w:tabs>
        <w:tab w:val="left" w:pos="2145"/>
      </w:tabs>
      <w:rPr>
        <w:rFonts w:ascii="Times New Roman" w:eastAsia="Calibri" w:hAnsi="Times New Roman"/>
        <w:i/>
        <w:sz w:val="18"/>
        <w:szCs w:val="22"/>
      </w:rPr>
    </w:pPr>
    <w:r w:rsidRPr="00103EF8">
      <w:rPr>
        <w:rFonts w:ascii="Times New Roman" w:eastAsia="Calibri" w:hAnsi="Times New Roman"/>
        <w:i/>
        <w:sz w:val="18"/>
        <w:szCs w:val="22"/>
      </w:rPr>
      <w:tab/>
    </w:r>
    <w:r w:rsidR="00754C9A" w:rsidRPr="00103EF8">
      <w:rPr>
        <w:rFonts w:ascii="Times New Roman" w:eastAsia="Calibri" w:hAnsi="Times New Roman"/>
        <w:i/>
        <w:sz w:val="18"/>
        <w:szCs w:val="22"/>
      </w:rPr>
      <w:t>.</w:t>
    </w:r>
  </w:p>
  <w:p w14:paraId="52A4F219" w14:textId="77777777" w:rsidR="00296529" w:rsidRPr="00103EF8" w:rsidRDefault="00754C9A">
    <w:pPr>
      <w:pStyle w:val="Cabealho"/>
    </w:pPr>
    <w:r w:rsidRPr="00103EF8">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B9679" w14:textId="2C1CF387" w:rsidR="00621F9E" w:rsidRDefault="00CE5916">
    <w:pPr>
      <w:pStyle w:val="Cabealho"/>
    </w:pPr>
    <w:r>
      <w:rPr>
        <w:noProof/>
      </w:rPr>
      <w:pict w14:anchorId="291F2D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5614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513AB" w14:textId="54E900FD" w:rsidR="00621F9E" w:rsidRDefault="00CE5916">
    <w:pPr>
      <w:pStyle w:val="Cabealho"/>
    </w:pPr>
    <w:r>
      <w:rPr>
        <w:noProof/>
      </w:rPr>
      <w:pict w14:anchorId="5EAAAE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5614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B6255" w14:textId="2A05F0BC" w:rsidR="00621F9E" w:rsidRDefault="00CE5916">
    <w:pPr>
      <w:pStyle w:val="Cabealho"/>
    </w:pPr>
    <w:r>
      <w:rPr>
        <w:noProof/>
      </w:rPr>
      <w:pict w14:anchorId="1F7D6E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5614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0407C7"/>
    <w:multiLevelType w:val="multilevel"/>
    <w:tmpl w:val="FC0AA8AE"/>
    <w:lvl w:ilvl="0">
      <w:start w:val="1"/>
      <w:numFmt w:val="lowerRoman"/>
      <w:lvlText w:val="%1."/>
      <w:lvlJc w:val="right"/>
      <w:pPr>
        <w:ind w:left="72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50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794" w:hanging="1440"/>
      </w:pPr>
      <w:rPr>
        <w:rFonts w:hint="default"/>
      </w:rPr>
    </w:lvl>
    <w:lvl w:ilvl="8">
      <w:start w:val="1"/>
      <w:numFmt w:val="decimal"/>
      <w:lvlText w:val="%1.%2.%3.%4.%5.%6.%7.%8.%9"/>
      <w:lvlJc w:val="left"/>
      <w:pPr>
        <w:ind w:left="3296" w:hanging="1800"/>
      </w:pPr>
      <w:rPr>
        <w:rFonts w:hint="default"/>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19359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58628538">
    <w:abstractNumId w:val="15"/>
  </w:num>
  <w:num w:numId="3" w16cid:durableId="273482137">
    <w:abstractNumId w:val="24"/>
  </w:num>
  <w:num w:numId="4" w16cid:durableId="59887763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803497566">
    <w:abstractNumId w:val="7"/>
  </w:num>
  <w:num w:numId="6" w16cid:durableId="1805613083">
    <w:abstractNumId w:val="6"/>
  </w:num>
  <w:num w:numId="7" w16cid:durableId="532421385">
    <w:abstractNumId w:val="1"/>
  </w:num>
  <w:num w:numId="8" w16cid:durableId="1413503717">
    <w:abstractNumId w:val="12"/>
  </w:num>
  <w:num w:numId="9" w16cid:durableId="1188986175">
    <w:abstractNumId w:val="26"/>
  </w:num>
  <w:num w:numId="10" w16cid:durableId="1167213456">
    <w:abstractNumId w:val="2"/>
  </w:num>
  <w:num w:numId="11" w16cid:durableId="379403644">
    <w:abstractNumId w:val="19"/>
  </w:num>
  <w:num w:numId="12" w16cid:durableId="1086732950">
    <w:abstractNumId w:val="3"/>
  </w:num>
  <w:num w:numId="13" w16cid:durableId="424498793">
    <w:abstractNumId w:val="17"/>
  </w:num>
  <w:num w:numId="14" w16cid:durableId="1739090570">
    <w:abstractNumId w:val="8"/>
  </w:num>
  <w:num w:numId="15" w16cid:durableId="1601334669">
    <w:abstractNumId w:val="22"/>
  </w:num>
  <w:num w:numId="16" w16cid:durableId="819613199">
    <w:abstractNumId w:val="5"/>
  </w:num>
  <w:num w:numId="17" w16cid:durableId="1019694366">
    <w:abstractNumId w:val="23"/>
  </w:num>
  <w:num w:numId="18" w16cid:durableId="1861236410">
    <w:abstractNumId w:val="14"/>
  </w:num>
  <w:num w:numId="19" w16cid:durableId="1115370618">
    <w:abstractNumId w:val="29"/>
  </w:num>
  <w:num w:numId="20" w16cid:durableId="2137672432">
    <w:abstractNumId w:val="11"/>
  </w:num>
  <w:num w:numId="21" w16cid:durableId="1037704847">
    <w:abstractNumId w:val="9"/>
  </w:num>
  <w:num w:numId="22" w16cid:durableId="734200952">
    <w:abstractNumId w:val="13"/>
  </w:num>
  <w:num w:numId="23" w16cid:durableId="974139234">
    <w:abstractNumId w:val="20"/>
  </w:num>
  <w:num w:numId="24" w16cid:durableId="1399666273">
    <w:abstractNumId w:val="27"/>
  </w:num>
  <w:num w:numId="25" w16cid:durableId="167716770">
    <w:abstractNumId w:val="4"/>
  </w:num>
  <w:num w:numId="26" w16cid:durableId="2059745952">
    <w:abstractNumId w:val="16"/>
  </w:num>
  <w:num w:numId="27" w16cid:durableId="924341767">
    <w:abstractNumId w:val="21"/>
  </w:num>
  <w:num w:numId="28" w16cid:durableId="95635895">
    <w:abstractNumId w:val="28"/>
  </w:num>
  <w:num w:numId="29" w16cid:durableId="1426000944">
    <w:abstractNumId w:val="25"/>
  </w:num>
  <w:num w:numId="30" w16cid:durableId="588542099">
    <w:abstractNumId w:val="10"/>
  </w:num>
  <w:num w:numId="31" w16cid:durableId="3296007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QA">
    <w15:presenceInfo w15:providerId="None" w15:userId="LQ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47AD5"/>
    <w:rsid w:val="00052CE4"/>
    <w:rsid w:val="00077173"/>
    <w:rsid w:val="00092CEB"/>
    <w:rsid w:val="000A47FA"/>
    <w:rsid w:val="000A65D3"/>
    <w:rsid w:val="000B1E33"/>
    <w:rsid w:val="000C328D"/>
    <w:rsid w:val="000D689F"/>
    <w:rsid w:val="000E7B7B"/>
    <w:rsid w:val="000E7D62"/>
    <w:rsid w:val="00103357"/>
    <w:rsid w:val="00103EF8"/>
    <w:rsid w:val="001154F1"/>
    <w:rsid w:val="00123C9F"/>
    <w:rsid w:val="00126190"/>
    <w:rsid w:val="00130F17"/>
    <w:rsid w:val="001320BF"/>
    <w:rsid w:val="00162A51"/>
    <w:rsid w:val="00163BC4"/>
    <w:rsid w:val="00191062"/>
    <w:rsid w:val="00191B63"/>
    <w:rsid w:val="00192B72"/>
    <w:rsid w:val="00195D8F"/>
    <w:rsid w:val="001A29D8"/>
    <w:rsid w:val="001A5CAA"/>
    <w:rsid w:val="001B0427"/>
    <w:rsid w:val="001C180D"/>
    <w:rsid w:val="001D3A51"/>
    <w:rsid w:val="001E10D2"/>
    <w:rsid w:val="001E25B4"/>
    <w:rsid w:val="001E44FE"/>
    <w:rsid w:val="00200595"/>
    <w:rsid w:val="00204835"/>
    <w:rsid w:val="00210EB4"/>
    <w:rsid w:val="002139EA"/>
    <w:rsid w:val="00231920"/>
    <w:rsid w:val="0023195C"/>
    <w:rsid w:val="0024176A"/>
    <w:rsid w:val="0024282C"/>
    <w:rsid w:val="002460DC"/>
    <w:rsid w:val="00250985"/>
    <w:rsid w:val="002556F6"/>
    <w:rsid w:val="00256DDB"/>
    <w:rsid w:val="002573A4"/>
    <w:rsid w:val="00283105"/>
    <w:rsid w:val="00284C4C"/>
    <w:rsid w:val="00287E68"/>
    <w:rsid w:val="00294F83"/>
    <w:rsid w:val="00296529"/>
    <w:rsid w:val="002A0E56"/>
    <w:rsid w:val="002B27FB"/>
    <w:rsid w:val="002B685A"/>
    <w:rsid w:val="002C0F78"/>
    <w:rsid w:val="002C1510"/>
    <w:rsid w:val="002C57D2"/>
    <w:rsid w:val="002E0D56"/>
    <w:rsid w:val="00315186"/>
    <w:rsid w:val="0033343E"/>
    <w:rsid w:val="003512C2"/>
    <w:rsid w:val="00371FB6"/>
    <w:rsid w:val="003763C1"/>
    <w:rsid w:val="00376BBE"/>
    <w:rsid w:val="0038291C"/>
    <w:rsid w:val="0039224F"/>
    <w:rsid w:val="003A43A4"/>
    <w:rsid w:val="003A7E18"/>
    <w:rsid w:val="003A7EC8"/>
    <w:rsid w:val="003C4C86"/>
    <w:rsid w:val="003C6258"/>
    <w:rsid w:val="003E2239"/>
    <w:rsid w:val="003E2904"/>
    <w:rsid w:val="003E6CFB"/>
    <w:rsid w:val="00401927"/>
    <w:rsid w:val="0041027F"/>
    <w:rsid w:val="00412475"/>
    <w:rsid w:val="00413453"/>
    <w:rsid w:val="00423789"/>
    <w:rsid w:val="00434F45"/>
    <w:rsid w:val="00440F43"/>
    <w:rsid w:val="00441B6F"/>
    <w:rsid w:val="00446221"/>
    <w:rsid w:val="00450E62"/>
    <w:rsid w:val="004539DB"/>
    <w:rsid w:val="00471A80"/>
    <w:rsid w:val="0048162C"/>
    <w:rsid w:val="004820C0"/>
    <w:rsid w:val="00496F3F"/>
    <w:rsid w:val="004B6F9F"/>
    <w:rsid w:val="004D305E"/>
    <w:rsid w:val="004D4277"/>
    <w:rsid w:val="00502516"/>
    <w:rsid w:val="00505F06"/>
    <w:rsid w:val="00506828"/>
    <w:rsid w:val="00527D9E"/>
    <w:rsid w:val="0053056E"/>
    <w:rsid w:val="00554FDA"/>
    <w:rsid w:val="005931D5"/>
    <w:rsid w:val="005C595D"/>
    <w:rsid w:val="005C784C"/>
    <w:rsid w:val="005D17F6"/>
    <w:rsid w:val="005E5202"/>
    <w:rsid w:val="005E5539"/>
    <w:rsid w:val="005F5D6B"/>
    <w:rsid w:val="00602BF5"/>
    <w:rsid w:val="00617FDD"/>
    <w:rsid w:val="00621F9E"/>
    <w:rsid w:val="0062319C"/>
    <w:rsid w:val="006307B1"/>
    <w:rsid w:val="00633614"/>
    <w:rsid w:val="00633F68"/>
    <w:rsid w:val="00636EB2"/>
    <w:rsid w:val="006375B8"/>
    <w:rsid w:val="00641B59"/>
    <w:rsid w:val="0066510A"/>
    <w:rsid w:val="00673F9F"/>
    <w:rsid w:val="00686953"/>
    <w:rsid w:val="00687DEA"/>
    <w:rsid w:val="00687E67"/>
    <w:rsid w:val="006967F7"/>
    <w:rsid w:val="006A250C"/>
    <w:rsid w:val="006B21D3"/>
    <w:rsid w:val="006B57D0"/>
    <w:rsid w:val="006C1A46"/>
    <w:rsid w:val="006C59F0"/>
    <w:rsid w:val="006D30FF"/>
    <w:rsid w:val="006D5B16"/>
    <w:rsid w:val="006D6940"/>
    <w:rsid w:val="006F11EC"/>
    <w:rsid w:val="0070082C"/>
    <w:rsid w:val="007369E6"/>
    <w:rsid w:val="00746E59"/>
    <w:rsid w:val="00754C9A"/>
    <w:rsid w:val="0075599A"/>
    <w:rsid w:val="00755B6A"/>
    <w:rsid w:val="00761D52"/>
    <w:rsid w:val="0076406F"/>
    <w:rsid w:val="0077427D"/>
    <w:rsid w:val="0077749E"/>
    <w:rsid w:val="00790ADA"/>
    <w:rsid w:val="00792CF8"/>
    <w:rsid w:val="007C33E4"/>
    <w:rsid w:val="007D2288"/>
    <w:rsid w:val="007E088F"/>
    <w:rsid w:val="007F6D92"/>
    <w:rsid w:val="007F7B32"/>
    <w:rsid w:val="0080098B"/>
    <w:rsid w:val="00804BC2"/>
    <w:rsid w:val="0081431A"/>
    <w:rsid w:val="0083216F"/>
    <w:rsid w:val="00860000"/>
    <w:rsid w:val="00863BD3"/>
    <w:rsid w:val="008641ED"/>
    <w:rsid w:val="00866D66"/>
    <w:rsid w:val="008671C6"/>
    <w:rsid w:val="00875803"/>
    <w:rsid w:val="008B459E"/>
    <w:rsid w:val="008D00ED"/>
    <w:rsid w:val="008E13AE"/>
    <w:rsid w:val="008E1506"/>
    <w:rsid w:val="008E710C"/>
    <w:rsid w:val="008F69D6"/>
    <w:rsid w:val="00902823"/>
    <w:rsid w:val="00915CA6"/>
    <w:rsid w:val="009227CF"/>
    <w:rsid w:val="00927834"/>
    <w:rsid w:val="00943BC0"/>
    <w:rsid w:val="00947656"/>
    <w:rsid w:val="009500A6"/>
    <w:rsid w:val="00957C18"/>
    <w:rsid w:val="009659BA"/>
    <w:rsid w:val="00983040"/>
    <w:rsid w:val="00984030"/>
    <w:rsid w:val="009B3FB9"/>
    <w:rsid w:val="009C114A"/>
    <w:rsid w:val="009C2465"/>
    <w:rsid w:val="009C6F08"/>
    <w:rsid w:val="009D107A"/>
    <w:rsid w:val="009D35A0"/>
    <w:rsid w:val="009D7EB7"/>
    <w:rsid w:val="009E048A"/>
    <w:rsid w:val="009E08E9"/>
    <w:rsid w:val="009E3DB9"/>
    <w:rsid w:val="009E6E35"/>
    <w:rsid w:val="009F0EDA"/>
    <w:rsid w:val="00A03B96"/>
    <w:rsid w:val="00A05B19"/>
    <w:rsid w:val="00A1134E"/>
    <w:rsid w:val="00A21940"/>
    <w:rsid w:val="00A24E7E"/>
    <w:rsid w:val="00A258C3"/>
    <w:rsid w:val="00A31485"/>
    <w:rsid w:val="00A347C0"/>
    <w:rsid w:val="00A51431"/>
    <w:rsid w:val="00A539AD"/>
    <w:rsid w:val="00A6073B"/>
    <w:rsid w:val="00A90AF3"/>
    <w:rsid w:val="00A94063"/>
    <w:rsid w:val="00AA54D2"/>
    <w:rsid w:val="00AA6219"/>
    <w:rsid w:val="00AA74E0"/>
    <w:rsid w:val="00AB703F"/>
    <w:rsid w:val="00AC6BB8"/>
    <w:rsid w:val="00AE008F"/>
    <w:rsid w:val="00B01FCD"/>
    <w:rsid w:val="00B1776C"/>
    <w:rsid w:val="00B17AA3"/>
    <w:rsid w:val="00B47981"/>
    <w:rsid w:val="00B52583"/>
    <w:rsid w:val="00B52896"/>
    <w:rsid w:val="00B95236"/>
    <w:rsid w:val="00B96BD9"/>
    <w:rsid w:val="00BA1B01"/>
    <w:rsid w:val="00BA2641"/>
    <w:rsid w:val="00BB37AA"/>
    <w:rsid w:val="00BC53A0"/>
    <w:rsid w:val="00BE62AD"/>
    <w:rsid w:val="00BF121F"/>
    <w:rsid w:val="00BF1F80"/>
    <w:rsid w:val="00C14186"/>
    <w:rsid w:val="00C144D5"/>
    <w:rsid w:val="00C166EF"/>
    <w:rsid w:val="00C170F2"/>
    <w:rsid w:val="00C17EB0"/>
    <w:rsid w:val="00C27F5F"/>
    <w:rsid w:val="00C30A0F"/>
    <w:rsid w:val="00C375FA"/>
    <w:rsid w:val="00C37E61"/>
    <w:rsid w:val="00C70F1B"/>
    <w:rsid w:val="00C71A47"/>
    <w:rsid w:val="00C7464C"/>
    <w:rsid w:val="00C85588"/>
    <w:rsid w:val="00C931EF"/>
    <w:rsid w:val="00CB6D5A"/>
    <w:rsid w:val="00CC16AD"/>
    <w:rsid w:val="00CD4C4A"/>
    <w:rsid w:val="00CD6755"/>
    <w:rsid w:val="00CD6856"/>
    <w:rsid w:val="00CE0089"/>
    <w:rsid w:val="00CE2814"/>
    <w:rsid w:val="00CE5916"/>
    <w:rsid w:val="00CE793C"/>
    <w:rsid w:val="00CF193C"/>
    <w:rsid w:val="00CF419B"/>
    <w:rsid w:val="00D173F1"/>
    <w:rsid w:val="00D20E6A"/>
    <w:rsid w:val="00D237E0"/>
    <w:rsid w:val="00D333E9"/>
    <w:rsid w:val="00D503F5"/>
    <w:rsid w:val="00D55ECB"/>
    <w:rsid w:val="00D66A2B"/>
    <w:rsid w:val="00D74CB0"/>
    <w:rsid w:val="00D8295D"/>
    <w:rsid w:val="00DA7C9D"/>
    <w:rsid w:val="00DB2A12"/>
    <w:rsid w:val="00DC1BCA"/>
    <w:rsid w:val="00DC2A65"/>
    <w:rsid w:val="00DE15F0"/>
    <w:rsid w:val="00DE5663"/>
    <w:rsid w:val="00DE78AA"/>
    <w:rsid w:val="00E053D0"/>
    <w:rsid w:val="00E15994"/>
    <w:rsid w:val="00E1752C"/>
    <w:rsid w:val="00E3114E"/>
    <w:rsid w:val="00E31A70"/>
    <w:rsid w:val="00E35B02"/>
    <w:rsid w:val="00E66496"/>
    <w:rsid w:val="00E66B35"/>
    <w:rsid w:val="00E66E10"/>
    <w:rsid w:val="00E7696D"/>
    <w:rsid w:val="00E769F6"/>
    <w:rsid w:val="00E8407C"/>
    <w:rsid w:val="00E84F3C"/>
    <w:rsid w:val="00EA012C"/>
    <w:rsid w:val="00EA6981"/>
    <w:rsid w:val="00EB70C9"/>
    <w:rsid w:val="00EC6A55"/>
    <w:rsid w:val="00ED0288"/>
    <w:rsid w:val="00EE52CB"/>
    <w:rsid w:val="00EF581D"/>
    <w:rsid w:val="00EF7FD8"/>
    <w:rsid w:val="00F0152C"/>
    <w:rsid w:val="00F02C10"/>
    <w:rsid w:val="00F06F59"/>
    <w:rsid w:val="00F16895"/>
    <w:rsid w:val="00F17988"/>
    <w:rsid w:val="00F24AF4"/>
    <w:rsid w:val="00F318CB"/>
    <w:rsid w:val="00F469F0"/>
    <w:rsid w:val="00F53273"/>
    <w:rsid w:val="00F755E4"/>
    <w:rsid w:val="00F77D02"/>
    <w:rsid w:val="00F86E68"/>
    <w:rsid w:val="00FB3A86"/>
    <w:rsid w:val="00FB61AC"/>
    <w:rsid w:val="00FD1128"/>
    <w:rsid w:val="00FD2793"/>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9FED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lang w:val="en-GB"/>
    </w:rPr>
  </w:style>
  <w:style w:type="paragraph" w:styleId="Ttulo1">
    <w:name w:val="heading 1"/>
    <w:basedOn w:val="Normal"/>
    <w:next w:val="Normal"/>
    <w:link w:val="Ttulo1Char"/>
    <w:uiPriority w:val="9"/>
    <w:qFormat/>
    <w:rsid w:val="00423789"/>
    <w:pPr>
      <w:keepNext/>
      <w:spacing w:before="240" w:after="60"/>
      <w:outlineLvl w:val="0"/>
    </w:pPr>
    <w:rPr>
      <w:rFonts w:ascii="Arial" w:hAnsi="Arial"/>
      <w:b/>
      <w:kern w:val="28"/>
      <w:sz w:val="28"/>
    </w:rPr>
  </w:style>
  <w:style w:type="paragraph" w:styleId="Ttulo3">
    <w:name w:val="heading 3"/>
    <w:basedOn w:val="Normal"/>
    <w:next w:val="Normal"/>
    <w:link w:val="Ttulo3Char"/>
    <w:semiHidden/>
    <w:unhideWhenUsed/>
    <w:qFormat/>
    <w:rsid w:val="001C180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semiHidden/>
    <w:unhideWhenUsed/>
    <w:qFormat/>
    <w:rsid w:val="00792CF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tulo">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Rodap">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Cabealho">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Assinatur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Fontepargpadro"/>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Fontepargpadro"/>
    <w:rsid w:val="00030174"/>
    <w:rPr>
      <w:color w:val="FF0080"/>
      <w:u w:val="single"/>
    </w:rPr>
  </w:style>
  <w:style w:type="character" w:styleId="HiperlinkVisitado">
    <w:name w:val="FollowedHyperlink"/>
    <w:basedOn w:val="Fontepargpadro"/>
    <w:rsid w:val="00FB3A86"/>
    <w:rPr>
      <w:color w:val="800080"/>
      <w:u w:val="single"/>
    </w:rPr>
  </w:style>
  <w:style w:type="table" w:styleId="Tabelacomgrade">
    <w:name w:val="Table Grid"/>
    <w:basedOn w:val="Tabela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EF7FD8"/>
    <w:pPr>
      <w:spacing w:after="120" w:line="480" w:lineRule="auto"/>
    </w:pPr>
  </w:style>
  <w:style w:type="character" w:customStyle="1" w:styleId="Corpodetexto2Char">
    <w:name w:val="Corpo de texto 2 Char"/>
    <w:basedOn w:val="Fontepargpadro"/>
    <w:link w:val="Corpodetexto2"/>
    <w:rsid w:val="00EF7FD8"/>
    <w:rPr>
      <w:rFonts w:ascii="Helvetica" w:hAnsi="Helvetica"/>
    </w:rPr>
  </w:style>
  <w:style w:type="character" w:styleId="Refdecomentrio">
    <w:name w:val="annotation reference"/>
    <w:basedOn w:val="Fontepargpadro"/>
    <w:uiPriority w:val="99"/>
    <w:unhideWhenUsed/>
    <w:rsid w:val="00746E59"/>
    <w:rPr>
      <w:sz w:val="16"/>
      <w:szCs w:val="16"/>
    </w:rPr>
  </w:style>
  <w:style w:type="paragraph" w:styleId="Textodecomentrio">
    <w:name w:val="annotation text"/>
    <w:basedOn w:val="Normal"/>
    <w:link w:val="TextodecomentrioChar"/>
    <w:uiPriority w:val="99"/>
    <w:unhideWhenUsed/>
    <w:rsid w:val="00746E59"/>
    <w:rPr>
      <w:rFonts w:ascii="Times New Roman" w:hAnsi="Times New Roman"/>
      <w:lang w:val="nb-NO" w:eastAsia="nb-NO"/>
    </w:rPr>
  </w:style>
  <w:style w:type="character" w:customStyle="1" w:styleId="TextodecomentrioChar">
    <w:name w:val="Texto de comentário Char"/>
    <w:basedOn w:val="Fontepargpadro"/>
    <w:link w:val="Textodecomentrio"/>
    <w:uiPriority w:val="99"/>
    <w:rsid w:val="00746E59"/>
    <w:rPr>
      <w:lang w:val="nb-NO" w:eastAsia="nb-NO"/>
    </w:rPr>
  </w:style>
  <w:style w:type="paragraph" w:styleId="Textodebalo">
    <w:name w:val="Balloon Text"/>
    <w:basedOn w:val="Normal"/>
    <w:link w:val="TextodebaloChar"/>
    <w:rsid w:val="00746E59"/>
    <w:rPr>
      <w:rFonts w:ascii="Tahoma" w:hAnsi="Tahoma" w:cs="Tahoma"/>
      <w:sz w:val="16"/>
      <w:szCs w:val="16"/>
    </w:rPr>
  </w:style>
  <w:style w:type="character" w:customStyle="1" w:styleId="TextodebaloChar">
    <w:name w:val="Texto de balão Char"/>
    <w:basedOn w:val="Fontepargpadro"/>
    <w:link w:val="Textodebalo"/>
    <w:rsid w:val="00746E59"/>
    <w:rPr>
      <w:rFonts w:ascii="Tahoma" w:hAnsi="Tahoma" w:cs="Tahoma"/>
      <w:sz w:val="16"/>
      <w:szCs w:val="16"/>
    </w:rPr>
  </w:style>
  <w:style w:type="paragraph" w:styleId="Corpodetexto3">
    <w:name w:val="Body Text 3"/>
    <w:basedOn w:val="Normal"/>
    <w:link w:val="Corpodetexto3Char"/>
    <w:rsid w:val="00231920"/>
    <w:pPr>
      <w:spacing w:after="120"/>
    </w:pPr>
    <w:rPr>
      <w:sz w:val="16"/>
      <w:szCs w:val="16"/>
    </w:rPr>
  </w:style>
  <w:style w:type="character" w:customStyle="1" w:styleId="Corpodetexto3Char">
    <w:name w:val="Corpo de texto 3 Char"/>
    <w:basedOn w:val="Fontepargpadro"/>
    <w:link w:val="Corpodetexto3"/>
    <w:rsid w:val="00231920"/>
    <w:rPr>
      <w:rFonts w:ascii="Helvetica" w:hAnsi="Helvetica"/>
      <w:sz w:val="16"/>
      <w:szCs w:val="16"/>
    </w:rPr>
  </w:style>
  <w:style w:type="character" w:styleId="Nmerodelinha">
    <w:name w:val="line number"/>
    <w:basedOn w:val="Fontepargpadro"/>
    <w:rsid w:val="00412475"/>
  </w:style>
  <w:style w:type="character" w:styleId="nfase">
    <w:name w:val="Emphasis"/>
    <w:basedOn w:val="Fontepargpadro"/>
    <w:uiPriority w:val="20"/>
    <w:qFormat/>
    <w:rsid w:val="0024282C"/>
    <w:rPr>
      <w:i/>
      <w:iCs/>
    </w:rPr>
  </w:style>
  <w:style w:type="character" w:styleId="MenoPendente">
    <w:name w:val="Unresolved Mention"/>
    <w:basedOn w:val="Fontepargpadro"/>
    <w:uiPriority w:val="99"/>
    <w:semiHidden/>
    <w:unhideWhenUsed/>
    <w:rsid w:val="00287E68"/>
    <w:rPr>
      <w:color w:val="605E5C"/>
      <w:shd w:val="clear" w:color="auto" w:fill="E1DFDD"/>
    </w:rPr>
  </w:style>
  <w:style w:type="character" w:customStyle="1" w:styleId="Ttulo3Char">
    <w:name w:val="Título 3 Char"/>
    <w:basedOn w:val="Fontepargpadro"/>
    <w:link w:val="Ttulo3"/>
    <w:semiHidden/>
    <w:rsid w:val="001C180D"/>
    <w:rPr>
      <w:rFonts w:asciiTheme="majorHAnsi" w:eastAsiaTheme="majorEastAsia" w:hAnsiTheme="majorHAnsi" w:cstheme="majorBidi"/>
      <w:color w:val="243F60" w:themeColor="accent1" w:themeShade="7F"/>
      <w:sz w:val="24"/>
      <w:szCs w:val="24"/>
    </w:rPr>
  </w:style>
  <w:style w:type="paragraph" w:styleId="Legenda">
    <w:name w:val="caption"/>
    <w:basedOn w:val="Normal"/>
    <w:next w:val="Normal"/>
    <w:unhideWhenUsed/>
    <w:qFormat/>
    <w:rsid w:val="00527D9E"/>
    <w:pPr>
      <w:spacing w:after="200"/>
    </w:pPr>
    <w:rPr>
      <w:i/>
      <w:iCs/>
      <w:color w:val="1F497D" w:themeColor="text2"/>
      <w:sz w:val="18"/>
      <w:szCs w:val="18"/>
    </w:rPr>
  </w:style>
  <w:style w:type="character" w:customStyle="1" w:styleId="Ttulo4Char">
    <w:name w:val="Título 4 Char"/>
    <w:basedOn w:val="Fontepargpadro"/>
    <w:link w:val="Ttulo4"/>
    <w:semiHidden/>
    <w:rsid w:val="00792CF8"/>
    <w:rPr>
      <w:rFonts w:asciiTheme="majorHAnsi" w:eastAsiaTheme="majorEastAsia" w:hAnsiTheme="majorHAnsi" w:cstheme="majorBidi"/>
      <w:i/>
      <w:iCs/>
      <w:color w:val="365F91" w:themeColor="accent1" w:themeShade="BF"/>
    </w:rPr>
  </w:style>
  <w:style w:type="character" w:customStyle="1" w:styleId="Ttulo1Char">
    <w:name w:val="Título 1 Char"/>
    <w:basedOn w:val="Fontepargpadro"/>
    <w:link w:val="Ttulo1"/>
    <w:uiPriority w:val="9"/>
    <w:rsid w:val="005E5202"/>
    <w:rPr>
      <w:rFonts w:ascii="Arial" w:hAnsi="Arial"/>
      <w:b/>
      <w:kern w:val="28"/>
      <w:sz w:val="28"/>
    </w:rPr>
  </w:style>
  <w:style w:type="paragraph" w:styleId="Bibliografia">
    <w:name w:val="Bibliography"/>
    <w:basedOn w:val="Normal"/>
    <w:next w:val="Normal"/>
    <w:uiPriority w:val="37"/>
    <w:unhideWhenUsed/>
    <w:rsid w:val="005E5202"/>
  </w:style>
  <w:style w:type="character" w:styleId="nfaseSutil">
    <w:name w:val="Subtle Emphasis"/>
    <w:basedOn w:val="Fontepargpadro"/>
    <w:uiPriority w:val="19"/>
    <w:qFormat/>
    <w:rsid w:val="00FD1128"/>
    <w:rPr>
      <w:i/>
      <w:iCs/>
      <w:color w:val="404040" w:themeColor="text1" w:themeTint="BF"/>
    </w:rPr>
  </w:style>
  <w:style w:type="character" w:styleId="TextodoEspaoReservado">
    <w:name w:val="Placeholder Text"/>
    <w:basedOn w:val="Fontepargpadro"/>
    <w:uiPriority w:val="99"/>
    <w:semiHidden/>
    <w:rsid w:val="005C595D"/>
    <w:rPr>
      <w:color w:val="666666"/>
    </w:rPr>
  </w:style>
  <w:style w:type="paragraph" w:styleId="Assuntodocomentrio">
    <w:name w:val="annotation subject"/>
    <w:basedOn w:val="Textodecomentrio"/>
    <w:next w:val="Textodecomentrio"/>
    <w:link w:val="AssuntodocomentrioChar"/>
    <w:semiHidden/>
    <w:unhideWhenUsed/>
    <w:rsid w:val="00162A51"/>
    <w:rPr>
      <w:rFonts w:ascii="Helvetica" w:hAnsi="Helvetica"/>
      <w:b/>
      <w:bCs/>
      <w:lang w:val="en-GB" w:eastAsia="en-US"/>
    </w:rPr>
  </w:style>
  <w:style w:type="character" w:customStyle="1" w:styleId="AssuntodocomentrioChar">
    <w:name w:val="Assunto do comentário Char"/>
    <w:basedOn w:val="TextodecomentrioChar"/>
    <w:link w:val="Assuntodocomentrio"/>
    <w:semiHidden/>
    <w:rsid w:val="00162A51"/>
    <w:rPr>
      <w:rFonts w:ascii="Helvetica" w:hAnsi="Helvetica"/>
      <w:b/>
      <w:bCs/>
      <w:lang w:val="en-GB"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0768731">
      <w:bodyDiv w:val="1"/>
      <w:marLeft w:val="0"/>
      <w:marRight w:val="0"/>
      <w:marTop w:val="0"/>
      <w:marBottom w:val="0"/>
      <w:divBdr>
        <w:top w:val="none" w:sz="0" w:space="0" w:color="auto"/>
        <w:left w:val="none" w:sz="0" w:space="0" w:color="auto"/>
        <w:bottom w:val="none" w:sz="0" w:space="0" w:color="auto"/>
        <w:right w:val="none" w:sz="0" w:space="0" w:color="auto"/>
      </w:divBdr>
    </w:div>
    <w:div w:id="14305190">
      <w:bodyDiv w:val="1"/>
      <w:marLeft w:val="0"/>
      <w:marRight w:val="0"/>
      <w:marTop w:val="0"/>
      <w:marBottom w:val="0"/>
      <w:divBdr>
        <w:top w:val="none" w:sz="0" w:space="0" w:color="auto"/>
        <w:left w:val="none" w:sz="0" w:space="0" w:color="auto"/>
        <w:bottom w:val="none" w:sz="0" w:space="0" w:color="auto"/>
        <w:right w:val="none" w:sz="0" w:space="0" w:color="auto"/>
      </w:divBdr>
    </w:div>
    <w:div w:id="60564522">
      <w:bodyDiv w:val="1"/>
      <w:marLeft w:val="0"/>
      <w:marRight w:val="0"/>
      <w:marTop w:val="0"/>
      <w:marBottom w:val="0"/>
      <w:divBdr>
        <w:top w:val="none" w:sz="0" w:space="0" w:color="auto"/>
        <w:left w:val="none" w:sz="0" w:space="0" w:color="auto"/>
        <w:bottom w:val="none" w:sz="0" w:space="0" w:color="auto"/>
        <w:right w:val="none" w:sz="0" w:space="0" w:color="auto"/>
      </w:divBdr>
    </w:div>
    <w:div w:id="93986289">
      <w:bodyDiv w:val="1"/>
      <w:marLeft w:val="0"/>
      <w:marRight w:val="0"/>
      <w:marTop w:val="0"/>
      <w:marBottom w:val="0"/>
      <w:divBdr>
        <w:top w:val="none" w:sz="0" w:space="0" w:color="auto"/>
        <w:left w:val="none" w:sz="0" w:space="0" w:color="auto"/>
        <w:bottom w:val="none" w:sz="0" w:space="0" w:color="auto"/>
        <w:right w:val="none" w:sz="0" w:space="0" w:color="auto"/>
      </w:divBdr>
    </w:div>
    <w:div w:id="103038577">
      <w:bodyDiv w:val="1"/>
      <w:marLeft w:val="0"/>
      <w:marRight w:val="0"/>
      <w:marTop w:val="0"/>
      <w:marBottom w:val="0"/>
      <w:divBdr>
        <w:top w:val="none" w:sz="0" w:space="0" w:color="auto"/>
        <w:left w:val="none" w:sz="0" w:space="0" w:color="auto"/>
        <w:bottom w:val="none" w:sz="0" w:space="0" w:color="auto"/>
        <w:right w:val="none" w:sz="0" w:space="0" w:color="auto"/>
      </w:divBdr>
    </w:div>
    <w:div w:id="113528346">
      <w:bodyDiv w:val="1"/>
      <w:marLeft w:val="0"/>
      <w:marRight w:val="0"/>
      <w:marTop w:val="0"/>
      <w:marBottom w:val="0"/>
      <w:divBdr>
        <w:top w:val="none" w:sz="0" w:space="0" w:color="auto"/>
        <w:left w:val="none" w:sz="0" w:space="0" w:color="auto"/>
        <w:bottom w:val="none" w:sz="0" w:space="0" w:color="auto"/>
        <w:right w:val="none" w:sz="0" w:space="0" w:color="auto"/>
      </w:divBdr>
    </w:div>
    <w:div w:id="130558925">
      <w:bodyDiv w:val="1"/>
      <w:marLeft w:val="0"/>
      <w:marRight w:val="0"/>
      <w:marTop w:val="0"/>
      <w:marBottom w:val="0"/>
      <w:divBdr>
        <w:top w:val="none" w:sz="0" w:space="0" w:color="auto"/>
        <w:left w:val="none" w:sz="0" w:space="0" w:color="auto"/>
        <w:bottom w:val="none" w:sz="0" w:space="0" w:color="auto"/>
        <w:right w:val="none" w:sz="0" w:space="0" w:color="auto"/>
      </w:divBdr>
    </w:div>
    <w:div w:id="146752736">
      <w:bodyDiv w:val="1"/>
      <w:marLeft w:val="0"/>
      <w:marRight w:val="0"/>
      <w:marTop w:val="0"/>
      <w:marBottom w:val="0"/>
      <w:divBdr>
        <w:top w:val="none" w:sz="0" w:space="0" w:color="auto"/>
        <w:left w:val="none" w:sz="0" w:space="0" w:color="auto"/>
        <w:bottom w:val="none" w:sz="0" w:space="0" w:color="auto"/>
        <w:right w:val="none" w:sz="0" w:space="0" w:color="auto"/>
      </w:divBdr>
    </w:div>
    <w:div w:id="146945542">
      <w:bodyDiv w:val="1"/>
      <w:marLeft w:val="0"/>
      <w:marRight w:val="0"/>
      <w:marTop w:val="0"/>
      <w:marBottom w:val="0"/>
      <w:divBdr>
        <w:top w:val="none" w:sz="0" w:space="0" w:color="auto"/>
        <w:left w:val="none" w:sz="0" w:space="0" w:color="auto"/>
        <w:bottom w:val="none" w:sz="0" w:space="0" w:color="auto"/>
        <w:right w:val="none" w:sz="0" w:space="0" w:color="auto"/>
      </w:divBdr>
    </w:div>
    <w:div w:id="15573063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2286349">
      <w:bodyDiv w:val="1"/>
      <w:marLeft w:val="0"/>
      <w:marRight w:val="0"/>
      <w:marTop w:val="0"/>
      <w:marBottom w:val="0"/>
      <w:divBdr>
        <w:top w:val="none" w:sz="0" w:space="0" w:color="auto"/>
        <w:left w:val="none" w:sz="0" w:space="0" w:color="auto"/>
        <w:bottom w:val="none" w:sz="0" w:space="0" w:color="auto"/>
        <w:right w:val="none" w:sz="0" w:space="0" w:color="auto"/>
      </w:divBdr>
    </w:div>
    <w:div w:id="185103983">
      <w:bodyDiv w:val="1"/>
      <w:marLeft w:val="0"/>
      <w:marRight w:val="0"/>
      <w:marTop w:val="0"/>
      <w:marBottom w:val="0"/>
      <w:divBdr>
        <w:top w:val="none" w:sz="0" w:space="0" w:color="auto"/>
        <w:left w:val="none" w:sz="0" w:space="0" w:color="auto"/>
        <w:bottom w:val="none" w:sz="0" w:space="0" w:color="auto"/>
        <w:right w:val="none" w:sz="0" w:space="0" w:color="auto"/>
      </w:divBdr>
    </w:div>
    <w:div w:id="186716834">
      <w:bodyDiv w:val="1"/>
      <w:marLeft w:val="0"/>
      <w:marRight w:val="0"/>
      <w:marTop w:val="0"/>
      <w:marBottom w:val="0"/>
      <w:divBdr>
        <w:top w:val="none" w:sz="0" w:space="0" w:color="auto"/>
        <w:left w:val="none" w:sz="0" w:space="0" w:color="auto"/>
        <w:bottom w:val="none" w:sz="0" w:space="0" w:color="auto"/>
        <w:right w:val="none" w:sz="0" w:space="0" w:color="auto"/>
      </w:divBdr>
    </w:div>
    <w:div w:id="200172676">
      <w:bodyDiv w:val="1"/>
      <w:marLeft w:val="0"/>
      <w:marRight w:val="0"/>
      <w:marTop w:val="0"/>
      <w:marBottom w:val="0"/>
      <w:divBdr>
        <w:top w:val="none" w:sz="0" w:space="0" w:color="auto"/>
        <w:left w:val="none" w:sz="0" w:space="0" w:color="auto"/>
        <w:bottom w:val="none" w:sz="0" w:space="0" w:color="auto"/>
        <w:right w:val="none" w:sz="0" w:space="0" w:color="auto"/>
      </w:divBdr>
    </w:div>
    <w:div w:id="208760634">
      <w:bodyDiv w:val="1"/>
      <w:marLeft w:val="0"/>
      <w:marRight w:val="0"/>
      <w:marTop w:val="0"/>
      <w:marBottom w:val="0"/>
      <w:divBdr>
        <w:top w:val="none" w:sz="0" w:space="0" w:color="auto"/>
        <w:left w:val="none" w:sz="0" w:space="0" w:color="auto"/>
        <w:bottom w:val="none" w:sz="0" w:space="0" w:color="auto"/>
        <w:right w:val="none" w:sz="0" w:space="0" w:color="auto"/>
      </w:divBdr>
    </w:div>
    <w:div w:id="237324463">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5771282">
      <w:bodyDiv w:val="1"/>
      <w:marLeft w:val="0"/>
      <w:marRight w:val="0"/>
      <w:marTop w:val="0"/>
      <w:marBottom w:val="0"/>
      <w:divBdr>
        <w:top w:val="none" w:sz="0" w:space="0" w:color="auto"/>
        <w:left w:val="none" w:sz="0" w:space="0" w:color="auto"/>
        <w:bottom w:val="none" w:sz="0" w:space="0" w:color="auto"/>
        <w:right w:val="none" w:sz="0" w:space="0" w:color="auto"/>
      </w:divBdr>
    </w:div>
    <w:div w:id="254288862">
      <w:bodyDiv w:val="1"/>
      <w:marLeft w:val="0"/>
      <w:marRight w:val="0"/>
      <w:marTop w:val="0"/>
      <w:marBottom w:val="0"/>
      <w:divBdr>
        <w:top w:val="none" w:sz="0" w:space="0" w:color="auto"/>
        <w:left w:val="none" w:sz="0" w:space="0" w:color="auto"/>
        <w:bottom w:val="none" w:sz="0" w:space="0" w:color="auto"/>
        <w:right w:val="none" w:sz="0" w:space="0" w:color="auto"/>
      </w:divBdr>
    </w:div>
    <w:div w:id="256452192">
      <w:bodyDiv w:val="1"/>
      <w:marLeft w:val="0"/>
      <w:marRight w:val="0"/>
      <w:marTop w:val="0"/>
      <w:marBottom w:val="0"/>
      <w:divBdr>
        <w:top w:val="none" w:sz="0" w:space="0" w:color="auto"/>
        <w:left w:val="none" w:sz="0" w:space="0" w:color="auto"/>
        <w:bottom w:val="none" w:sz="0" w:space="0" w:color="auto"/>
        <w:right w:val="none" w:sz="0" w:space="0" w:color="auto"/>
      </w:divBdr>
    </w:div>
    <w:div w:id="261569172">
      <w:bodyDiv w:val="1"/>
      <w:marLeft w:val="0"/>
      <w:marRight w:val="0"/>
      <w:marTop w:val="0"/>
      <w:marBottom w:val="0"/>
      <w:divBdr>
        <w:top w:val="none" w:sz="0" w:space="0" w:color="auto"/>
        <w:left w:val="none" w:sz="0" w:space="0" w:color="auto"/>
        <w:bottom w:val="none" w:sz="0" w:space="0" w:color="auto"/>
        <w:right w:val="none" w:sz="0" w:space="0" w:color="auto"/>
      </w:divBdr>
    </w:div>
    <w:div w:id="286544866">
      <w:bodyDiv w:val="1"/>
      <w:marLeft w:val="0"/>
      <w:marRight w:val="0"/>
      <w:marTop w:val="0"/>
      <w:marBottom w:val="0"/>
      <w:divBdr>
        <w:top w:val="none" w:sz="0" w:space="0" w:color="auto"/>
        <w:left w:val="none" w:sz="0" w:space="0" w:color="auto"/>
        <w:bottom w:val="none" w:sz="0" w:space="0" w:color="auto"/>
        <w:right w:val="none" w:sz="0" w:space="0" w:color="auto"/>
      </w:divBdr>
    </w:div>
    <w:div w:id="288752609">
      <w:bodyDiv w:val="1"/>
      <w:marLeft w:val="0"/>
      <w:marRight w:val="0"/>
      <w:marTop w:val="0"/>
      <w:marBottom w:val="0"/>
      <w:divBdr>
        <w:top w:val="none" w:sz="0" w:space="0" w:color="auto"/>
        <w:left w:val="none" w:sz="0" w:space="0" w:color="auto"/>
        <w:bottom w:val="none" w:sz="0" w:space="0" w:color="auto"/>
        <w:right w:val="none" w:sz="0" w:space="0" w:color="auto"/>
      </w:divBdr>
    </w:div>
    <w:div w:id="343938172">
      <w:bodyDiv w:val="1"/>
      <w:marLeft w:val="0"/>
      <w:marRight w:val="0"/>
      <w:marTop w:val="0"/>
      <w:marBottom w:val="0"/>
      <w:divBdr>
        <w:top w:val="none" w:sz="0" w:space="0" w:color="auto"/>
        <w:left w:val="none" w:sz="0" w:space="0" w:color="auto"/>
        <w:bottom w:val="none" w:sz="0" w:space="0" w:color="auto"/>
        <w:right w:val="none" w:sz="0" w:space="0" w:color="auto"/>
      </w:divBdr>
    </w:div>
    <w:div w:id="361832020">
      <w:bodyDiv w:val="1"/>
      <w:marLeft w:val="0"/>
      <w:marRight w:val="0"/>
      <w:marTop w:val="0"/>
      <w:marBottom w:val="0"/>
      <w:divBdr>
        <w:top w:val="none" w:sz="0" w:space="0" w:color="auto"/>
        <w:left w:val="none" w:sz="0" w:space="0" w:color="auto"/>
        <w:bottom w:val="none" w:sz="0" w:space="0" w:color="auto"/>
        <w:right w:val="none" w:sz="0" w:space="0" w:color="auto"/>
      </w:divBdr>
    </w:div>
    <w:div w:id="380521902">
      <w:bodyDiv w:val="1"/>
      <w:marLeft w:val="0"/>
      <w:marRight w:val="0"/>
      <w:marTop w:val="0"/>
      <w:marBottom w:val="0"/>
      <w:divBdr>
        <w:top w:val="none" w:sz="0" w:space="0" w:color="auto"/>
        <w:left w:val="none" w:sz="0" w:space="0" w:color="auto"/>
        <w:bottom w:val="none" w:sz="0" w:space="0" w:color="auto"/>
        <w:right w:val="none" w:sz="0" w:space="0" w:color="auto"/>
      </w:divBdr>
    </w:div>
    <w:div w:id="394623016">
      <w:bodyDiv w:val="1"/>
      <w:marLeft w:val="0"/>
      <w:marRight w:val="0"/>
      <w:marTop w:val="0"/>
      <w:marBottom w:val="0"/>
      <w:divBdr>
        <w:top w:val="none" w:sz="0" w:space="0" w:color="auto"/>
        <w:left w:val="none" w:sz="0" w:space="0" w:color="auto"/>
        <w:bottom w:val="none" w:sz="0" w:space="0" w:color="auto"/>
        <w:right w:val="none" w:sz="0" w:space="0" w:color="auto"/>
      </w:divBdr>
    </w:div>
    <w:div w:id="402487503">
      <w:bodyDiv w:val="1"/>
      <w:marLeft w:val="0"/>
      <w:marRight w:val="0"/>
      <w:marTop w:val="0"/>
      <w:marBottom w:val="0"/>
      <w:divBdr>
        <w:top w:val="none" w:sz="0" w:space="0" w:color="auto"/>
        <w:left w:val="none" w:sz="0" w:space="0" w:color="auto"/>
        <w:bottom w:val="none" w:sz="0" w:space="0" w:color="auto"/>
        <w:right w:val="none" w:sz="0" w:space="0" w:color="auto"/>
      </w:divBdr>
    </w:div>
    <w:div w:id="409499800">
      <w:bodyDiv w:val="1"/>
      <w:marLeft w:val="0"/>
      <w:marRight w:val="0"/>
      <w:marTop w:val="0"/>
      <w:marBottom w:val="0"/>
      <w:divBdr>
        <w:top w:val="none" w:sz="0" w:space="0" w:color="auto"/>
        <w:left w:val="none" w:sz="0" w:space="0" w:color="auto"/>
        <w:bottom w:val="none" w:sz="0" w:space="0" w:color="auto"/>
        <w:right w:val="none" w:sz="0" w:space="0" w:color="auto"/>
      </w:divBdr>
    </w:div>
    <w:div w:id="412506710">
      <w:bodyDiv w:val="1"/>
      <w:marLeft w:val="0"/>
      <w:marRight w:val="0"/>
      <w:marTop w:val="0"/>
      <w:marBottom w:val="0"/>
      <w:divBdr>
        <w:top w:val="none" w:sz="0" w:space="0" w:color="auto"/>
        <w:left w:val="none" w:sz="0" w:space="0" w:color="auto"/>
        <w:bottom w:val="none" w:sz="0" w:space="0" w:color="auto"/>
        <w:right w:val="none" w:sz="0" w:space="0" w:color="auto"/>
      </w:divBdr>
    </w:div>
    <w:div w:id="427889771">
      <w:bodyDiv w:val="1"/>
      <w:marLeft w:val="0"/>
      <w:marRight w:val="0"/>
      <w:marTop w:val="0"/>
      <w:marBottom w:val="0"/>
      <w:divBdr>
        <w:top w:val="none" w:sz="0" w:space="0" w:color="auto"/>
        <w:left w:val="none" w:sz="0" w:space="0" w:color="auto"/>
        <w:bottom w:val="none" w:sz="0" w:space="0" w:color="auto"/>
        <w:right w:val="none" w:sz="0" w:space="0" w:color="auto"/>
      </w:divBdr>
    </w:div>
    <w:div w:id="436101197">
      <w:bodyDiv w:val="1"/>
      <w:marLeft w:val="0"/>
      <w:marRight w:val="0"/>
      <w:marTop w:val="0"/>
      <w:marBottom w:val="0"/>
      <w:divBdr>
        <w:top w:val="none" w:sz="0" w:space="0" w:color="auto"/>
        <w:left w:val="none" w:sz="0" w:space="0" w:color="auto"/>
        <w:bottom w:val="none" w:sz="0" w:space="0" w:color="auto"/>
        <w:right w:val="none" w:sz="0" w:space="0" w:color="auto"/>
      </w:divBdr>
    </w:div>
    <w:div w:id="439880146">
      <w:bodyDiv w:val="1"/>
      <w:marLeft w:val="0"/>
      <w:marRight w:val="0"/>
      <w:marTop w:val="0"/>
      <w:marBottom w:val="0"/>
      <w:divBdr>
        <w:top w:val="none" w:sz="0" w:space="0" w:color="auto"/>
        <w:left w:val="none" w:sz="0" w:space="0" w:color="auto"/>
        <w:bottom w:val="none" w:sz="0" w:space="0" w:color="auto"/>
        <w:right w:val="none" w:sz="0" w:space="0" w:color="auto"/>
      </w:divBdr>
    </w:div>
    <w:div w:id="455562654">
      <w:bodyDiv w:val="1"/>
      <w:marLeft w:val="0"/>
      <w:marRight w:val="0"/>
      <w:marTop w:val="0"/>
      <w:marBottom w:val="0"/>
      <w:divBdr>
        <w:top w:val="none" w:sz="0" w:space="0" w:color="auto"/>
        <w:left w:val="none" w:sz="0" w:space="0" w:color="auto"/>
        <w:bottom w:val="none" w:sz="0" w:space="0" w:color="auto"/>
        <w:right w:val="none" w:sz="0" w:space="0" w:color="auto"/>
      </w:divBdr>
    </w:div>
    <w:div w:id="479538539">
      <w:bodyDiv w:val="1"/>
      <w:marLeft w:val="0"/>
      <w:marRight w:val="0"/>
      <w:marTop w:val="0"/>
      <w:marBottom w:val="0"/>
      <w:divBdr>
        <w:top w:val="none" w:sz="0" w:space="0" w:color="auto"/>
        <w:left w:val="none" w:sz="0" w:space="0" w:color="auto"/>
        <w:bottom w:val="none" w:sz="0" w:space="0" w:color="auto"/>
        <w:right w:val="none" w:sz="0" w:space="0" w:color="auto"/>
      </w:divBdr>
    </w:div>
    <w:div w:id="532232982">
      <w:bodyDiv w:val="1"/>
      <w:marLeft w:val="0"/>
      <w:marRight w:val="0"/>
      <w:marTop w:val="0"/>
      <w:marBottom w:val="0"/>
      <w:divBdr>
        <w:top w:val="none" w:sz="0" w:space="0" w:color="auto"/>
        <w:left w:val="none" w:sz="0" w:space="0" w:color="auto"/>
        <w:bottom w:val="none" w:sz="0" w:space="0" w:color="auto"/>
        <w:right w:val="none" w:sz="0" w:space="0" w:color="auto"/>
      </w:divBdr>
    </w:div>
    <w:div w:id="536704657">
      <w:bodyDiv w:val="1"/>
      <w:marLeft w:val="0"/>
      <w:marRight w:val="0"/>
      <w:marTop w:val="0"/>
      <w:marBottom w:val="0"/>
      <w:divBdr>
        <w:top w:val="none" w:sz="0" w:space="0" w:color="auto"/>
        <w:left w:val="none" w:sz="0" w:space="0" w:color="auto"/>
        <w:bottom w:val="none" w:sz="0" w:space="0" w:color="auto"/>
        <w:right w:val="none" w:sz="0" w:space="0" w:color="auto"/>
      </w:divBdr>
    </w:div>
    <w:div w:id="541140005">
      <w:bodyDiv w:val="1"/>
      <w:marLeft w:val="0"/>
      <w:marRight w:val="0"/>
      <w:marTop w:val="0"/>
      <w:marBottom w:val="0"/>
      <w:divBdr>
        <w:top w:val="none" w:sz="0" w:space="0" w:color="auto"/>
        <w:left w:val="none" w:sz="0" w:space="0" w:color="auto"/>
        <w:bottom w:val="none" w:sz="0" w:space="0" w:color="auto"/>
        <w:right w:val="none" w:sz="0" w:space="0" w:color="auto"/>
      </w:divBdr>
    </w:div>
    <w:div w:id="554387637">
      <w:bodyDiv w:val="1"/>
      <w:marLeft w:val="0"/>
      <w:marRight w:val="0"/>
      <w:marTop w:val="0"/>
      <w:marBottom w:val="0"/>
      <w:divBdr>
        <w:top w:val="none" w:sz="0" w:space="0" w:color="auto"/>
        <w:left w:val="none" w:sz="0" w:space="0" w:color="auto"/>
        <w:bottom w:val="none" w:sz="0" w:space="0" w:color="auto"/>
        <w:right w:val="none" w:sz="0" w:space="0" w:color="auto"/>
      </w:divBdr>
    </w:div>
    <w:div w:id="563688295">
      <w:bodyDiv w:val="1"/>
      <w:marLeft w:val="0"/>
      <w:marRight w:val="0"/>
      <w:marTop w:val="0"/>
      <w:marBottom w:val="0"/>
      <w:divBdr>
        <w:top w:val="none" w:sz="0" w:space="0" w:color="auto"/>
        <w:left w:val="none" w:sz="0" w:space="0" w:color="auto"/>
        <w:bottom w:val="none" w:sz="0" w:space="0" w:color="auto"/>
        <w:right w:val="none" w:sz="0" w:space="0" w:color="auto"/>
      </w:divBdr>
    </w:div>
    <w:div w:id="58773335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2319979">
      <w:bodyDiv w:val="1"/>
      <w:marLeft w:val="0"/>
      <w:marRight w:val="0"/>
      <w:marTop w:val="0"/>
      <w:marBottom w:val="0"/>
      <w:divBdr>
        <w:top w:val="none" w:sz="0" w:space="0" w:color="auto"/>
        <w:left w:val="none" w:sz="0" w:space="0" w:color="auto"/>
        <w:bottom w:val="none" w:sz="0" w:space="0" w:color="auto"/>
        <w:right w:val="none" w:sz="0" w:space="0" w:color="auto"/>
      </w:divBdr>
    </w:div>
    <w:div w:id="709846639">
      <w:bodyDiv w:val="1"/>
      <w:marLeft w:val="0"/>
      <w:marRight w:val="0"/>
      <w:marTop w:val="0"/>
      <w:marBottom w:val="0"/>
      <w:divBdr>
        <w:top w:val="none" w:sz="0" w:space="0" w:color="auto"/>
        <w:left w:val="none" w:sz="0" w:space="0" w:color="auto"/>
        <w:bottom w:val="none" w:sz="0" w:space="0" w:color="auto"/>
        <w:right w:val="none" w:sz="0" w:space="0" w:color="auto"/>
      </w:divBdr>
    </w:div>
    <w:div w:id="716050393">
      <w:bodyDiv w:val="1"/>
      <w:marLeft w:val="0"/>
      <w:marRight w:val="0"/>
      <w:marTop w:val="0"/>
      <w:marBottom w:val="0"/>
      <w:divBdr>
        <w:top w:val="none" w:sz="0" w:space="0" w:color="auto"/>
        <w:left w:val="none" w:sz="0" w:space="0" w:color="auto"/>
        <w:bottom w:val="none" w:sz="0" w:space="0" w:color="auto"/>
        <w:right w:val="none" w:sz="0" w:space="0" w:color="auto"/>
      </w:divBdr>
    </w:div>
    <w:div w:id="770777807">
      <w:bodyDiv w:val="1"/>
      <w:marLeft w:val="0"/>
      <w:marRight w:val="0"/>
      <w:marTop w:val="0"/>
      <w:marBottom w:val="0"/>
      <w:divBdr>
        <w:top w:val="none" w:sz="0" w:space="0" w:color="auto"/>
        <w:left w:val="none" w:sz="0" w:space="0" w:color="auto"/>
        <w:bottom w:val="none" w:sz="0" w:space="0" w:color="auto"/>
        <w:right w:val="none" w:sz="0" w:space="0" w:color="auto"/>
      </w:divBdr>
    </w:div>
    <w:div w:id="776560520">
      <w:bodyDiv w:val="1"/>
      <w:marLeft w:val="0"/>
      <w:marRight w:val="0"/>
      <w:marTop w:val="0"/>
      <w:marBottom w:val="0"/>
      <w:divBdr>
        <w:top w:val="none" w:sz="0" w:space="0" w:color="auto"/>
        <w:left w:val="none" w:sz="0" w:space="0" w:color="auto"/>
        <w:bottom w:val="none" w:sz="0" w:space="0" w:color="auto"/>
        <w:right w:val="none" w:sz="0" w:space="0" w:color="auto"/>
      </w:divBdr>
    </w:div>
    <w:div w:id="794981356">
      <w:bodyDiv w:val="1"/>
      <w:marLeft w:val="0"/>
      <w:marRight w:val="0"/>
      <w:marTop w:val="0"/>
      <w:marBottom w:val="0"/>
      <w:divBdr>
        <w:top w:val="none" w:sz="0" w:space="0" w:color="auto"/>
        <w:left w:val="none" w:sz="0" w:space="0" w:color="auto"/>
        <w:bottom w:val="none" w:sz="0" w:space="0" w:color="auto"/>
        <w:right w:val="none" w:sz="0" w:space="0" w:color="auto"/>
      </w:divBdr>
    </w:div>
    <w:div w:id="797068188">
      <w:bodyDiv w:val="1"/>
      <w:marLeft w:val="0"/>
      <w:marRight w:val="0"/>
      <w:marTop w:val="0"/>
      <w:marBottom w:val="0"/>
      <w:divBdr>
        <w:top w:val="none" w:sz="0" w:space="0" w:color="auto"/>
        <w:left w:val="none" w:sz="0" w:space="0" w:color="auto"/>
        <w:bottom w:val="none" w:sz="0" w:space="0" w:color="auto"/>
        <w:right w:val="none" w:sz="0" w:space="0" w:color="auto"/>
      </w:divBdr>
    </w:div>
    <w:div w:id="798183428">
      <w:bodyDiv w:val="1"/>
      <w:marLeft w:val="0"/>
      <w:marRight w:val="0"/>
      <w:marTop w:val="0"/>
      <w:marBottom w:val="0"/>
      <w:divBdr>
        <w:top w:val="none" w:sz="0" w:space="0" w:color="auto"/>
        <w:left w:val="none" w:sz="0" w:space="0" w:color="auto"/>
        <w:bottom w:val="none" w:sz="0" w:space="0" w:color="auto"/>
        <w:right w:val="none" w:sz="0" w:space="0" w:color="auto"/>
      </w:divBdr>
    </w:div>
    <w:div w:id="801730996">
      <w:bodyDiv w:val="1"/>
      <w:marLeft w:val="0"/>
      <w:marRight w:val="0"/>
      <w:marTop w:val="0"/>
      <w:marBottom w:val="0"/>
      <w:divBdr>
        <w:top w:val="none" w:sz="0" w:space="0" w:color="auto"/>
        <w:left w:val="none" w:sz="0" w:space="0" w:color="auto"/>
        <w:bottom w:val="none" w:sz="0" w:space="0" w:color="auto"/>
        <w:right w:val="none" w:sz="0" w:space="0" w:color="auto"/>
      </w:divBdr>
    </w:div>
    <w:div w:id="805775557">
      <w:bodyDiv w:val="1"/>
      <w:marLeft w:val="0"/>
      <w:marRight w:val="0"/>
      <w:marTop w:val="0"/>
      <w:marBottom w:val="0"/>
      <w:divBdr>
        <w:top w:val="none" w:sz="0" w:space="0" w:color="auto"/>
        <w:left w:val="none" w:sz="0" w:space="0" w:color="auto"/>
        <w:bottom w:val="none" w:sz="0" w:space="0" w:color="auto"/>
        <w:right w:val="none" w:sz="0" w:space="0" w:color="auto"/>
      </w:divBdr>
    </w:div>
    <w:div w:id="811411317">
      <w:bodyDiv w:val="1"/>
      <w:marLeft w:val="0"/>
      <w:marRight w:val="0"/>
      <w:marTop w:val="0"/>
      <w:marBottom w:val="0"/>
      <w:divBdr>
        <w:top w:val="none" w:sz="0" w:space="0" w:color="auto"/>
        <w:left w:val="none" w:sz="0" w:space="0" w:color="auto"/>
        <w:bottom w:val="none" w:sz="0" w:space="0" w:color="auto"/>
        <w:right w:val="none" w:sz="0" w:space="0" w:color="auto"/>
      </w:divBdr>
    </w:div>
    <w:div w:id="812139782">
      <w:bodyDiv w:val="1"/>
      <w:marLeft w:val="0"/>
      <w:marRight w:val="0"/>
      <w:marTop w:val="0"/>
      <w:marBottom w:val="0"/>
      <w:divBdr>
        <w:top w:val="none" w:sz="0" w:space="0" w:color="auto"/>
        <w:left w:val="none" w:sz="0" w:space="0" w:color="auto"/>
        <w:bottom w:val="none" w:sz="0" w:space="0" w:color="auto"/>
        <w:right w:val="none" w:sz="0" w:space="0" w:color="auto"/>
      </w:divBdr>
    </w:div>
    <w:div w:id="855198117">
      <w:bodyDiv w:val="1"/>
      <w:marLeft w:val="0"/>
      <w:marRight w:val="0"/>
      <w:marTop w:val="0"/>
      <w:marBottom w:val="0"/>
      <w:divBdr>
        <w:top w:val="none" w:sz="0" w:space="0" w:color="auto"/>
        <w:left w:val="none" w:sz="0" w:space="0" w:color="auto"/>
        <w:bottom w:val="none" w:sz="0" w:space="0" w:color="auto"/>
        <w:right w:val="none" w:sz="0" w:space="0" w:color="auto"/>
      </w:divBdr>
    </w:div>
    <w:div w:id="906646995">
      <w:bodyDiv w:val="1"/>
      <w:marLeft w:val="0"/>
      <w:marRight w:val="0"/>
      <w:marTop w:val="0"/>
      <w:marBottom w:val="0"/>
      <w:divBdr>
        <w:top w:val="none" w:sz="0" w:space="0" w:color="auto"/>
        <w:left w:val="none" w:sz="0" w:space="0" w:color="auto"/>
        <w:bottom w:val="none" w:sz="0" w:space="0" w:color="auto"/>
        <w:right w:val="none" w:sz="0" w:space="0" w:color="auto"/>
      </w:divBdr>
    </w:div>
    <w:div w:id="914433237">
      <w:bodyDiv w:val="1"/>
      <w:marLeft w:val="0"/>
      <w:marRight w:val="0"/>
      <w:marTop w:val="0"/>
      <w:marBottom w:val="0"/>
      <w:divBdr>
        <w:top w:val="none" w:sz="0" w:space="0" w:color="auto"/>
        <w:left w:val="none" w:sz="0" w:space="0" w:color="auto"/>
        <w:bottom w:val="none" w:sz="0" w:space="0" w:color="auto"/>
        <w:right w:val="none" w:sz="0" w:space="0" w:color="auto"/>
      </w:divBdr>
    </w:div>
    <w:div w:id="921834075">
      <w:bodyDiv w:val="1"/>
      <w:marLeft w:val="0"/>
      <w:marRight w:val="0"/>
      <w:marTop w:val="0"/>
      <w:marBottom w:val="0"/>
      <w:divBdr>
        <w:top w:val="none" w:sz="0" w:space="0" w:color="auto"/>
        <w:left w:val="none" w:sz="0" w:space="0" w:color="auto"/>
        <w:bottom w:val="none" w:sz="0" w:space="0" w:color="auto"/>
        <w:right w:val="none" w:sz="0" w:space="0" w:color="auto"/>
      </w:divBdr>
    </w:div>
    <w:div w:id="927495206">
      <w:bodyDiv w:val="1"/>
      <w:marLeft w:val="0"/>
      <w:marRight w:val="0"/>
      <w:marTop w:val="0"/>
      <w:marBottom w:val="0"/>
      <w:divBdr>
        <w:top w:val="none" w:sz="0" w:space="0" w:color="auto"/>
        <w:left w:val="none" w:sz="0" w:space="0" w:color="auto"/>
        <w:bottom w:val="none" w:sz="0" w:space="0" w:color="auto"/>
        <w:right w:val="none" w:sz="0" w:space="0" w:color="auto"/>
      </w:divBdr>
    </w:div>
    <w:div w:id="97761131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0454401">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8553777">
      <w:bodyDiv w:val="1"/>
      <w:marLeft w:val="0"/>
      <w:marRight w:val="0"/>
      <w:marTop w:val="0"/>
      <w:marBottom w:val="0"/>
      <w:divBdr>
        <w:top w:val="none" w:sz="0" w:space="0" w:color="auto"/>
        <w:left w:val="none" w:sz="0" w:space="0" w:color="auto"/>
        <w:bottom w:val="none" w:sz="0" w:space="0" w:color="auto"/>
        <w:right w:val="none" w:sz="0" w:space="0" w:color="auto"/>
      </w:divBdr>
    </w:div>
    <w:div w:id="1039162849">
      <w:bodyDiv w:val="1"/>
      <w:marLeft w:val="0"/>
      <w:marRight w:val="0"/>
      <w:marTop w:val="0"/>
      <w:marBottom w:val="0"/>
      <w:divBdr>
        <w:top w:val="none" w:sz="0" w:space="0" w:color="auto"/>
        <w:left w:val="none" w:sz="0" w:space="0" w:color="auto"/>
        <w:bottom w:val="none" w:sz="0" w:space="0" w:color="auto"/>
        <w:right w:val="none" w:sz="0" w:space="0" w:color="auto"/>
      </w:divBdr>
    </w:div>
    <w:div w:id="1042024231">
      <w:bodyDiv w:val="1"/>
      <w:marLeft w:val="0"/>
      <w:marRight w:val="0"/>
      <w:marTop w:val="0"/>
      <w:marBottom w:val="0"/>
      <w:divBdr>
        <w:top w:val="none" w:sz="0" w:space="0" w:color="auto"/>
        <w:left w:val="none" w:sz="0" w:space="0" w:color="auto"/>
        <w:bottom w:val="none" w:sz="0" w:space="0" w:color="auto"/>
        <w:right w:val="none" w:sz="0" w:space="0" w:color="auto"/>
      </w:divBdr>
    </w:div>
    <w:div w:id="1046952418">
      <w:bodyDiv w:val="1"/>
      <w:marLeft w:val="0"/>
      <w:marRight w:val="0"/>
      <w:marTop w:val="0"/>
      <w:marBottom w:val="0"/>
      <w:divBdr>
        <w:top w:val="none" w:sz="0" w:space="0" w:color="auto"/>
        <w:left w:val="none" w:sz="0" w:space="0" w:color="auto"/>
        <w:bottom w:val="none" w:sz="0" w:space="0" w:color="auto"/>
        <w:right w:val="none" w:sz="0" w:space="0" w:color="auto"/>
      </w:divBdr>
    </w:div>
    <w:div w:id="1060516976">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4667606">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4709486">
      <w:bodyDiv w:val="1"/>
      <w:marLeft w:val="0"/>
      <w:marRight w:val="0"/>
      <w:marTop w:val="0"/>
      <w:marBottom w:val="0"/>
      <w:divBdr>
        <w:top w:val="none" w:sz="0" w:space="0" w:color="auto"/>
        <w:left w:val="none" w:sz="0" w:space="0" w:color="auto"/>
        <w:bottom w:val="none" w:sz="0" w:space="0" w:color="auto"/>
        <w:right w:val="none" w:sz="0" w:space="0" w:color="auto"/>
      </w:divBdr>
    </w:div>
    <w:div w:id="1119837861">
      <w:bodyDiv w:val="1"/>
      <w:marLeft w:val="0"/>
      <w:marRight w:val="0"/>
      <w:marTop w:val="0"/>
      <w:marBottom w:val="0"/>
      <w:divBdr>
        <w:top w:val="none" w:sz="0" w:space="0" w:color="auto"/>
        <w:left w:val="none" w:sz="0" w:space="0" w:color="auto"/>
        <w:bottom w:val="none" w:sz="0" w:space="0" w:color="auto"/>
        <w:right w:val="none" w:sz="0" w:space="0" w:color="auto"/>
      </w:divBdr>
    </w:div>
    <w:div w:id="1137796020">
      <w:bodyDiv w:val="1"/>
      <w:marLeft w:val="0"/>
      <w:marRight w:val="0"/>
      <w:marTop w:val="0"/>
      <w:marBottom w:val="0"/>
      <w:divBdr>
        <w:top w:val="none" w:sz="0" w:space="0" w:color="auto"/>
        <w:left w:val="none" w:sz="0" w:space="0" w:color="auto"/>
        <w:bottom w:val="none" w:sz="0" w:space="0" w:color="auto"/>
        <w:right w:val="none" w:sz="0" w:space="0" w:color="auto"/>
      </w:divBdr>
    </w:div>
    <w:div w:id="1140726097">
      <w:bodyDiv w:val="1"/>
      <w:marLeft w:val="0"/>
      <w:marRight w:val="0"/>
      <w:marTop w:val="0"/>
      <w:marBottom w:val="0"/>
      <w:divBdr>
        <w:top w:val="none" w:sz="0" w:space="0" w:color="auto"/>
        <w:left w:val="none" w:sz="0" w:space="0" w:color="auto"/>
        <w:bottom w:val="none" w:sz="0" w:space="0" w:color="auto"/>
        <w:right w:val="none" w:sz="0" w:space="0" w:color="auto"/>
      </w:divBdr>
    </w:div>
    <w:div w:id="1152404077">
      <w:bodyDiv w:val="1"/>
      <w:marLeft w:val="0"/>
      <w:marRight w:val="0"/>
      <w:marTop w:val="0"/>
      <w:marBottom w:val="0"/>
      <w:divBdr>
        <w:top w:val="none" w:sz="0" w:space="0" w:color="auto"/>
        <w:left w:val="none" w:sz="0" w:space="0" w:color="auto"/>
        <w:bottom w:val="none" w:sz="0" w:space="0" w:color="auto"/>
        <w:right w:val="none" w:sz="0" w:space="0" w:color="auto"/>
      </w:divBdr>
    </w:div>
    <w:div w:id="1165123041">
      <w:bodyDiv w:val="1"/>
      <w:marLeft w:val="0"/>
      <w:marRight w:val="0"/>
      <w:marTop w:val="0"/>
      <w:marBottom w:val="0"/>
      <w:divBdr>
        <w:top w:val="none" w:sz="0" w:space="0" w:color="auto"/>
        <w:left w:val="none" w:sz="0" w:space="0" w:color="auto"/>
        <w:bottom w:val="none" w:sz="0" w:space="0" w:color="auto"/>
        <w:right w:val="none" w:sz="0" w:space="0" w:color="auto"/>
      </w:divBdr>
    </w:div>
    <w:div w:id="1177378039">
      <w:bodyDiv w:val="1"/>
      <w:marLeft w:val="0"/>
      <w:marRight w:val="0"/>
      <w:marTop w:val="0"/>
      <w:marBottom w:val="0"/>
      <w:divBdr>
        <w:top w:val="none" w:sz="0" w:space="0" w:color="auto"/>
        <w:left w:val="none" w:sz="0" w:space="0" w:color="auto"/>
        <w:bottom w:val="none" w:sz="0" w:space="0" w:color="auto"/>
        <w:right w:val="none" w:sz="0" w:space="0" w:color="auto"/>
      </w:divBdr>
    </w:div>
    <w:div w:id="1178616096">
      <w:bodyDiv w:val="1"/>
      <w:marLeft w:val="0"/>
      <w:marRight w:val="0"/>
      <w:marTop w:val="0"/>
      <w:marBottom w:val="0"/>
      <w:divBdr>
        <w:top w:val="none" w:sz="0" w:space="0" w:color="auto"/>
        <w:left w:val="none" w:sz="0" w:space="0" w:color="auto"/>
        <w:bottom w:val="none" w:sz="0" w:space="0" w:color="auto"/>
        <w:right w:val="none" w:sz="0" w:space="0" w:color="auto"/>
      </w:divBdr>
    </w:div>
    <w:div w:id="1185024109">
      <w:bodyDiv w:val="1"/>
      <w:marLeft w:val="0"/>
      <w:marRight w:val="0"/>
      <w:marTop w:val="0"/>
      <w:marBottom w:val="0"/>
      <w:divBdr>
        <w:top w:val="none" w:sz="0" w:space="0" w:color="auto"/>
        <w:left w:val="none" w:sz="0" w:space="0" w:color="auto"/>
        <w:bottom w:val="none" w:sz="0" w:space="0" w:color="auto"/>
        <w:right w:val="none" w:sz="0" w:space="0" w:color="auto"/>
      </w:divBdr>
    </w:div>
    <w:div w:id="1210145813">
      <w:bodyDiv w:val="1"/>
      <w:marLeft w:val="0"/>
      <w:marRight w:val="0"/>
      <w:marTop w:val="0"/>
      <w:marBottom w:val="0"/>
      <w:divBdr>
        <w:top w:val="none" w:sz="0" w:space="0" w:color="auto"/>
        <w:left w:val="none" w:sz="0" w:space="0" w:color="auto"/>
        <w:bottom w:val="none" w:sz="0" w:space="0" w:color="auto"/>
        <w:right w:val="none" w:sz="0" w:space="0" w:color="auto"/>
      </w:divBdr>
    </w:div>
    <w:div w:id="1230577886">
      <w:bodyDiv w:val="1"/>
      <w:marLeft w:val="0"/>
      <w:marRight w:val="0"/>
      <w:marTop w:val="0"/>
      <w:marBottom w:val="0"/>
      <w:divBdr>
        <w:top w:val="none" w:sz="0" w:space="0" w:color="auto"/>
        <w:left w:val="none" w:sz="0" w:space="0" w:color="auto"/>
        <w:bottom w:val="none" w:sz="0" w:space="0" w:color="auto"/>
        <w:right w:val="none" w:sz="0" w:space="0" w:color="auto"/>
      </w:divBdr>
    </w:div>
    <w:div w:id="1251965038">
      <w:bodyDiv w:val="1"/>
      <w:marLeft w:val="0"/>
      <w:marRight w:val="0"/>
      <w:marTop w:val="0"/>
      <w:marBottom w:val="0"/>
      <w:divBdr>
        <w:top w:val="none" w:sz="0" w:space="0" w:color="auto"/>
        <w:left w:val="none" w:sz="0" w:space="0" w:color="auto"/>
        <w:bottom w:val="none" w:sz="0" w:space="0" w:color="auto"/>
        <w:right w:val="none" w:sz="0" w:space="0" w:color="auto"/>
      </w:divBdr>
    </w:div>
    <w:div w:id="1277256982">
      <w:bodyDiv w:val="1"/>
      <w:marLeft w:val="0"/>
      <w:marRight w:val="0"/>
      <w:marTop w:val="0"/>
      <w:marBottom w:val="0"/>
      <w:divBdr>
        <w:top w:val="none" w:sz="0" w:space="0" w:color="auto"/>
        <w:left w:val="none" w:sz="0" w:space="0" w:color="auto"/>
        <w:bottom w:val="none" w:sz="0" w:space="0" w:color="auto"/>
        <w:right w:val="none" w:sz="0" w:space="0" w:color="auto"/>
      </w:divBdr>
    </w:div>
    <w:div w:id="1287152684">
      <w:bodyDiv w:val="1"/>
      <w:marLeft w:val="0"/>
      <w:marRight w:val="0"/>
      <w:marTop w:val="0"/>
      <w:marBottom w:val="0"/>
      <w:divBdr>
        <w:top w:val="none" w:sz="0" w:space="0" w:color="auto"/>
        <w:left w:val="none" w:sz="0" w:space="0" w:color="auto"/>
        <w:bottom w:val="none" w:sz="0" w:space="0" w:color="auto"/>
        <w:right w:val="none" w:sz="0" w:space="0" w:color="auto"/>
      </w:divBdr>
    </w:div>
    <w:div w:id="1287279570">
      <w:bodyDiv w:val="1"/>
      <w:marLeft w:val="0"/>
      <w:marRight w:val="0"/>
      <w:marTop w:val="0"/>
      <w:marBottom w:val="0"/>
      <w:divBdr>
        <w:top w:val="none" w:sz="0" w:space="0" w:color="auto"/>
        <w:left w:val="none" w:sz="0" w:space="0" w:color="auto"/>
        <w:bottom w:val="none" w:sz="0" w:space="0" w:color="auto"/>
        <w:right w:val="none" w:sz="0" w:space="0" w:color="auto"/>
      </w:divBdr>
    </w:div>
    <w:div w:id="1305503353">
      <w:bodyDiv w:val="1"/>
      <w:marLeft w:val="0"/>
      <w:marRight w:val="0"/>
      <w:marTop w:val="0"/>
      <w:marBottom w:val="0"/>
      <w:divBdr>
        <w:top w:val="none" w:sz="0" w:space="0" w:color="auto"/>
        <w:left w:val="none" w:sz="0" w:space="0" w:color="auto"/>
        <w:bottom w:val="none" w:sz="0" w:space="0" w:color="auto"/>
        <w:right w:val="none" w:sz="0" w:space="0" w:color="auto"/>
      </w:divBdr>
    </w:div>
    <w:div w:id="1305544846">
      <w:bodyDiv w:val="1"/>
      <w:marLeft w:val="0"/>
      <w:marRight w:val="0"/>
      <w:marTop w:val="0"/>
      <w:marBottom w:val="0"/>
      <w:divBdr>
        <w:top w:val="none" w:sz="0" w:space="0" w:color="auto"/>
        <w:left w:val="none" w:sz="0" w:space="0" w:color="auto"/>
        <w:bottom w:val="none" w:sz="0" w:space="0" w:color="auto"/>
        <w:right w:val="none" w:sz="0" w:space="0" w:color="auto"/>
      </w:divBdr>
    </w:div>
    <w:div w:id="1314095025">
      <w:bodyDiv w:val="1"/>
      <w:marLeft w:val="0"/>
      <w:marRight w:val="0"/>
      <w:marTop w:val="0"/>
      <w:marBottom w:val="0"/>
      <w:divBdr>
        <w:top w:val="none" w:sz="0" w:space="0" w:color="auto"/>
        <w:left w:val="none" w:sz="0" w:space="0" w:color="auto"/>
        <w:bottom w:val="none" w:sz="0" w:space="0" w:color="auto"/>
        <w:right w:val="none" w:sz="0" w:space="0" w:color="auto"/>
      </w:divBdr>
    </w:div>
    <w:div w:id="1330448267">
      <w:bodyDiv w:val="1"/>
      <w:marLeft w:val="0"/>
      <w:marRight w:val="0"/>
      <w:marTop w:val="0"/>
      <w:marBottom w:val="0"/>
      <w:divBdr>
        <w:top w:val="none" w:sz="0" w:space="0" w:color="auto"/>
        <w:left w:val="none" w:sz="0" w:space="0" w:color="auto"/>
        <w:bottom w:val="none" w:sz="0" w:space="0" w:color="auto"/>
        <w:right w:val="none" w:sz="0" w:space="0" w:color="auto"/>
      </w:divBdr>
    </w:div>
    <w:div w:id="1330714888">
      <w:bodyDiv w:val="1"/>
      <w:marLeft w:val="0"/>
      <w:marRight w:val="0"/>
      <w:marTop w:val="0"/>
      <w:marBottom w:val="0"/>
      <w:divBdr>
        <w:top w:val="none" w:sz="0" w:space="0" w:color="auto"/>
        <w:left w:val="none" w:sz="0" w:space="0" w:color="auto"/>
        <w:bottom w:val="none" w:sz="0" w:space="0" w:color="auto"/>
        <w:right w:val="none" w:sz="0" w:space="0" w:color="auto"/>
      </w:divBdr>
    </w:div>
    <w:div w:id="1334987539">
      <w:bodyDiv w:val="1"/>
      <w:marLeft w:val="0"/>
      <w:marRight w:val="0"/>
      <w:marTop w:val="0"/>
      <w:marBottom w:val="0"/>
      <w:divBdr>
        <w:top w:val="none" w:sz="0" w:space="0" w:color="auto"/>
        <w:left w:val="none" w:sz="0" w:space="0" w:color="auto"/>
        <w:bottom w:val="none" w:sz="0" w:space="0" w:color="auto"/>
        <w:right w:val="none" w:sz="0" w:space="0" w:color="auto"/>
      </w:divBdr>
    </w:div>
    <w:div w:id="1353529729">
      <w:bodyDiv w:val="1"/>
      <w:marLeft w:val="0"/>
      <w:marRight w:val="0"/>
      <w:marTop w:val="0"/>
      <w:marBottom w:val="0"/>
      <w:divBdr>
        <w:top w:val="none" w:sz="0" w:space="0" w:color="auto"/>
        <w:left w:val="none" w:sz="0" w:space="0" w:color="auto"/>
        <w:bottom w:val="none" w:sz="0" w:space="0" w:color="auto"/>
        <w:right w:val="none" w:sz="0" w:space="0" w:color="auto"/>
      </w:divBdr>
    </w:div>
    <w:div w:id="1362129805">
      <w:bodyDiv w:val="1"/>
      <w:marLeft w:val="0"/>
      <w:marRight w:val="0"/>
      <w:marTop w:val="0"/>
      <w:marBottom w:val="0"/>
      <w:divBdr>
        <w:top w:val="none" w:sz="0" w:space="0" w:color="auto"/>
        <w:left w:val="none" w:sz="0" w:space="0" w:color="auto"/>
        <w:bottom w:val="none" w:sz="0" w:space="0" w:color="auto"/>
        <w:right w:val="none" w:sz="0" w:space="0" w:color="auto"/>
      </w:divBdr>
    </w:div>
    <w:div w:id="1408918903">
      <w:bodyDiv w:val="1"/>
      <w:marLeft w:val="0"/>
      <w:marRight w:val="0"/>
      <w:marTop w:val="0"/>
      <w:marBottom w:val="0"/>
      <w:divBdr>
        <w:top w:val="none" w:sz="0" w:space="0" w:color="auto"/>
        <w:left w:val="none" w:sz="0" w:space="0" w:color="auto"/>
        <w:bottom w:val="none" w:sz="0" w:space="0" w:color="auto"/>
        <w:right w:val="none" w:sz="0" w:space="0" w:color="auto"/>
      </w:divBdr>
    </w:div>
    <w:div w:id="1438258653">
      <w:bodyDiv w:val="1"/>
      <w:marLeft w:val="0"/>
      <w:marRight w:val="0"/>
      <w:marTop w:val="0"/>
      <w:marBottom w:val="0"/>
      <w:divBdr>
        <w:top w:val="none" w:sz="0" w:space="0" w:color="auto"/>
        <w:left w:val="none" w:sz="0" w:space="0" w:color="auto"/>
        <w:bottom w:val="none" w:sz="0" w:space="0" w:color="auto"/>
        <w:right w:val="none" w:sz="0" w:space="0" w:color="auto"/>
      </w:divBdr>
    </w:div>
    <w:div w:id="1449544814">
      <w:bodyDiv w:val="1"/>
      <w:marLeft w:val="0"/>
      <w:marRight w:val="0"/>
      <w:marTop w:val="0"/>
      <w:marBottom w:val="0"/>
      <w:divBdr>
        <w:top w:val="none" w:sz="0" w:space="0" w:color="auto"/>
        <w:left w:val="none" w:sz="0" w:space="0" w:color="auto"/>
        <w:bottom w:val="none" w:sz="0" w:space="0" w:color="auto"/>
        <w:right w:val="none" w:sz="0" w:space="0" w:color="auto"/>
      </w:divBdr>
    </w:div>
    <w:div w:id="1514882230">
      <w:bodyDiv w:val="1"/>
      <w:marLeft w:val="0"/>
      <w:marRight w:val="0"/>
      <w:marTop w:val="0"/>
      <w:marBottom w:val="0"/>
      <w:divBdr>
        <w:top w:val="none" w:sz="0" w:space="0" w:color="auto"/>
        <w:left w:val="none" w:sz="0" w:space="0" w:color="auto"/>
        <w:bottom w:val="none" w:sz="0" w:space="0" w:color="auto"/>
        <w:right w:val="none" w:sz="0" w:space="0" w:color="auto"/>
      </w:divBdr>
    </w:div>
    <w:div w:id="1529758985">
      <w:bodyDiv w:val="1"/>
      <w:marLeft w:val="0"/>
      <w:marRight w:val="0"/>
      <w:marTop w:val="0"/>
      <w:marBottom w:val="0"/>
      <w:divBdr>
        <w:top w:val="none" w:sz="0" w:space="0" w:color="auto"/>
        <w:left w:val="none" w:sz="0" w:space="0" w:color="auto"/>
        <w:bottom w:val="none" w:sz="0" w:space="0" w:color="auto"/>
        <w:right w:val="none" w:sz="0" w:space="0" w:color="auto"/>
      </w:divBdr>
    </w:div>
    <w:div w:id="1531188883">
      <w:bodyDiv w:val="1"/>
      <w:marLeft w:val="0"/>
      <w:marRight w:val="0"/>
      <w:marTop w:val="0"/>
      <w:marBottom w:val="0"/>
      <w:divBdr>
        <w:top w:val="none" w:sz="0" w:space="0" w:color="auto"/>
        <w:left w:val="none" w:sz="0" w:space="0" w:color="auto"/>
        <w:bottom w:val="none" w:sz="0" w:space="0" w:color="auto"/>
        <w:right w:val="none" w:sz="0" w:space="0" w:color="auto"/>
      </w:divBdr>
    </w:div>
    <w:div w:id="1570771781">
      <w:bodyDiv w:val="1"/>
      <w:marLeft w:val="0"/>
      <w:marRight w:val="0"/>
      <w:marTop w:val="0"/>
      <w:marBottom w:val="0"/>
      <w:divBdr>
        <w:top w:val="none" w:sz="0" w:space="0" w:color="auto"/>
        <w:left w:val="none" w:sz="0" w:space="0" w:color="auto"/>
        <w:bottom w:val="none" w:sz="0" w:space="0" w:color="auto"/>
        <w:right w:val="none" w:sz="0" w:space="0" w:color="auto"/>
      </w:divBdr>
    </w:div>
    <w:div w:id="1595936270">
      <w:bodyDiv w:val="1"/>
      <w:marLeft w:val="0"/>
      <w:marRight w:val="0"/>
      <w:marTop w:val="0"/>
      <w:marBottom w:val="0"/>
      <w:divBdr>
        <w:top w:val="none" w:sz="0" w:space="0" w:color="auto"/>
        <w:left w:val="none" w:sz="0" w:space="0" w:color="auto"/>
        <w:bottom w:val="none" w:sz="0" w:space="0" w:color="auto"/>
        <w:right w:val="none" w:sz="0" w:space="0" w:color="auto"/>
      </w:divBdr>
    </w:div>
    <w:div w:id="1646618483">
      <w:bodyDiv w:val="1"/>
      <w:marLeft w:val="0"/>
      <w:marRight w:val="0"/>
      <w:marTop w:val="0"/>
      <w:marBottom w:val="0"/>
      <w:divBdr>
        <w:top w:val="none" w:sz="0" w:space="0" w:color="auto"/>
        <w:left w:val="none" w:sz="0" w:space="0" w:color="auto"/>
        <w:bottom w:val="none" w:sz="0" w:space="0" w:color="auto"/>
        <w:right w:val="none" w:sz="0" w:space="0" w:color="auto"/>
      </w:divBdr>
    </w:div>
    <w:div w:id="1647587722">
      <w:bodyDiv w:val="1"/>
      <w:marLeft w:val="0"/>
      <w:marRight w:val="0"/>
      <w:marTop w:val="0"/>
      <w:marBottom w:val="0"/>
      <w:divBdr>
        <w:top w:val="none" w:sz="0" w:space="0" w:color="auto"/>
        <w:left w:val="none" w:sz="0" w:space="0" w:color="auto"/>
        <w:bottom w:val="none" w:sz="0" w:space="0" w:color="auto"/>
        <w:right w:val="none" w:sz="0" w:space="0" w:color="auto"/>
      </w:divBdr>
    </w:div>
    <w:div w:id="1662351113">
      <w:bodyDiv w:val="1"/>
      <w:marLeft w:val="0"/>
      <w:marRight w:val="0"/>
      <w:marTop w:val="0"/>
      <w:marBottom w:val="0"/>
      <w:divBdr>
        <w:top w:val="none" w:sz="0" w:space="0" w:color="auto"/>
        <w:left w:val="none" w:sz="0" w:space="0" w:color="auto"/>
        <w:bottom w:val="none" w:sz="0" w:space="0" w:color="auto"/>
        <w:right w:val="none" w:sz="0" w:space="0" w:color="auto"/>
      </w:divBdr>
    </w:div>
    <w:div w:id="1667243783">
      <w:bodyDiv w:val="1"/>
      <w:marLeft w:val="0"/>
      <w:marRight w:val="0"/>
      <w:marTop w:val="0"/>
      <w:marBottom w:val="0"/>
      <w:divBdr>
        <w:top w:val="none" w:sz="0" w:space="0" w:color="auto"/>
        <w:left w:val="none" w:sz="0" w:space="0" w:color="auto"/>
        <w:bottom w:val="none" w:sz="0" w:space="0" w:color="auto"/>
        <w:right w:val="none" w:sz="0" w:space="0" w:color="auto"/>
      </w:divBdr>
    </w:div>
    <w:div w:id="1691445615">
      <w:bodyDiv w:val="1"/>
      <w:marLeft w:val="0"/>
      <w:marRight w:val="0"/>
      <w:marTop w:val="0"/>
      <w:marBottom w:val="0"/>
      <w:divBdr>
        <w:top w:val="none" w:sz="0" w:space="0" w:color="auto"/>
        <w:left w:val="none" w:sz="0" w:space="0" w:color="auto"/>
        <w:bottom w:val="none" w:sz="0" w:space="0" w:color="auto"/>
        <w:right w:val="none" w:sz="0" w:space="0" w:color="auto"/>
      </w:divBdr>
    </w:div>
    <w:div w:id="1713656151">
      <w:bodyDiv w:val="1"/>
      <w:marLeft w:val="0"/>
      <w:marRight w:val="0"/>
      <w:marTop w:val="0"/>
      <w:marBottom w:val="0"/>
      <w:divBdr>
        <w:top w:val="none" w:sz="0" w:space="0" w:color="auto"/>
        <w:left w:val="none" w:sz="0" w:space="0" w:color="auto"/>
        <w:bottom w:val="none" w:sz="0" w:space="0" w:color="auto"/>
        <w:right w:val="none" w:sz="0" w:space="0" w:color="auto"/>
      </w:divBdr>
    </w:div>
    <w:div w:id="1734543381">
      <w:bodyDiv w:val="1"/>
      <w:marLeft w:val="0"/>
      <w:marRight w:val="0"/>
      <w:marTop w:val="0"/>
      <w:marBottom w:val="0"/>
      <w:divBdr>
        <w:top w:val="none" w:sz="0" w:space="0" w:color="auto"/>
        <w:left w:val="none" w:sz="0" w:space="0" w:color="auto"/>
        <w:bottom w:val="none" w:sz="0" w:space="0" w:color="auto"/>
        <w:right w:val="none" w:sz="0" w:space="0" w:color="auto"/>
      </w:divBdr>
    </w:div>
    <w:div w:id="174032019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3314179">
      <w:bodyDiv w:val="1"/>
      <w:marLeft w:val="0"/>
      <w:marRight w:val="0"/>
      <w:marTop w:val="0"/>
      <w:marBottom w:val="0"/>
      <w:divBdr>
        <w:top w:val="none" w:sz="0" w:space="0" w:color="auto"/>
        <w:left w:val="none" w:sz="0" w:space="0" w:color="auto"/>
        <w:bottom w:val="none" w:sz="0" w:space="0" w:color="auto"/>
        <w:right w:val="none" w:sz="0" w:space="0" w:color="auto"/>
      </w:divBdr>
    </w:div>
    <w:div w:id="1767729564">
      <w:bodyDiv w:val="1"/>
      <w:marLeft w:val="0"/>
      <w:marRight w:val="0"/>
      <w:marTop w:val="0"/>
      <w:marBottom w:val="0"/>
      <w:divBdr>
        <w:top w:val="none" w:sz="0" w:space="0" w:color="auto"/>
        <w:left w:val="none" w:sz="0" w:space="0" w:color="auto"/>
        <w:bottom w:val="none" w:sz="0" w:space="0" w:color="auto"/>
        <w:right w:val="none" w:sz="0" w:space="0" w:color="auto"/>
      </w:divBdr>
    </w:div>
    <w:div w:id="1772163777">
      <w:bodyDiv w:val="1"/>
      <w:marLeft w:val="0"/>
      <w:marRight w:val="0"/>
      <w:marTop w:val="0"/>
      <w:marBottom w:val="0"/>
      <w:divBdr>
        <w:top w:val="none" w:sz="0" w:space="0" w:color="auto"/>
        <w:left w:val="none" w:sz="0" w:space="0" w:color="auto"/>
        <w:bottom w:val="none" w:sz="0" w:space="0" w:color="auto"/>
        <w:right w:val="none" w:sz="0" w:space="0" w:color="auto"/>
      </w:divBdr>
    </w:div>
    <w:div w:id="1789859252">
      <w:bodyDiv w:val="1"/>
      <w:marLeft w:val="0"/>
      <w:marRight w:val="0"/>
      <w:marTop w:val="0"/>
      <w:marBottom w:val="0"/>
      <w:divBdr>
        <w:top w:val="none" w:sz="0" w:space="0" w:color="auto"/>
        <w:left w:val="none" w:sz="0" w:space="0" w:color="auto"/>
        <w:bottom w:val="none" w:sz="0" w:space="0" w:color="auto"/>
        <w:right w:val="none" w:sz="0" w:space="0" w:color="auto"/>
      </w:divBdr>
    </w:div>
    <w:div w:id="1824927764">
      <w:bodyDiv w:val="1"/>
      <w:marLeft w:val="0"/>
      <w:marRight w:val="0"/>
      <w:marTop w:val="0"/>
      <w:marBottom w:val="0"/>
      <w:divBdr>
        <w:top w:val="none" w:sz="0" w:space="0" w:color="auto"/>
        <w:left w:val="none" w:sz="0" w:space="0" w:color="auto"/>
        <w:bottom w:val="none" w:sz="0" w:space="0" w:color="auto"/>
        <w:right w:val="none" w:sz="0" w:space="0" w:color="auto"/>
      </w:divBdr>
    </w:div>
    <w:div w:id="1837960085">
      <w:bodyDiv w:val="1"/>
      <w:marLeft w:val="0"/>
      <w:marRight w:val="0"/>
      <w:marTop w:val="0"/>
      <w:marBottom w:val="0"/>
      <w:divBdr>
        <w:top w:val="none" w:sz="0" w:space="0" w:color="auto"/>
        <w:left w:val="none" w:sz="0" w:space="0" w:color="auto"/>
        <w:bottom w:val="none" w:sz="0" w:space="0" w:color="auto"/>
        <w:right w:val="none" w:sz="0" w:space="0" w:color="auto"/>
      </w:divBdr>
    </w:div>
    <w:div w:id="1850023238">
      <w:bodyDiv w:val="1"/>
      <w:marLeft w:val="0"/>
      <w:marRight w:val="0"/>
      <w:marTop w:val="0"/>
      <w:marBottom w:val="0"/>
      <w:divBdr>
        <w:top w:val="none" w:sz="0" w:space="0" w:color="auto"/>
        <w:left w:val="none" w:sz="0" w:space="0" w:color="auto"/>
        <w:bottom w:val="none" w:sz="0" w:space="0" w:color="auto"/>
        <w:right w:val="none" w:sz="0" w:space="0" w:color="auto"/>
      </w:divBdr>
    </w:div>
    <w:div w:id="1852527116">
      <w:bodyDiv w:val="1"/>
      <w:marLeft w:val="0"/>
      <w:marRight w:val="0"/>
      <w:marTop w:val="0"/>
      <w:marBottom w:val="0"/>
      <w:divBdr>
        <w:top w:val="none" w:sz="0" w:space="0" w:color="auto"/>
        <w:left w:val="none" w:sz="0" w:space="0" w:color="auto"/>
        <w:bottom w:val="none" w:sz="0" w:space="0" w:color="auto"/>
        <w:right w:val="none" w:sz="0" w:space="0" w:color="auto"/>
      </w:divBdr>
    </w:div>
    <w:div w:id="1853454409">
      <w:bodyDiv w:val="1"/>
      <w:marLeft w:val="0"/>
      <w:marRight w:val="0"/>
      <w:marTop w:val="0"/>
      <w:marBottom w:val="0"/>
      <w:divBdr>
        <w:top w:val="none" w:sz="0" w:space="0" w:color="auto"/>
        <w:left w:val="none" w:sz="0" w:space="0" w:color="auto"/>
        <w:bottom w:val="none" w:sz="0" w:space="0" w:color="auto"/>
        <w:right w:val="none" w:sz="0" w:space="0" w:color="auto"/>
      </w:divBdr>
    </w:div>
    <w:div w:id="1859615785">
      <w:bodyDiv w:val="1"/>
      <w:marLeft w:val="0"/>
      <w:marRight w:val="0"/>
      <w:marTop w:val="0"/>
      <w:marBottom w:val="0"/>
      <w:divBdr>
        <w:top w:val="none" w:sz="0" w:space="0" w:color="auto"/>
        <w:left w:val="none" w:sz="0" w:space="0" w:color="auto"/>
        <w:bottom w:val="none" w:sz="0" w:space="0" w:color="auto"/>
        <w:right w:val="none" w:sz="0" w:space="0" w:color="auto"/>
      </w:divBdr>
    </w:div>
    <w:div w:id="1864050100">
      <w:bodyDiv w:val="1"/>
      <w:marLeft w:val="0"/>
      <w:marRight w:val="0"/>
      <w:marTop w:val="0"/>
      <w:marBottom w:val="0"/>
      <w:divBdr>
        <w:top w:val="none" w:sz="0" w:space="0" w:color="auto"/>
        <w:left w:val="none" w:sz="0" w:space="0" w:color="auto"/>
        <w:bottom w:val="none" w:sz="0" w:space="0" w:color="auto"/>
        <w:right w:val="none" w:sz="0" w:space="0" w:color="auto"/>
      </w:divBdr>
    </w:div>
    <w:div w:id="1891767738">
      <w:bodyDiv w:val="1"/>
      <w:marLeft w:val="0"/>
      <w:marRight w:val="0"/>
      <w:marTop w:val="0"/>
      <w:marBottom w:val="0"/>
      <w:divBdr>
        <w:top w:val="none" w:sz="0" w:space="0" w:color="auto"/>
        <w:left w:val="none" w:sz="0" w:space="0" w:color="auto"/>
        <w:bottom w:val="none" w:sz="0" w:space="0" w:color="auto"/>
        <w:right w:val="none" w:sz="0" w:space="0" w:color="auto"/>
      </w:divBdr>
    </w:div>
    <w:div w:id="1898009617">
      <w:bodyDiv w:val="1"/>
      <w:marLeft w:val="0"/>
      <w:marRight w:val="0"/>
      <w:marTop w:val="0"/>
      <w:marBottom w:val="0"/>
      <w:divBdr>
        <w:top w:val="none" w:sz="0" w:space="0" w:color="auto"/>
        <w:left w:val="none" w:sz="0" w:space="0" w:color="auto"/>
        <w:bottom w:val="none" w:sz="0" w:space="0" w:color="auto"/>
        <w:right w:val="none" w:sz="0" w:space="0" w:color="auto"/>
      </w:divBdr>
    </w:div>
    <w:div w:id="1921715664">
      <w:bodyDiv w:val="1"/>
      <w:marLeft w:val="0"/>
      <w:marRight w:val="0"/>
      <w:marTop w:val="0"/>
      <w:marBottom w:val="0"/>
      <w:divBdr>
        <w:top w:val="none" w:sz="0" w:space="0" w:color="auto"/>
        <w:left w:val="none" w:sz="0" w:space="0" w:color="auto"/>
        <w:bottom w:val="none" w:sz="0" w:space="0" w:color="auto"/>
        <w:right w:val="none" w:sz="0" w:space="0" w:color="auto"/>
      </w:divBdr>
    </w:div>
    <w:div w:id="1925257373">
      <w:bodyDiv w:val="1"/>
      <w:marLeft w:val="0"/>
      <w:marRight w:val="0"/>
      <w:marTop w:val="0"/>
      <w:marBottom w:val="0"/>
      <w:divBdr>
        <w:top w:val="none" w:sz="0" w:space="0" w:color="auto"/>
        <w:left w:val="none" w:sz="0" w:space="0" w:color="auto"/>
        <w:bottom w:val="none" w:sz="0" w:space="0" w:color="auto"/>
        <w:right w:val="none" w:sz="0" w:space="0" w:color="auto"/>
      </w:divBdr>
    </w:div>
    <w:div w:id="1933198055">
      <w:bodyDiv w:val="1"/>
      <w:marLeft w:val="0"/>
      <w:marRight w:val="0"/>
      <w:marTop w:val="0"/>
      <w:marBottom w:val="0"/>
      <w:divBdr>
        <w:top w:val="none" w:sz="0" w:space="0" w:color="auto"/>
        <w:left w:val="none" w:sz="0" w:space="0" w:color="auto"/>
        <w:bottom w:val="none" w:sz="0" w:space="0" w:color="auto"/>
        <w:right w:val="none" w:sz="0" w:space="0" w:color="auto"/>
      </w:divBdr>
    </w:div>
    <w:div w:id="1945068771">
      <w:bodyDiv w:val="1"/>
      <w:marLeft w:val="0"/>
      <w:marRight w:val="0"/>
      <w:marTop w:val="0"/>
      <w:marBottom w:val="0"/>
      <w:divBdr>
        <w:top w:val="none" w:sz="0" w:space="0" w:color="auto"/>
        <w:left w:val="none" w:sz="0" w:space="0" w:color="auto"/>
        <w:bottom w:val="none" w:sz="0" w:space="0" w:color="auto"/>
        <w:right w:val="none" w:sz="0" w:space="0" w:color="auto"/>
      </w:divBdr>
    </w:div>
    <w:div w:id="1945381435">
      <w:bodyDiv w:val="1"/>
      <w:marLeft w:val="0"/>
      <w:marRight w:val="0"/>
      <w:marTop w:val="0"/>
      <w:marBottom w:val="0"/>
      <w:divBdr>
        <w:top w:val="none" w:sz="0" w:space="0" w:color="auto"/>
        <w:left w:val="none" w:sz="0" w:space="0" w:color="auto"/>
        <w:bottom w:val="none" w:sz="0" w:space="0" w:color="auto"/>
        <w:right w:val="none" w:sz="0" w:space="0" w:color="auto"/>
      </w:divBdr>
    </w:div>
    <w:div w:id="1958292962">
      <w:bodyDiv w:val="1"/>
      <w:marLeft w:val="0"/>
      <w:marRight w:val="0"/>
      <w:marTop w:val="0"/>
      <w:marBottom w:val="0"/>
      <w:divBdr>
        <w:top w:val="none" w:sz="0" w:space="0" w:color="auto"/>
        <w:left w:val="none" w:sz="0" w:space="0" w:color="auto"/>
        <w:bottom w:val="none" w:sz="0" w:space="0" w:color="auto"/>
        <w:right w:val="none" w:sz="0" w:space="0" w:color="auto"/>
      </w:divBdr>
    </w:div>
    <w:div w:id="1959675354">
      <w:bodyDiv w:val="1"/>
      <w:marLeft w:val="0"/>
      <w:marRight w:val="0"/>
      <w:marTop w:val="0"/>
      <w:marBottom w:val="0"/>
      <w:divBdr>
        <w:top w:val="none" w:sz="0" w:space="0" w:color="auto"/>
        <w:left w:val="none" w:sz="0" w:space="0" w:color="auto"/>
        <w:bottom w:val="none" w:sz="0" w:space="0" w:color="auto"/>
        <w:right w:val="none" w:sz="0" w:space="0" w:color="auto"/>
      </w:divBdr>
    </w:div>
    <w:div w:id="1963221909">
      <w:bodyDiv w:val="1"/>
      <w:marLeft w:val="0"/>
      <w:marRight w:val="0"/>
      <w:marTop w:val="0"/>
      <w:marBottom w:val="0"/>
      <w:divBdr>
        <w:top w:val="none" w:sz="0" w:space="0" w:color="auto"/>
        <w:left w:val="none" w:sz="0" w:space="0" w:color="auto"/>
        <w:bottom w:val="none" w:sz="0" w:space="0" w:color="auto"/>
        <w:right w:val="none" w:sz="0" w:space="0" w:color="auto"/>
      </w:divBdr>
    </w:div>
    <w:div w:id="1967855437">
      <w:bodyDiv w:val="1"/>
      <w:marLeft w:val="0"/>
      <w:marRight w:val="0"/>
      <w:marTop w:val="0"/>
      <w:marBottom w:val="0"/>
      <w:divBdr>
        <w:top w:val="none" w:sz="0" w:space="0" w:color="auto"/>
        <w:left w:val="none" w:sz="0" w:space="0" w:color="auto"/>
        <w:bottom w:val="none" w:sz="0" w:space="0" w:color="auto"/>
        <w:right w:val="none" w:sz="0" w:space="0" w:color="auto"/>
      </w:divBdr>
    </w:div>
    <w:div w:id="197112686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2154930">
      <w:bodyDiv w:val="1"/>
      <w:marLeft w:val="0"/>
      <w:marRight w:val="0"/>
      <w:marTop w:val="0"/>
      <w:marBottom w:val="0"/>
      <w:divBdr>
        <w:top w:val="none" w:sz="0" w:space="0" w:color="auto"/>
        <w:left w:val="none" w:sz="0" w:space="0" w:color="auto"/>
        <w:bottom w:val="none" w:sz="0" w:space="0" w:color="auto"/>
        <w:right w:val="none" w:sz="0" w:space="0" w:color="auto"/>
      </w:divBdr>
    </w:div>
    <w:div w:id="2022009620">
      <w:bodyDiv w:val="1"/>
      <w:marLeft w:val="0"/>
      <w:marRight w:val="0"/>
      <w:marTop w:val="0"/>
      <w:marBottom w:val="0"/>
      <w:divBdr>
        <w:top w:val="none" w:sz="0" w:space="0" w:color="auto"/>
        <w:left w:val="none" w:sz="0" w:space="0" w:color="auto"/>
        <w:bottom w:val="none" w:sz="0" w:space="0" w:color="auto"/>
        <w:right w:val="none" w:sz="0" w:space="0" w:color="auto"/>
      </w:divBdr>
    </w:div>
    <w:div w:id="2044594473">
      <w:bodyDiv w:val="1"/>
      <w:marLeft w:val="0"/>
      <w:marRight w:val="0"/>
      <w:marTop w:val="0"/>
      <w:marBottom w:val="0"/>
      <w:divBdr>
        <w:top w:val="none" w:sz="0" w:space="0" w:color="auto"/>
        <w:left w:val="none" w:sz="0" w:space="0" w:color="auto"/>
        <w:bottom w:val="none" w:sz="0" w:space="0" w:color="auto"/>
        <w:right w:val="none" w:sz="0" w:space="0" w:color="auto"/>
      </w:divBdr>
    </w:div>
    <w:div w:id="2044941618">
      <w:bodyDiv w:val="1"/>
      <w:marLeft w:val="0"/>
      <w:marRight w:val="0"/>
      <w:marTop w:val="0"/>
      <w:marBottom w:val="0"/>
      <w:divBdr>
        <w:top w:val="none" w:sz="0" w:space="0" w:color="auto"/>
        <w:left w:val="none" w:sz="0" w:space="0" w:color="auto"/>
        <w:bottom w:val="none" w:sz="0" w:space="0" w:color="auto"/>
        <w:right w:val="none" w:sz="0" w:space="0" w:color="auto"/>
      </w:divBdr>
    </w:div>
    <w:div w:id="2056661504">
      <w:bodyDiv w:val="1"/>
      <w:marLeft w:val="0"/>
      <w:marRight w:val="0"/>
      <w:marTop w:val="0"/>
      <w:marBottom w:val="0"/>
      <w:divBdr>
        <w:top w:val="none" w:sz="0" w:space="0" w:color="auto"/>
        <w:left w:val="none" w:sz="0" w:space="0" w:color="auto"/>
        <w:bottom w:val="none" w:sz="0" w:space="0" w:color="auto"/>
        <w:right w:val="none" w:sz="0" w:space="0" w:color="auto"/>
      </w:divBdr>
    </w:div>
    <w:div w:id="2073193040">
      <w:bodyDiv w:val="1"/>
      <w:marLeft w:val="0"/>
      <w:marRight w:val="0"/>
      <w:marTop w:val="0"/>
      <w:marBottom w:val="0"/>
      <w:divBdr>
        <w:top w:val="none" w:sz="0" w:space="0" w:color="auto"/>
        <w:left w:val="none" w:sz="0" w:space="0" w:color="auto"/>
        <w:bottom w:val="none" w:sz="0" w:space="0" w:color="auto"/>
        <w:right w:val="none" w:sz="0" w:space="0" w:color="auto"/>
      </w:divBdr>
    </w:div>
    <w:div w:id="2076274629">
      <w:bodyDiv w:val="1"/>
      <w:marLeft w:val="0"/>
      <w:marRight w:val="0"/>
      <w:marTop w:val="0"/>
      <w:marBottom w:val="0"/>
      <w:divBdr>
        <w:top w:val="none" w:sz="0" w:space="0" w:color="auto"/>
        <w:left w:val="none" w:sz="0" w:space="0" w:color="auto"/>
        <w:bottom w:val="none" w:sz="0" w:space="0" w:color="auto"/>
        <w:right w:val="none" w:sz="0" w:space="0" w:color="auto"/>
      </w:divBdr>
    </w:div>
    <w:div w:id="2113239530">
      <w:bodyDiv w:val="1"/>
      <w:marLeft w:val="0"/>
      <w:marRight w:val="0"/>
      <w:marTop w:val="0"/>
      <w:marBottom w:val="0"/>
      <w:divBdr>
        <w:top w:val="none" w:sz="0" w:space="0" w:color="auto"/>
        <w:left w:val="none" w:sz="0" w:space="0" w:color="auto"/>
        <w:bottom w:val="none" w:sz="0" w:space="0" w:color="auto"/>
        <w:right w:val="none" w:sz="0" w:space="0" w:color="auto"/>
      </w:divBdr>
    </w:div>
    <w:div w:id="213582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Coc20</b:Tag>
    <b:SourceType>JournalArticle</b:SourceType>
    <b:Guid>{29128676-8371-409F-BDB4-128B9E46B58E}</b:Guid>
    <b:Author>
      <b:Author>
        <b:NameList>
          <b:Person>
            <b:Last>Cochard</b:Last>
            <b:First>Roland</b:First>
          </b:Person>
          <b:Person>
            <b:Last>Nguyen</b:Last>
            <b:First>Van</b:First>
            <b:Middle>Hai Thi</b:Middle>
          </b:Person>
          <b:Person>
            <b:Last>Ngo</b:Last>
            <b:First>Dung</b:First>
            <b:Middle>Tri</b:Middle>
          </b:Person>
          <b:Person>
            <b:Last>Kull</b:Last>
            <b:First>Christian</b:First>
            <b:Middle>A.</b:Middle>
          </b:Person>
        </b:NameList>
      </b:Author>
    </b:Author>
    <b:Title>Vietnam’s forest cover changes 2005-2016: veering from transition to (yet more) transaction?</b:Title>
    <b:JournalName>World Development</b:JournalName>
    <b:Year>2020</b:Year>
    <b:Pages>1-38</b:Pages>
    <b:DOI>https://dx.doi.org/10.1016/j.worlddev.2020.105051</b:DOI>
    <b:RefOrder>23</b:RefOrder>
  </b:Source>
  <b:Source>
    <b:Tag>Eme24</b:Tag>
    <b:SourceType>JournalArticle</b:SourceType>
    <b:Guid>{78CA1848-75EA-485C-BFB1-AD71E45DFA0B}</b:Guid>
    <b:Author>
      <b:Author>
        <b:NameList>
          <b:Person>
            <b:Last>Emerton</b:Last>
            <b:First>Lucy</b:First>
          </b:Person>
        </b:NameList>
      </b:Author>
    </b:Author>
    <b:Title>Community-Based Incentives For Nature Conservation</b:Title>
    <b:JournalName>IUCN-The World Conservation Union</b:JournalName>
    <b:Year>2024</b:Year>
    <b:RefOrder>24</b:RefOrder>
  </b:Source>
  <b:Source>
    <b:Tag>Eco23</b:Tag>
    <b:SourceType>JournalArticle</b:SourceType>
    <b:Guid>{2DBDD6CF-4027-4CD5-87F2-3F8AF3C2798D}</b:Guid>
    <b:Title>Ecological and Socio-Economic Factors on the Rate of Participation and Sustainable Forest Management</b:Title>
    <b:JournalName>International Journal of Energy Economics and Policy</b:JournalName>
    <b:Year>2023</b:Year>
    <b:Pages>92-101</b:Pages>
    <b:Author>
      <b:Author>
        <b:NameList>
          <b:Person>
            <b:Last>Marnelly</b:Last>
            <b:First>Romi</b:First>
          </b:Person>
          <b:Person>
            <b:Last>Dahril</b:Last>
            <b:First>Tengku</b:First>
          </b:Person>
          <b:Person>
            <b:Last>Saam</b:Last>
            <b:First>Zulfan</b:First>
          </b:Person>
        </b:NameList>
      </b:Author>
    </b:Author>
    <b:RefOrder>21</b:RefOrder>
  </b:Source>
  <b:Source>
    <b:Tag>Jea19</b:Tag>
    <b:SourceType>JournalArticle</b:SourceType>
    <b:Guid>{45DD49AC-34E0-4634-949D-D5D1528E9648}</b:Guid>
    <b:Author>
      <b:Author>
        <b:NameList>
          <b:Person>
            <b:Last>Leblond</b:Last>
            <b:First>Jean-Philippe</b:First>
          </b:Person>
        </b:NameList>
      </b:Author>
    </b:Author>
    <b:Title>Revisiting forest transition explanations: The role of “push” factors and adaptation strategies in forest expansion in northern Phetchabun, Thailand</b:Title>
    <b:JournalName>Land Use Policy</b:JournalName>
    <b:Year>2019</b:Year>
    <b:Pages>195–214</b:Pages>
    <b:RefOrder>25</b:RefOrder>
  </b:Source>
  <b:Source>
    <b:Tag>Wor14</b:Tag>
    <b:SourceType>JournalArticle</b:SourceType>
    <b:Guid>{9EECCE36-1E67-4B2D-A61D-1BE75CF72A18}</b:Guid>
    <b:Title>The significance of dry forest income for livelihood resilience: the case of pastrolist ànd agro-pastrolist in dryland of southern Ethiopia</b:Title>
    <b:Year>2014</b:Year>
    <b:Author>
      <b:Author>
        <b:NameList>
          <b:Person>
            <b:Last>Worku</b:Last>
            <b:First>Adefires</b:First>
          </b:Person>
          <b:Person>
            <b:Last>Auch</b:Last>
            <b:First>Eckhard</b:First>
          </b:Person>
          <b:Person>
            <b:Last>Pretzsch</b:Last>
            <b:First>Jurgen</b:First>
          </b:Person>
          <b:Person>
            <b:Last>Kassa</b:Last>
            <b:First>Habtemariam</b:First>
          </b:Person>
        </b:NameList>
      </b:Author>
    </b:Author>
    <b:JournalName>Forest policy and economics</b:JournalName>
    <b:Pages>51-59</b:Pages>
    <b:Volume>41</b:Volume>
    <b:YearAccessed>2018</b:YearAccessed>
    <b:MonthAccessed>11</b:MonthAccessed>
    <b:DayAccessed>28</b:DayAccessed>
    <b:DOI>https//doi,org/10.1016/j.forpol.2014.01.001</b:DOI>
    <b:RefOrder>26</b:RefOrder>
  </b:Source>
  <b:Source>
    <b:Tag>Neg18</b:Tag>
    <b:SourceType>JournalArticle</b:SourceType>
    <b:Guid>{0D21D4A7-3A94-476E-BA98-F0D69B6A42B9}</b:Guid>
    <b:Author>
      <b:Author>
        <b:NameList>
          <b:Person>
            <b:Last>Solomon</b:Last>
            <b:First>Negasi</b:First>
          </b:Person>
          <b:Person>
            <b:Last>Hishe</b:Last>
            <b:First>Hadgu</b:First>
          </b:Person>
          <b:Person>
            <b:Last>Annang</b:Last>
            <b:First>Ted</b:First>
          </b:Person>
          <b:Person>
            <b:Last>Birhane</b:Last>
            <b:First>Emiru</b:First>
          </b:Person>
        </b:NameList>
      </b:Author>
    </b:Author>
    <b:Title>Forest Cover Change, Key Drivers and Community Perception in Wujig Mahgo Waren Forest of Northern Ethiopia</b:Title>
    <b:JournalName>Land</b:JournalName>
    <b:Year>2018</b:Year>
    <b:Pages>32</b:Pages>
    <b:RefOrder>27</b:RefOrder>
  </b:Source>
  <b:Source>
    <b:Tag>Ema23</b:Tag>
    <b:SourceType>JournalArticle</b:SourceType>
    <b:Guid>{D033B4AD-A374-4002-8D43-6E5250B4C446}</b:Guid>
    <b:Title>Assessment and Mapping of Forest Cover Change in Dryland, Sudan Using Remote Sensing</b:Title>
    <b:Year>2023</b:Year>
    <b:Author>
      <b:Author>
        <b:NameList>
          <b:Person>
            <b:Last>Yasin</b:Last>
            <b:First>Emad</b:First>
            <b:Middle>H.E.</b:Middle>
          </b:Person>
          <b:Person>
            <b:Last>Kornel</b:Last>
            <b:First>Czimber</b:First>
          </b:Person>
          <b:Person>
            <b:Last>Hemida</b:Last>
            <b:First>Mohamed</b:First>
          </b:Person>
        </b:NameList>
      </b:Author>
    </b:Author>
    <b:JournalName>Conservation, Exploitation and Restoration of Mountain Ecosystem</b:JournalName>
    <b:Pages>1-16</b:Pages>
    <b:RefOrder>8</b:RefOrder>
  </b:Source>
  <b:Source>
    <b:Tag>Sed22</b:Tag>
    <b:SourceType>JournalArticle</b:SourceType>
    <b:Guid>{800DD604-A696-4874-AB41-849D67BFDBA7}</b:Guid>
    <b:Author>
      <b:Author>
        <b:NameList>
          <b:Person>
            <b:Last>Sedano</b:Last>
            <b:First>Fernando</b:First>
          </b:Person>
          <b:Person>
            <b:Last>Mizu-Siampale</b:Last>
            <b:First>Abel</b:First>
          </b:Person>
          <b:Person>
            <b:Last>Duncanson</b:Last>
            <b:First>Laura</b:First>
          </b:Person>
          <b:Person>
            <b:Last>Liang</b:Last>
            <b:First>Mengyu</b:First>
          </b:Person>
        </b:NameList>
      </b:Author>
    </b:Author>
    <b:Title>Influence of Charcoal Production on Forest Degradation in Zambia: A Remote Sensing Perspective</b:Title>
    <b:JournalName>Remote Sense</b:JournalName>
    <b:Year>2022</b:Year>
    <b:Pages>3352</b:Pages>
    <b:DOI>https://doi.org/10.3390/rs14143352</b:DOI>
    <b:RefOrder>14</b:RefOrder>
  </b:Source>
  <b:Source>
    <b:Tag>Pet21</b:Tag>
    <b:SourceType>JournalArticle</b:SourceType>
    <b:Guid>{6D5B11DA-A85D-4F37-A6AA-150BDE185AF0}</b:Guid>
    <b:Author>
      <b:Author>
        <b:NameList>
          <b:Person>
            <b:Last>Petersen</b:Last>
            <b:First>Maike</b:First>
          </b:Person>
          <b:Person>
            <b:Last>Bergmann</b:Last>
            <b:First>Christoph</b:First>
          </b:Person>
          <b:Person>
            <b:Last>Roden</b:Last>
            <b:First>Paul</b:First>
          </b:Person>
          <b:Person>
            <b:Last>Nüsse</b:Last>
            <b:First>Marcus</b:First>
          </b:Person>
        </b:NameList>
      </b:Author>
    </b:Author>
    <b:Title>Contextualizing land-use and land-cover change with local knowledge: A case study from Pokot Central, Kenya</b:Title>
    <b:JournalName>Land Degradation &amp; Development</b:JournalName>
    <b:Year>2021</b:Year>
    <b:Pages>2992–3007</b:Pages>
    <b:Volume>32</b:Volume>
    <b:DOI>https://doi.org/10.1002/ldr.3961</b:DOI>
    <b:RefOrder>17</b:RefOrder>
  </b:Source>
  <b:Source>
    <b:Tag>MŨS18</b:Tag>
    <b:SourceType>Report</b:SourceType>
    <b:Guid>{FFFE9803-6AF8-46E6-AC26-E5311A88707E}</b:Guid>
    <b:Title>Policy Makers’ Perspective on Impacts of Decentralizing Forest Management in Kenya on Forestry Conservation and Community Livelihoods</b:Title>
    <b:Year>2020</b:Year>
    <b:Author>
      <b:Author>
        <b:NameList>
          <b:Person>
            <b:Last>Mbuvi</b:Last>
            <b:First>Musingo</b:First>
            <b:Middle>T.E</b:Middle>
          </b:Person>
        </b:NameList>
      </b:Author>
    </b:Author>
    <b:City>Nairobi</b:City>
    <b:JournalName>international intitute for science, technology and education</b:JournalName>
    <b:Volume>8</b:Volume>
    <b:Issue>10</b:Issue>
    <b:Publisher>Kenyatta University</b:Publisher>
    <b:RefOrder>12</b:RefOrder>
  </b:Source>
  <b:Source>
    <b:Tag>Las19</b:Tag>
    <b:SourceType>JournalArticle</b:SourceType>
    <b:Guid>{C5EEFC32-EF7D-4E06-9892-21501DC0FA07}</b:Guid>
    <b:Author>
      <b:Author>
        <b:NameList>
          <b:Person>
            <b:Last>Kalenga</b:Last>
            <b:First>Marie-Ange</b:First>
          </b:Person>
        </b:NameList>
      </b:Author>
    </b:Author>
    <b:Title>Community Forestry in CentralAfrica: Still a Fragile Sustainable Forest Management Model</b:Title>
    <b:JournalName>Forests, Governance and Development Policy Advisor</b:JournalName>
    <b:Year>2021</b:Year>
    <b:Pages>180-183</b:Pages>
    <b:RefOrder>28</b:RefOrder>
  </b:Source>
  <b:Source>
    <b:Tag>Mel16</b:Tag>
    <b:SourceType>JournalArticle</b:SourceType>
    <b:Guid>{EF59903F-62D0-41E4-AF64-5707CBC960D5}</b:Guid>
    <b:Author>
      <b:Author>
        <b:NameList>
          <b:Person>
            <b:Last>Melaku</b:Last>
            <b:First>Bekele</b:First>
          </b:Person>
          <b:Person>
            <b:Last>Purabi</b:Last>
            <b:First>Bose</b:First>
          </b:Person>
          <b:Person>
            <b:Last>Kees</b:Last>
            <b:First>Burger</b:First>
          </b:Person>
          <b:Person>
            <b:Last>Papa</b:Last>
            <b:First>Fay</b:First>
          </b:Person>
          <b:Person>
            <b:Last>Habtemariam</b:Last>
            <b:First>Kassa</b:First>
          </b:Person>
          <b:Person>
            <b:Last>Mweru</b:Last>
            <b:First>Kariuki</b:First>
            <b:Middle>Peris</b:Middle>
          </b:Person>
          <b:Person>
            <b:Last>Ingram</b:Last>
            <b:First>Verina</b:First>
          </b:Person>
        </b:NameList>
      </b:Author>
    </b:Author>
    <b:Title>Forests Management and Social Diversity in Africa and Asia</b:Title>
    <b:JournalName>Springer International Publishing Switzerland</b:JournalName>
    <b:Year>2016</b:Year>
    <b:Pages>1</b:Pages>
    <b:RefOrder>29</b:RefOrder>
  </b:Source>
  <b:Source>
    <b:Tag>GOK16</b:Tag>
    <b:SourceType>Report</b:SourceType>
    <b:Guid>{80C87E0A-80BD-4161-AB6E-2085218803A7}</b:Guid>
    <b:Title>The Forest Conservation and Management Act,</b:Title>
    <b:Year>2016</b:Year>
    <b:Author>
      <b:Author>
        <b:Corporate>GoK</b:Corporate>
      </b:Author>
    </b:Author>
    <b:Publisher>Kenya Gazette supppliment</b:Publisher>
    <b:City>Nairobi</b:City>
    <b:RefOrder>30</b:RefOrder>
  </b:Source>
  <b:Source>
    <b:Tag>Hea23</b:Tag>
    <b:SourceType>JournalArticle</b:SourceType>
    <b:Guid>{C70684F9-55CE-4874-BA36-5AACEC112C4C}</b:Guid>
    <b:Author>
      <b:Author>
        <b:NameList>
          <b:Person>
            <b:Last>MacDonald</b:Last>
            <b:First>Heather</b:First>
          </b:Person>
        </b:NameList>
      </b:Author>
    </b:Author>
    <b:Title>Envisioning better forest transitions: A review of recent forest transition scholarship </b:Title>
    <b:JournalName>Heliyon</b:JournalName>
    <b:Year>2023</b:Year>
    <b:Pages>1</b:Pages>
    <b:RefOrder>7</b:RefOrder>
  </b:Source>
  <b:Source>
    <b:Tag>FAO20</b:Tag>
    <b:SourceType>Report</b:SourceType>
    <b:Guid>{CF843CCD-AE1B-40E8-9373-F6EBBD69AEE2}</b:Guid>
    <b:Author>
      <b:Author>
        <b:Corporate>FAO</b:Corporate>
      </b:Author>
    </b:Author>
    <b:Title>Global Forest Resources Assessment 2020: Main report</b:Title>
    <b:Year>2020</b:Year>
    <b:Publisher>Food and Agriculture Organization of the United Nations</b:Publisher>
    <b:City>Rome</b:City>
    <b:DOI>https://doi.org/10.4060/ca9825en</b:DOI>
    <b:RefOrder>1</b:RefOrder>
  </b:Source>
  <b:Source>
    <b:Tag>Tan20</b:Tag>
    <b:SourceType>Book</b:SourceType>
    <b:Guid>{5183E142-E8BA-4769-B106-A960A36F09C0}</b:Guid>
    <b:Title>Climate Change Effects, Adaptation, and Mitigation Techniques in Tropical Dry Forest</b:Title>
    <b:Year>2020</b:Year>
    <b:Publisher>University of Chittagong</b:Publisher>
    <b:City>Bangladesh</b:City>
    <b:Author>
      <b:Author>
        <b:NameList>
          <b:Person>
            <b:Last>Hasnat</b:Last>
            <b:First>Tanjina</b:First>
          </b:Person>
        </b:NameList>
      </b:Author>
    </b:Author>
    <b:RefOrder>9</b:RefOrder>
  </b:Source>
  <b:Source>
    <b:Tag>Cre23</b:Tag>
    <b:SourceType>Book</b:SourceType>
    <b:Guid>{62F8B2B4-0B3D-449A-9A63-486748E69B44}</b:Guid>
    <b:Author>
      <b:Author>
        <b:NameList>
          <b:Person>
            <b:Last>Creswell</b:Last>
            <b:First>John</b:First>
            <b:Middle>W.</b:Middle>
          </b:Person>
          <b:Person>
            <b:Last>Creswell</b:Last>
            <b:First>David</b:First>
          </b:Person>
        </b:NameList>
      </b:Author>
    </b:Author>
    <b:Title>Qualitative, Quantitative, and Mixed Methods Approaches Sixth Edition</b:Title>
    <b:Year>2023</b:Year>
    <b:Publisher>SAGE</b:Publisher>
    <b:City>London</b:City>
    <b:RefOrder>10</b:RefOrder>
  </b:Source>
  <b:Source>
    <b:Tag>Seç</b:Tag>
    <b:SourceType>JournalArticle</b:SourceType>
    <b:Guid>{98B41DE2-5B0B-4E4B-BEE1-52925875C9E9}</b:Guid>
    <b:Author>
      <b:Author>
        <b:NameList>
          <b:Person>
            <b:Last>Yurdakul</b:Last>
            <b:First>Seçil</b:First>
          </b:Person>
          <b:Person>
            <b:Last>Şahin</b:Last>
            <b:First>Gizem</b:First>
          </b:Person>
        </b:NameList>
      </b:Author>
    </b:Author>
    <b:Title>Conflict Analysis in Natural Resources: Examination with Forest Management and Land-Use Change Cases</b:Title>
    <b:JournalName>St. Kliment Ohridski University Press</b:JournalName>
    <b:Year>2021</b:Year>
    <b:RefOrder>31</b:RefOrder>
  </b:Source>
  <b:Source>
    <b:Tag>Yas</b:Tag>
    <b:SourceType>JournalArticle</b:SourceType>
    <b:Guid>{5FCE75ED-A68D-4A57-B49F-C5798759B934}</b:Guid>
    <b:Author>
      <b:Author>
        <b:NameList>
          <b:Person>
            <b:Last>Yasin</b:Last>
            <b:First>Emad</b:First>
            <b:Middle>H.E.</b:Middle>
          </b:Person>
          <b:Person>
            <b:Last>Kornel</b:Last>
            <b:First>Czimber</b:First>
          </b:Person>
          <b:Person>
            <b:Last>Hemida</b:Last>
            <b:First>Mohamed</b:First>
          </b:Person>
        </b:NameList>
      </b:Author>
    </b:Author>
    <b:Title>Assessment and Mapping of Forest Cover Change in Dryland, Sudan Using Remote Sensing</b:Title>
    <b:DOI>DOI: http://dx.doi.org/10.5772/intechopen.113862</b:DOI>
    <b:JournalName>Intechopen</b:JournalName>
    <b:Year>2023</b:Year>
    <b:Pages>1</b:Pages>
    <b:RefOrder>32</b:RefOrder>
  </b:Source>
  <b:Source>
    <b:Tag>Kar23</b:Tag>
    <b:SourceType>JournalArticle</b:SourceType>
    <b:Guid>{4D81093F-D0E7-49A9-806D-354234F2F316}</b:Guid>
    <b:Author>
      <b:Author>
        <b:NameList>
          <b:Person>
            <b:Last>Tempa</b:Last>
            <b:First>Karma</b:First>
          </b:Person>
        </b:NameList>
      </b:Author>
    </b:Author>
    <b:Title>Spatiotemporal land use land cover mapping with Sentinel-2 using a semi-automatic random forest classifier and assessment of vegetation change dynamics for Gelephu, Bhutan</b:Title>
    <b:JournalName>Annual University</b:JournalName>
    <b:Year>2023</b:Year>
    <b:RefOrder>33</b:RefOrder>
  </b:Source>
  <b:Source>
    <b:Tag>Sav20</b:Tag>
    <b:SourceType>JournalArticle</b:SourceType>
    <b:Guid>{A6F8B865-FFD4-4B2D-A416-AEEF035DC590}</b:Guid>
    <b:Author>
      <b:Author>
        <b:NameList>
          <b:Person>
            <b:Last>Savari</b:Last>
            <b:First>Moslem</b:First>
          </b:Person>
          <b:Person>
            <b:Last>Damaneh</b:Last>
            <b:First>Hamed</b:First>
            <b:Middle>Eskandari</b:Middle>
          </b:Person>
          <b:Person>
            <b:Last>Damaneh</b:Last>
            <b:First>Hadi</b:First>
            <b:Middle>Eskandari</b:Middle>
          </b:Person>
        </b:NameList>
      </b:Author>
    </b:Author>
    <b:Title>Factors influencing local people’s participation in sustainable forest management</b:Title>
    <b:JournalName>Arabian Journal of Geosciences</b:JournalName>
    <b:Year>2020</b:Year>
    <b:Pages>513</b:Pages>
    <b:DOI>https://doi.org/10.1007/s12517-020-05519-z</b:DOI>
    <b:RefOrder>34</b:RefOrder>
  </b:Source>
  <b:Source>
    <b:Tag>Gau</b:Tag>
    <b:SourceType>JournalArticle</b:SourceType>
    <b:Guid>{6FCF7FF4-B770-4617-A696-8B9273ED4709}</b:Guid>
    <b:Author>
      <b:Author>
        <b:NameList>
          <b:Person>
            <b:Last>Ranjan</b:Last>
            <b:First>Avinash</b:First>
          </b:Person>
          <b:Person>
            <b:Last>Mandal</b:Last>
            <b:First>Kajal</b:First>
            <b:Middle>Kumar</b:Middle>
          </b:Person>
          <b:Person>
            <b:Last>Mallick</b:Last>
            <b:First>Sambit</b:First>
          </b:Person>
        </b:NameList>
      </b:Author>
    </b:Author>
    <b:Title>Analyzing the Trend of LULC Change Over Five Decades in Dhanbad District, Jharkhand (India) Using Geospatial Techniques</b:Title>
    <b:JournalName>Geospatial Technology for Natural Resource Management</b:JournalName>
    <b:Year>2025</b:Year>
    <b:Pages>33</b:Pages>
    <b:DOI> https://doi.org/10.1002/9781394167494.ch15</b:DOI>
    <b:RefOrder>18</b:RefOrder>
  </b:Source>
  <b:Source>
    <b:Tag>Onw24</b:Tag>
    <b:SourceType>JournalArticle</b:SourceType>
    <b:Guid>{1A857261-174B-4BE8-9053-9581CE83929F}</b:Guid>
    <b:Author>
      <b:Author>
        <b:NameList>
          <b:Person>
            <b:Last>Onwonga</b:Last>
            <b:First>Anne</b:First>
            <b:Middle>Monyenye Omwoyo1 · Richard Ndemo</b:Middle>
          </b:Person>
          <b:Person>
            <b:Last>Wasonga</b:Last>
            <b:First>Oliver</b:First>
            <b:Middle>Vivian</b:Middle>
          </b:Person>
          <b:Person>
            <b:Last>Kinyanjui</b:Last>
            <b:First>Mwangi</b:First>
            <b:Middle>James</b:Middle>
          </b:Person>
        </b:NameList>
      </b:Author>
    </b:Author>
    <b:Title>Spatio‑temporal patterns of land use and land cover change in Kibwezi West, Eastern Kenya</b:Title>
    <b:JournalName>Discover Soil</b:JournalName>
    <b:Year>24</b:Year>
    <b:Pages>21</b:Pages>
    <b:DOI>https://doi.org/10.1007/s44378-024-00021-4</b:DOI>
    <b:RefOrder>35</b:RefOrder>
  </b:Source>
  <b:Source>
    <b:Tag>Omw24</b:Tag>
    <b:SourceType>JournalArticle</b:SourceType>
    <b:Guid>{52343985-A914-4379-87C9-9139ACFFFA2A}</b:Guid>
    <b:Author>
      <b:Author>
        <b:NameList>
          <b:Person>
            <b:Last>Omwoyo</b:Last>
            <b:First>Anne</b:First>
            <b:Middle>Monyenye</b:Middle>
          </b:Person>
          <b:Person>
            <b:Last>Onwonga</b:Last>
            <b:First>Richard</b:First>
            <b:Middle>Ndemo</b:Middle>
          </b:Person>
          <b:Person>
            <b:Last>Wasonga</b:Last>
            <b:First>Oliver</b:First>
            <b:Middle>Vivian</b:Middle>
          </b:Person>
          <b:Person>
            <b:Last>Kinyanjui</b:Last>
            <b:First>Mwangi</b:First>
            <b:Middle>James</b:Middle>
          </b:Person>
        </b:NameList>
      </b:Author>
    </b:Author>
    <b:Title>Spatio‑temporal patterns of land use and land cover change</b:Title>
    <b:JournalName>Discover Soil</b:JournalName>
    <b:Year>2024</b:Year>
    <b:Pages>22</b:Pages>
    <b:DOI>https://doi.org/10.1007/s44378-024-00021-4</b:DOI>
    <b:RefOrder>36</b:RefOrder>
  </b:Source>
  <b:Source>
    <b:Tag>Sam21</b:Tag>
    <b:SourceType>JournalArticle</b:SourceType>
    <b:Guid>{021FC291-AE63-48AA-ABBF-647DC354224B}</b:Guid>
    <b:Author>
      <b:Author>
        <b:NameList>
          <b:Person>
            <b:Last>Okorie</b:Last>
            <b:First>Samuel</b:First>
            <b:Middle>Chijioke</b:Middle>
          </b:Person>
        </b:NameList>
      </b:Author>
    </b:Author>
    <b:Title>Nigeria’s drylands and rise of violent conflict in the country</b:Title>
    <b:JournalName>Global Land scape Forum Africa</b:JournalName>
    <b:Year>2021</b:Year>
    <b:Pages>1</b:Pages>
    <b:RefOrder>37</b:RefOrder>
  </b:Source>
  <b:Source>
    <b:Tag>Nga16</b:Tag>
    <b:SourceType>JournalArticle</b:SourceType>
    <b:Guid>{00220975-2FCF-47EB-AA66-47A72621A527}</b:Guid>
    <b:Author>
      <b:Author>
        <b:NameList>
          <b:Person>
            <b:Last>Ngaruiya</b:Last>
            <b:First>Grace</b:First>
            <b:Middle>W.</b:Middle>
          </b:Person>
          <b:Person>
            <b:Last>Scheffran</b:Last>
            <b:First>Jürgen</b:First>
          </b:Person>
        </b:NameList>
      </b:Author>
    </b:Author>
    <b:Title>Actors and networks in resource conflict resolution under climate change in rural Kenya</b:Title>
    <b:JournalName>Earth System Dynamics</b:JournalName>
    <b:Year>2016</b:Year>
    <b:Pages>441-452</b:Pages>
    <b:DOI>https://doi.org/10.5194/esd-7-441-2016</b:DOI>
    <b:RefOrder>38</b:RefOrder>
  </b:Source>
  <b:Source>
    <b:Tag>Jag16</b:Tag>
    <b:SourceType>JournalArticle</b:SourceType>
    <b:Guid>{FD940E2E-6DBE-416F-8E86-04A56514E14B}</b:Guid>
    <b:Author>
      <b:Author>
        <b:NameList>
          <b:Person>
            <b:Last>Matta</b:Last>
            <b:First>Jagannadha</b:First>
            <b:Middle>R.</b:Middle>
          </b:Person>
          <b:Person>
            <b:Last>Alavalapati</b:Last>
            <b:First>Janaki</b:First>
            <b:Middle>R.R.</b:Middle>
          </b:Person>
        </b:NameList>
      </b:Author>
    </b:Author>
    <b:Title>Perceptions of collective action and its success in community based natural resource management: An empirical analysis</b:Title>
    <b:JournalName>Forest Policy and Economics</b:JournalName>
    <b:Year>2016</b:Year>
    <b:RefOrder>20</b:RefOrder>
  </b:Source>
  <b:Source>
    <b:Tag>Kha24</b:Tag>
    <b:SourceType>JournalArticle</b:SourceType>
    <b:Guid>{B436164E-3C91-4E91-BCAF-FBAE799C0CB0}</b:Guid>
    <b:Author>
      <b:Author>
        <b:NameList>
          <b:Person>
            <b:Last>Khan</b:Last>
            <b:First>Muhammad</b:First>
            <b:Middle>Nouman</b:Middle>
          </b:Person>
          <b:Person>
            <b:Last>Ta</b:Last>
            <b:First>Yumin</b:First>
          </b:Person>
          <b:Person>
            <b:First>Ahmad</b:First>
            <b:Middle>Ali Gul</b:Middle>
          </b:Person>
          <b:Person>
            <b:Last>Lodhi</b:Last>
            <b:First>Muhammad</b:First>
            <b:Middle>Kamran</b:Middle>
          </b:Person>
          <b:Person>
            <b:Last>Wang</b:Last>
            <b:First>Jiale</b:First>
          </b:Person>
        </b:NameList>
      </b:Author>
    </b:Author>
    <b:Title>A regional-level spatiotemporal perspective of land use and land cover change impact on forest aboveground biomass in three gorges reservoir region, China</b:Title>
    <b:JournalName>Geocarto International</b:JournalName>
    <b:Year>2024</b:Year>
    <b:DOI>DOI: 10.1080/10106049.2024.2397468</b:DOI>
    <b:RefOrder>39</b:RefOrder>
  </b:Source>
  <b:Source>
    <b:Tag>Keg23</b:Tag>
    <b:SourceType>JournalArticle</b:SourceType>
    <b:Guid>{51FA8E1B-78DD-40F2-8280-2E3CFEF997D9}</b:Guid>
    <b:Author>
      <b:Author>
        <b:NameList>
          <b:Person>
            <b:Last>Kegamba</b:Last>
            <b:First>Juma</b:First>
            <b:Middle>J</b:Middle>
          </b:Person>
          <b:Person>
            <b:Last>Sangha</b:Last>
            <b:First>Kamaljit</b:First>
            <b:Middle>K</b:Middle>
          </b:Person>
          <b:Person>
            <b:Last>Wurm</b:Last>
            <b:First>Penelope</b:First>
          </b:Person>
          <b:Person>
            <b:Last>Garnett</b:Last>
            <b:First>Stephen</b:First>
            <b:Middle>T</b:Middle>
          </b:Person>
        </b:NameList>
      </b:Author>
    </b:Author>
    <b:Title>Conservation benefit-sharing mechanisms and their effectiveness in the Greater Serengeti Ecosystem: local communities’ perspectives</b:Title>
    <b:JournalName>Springer Nature</b:JournalName>
    <b:Year>2023</b:Year>
    <b:Pages>1</b:Pages>
    <b:DOI>doi: 10.1007/s10531-023-02583-1</b:DOI>
    <b:RefOrder>40</b:RefOrder>
  </b:Source>
  <b:Source>
    <b:Tag>Kar211</b:Tag>
    <b:SourceType>JournalArticle</b:SourceType>
    <b:Guid>{BC194DA9-3FC4-436A-882A-BE6C9AE53BE8}</b:Guid>
    <b:Author>
      <b:Author>
        <b:NameList>
          <b:Person>
            <b:Last>Karaya</b:Last>
            <b:First>Rebecca</b:First>
            <b:Middle>N.</b:Middle>
          </b:Person>
          <b:Person>
            <b:Last>Onyango</b:Last>
            <b:First>Christopher</b:First>
            <b:Middle>A.</b:Middle>
          </b:Person>
          <b:Person>
            <b:Last>Ogendi</b:Last>
            <b:First>George</b:First>
            <b:Middle>M.</b:Middle>
          </b:Person>
        </b:NameList>
      </b:Author>
    </b:Author>
    <b:Title>A community-GIS supported dryland use and cover change assessment: The case of the Njemps flats in Kenya</b:Title>
    <b:JournalName>Cogent Food &amp; Agriculture</b:JournalName>
    <b:Year>2021</b:Year>
    <b:Pages>1-19</b:Pages>
    <b:DOI>https://doi.org/10.1080/23311932.2021.1872852</b:DOI>
    <b:RefOrder>41</b:RefOrder>
  </b:Source>
  <b:Source>
    <b:Tag>Kar21</b:Tag>
    <b:SourceType>JournalArticle</b:SourceType>
    <b:Guid>{9A93D1F4-A9A4-4488-B486-E73F5A4F428F}</b:Guid>
    <b:Author>
      <b:Author>
        <b:NameList>
          <b:Person>
            <b:Last>Karaya</b:Last>
            <b:First>Rebecca</b:First>
            <b:Middle>N.</b:Middle>
          </b:Person>
          <b:Person>
            <b:Last>Onyango</b:Last>
            <b:First>Christopher</b:First>
            <b:Middle>A.</b:Middle>
          </b:Person>
          <b:Person>
            <b:Last>Ogendi</b:Last>
            <b:First>George</b:First>
            <b:Middle>M.</b:Middle>
          </b:Person>
        </b:NameList>
      </b:Author>
    </b:Author>
    <b:Title>A community-GIS supported dryland use and cover change assessment: The case of the Njemps flats in Kenya</b:Title>
    <b:JournalName>Cogent Food &amp; Agriculture</b:JournalName>
    <b:Year>2021</b:Year>
    <b:Pages>1872852</b:Pages>
    <b:DOI>https://doi.org/10.1080/23311932.2021.1872852</b:DOI>
    <b:RefOrder>42</b:RefOrder>
  </b:Source>
  <b:Source>
    <b:Tag>Cos22</b:Tag>
    <b:SourceType>JournalArticle</b:SourceType>
    <b:Guid>{4935D90A-A855-45AD-ADC7-5C6431E30A90}</b:Guid>
    <b:Author>
      <b:Author>
        <b:NameList>
          <b:Person>
            <b:Last>Kamais</b:Last>
            <b:First>Cosmas</b:First>
            <b:Middle>Ekwom</b:Middle>
          </b:Person>
          <b:Person>
            <b:Last>Mosol</b:Last>
            <b:First>Geoffrey</b:First>
            <b:Middle>Pkite</b:Middle>
          </b:Person>
        </b:NameList>
      </b:Author>
    </b:Author>
    <b:Title>Recasting Low Intensity Conflicts in Laikipia County, Kenya, through Protracted Social Conflicts Paradigm: Causes, Socioeconomic, Political and Security Implications</b:Title>
    <b:JournalName> Open Access Library Journal</b:JournalName>
    <b:Year>2022</b:Year>
    <b:Pages>7</b:Pages>
    <b:RefOrder>43</b:RefOrder>
  </b:Source>
  <b:Source>
    <b:Tag>Jin22</b:Tag>
    <b:SourceType>JournalArticle</b:SourceType>
    <b:Guid>{E59C5CAB-F06D-4EEF-9655-6A5E3963FD60}</b:Guid>
    <b:Author>
      <b:Author>
        <b:NameList>
          <b:Person>
            <b:Last>Jin</b:Last>
            <b:First>Shanhe</b:First>
          </b:Person>
          <b:Person>
            <b:Last>Liu</b:Last>
            <b:First>Xin</b:First>
          </b:Person>
          <b:Person>
            <b:Last>Yang</b:Last>
            <b:First>Jiajia</b:First>
          </b:Person>
          <b:Person>
            <b:Last>Yuchao</b:Last>
            <b:First>Junchao</b:First>
          </b:Person>
        </b:NameList>
      </b:Author>
    </b:Author>
    <b:Title>Spatial-temporal changes of land use/cover change and habitat quality in Sanjiang plain from 1985 to 2017</b:Title>
    <b:JournalName>Frontiers in Environmental Science</b:JournalName>
    <b:Year>2022</b:Year>
    <b:DOI>10.3389/fenvs.2022.1032584</b:DOI>
    <b:RefOrder>44</b:RefOrder>
  </b:Source>
  <b:Source>
    <b:Tag>Geb19</b:Tag>
    <b:SourceType>JournalArticle</b:SourceType>
    <b:Guid>{7285C7BE-0A73-4BAE-957C-3EF1D2C6B33B}</b:Guid>
    <b:Author>
      <b:Author>
        <b:NameList>
          <b:Person>
            <b:Last>Gebregergs</b:Last>
            <b:First>Tsegay</b:First>
          </b:Person>
          <b:Person>
            <b:Last>Tessema</b:Last>
            <b:First>Zewdu</b:First>
            <b:Middle>K.</b:Middle>
          </b:Person>
          <b:Person>
            <b:Last>Solomon</b:Last>
            <b:First>Negasi</b:First>
          </b:Person>
          <b:Person>
            <b:Last>Birhane</b:Last>
            <b:First>Emiru</b:First>
          </b:Person>
        </b:NameList>
      </b:Author>
    </b:Author>
    <b:Title>Carbon sequestration and soil restoration potential of grazing lands under exclosure management in a semi-arid environment of northern Ethiopia</b:Title>
    <b:JournalName>Ecology Evolution</b:JournalName>
    <b:Year>2019</b:Year>
    <b:Pages>6470</b:Pages>
    <b:DOI>DOI: 10.1002/ece3.5223</b:DOI>
    <b:RefOrder>13</b:RefOrder>
  </b:Source>
  <b:Source>
    <b:Tag>Gar18</b:Tag>
    <b:SourceType>JournalArticle</b:SourceType>
    <b:Guid>{756C3CED-48EB-4C73-B4FD-2EC475A51F2E}</b:Guid>
    <b:Author>
      <b:Author>
        <b:NameList>
          <b:Person>
            <b:Last>García</b:Last>
            <b:First>Angela</b:First>
            <b:Middle>Kronenburg</b:Middle>
          </b:Person>
        </b:NameList>
      </b:Author>
    </b:Author>
    <b:Title>Territorial Conflicts, Agency and the Strategic Appropriation of Interventions in Kenya’s Southern Drylands</b:Title>
    <b:JournalName>Sustainability</b:JournalName>
    <b:Year>2018</b:Year>
    <b:Pages>4156</b:Pages>
    <b:DOI>doi:10.3390/su10114156</b:DOI>
    <b:RefOrder>45</b:RefOrder>
  </b:Source>
  <b:Source>
    <b:Tag>Fag18</b:Tag>
    <b:SourceType>JournalArticle</b:SourceType>
    <b:Guid>{9261E201-0B31-4613-988F-D8FAF8163F6C}</b:Guid>
    <b:Author>
      <b:Author>
        <b:NameList>
          <b:Person>
            <b:Last>Fagariba</b:Last>
            <b:First>Clifford</b:First>
            <b:Middle>James</b:Middle>
          </b:Person>
          <b:Person>
            <b:Last>Song</b:Last>
            <b:First>Shaoxian</b:First>
          </b:Person>
          <b:Person>
            <b:Last>Soule</b:Last>
            <b:First>Serge</b:First>
            <b:Middle>K. G.</b:Middle>
          </b:Person>
        </b:NameList>
      </b:Author>
    </b:Author>
    <b:Title>Livelihood Economic Activities Causing Deforestation in Northern Ghana: Evidence of Sissala West District</b:Title>
    <b:JournalName>Open Journal of Ecology</b:JournalName>
    <b:Year>2018</b:Year>
    <b:Pages>57-74</b:Pages>
    <b:DOI>https://doi.org/10.4236/oje.2018.81005</b:DOI>
    <b:RefOrder>16</b:RefOrder>
  </b:Source>
  <b:Source>
    <b:Tag>ww21</b:Tag>
    <b:SourceType>JournalArticle</b:SourceType>
    <b:Guid>{E637AD9B-A569-4900-BD19-58217C71B92F}</b:Guid>
    <b:Author>
      <b:Author>
        <b:NameList>
          <b:Person>
            <b:Last>Erol</b:Last>
            <b:First>Seçil</b:First>
            <b:Middle>Yurdakul</b:Middle>
          </b:Person>
          <b:Person>
            <b:Last>Şahin</b:Last>
            <b:First>Gizem</b:First>
          </b:Person>
        </b:NameList>
      </b:Author>
    </b:Author>
    <b:Title>Conflict Analysis in Natural Resources: Examination with Forest Management and Land-Use Change Cases</b:Title>
    <b:JournalName>St. Kliment Ohridski University Press</b:JournalName>
    <b:Year>2021</b:Year>
    <b:RefOrder>46</b:RefOrder>
  </b:Source>
  <b:Source>
    <b:Tag>Ege11</b:Tag>
    <b:SourceType>JournalArticle</b:SourceType>
    <b:Guid>{7D3F80F4-088C-47CE-86CB-2E56D5A30343}</b:Guid>
    <b:Author>
      <b:Author>
        <b:NameList>
          <b:Person>
            <b:Last>Egeru</b:Last>
            <b:First>Anthony</b:First>
          </b:Person>
          <b:Person>
            <b:Last>Okello</b:Last>
            <b:First>Patrick</b:First>
          </b:Person>
          <b:Person>
            <b:Last>Mukwaya</b:Last>
            <b:First>Paul</b:First>
          </b:Person>
          <b:Person>
            <b:Last>Isubikalu</b:Last>
            <b:First>Prossy</b:First>
          </b:Person>
        </b:NameList>
      </b:Author>
    </b:Author>
    <b:Title>The Effect of Land use/cover change on Biomass Stock in Dryland Areas of Eastern Uganda. A case study of Olio Sub-county in Soroti District</b:Title>
    <b:JournalName>Journal of Applied Sciences and Environmental Management</b:JournalName>
    <b:Year>2011</b:Year>
    <b:DOI>DOI: 10.4314/jasem.v14i4.63280</b:DOI>
    <b:RefOrder>47</b:RefOrder>
  </b:Source>
  <b:Source>
    <b:Tag>Don21</b:Tag>
    <b:SourceType>JournalArticle</b:SourceType>
    <b:Guid>{BF1BA715-5544-45D9-99B7-DCE56B95E8D1}</b:Guid>
    <b:Author>
      <b:Author>
        <b:NameList>
          <b:Person>
            <b:Last>Dong</b:Last>
            <b:First>Suocheng</b:First>
          </b:Person>
          <b:Person>
            <b:Last>Li</b:Last>
            <b:First>Yijia</b:First>
          </b:Person>
          <b:Person>
            <b:Last>Li1</b:Last>
            <b:First>Yu</b:First>
          </b:Person>
          <b:Person>
            <b:Last>Li</b:Last>
            <b:First>Shifeng</b:First>
          </b:Person>
        </b:NameList>
      </b:Author>
    </b:Author>
    <b:Title>Spatiotemporal Patterns and Drivers of Land Use and Land Cover Change in the China-Mongolia-Russia Economic Corridor</b:Title>
    <b:Year>2021</b:Year>
    <b:JournalName>Environment Studies</b:JournalName>
    <b:Pages>2527-2541</b:Pages>
    <b:RefOrder>48</b:RefOrder>
  </b:Source>
  <b:Source>
    <b:Tag>Bos17</b:Tag>
    <b:SourceType>JournalArticle</b:SourceType>
    <b:Guid>{152D9531-403B-44E9-8ABA-14F271958B57}</b:Guid>
    <b:Author>
      <b:Author>
        <b:NameList>
          <b:Person>
            <b:Last>Boscow Okumu</b:Last>
            <b:First>Edwin</b:First>
            <b:Middle>Muchapondwa</b:Middle>
          </b:Person>
        </b:NameList>
      </b:Author>
    </b:Author>
    <b:Title>Determinants of Successful Collective Management of Forest Resources: Evidence from Kenyan Community Forest</b:Title>
    <b:JournalName>Environment for Development</b:JournalName>
    <b:Year>2017</b:Year>
    <b:RefOrder>11</b:RefOrder>
  </b:Source>
  <b:Source>
    <b:Tag>Ama19</b:Tag>
    <b:SourceType>JournalArticle</b:SourceType>
    <b:Guid>{DF950810-DC4F-4275-9658-3FD39838C530}</b:Guid>
    <b:Author>
      <b:Author>
        <b:NameList>
          <b:Person>
            <b:Last>Amanuel</b:Last>
            <b:First>Wondimagegn</b:First>
          </b:Person>
          <b:Person>
            <b:Last>Tesfaye</b:Last>
            <b:First>Musse</b:First>
          </b:Person>
          <b:Person>
            <b:Last>Worku</b:Last>
            <b:First>Adefires</b:First>
          </b:Person>
          <b:Person>
            <b:Last>Seyoum</b:Last>
            <b:First>Gezahegne</b:First>
          </b:Person>
          <b:Person>
            <b:Last>Mekonnen</b:Last>
            <b:First>Zenebe</b:First>
          </b:Person>
        </b:NameList>
      </b:Author>
    </b:Author>
    <b:Title>The role of dry land forests for climate change adaptation: the case of Liben Woreda, Southern Oromia, Ethiopia</b:Title>
    <b:JournalName>Journal of Ecology and Environment</b:JournalName>
    <b:Year>2019</b:Year>
    <b:Pages>11</b:Pages>
    <b:Volume>43</b:Volume>
    <b:DOI>https://doi.org/10.1186/s41610-019-0109-4</b:DOI>
    <b:RefOrder>49</b:RefOrder>
  </b:Source>
  <b:Source>
    <b:Tag>Lan23</b:Tag>
    <b:SourceType>JournalArticle</b:SourceType>
    <b:Guid>{E3556926-BDB8-40B5-B6A1-B703DD39C564}</b:Guid>
    <b:Title>Land use and land cover change in Manokwari, West Papua Province</b:Title>
    <b:JournalName>Earth and Environmental Science</b:JournalName>
    <b:Year>2023</b:Year>
    <b:DOI>doi:10.1088/1755-1315/1192/1/012045</b:DOI>
    <b:Author>
      <b:Author>
        <b:NameList>
          <b:Person>
            <b:Last>Aipasa</b:Last>
            <b:First>Kesaulija</b:First>
          </b:Person>
          <b:Person>
            <b:Last>Suhardiman</b:Last>
            <b:First>Sumaryono</b:First>
          </b:Person>
        </b:NameList>
      </b:Author>
    </b:Author>
    <b:RefOrder>50</b:RefOrder>
  </b:Source>
  <b:Source>
    <b:Tag>Nik20</b:Tag>
    <b:SourceType>JournalArticle</b:SourceType>
    <b:Guid>{29882DA4-8F0F-4F60-8526-66104D2332D3}</b:Guid>
    <b:Author>
      <b:Author>
        <b:NameList>
          <b:Person>
            <b:Last>Doggart</b:Last>
            <b:First>Nike</b:First>
          </b:Person>
          <b:Person>
            <b:Last>Morgan-Brown</b:Last>
            <b:First>Theron</b:First>
          </b:Person>
          <b:Person>
            <b:Last>Lyimo</b:Last>
            <b:First>Emmanuel</b:First>
          </b:Person>
          <b:Person>
            <b:Last>Mbilinyi</b:Last>
            <b:First>Boniface</b:First>
          </b:Person>
          <b:Person>
            <b:Last>CharlesKMeshack</b:Last>
          </b:Person>
          <b:Person>
            <b:Last>MSallu</b:Last>
            <b:First>Susannah</b:First>
          </b:Person>
          <b:Person>
            <b:Last>Spracklen</b:Last>
            <b:First>Dominick</b:First>
          </b:Person>
        </b:NameList>
      </b:Author>
    </b:Author>
    <b:Title>Agriculture is the main driver of deforestation in Tanzania</b:Title>
    <b:JournalName>Environmental Research Letter</b:JournalName>
    <b:Year>2020</b:Year>
    <b:Pages>1</b:Pages>
    <b:DOI>https://doi.org/10.1088/1748-9326/ab6b35</b:DOI>
    <b:RefOrder>15</b:RefOrder>
  </b:Source>
  <b:Source>
    <b:Tag>Mik23</b:Tag>
    <b:SourceType>InternetSite</b:SourceType>
    <b:Guid>{64064267-2EC7-48E1-9F37-9C93E573BC89}</b:Guid>
    <b:Author>
      <b:Author>
        <b:NameList>
          <b:Person>
            <b:Last>Waisse</b:Last>
            <b:First>Mikaela</b:First>
          </b:Person>
          <b:Person>
            <b:Last>Goldman</b:Last>
            <b:First>Elizabeth</b:First>
          </b:Person>
          <b:Person>
            <b:Last>Carter</b:Last>
            <b:First>Sarah</b:First>
          </b:Person>
        </b:NameList>
      </b:Author>
    </b:Author>
    <b:Title>Word Resource Institute</b:Title>
    <b:InternetSiteTitle>Research.wri.org</b:InternetSiteTitle>
    <b:Year>2023</b:Year>
    <b:Month>8</b:Month>
    <b:Day>29</b:Day>
    <b:URL>http://Research.wri.org</b:URL>
    <b:RefOrder>19</b:RefOrder>
  </b:Source>
  <b:Source>
    <b:Tag>Edw22</b:Tag>
    <b:SourceType>JournalArticle</b:SourceType>
    <b:Guid>{F1F9CD88-47AA-46F8-8EE0-209DC5E923B9}</b:Guid>
    <b:Title>Sustainable Approaches For Community Involvement In The Conservation And Management Of Dryland Forest And Their Biodiversity, A Case Of Kijege Forest, Tharaka Nithi County, Kenya</b:Title>
    <b:Year>2022</b:Year>
    <b:Author>
      <b:Author>
        <b:NameList>
          <b:Person>
            <b:Last>Kiria</b:Last>
            <b:First>Edwin</b:First>
          </b:Person>
          <b:Person>
            <b:Last>Onundo</b:Last>
            <b:First>Keith</b:First>
          </b:Person>
        </b:NameList>
      </b:Author>
    </b:Author>
    <b:JournalName>International Journal of Agriculture, Environment and Bioresearch</b:JournalName>
    <b:Pages>2</b:Pages>
    <b:RefOrder>22</b:RefOrder>
  </b:Source>
  <b:Source>
    <b:Tag>FAO19</b:Tag>
    <b:SourceType>Report</b:SourceType>
    <b:Guid>{3AF673D2-306B-48B4-ADEB-8B650ED7D730}</b:Guid>
    <b:Author>
      <b:Author>
        <b:Corporate>FAO</b:Corporate>
      </b:Author>
    </b:Author>
    <b:Title>Trees, forests and land use in drylands: the first global assessment-Full report</b:Title>
    <b:Year>2019</b:Year>
    <b:Publisher>FAO Forestry</b:Publisher>
    <b:City> Rome</b:City>
    <b:RefOrder>2</b:RefOrder>
  </b:Source>
  <b:Source>
    <b:Tag>Uni19</b:Tag>
    <b:SourceType>Report</b:SourceType>
    <b:Guid>{85C4CB2A-1750-4B0A-A74F-754FAE99B1D9}</b:Guid>
    <b:Title>Climate Change Impacts on Africa’s Economic Growth</b:Title>
    <b:Year>2019</b:Year>
    <b:Author>
      <b:Author>
        <b:NameList>
          <b:Person>
            <b:Last>Programme</b:Last>
            <b:First>United</b:First>
            <b:Middle>Nations Environment</b:Middle>
          </b:Person>
        </b:NameList>
      </b:Author>
    </b:Author>
    <b:Publisher>African Development Bank</b:Publisher>
    <b:City>Nairobi</b:City>
    <b:RefOrder>3</b:RefOrder>
  </b:Source>
  <b:Source>
    <b:Tag>Moh17</b:Tag>
    <b:SourceType>JournalArticle</b:SourceType>
    <b:Guid>{4A330B1D-9377-4BC9-88CF-7C3BF963B885}</b:Guid>
    <b:Author>
      <b:Author>
        <b:NameList>
          <b:Person>
            <b:Last>Mohammed</b:Last>
            <b:First>Jamal</b:First>
          </b:Person>
          <b:Person>
            <b:Last>Kofi</b:Last>
            <b:First>Osei-Fosu,</b:First>
            <b:Middle>Anthony</b:Middle>
          </b:Person>
          <b:Person>
            <b:Last>Yusif</b:Last>
            <b:First>Hadrat</b:First>
          </b:Person>
        </b:NameList>
      </b:Author>
    </b:Author>
    <b:Title>Factors influencing households’ participation in forest management in the northern region of Ghana</b:Title>
    <b:JournalName>Independent Journal of Management &amp; Production</b:JournalName>
    <b:Year>2017</b:Year>
    <b:Pages>1324-1340</b:Pages>
    <b:RefOrder>4</b:RefOrder>
  </b:Source>
  <b:Source>
    <b:Tag>Ruu22</b:Tag>
    <b:SourceType>JournalArticle</b:SourceType>
    <b:Guid>{92E18C6C-868E-419A-B0AC-C614FBEA23AF}</b:Guid>
    <b:Author>
      <b:Author>
        <b:NameList>
          <b:Person>
            <b:Last>David</b:Last>
            <b:First>Ruusa</b:First>
            <b:Middle>M</b:Middle>
          </b:Person>
          <b:Person>
            <b:Last>Rosser</b:Last>
            <b:First>Nick</b:First>
            <b:Middle>J</b:Middle>
          </b:Person>
          <b:Person>
            <b:Last>Donoghue</b:Last>
            <b:First>Daniel</b:First>
            <b:Middle>N M</b:Middle>
          </b:Person>
        </b:NameList>
      </b:Author>
    </b:Author>
    <b:Title>Remote sensing for monitoring tropical dryland forests: a review of current research, knowledge gaps and future directions for Southern Africa</b:Title>
    <b:JournalName>Environmental Research Communication</b:JournalName>
    <b:Year>2022</b:Year>
    <b:Pages>4</b:Pages>
    <b:RefOrder>5</b:RefOrder>
  </b:Source>
  <b:Source>
    <b:Tag>Win191</b:Tag>
    <b:SourceType>JournalArticle</b:SourceType>
    <b:Guid>{A1841AAA-4321-4525-82E1-A1873EAD8B3C}</b:Guid>
    <b:Title>Historical Causes of Farmer-Herder Conflict in Kitui East Sub-County, Kenya, 1895-1963</b:Title>
    <b:Year>2019</b:Year>
    <b:Author>
      <b:Author>
        <b:NameList>
          <b:Person>
            <b:Last>Mwikali</b:Last>
            <b:First>Winnifred</b:First>
          </b:Person>
        </b:NameList>
      </b:Author>
    </b:Author>
    <b:JournalName>International Journal of Humanities Social Sciences and Education</b:JournalName>
    <b:Pages> 55-64</b:Pages>
    <b:RefOrder>6</b:RefOrder>
  </b:Source>
</b:Sources>
</file>

<file path=customXml/itemProps1.xml><?xml version="1.0" encoding="utf-8"?>
<ds:datastoreItem xmlns:ds="http://schemas.openxmlformats.org/officeDocument/2006/customXml" ds:itemID="{B80DA654-FEB7-4F73-8C18-5DF8CBC5E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10</Pages>
  <Words>5311</Words>
  <Characters>28680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33924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LQA</cp:lastModifiedBy>
  <cp:revision>2</cp:revision>
  <cp:lastPrinted>1999-07-06T11:00:00Z</cp:lastPrinted>
  <dcterms:created xsi:type="dcterms:W3CDTF">2025-07-14T11:54:00Z</dcterms:created>
  <dcterms:modified xsi:type="dcterms:W3CDTF">2025-07-14T11:54:00Z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0c6c1984-332e-4219-aa54-3ca5ab83f7bb</vt:lpwstr>
  </property>
</Properties>
</file>