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9DC57" w14:textId="65E74FB8" w:rsidR="004D1F95" w:rsidRPr="00C6424E" w:rsidRDefault="004D1F95" w:rsidP="00441B6F">
      <w:pPr>
        <w:pStyle w:val="Author"/>
        <w:spacing w:line="240" w:lineRule="auto"/>
        <w:rPr>
          <w:rFonts w:eastAsia="Calibri" w:cs="Helvetica"/>
          <w:b w:val="0"/>
          <w:bCs/>
          <w:color w:val="000000" w:themeColor="text1"/>
          <w:sz w:val="36"/>
          <w:szCs w:val="36"/>
        </w:rPr>
      </w:pPr>
      <w:r w:rsidRPr="00C6424E">
        <w:rPr>
          <w:rFonts w:eastAsia="Calibri" w:cs="Helvetica"/>
          <w:b w:val="0"/>
          <w:bCs/>
          <w:color w:val="000000" w:themeColor="text1"/>
          <w:sz w:val="36"/>
          <w:szCs w:val="36"/>
        </w:rPr>
        <w:t>Effects of the Implementation of Sustainable Forest</w:t>
      </w:r>
      <w:r w:rsidR="00401927" w:rsidRPr="00C6424E">
        <w:rPr>
          <w:rFonts w:cs="Helvetica"/>
          <w:bCs/>
          <w:iCs/>
          <w:kern w:val="28"/>
          <w:sz w:val="36"/>
        </w:rPr>
        <w:t xml:space="preserve"> </w:t>
      </w:r>
      <w:r w:rsidRPr="00C6424E">
        <w:rPr>
          <w:rFonts w:eastAsia="Calibri" w:cs="Helvetica"/>
          <w:b w:val="0"/>
          <w:bCs/>
          <w:color w:val="000000" w:themeColor="text1"/>
          <w:sz w:val="36"/>
          <w:szCs w:val="36"/>
        </w:rPr>
        <w:t>Practices in the Buffer Zone on Dryland Forest Cover Change in Endau Forest</w:t>
      </w:r>
      <w:r w:rsidR="007B41AE" w:rsidRPr="00C6424E">
        <w:rPr>
          <w:rFonts w:eastAsia="Calibri" w:cs="Helvetica"/>
          <w:b w:val="0"/>
          <w:bCs/>
          <w:color w:val="000000" w:themeColor="text1"/>
          <w:sz w:val="36"/>
          <w:szCs w:val="36"/>
        </w:rPr>
        <w:t>, Kenya</w:t>
      </w:r>
    </w:p>
    <w:p w14:paraId="18FFEB49" w14:textId="40871C87" w:rsidR="003C52B0" w:rsidRDefault="003C52B0" w:rsidP="00531FA5">
      <w:pPr>
        <w:pStyle w:val="Affiliation"/>
        <w:spacing w:after="0" w:line="240" w:lineRule="auto"/>
        <w:jc w:val="left"/>
        <w:rPr>
          <w:rFonts w:cs="Helvetica"/>
          <w:i/>
        </w:rPr>
      </w:pPr>
    </w:p>
    <w:p w14:paraId="1A5E4408" w14:textId="77777777" w:rsidR="00DD1100" w:rsidRPr="00C6424E" w:rsidRDefault="00DD1100" w:rsidP="00531FA5">
      <w:pPr>
        <w:pStyle w:val="Affiliation"/>
        <w:spacing w:after="0" w:line="240" w:lineRule="auto"/>
        <w:jc w:val="left"/>
        <w:rPr>
          <w:rFonts w:cs="Helvetica"/>
          <w:i/>
        </w:rPr>
      </w:pPr>
    </w:p>
    <w:p w14:paraId="117E06D2" w14:textId="77777777" w:rsidR="00B01FCD" w:rsidRPr="00C6424E" w:rsidRDefault="00CB6D5A" w:rsidP="00441B6F">
      <w:pPr>
        <w:pStyle w:val="Copyright"/>
        <w:spacing w:after="0" w:line="240" w:lineRule="auto"/>
        <w:jc w:val="both"/>
        <w:rPr>
          <w:rFonts w:cs="Helvetica"/>
        </w:rPr>
        <w:sectPr w:rsidR="00B01FCD" w:rsidRPr="00C6424E" w:rsidSect="00DD110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C6424E">
        <w:rPr>
          <w:rFonts w:cs="Helvetica"/>
          <w:noProof/>
        </w:rPr>
        <mc:AlternateContent>
          <mc:Choice Requires="wps">
            <w:drawing>
              <wp:inline distT="0" distB="0" distL="0" distR="0" wp14:anchorId="080E7228" wp14:editId="2D3E273F">
                <wp:extent cx="5303520" cy="635"/>
                <wp:effectExtent l="0" t="0" r="11430" b="18415"/>
                <wp:docPr id="194979160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3F41B39"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" strokeweight="1.5pt">
                <o:lock v:ext="edit" shapetype="f"/>
                <w10:anchorlock/>
              </v:shape>
            </w:pict>
          </mc:Fallback>
        </mc:AlternateContent>
      </w:r>
      <w:r w:rsidR="00FB3A86" w:rsidRPr="00C6424E">
        <w:rPr>
          <w:rFonts w:cs="Helvetic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6424E" w14:paraId="7415CC80" w14:textId="77777777" w:rsidTr="00626BD5">
        <w:tc>
          <w:tcPr>
            <w:tcW w:w="8198" w:type="dxa"/>
            <w:shd w:val="clear" w:color="auto" w:fill="F2F2F2"/>
          </w:tcPr>
          <w:p w14:paraId="609BCA82" w14:textId="3ABCCDD7" w:rsidR="00E3114E" w:rsidRPr="00C6424E" w:rsidRDefault="00B01FCD" w:rsidP="00441B6F">
            <w:pPr>
              <w:pStyle w:val="Body"/>
              <w:spacing w:after="0"/>
              <w:rPr>
                <w:rFonts w:eastAsia="Calibri" w:cs="Helvetica"/>
                <w:b/>
                <w:szCs w:val="22"/>
              </w:rPr>
            </w:pPr>
            <w:r w:rsidRPr="00C6424E">
              <w:rPr>
                <w:rFonts w:cs="Helvetica"/>
              </w:rPr>
              <w:t>ABSTRACT</w:t>
            </w:r>
            <w:r w:rsidR="0066510A" w:rsidRPr="00C6424E">
              <w:rPr>
                <w:rFonts w:cs="Helvetica"/>
              </w:rPr>
              <w:t xml:space="preserve"> </w:t>
            </w:r>
          </w:p>
          <w:p w14:paraId="243516B0" w14:textId="77777777" w:rsidR="00E64F4A" w:rsidRDefault="00E64F4A" w:rsidP="00E64F4A">
            <w:pPr>
              <w:jc w:val="both"/>
              <w:rPr>
                <w:rFonts w:ascii="Times New Roman" w:hAnsi="Times New Roman"/>
              </w:rPr>
            </w:pPr>
            <w:r>
              <w:rPr>
                <w:rFonts w:ascii="Times New Roman" w:hAnsi="Times New Roman"/>
              </w:rPr>
              <w:t xml:space="preserve">Deforestation of dryland forests in Africa threatens their existence, which may lead to climate change and loss of biodiversity.  </w:t>
            </w:r>
            <w:r w:rsidRPr="00C06E83">
              <w:rPr>
                <w:rFonts w:ascii="Times New Roman" w:hAnsi="Times New Roman"/>
              </w:rPr>
              <w:t>This study explores how the community's perceptions towards sustainable forest management practices in dryland ecosystems affect the forest cover.</w:t>
            </w:r>
            <w:r>
              <w:rPr>
                <w:rFonts w:ascii="Times New Roman" w:hAnsi="Times New Roman"/>
              </w:rPr>
              <w:t xml:space="preserve"> </w:t>
            </w:r>
            <w:r w:rsidRPr="00C06E83">
              <w:rPr>
                <w:rFonts w:ascii="Times New Roman" w:hAnsi="Times New Roman"/>
              </w:rPr>
              <w:t xml:space="preserve"> </w:t>
            </w:r>
            <w:r>
              <w:rPr>
                <w:rFonts w:ascii="Times New Roman" w:hAnsi="Times New Roman"/>
              </w:rPr>
              <w:t>The primary objective was t</w:t>
            </w:r>
            <w:r w:rsidRPr="00367E32">
              <w:rPr>
                <w:rFonts w:ascii="Times New Roman" w:hAnsi="Times New Roman"/>
              </w:rPr>
              <w:t xml:space="preserve">o establish the effects of the implementation of sustainable forest practices in the buffer zone </w:t>
            </w:r>
            <w:r>
              <w:rPr>
                <w:rFonts w:ascii="Times New Roman" w:hAnsi="Times New Roman"/>
              </w:rPr>
              <w:t>of</w:t>
            </w:r>
            <w:r w:rsidRPr="00367E32">
              <w:rPr>
                <w:rFonts w:ascii="Times New Roman" w:hAnsi="Times New Roman"/>
              </w:rPr>
              <w:t xml:space="preserve"> Endau Forest</w:t>
            </w:r>
            <w:r>
              <w:rPr>
                <w:rFonts w:ascii="Times New Roman" w:hAnsi="Times New Roman"/>
              </w:rPr>
              <w:t xml:space="preserve"> between 1979 and 2024.</w:t>
            </w:r>
            <w:r w:rsidRPr="00C06E83">
              <w:rPr>
                <w:rFonts w:ascii="Times New Roman" w:hAnsi="Times New Roman"/>
              </w:rPr>
              <w:t xml:space="preserve"> </w:t>
            </w:r>
            <w:r w:rsidRPr="002541D7">
              <w:rPr>
                <w:rFonts w:ascii="Times New Roman" w:hAnsi="Times New Roman"/>
              </w:rPr>
              <w:t>A cross-sectional survey design was employed involving 2</w:t>
            </w:r>
            <w:r>
              <w:rPr>
                <w:rFonts w:ascii="Times New Roman" w:hAnsi="Times New Roman"/>
              </w:rPr>
              <w:t>98</w:t>
            </w:r>
            <w:r w:rsidRPr="002541D7">
              <w:rPr>
                <w:rFonts w:ascii="Times New Roman" w:hAnsi="Times New Roman"/>
              </w:rPr>
              <w:t xml:space="preserve"> randomly selected </w:t>
            </w:r>
            <w:r>
              <w:rPr>
                <w:rFonts w:ascii="Times New Roman" w:hAnsi="Times New Roman"/>
              </w:rPr>
              <w:t>household heads from the Endau location through</w:t>
            </w:r>
            <w:r w:rsidRPr="002541D7">
              <w:rPr>
                <w:rFonts w:ascii="Times New Roman" w:hAnsi="Times New Roman"/>
              </w:rPr>
              <w:t xml:space="preserve"> </w:t>
            </w:r>
            <w:r>
              <w:rPr>
                <w:rFonts w:ascii="Times New Roman" w:hAnsi="Times New Roman"/>
              </w:rPr>
              <w:t>s</w:t>
            </w:r>
            <w:r w:rsidRPr="002541D7">
              <w:rPr>
                <w:rFonts w:ascii="Times New Roman" w:hAnsi="Times New Roman"/>
              </w:rPr>
              <w:t>tructured questionnaires</w:t>
            </w:r>
            <w:r>
              <w:rPr>
                <w:rFonts w:ascii="Times New Roman" w:hAnsi="Times New Roman"/>
              </w:rPr>
              <w:t>, and s</w:t>
            </w:r>
            <w:r w:rsidRPr="00C06E83">
              <w:rPr>
                <w:rFonts w:ascii="Times New Roman" w:hAnsi="Times New Roman"/>
              </w:rPr>
              <w:t xml:space="preserve">ix key informants </w:t>
            </w:r>
            <w:r>
              <w:rPr>
                <w:rFonts w:ascii="Times New Roman" w:hAnsi="Times New Roman"/>
              </w:rPr>
              <w:t>who were interviewed through</w:t>
            </w:r>
            <w:r w:rsidRPr="00C06E83">
              <w:rPr>
                <w:rFonts w:ascii="Times New Roman" w:hAnsi="Times New Roman"/>
              </w:rPr>
              <w:t xml:space="preserve"> a semi-structured interview. </w:t>
            </w:r>
            <w:r>
              <w:rPr>
                <w:rFonts w:ascii="Times New Roman" w:hAnsi="Times New Roman"/>
              </w:rPr>
              <w:t>D</w:t>
            </w:r>
            <w:r w:rsidRPr="00C06E83">
              <w:rPr>
                <w:rFonts w:ascii="Times New Roman" w:hAnsi="Times New Roman"/>
              </w:rPr>
              <w:t xml:space="preserve">escriptive statistics, Pearson correlation, regression analysis, </w:t>
            </w:r>
            <w:r>
              <w:rPr>
                <w:rFonts w:ascii="Times New Roman" w:hAnsi="Times New Roman"/>
              </w:rPr>
              <w:t>and</w:t>
            </w:r>
            <w:r w:rsidRPr="00C06E83">
              <w:rPr>
                <w:rFonts w:ascii="Times New Roman" w:hAnsi="Times New Roman"/>
              </w:rPr>
              <w:t xml:space="preserve"> thematic analysis</w:t>
            </w:r>
            <w:r>
              <w:rPr>
                <w:rFonts w:ascii="Times New Roman" w:hAnsi="Times New Roman"/>
              </w:rPr>
              <w:t xml:space="preserve"> were used to evaluate sustainable forest management</w:t>
            </w:r>
            <w:r w:rsidRPr="00C06E83">
              <w:rPr>
                <w:rFonts w:ascii="Times New Roman" w:hAnsi="Times New Roman"/>
              </w:rPr>
              <w:t xml:space="preserve">. Satellite imagery from 1979, 1994, 2009, and 2024 was used to assess land cover changes. Results revealed an </w:t>
            </w:r>
            <w:r>
              <w:rPr>
                <w:rFonts w:ascii="Times New Roman" w:hAnsi="Times New Roman"/>
              </w:rPr>
              <w:t xml:space="preserve">improvement of </w:t>
            </w:r>
            <w:r w:rsidRPr="00C06E83">
              <w:rPr>
                <w:rFonts w:ascii="Times New Roman" w:hAnsi="Times New Roman"/>
              </w:rPr>
              <w:t xml:space="preserve">forest </w:t>
            </w:r>
            <w:r>
              <w:rPr>
                <w:rFonts w:ascii="Times New Roman" w:hAnsi="Times New Roman"/>
              </w:rPr>
              <w:t>class</w:t>
            </w:r>
            <w:r w:rsidRPr="00C06E83">
              <w:rPr>
                <w:rFonts w:ascii="Times New Roman" w:hAnsi="Times New Roman"/>
              </w:rPr>
              <w:t xml:space="preserve"> from 3,397.32 hectares in 1979 to 6,465.05 hectares in 2009, followed by a decline to 5,727.04 hectares in 2024. Shrubland and bare land fluctuated over the years. A strong positive correlation (</w:t>
            </w:r>
            <w:r w:rsidRPr="001650D1">
              <w:rPr>
                <w:rFonts w:ascii="Times New Roman" w:hAnsi="Times New Roman"/>
                <w:i/>
                <w:iCs/>
              </w:rPr>
              <w:t>r</w:t>
            </w:r>
            <w:r w:rsidRPr="00C06E83">
              <w:rPr>
                <w:rFonts w:ascii="Times New Roman" w:hAnsi="Times New Roman"/>
              </w:rPr>
              <w:t xml:space="preserve"> = 0.868, </w:t>
            </w:r>
            <w:r w:rsidRPr="001650D1">
              <w:rPr>
                <w:rFonts w:ascii="Times New Roman" w:hAnsi="Times New Roman"/>
                <w:i/>
                <w:iCs/>
              </w:rPr>
              <w:t>p</w:t>
            </w:r>
            <w:r w:rsidRPr="00C06E83">
              <w:rPr>
                <w:rFonts w:ascii="Times New Roman" w:hAnsi="Times New Roman"/>
              </w:rPr>
              <w:t xml:space="preserve"> = 0.01) and significant regression (</w:t>
            </w:r>
            <w:r w:rsidRPr="001650D1">
              <w:rPr>
                <w:rFonts w:ascii="Times New Roman" w:hAnsi="Times New Roman"/>
                <w:i/>
                <w:iCs/>
              </w:rPr>
              <w:t xml:space="preserve">β </w:t>
            </w:r>
            <w:r w:rsidRPr="00C06E83">
              <w:rPr>
                <w:rFonts w:ascii="Times New Roman" w:hAnsi="Times New Roman"/>
              </w:rPr>
              <w:t xml:space="preserve">= 0.149, </w:t>
            </w:r>
            <w:r w:rsidRPr="001650D1">
              <w:rPr>
                <w:rFonts w:ascii="Times New Roman" w:hAnsi="Times New Roman"/>
                <w:i/>
                <w:iCs/>
              </w:rPr>
              <w:t>p</w:t>
            </w:r>
            <w:r w:rsidRPr="00C06E83">
              <w:rPr>
                <w:rFonts w:ascii="Times New Roman" w:hAnsi="Times New Roman"/>
              </w:rPr>
              <w:t xml:space="preserve"> = 0.012) indicated that sustainable practices had a positive effect on forest cover. </w:t>
            </w:r>
            <w:r w:rsidRPr="001650D1">
              <w:rPr>
                <w:rFonts w:ascii="Times New Roman" w:hAnsi="Times New Roman"/>
              </w:rPr>
              <w:t>The findings underscore th</w:t>
            </w:r>
            <w:r>
              <w:rPr>
                <w:rFonts w:ascii="Times New Roman" w:hAnsi="Times New Roman"/>
              </w:rPr>
              <w:t>at sustainable forest practices are significant to dryland forest conservation</w:t>
            </w:r>
            <w:r w:rsidRPr="001650D1">
              <w:rPr>
                <w:rFonts w:ascii="Times New Roman" w:hAnsi="Times New Roman"/>
              </w:rPr>
              <w:t xml:space="preserve">. There is a need for policy interventions to support </w:t>
            </w:r>
            <w:r>
              <w:rPr>
                <w:rFonts w:ascii="Times New Roman" w:hAnsi="Times New Roman"/>
              </w:rPr>
              <w:t>sustainable forest management and community advocacy</w:t>
            </w:r>
            <w:r w:rsidRPr="001650D1">
              <w:rPr>
                <w:rFonts w:ascii="Times New Roman" w:hAnsi="Times New Roman"/>
              </w:rPr>
              <w:t>.</w:t>
            </w:r>
          </w:p>
          <w:p w14:paraId="02EDB3C2" w14:textId="6E1484BC" w:rsidR="00505F06" w:rsidRPr="00C6424E" w:rsidRDefault="00505F06" w:rsidP="00441B6F">
            <w:pPr>
              <w:pStyle w:val="Body"/>
              <w:spacing w:after="0"/>
              <w:rPr>
                <w:rFonts w:eastAsia="Calibri" w:cs="Helvetica"/>
                <w:bCs/>
                <w:szCs w:val="22"/>
              </w:rPr>
            </w:pPr>
          </w:p>
        </w:tc>
      </w:tr>
    </w:tbl>
    <w:p w14:paraId="2ADDD7A6" w14:textId="77777777" w:rsidR="00E64F4A" w:rsidRPr="00C06E83" w:rsidRDefault="00626BD5" w:rsidP="00E64F4A">
      <w:pPr>
        <w:jc w:val="both"/>
        <w:rPr>
          <w:rFonts w:ascii="Times New Roman" w:hAnsi="Times New Roman"/>
        </w:rPr>
      </w:pPr>
      <w:r w:rsidRPr="00C6424E">
        <w:rPr>
          <w:rFonts w:cs="Helvetica"/>
          <w:b/>
          <w:bCs/>
          <w:i/>
        </w:rPr>
        <w:t>Keywords:</w:t>
      </w:r>
      <w:r w:rsidRPr="00C6424E">
        <w:rPr>
          <w:rFonts w:cs="Helvetica"/>
          <w:i/>
        </w:rPr>
        <w:t xml:space="preserve"> </w:t>
      </w:r>
      <w:r w:rsidR="00E64F4A" w:rsidRPr="00FF4DB0">
        <w:rPr>
          <w:rFonts w:ascii="Times New Roman" w:hAnsi="Times New Roman"/>
          <w:i/>
          <w:iCs/>
        </w:rPr>
        <w:t>Sustainable Forest Management, Endau Forest, Dryland Forest, Forest Cover Change, Community Perceptions, Deforestation.</w:t>
      </w:r>
    </w:p>
    <w:p w14:paraId="71F67F10" w14:textId="1BA6B9CC" w:rsidR="00626BD5" w:rsidRDefault="00626BD5" w:rsidP="00441B6F">
      <w:pPr>
        <w:pStyle w:val="Body"/>
        <w:spacing w:after="0"/>
        <w:rPr>
          <w:rFonts w:cs="Helvetica"/>
          <w:i/>
        </w:rPr>
      </w:pPr>
    </w:p>
    <w:p w14:paraId="42390FBE" w14:textId="23FA1BEC" w:rsidR="003C52B0" w:rsidRPr="00C6424E" w:rsidRDefault="003C52B0" w:rsidP="00441B6F">
      <w:pPr>
        <w:pStyle w:val="Body"/>
        <w:spacing w:after="0"/>
        <w:rPr>
          <w:rFonts w:cs="Helvetica"/>
          <w:i/>
        </w:rPr>
      </w:pPr>
      <w:r>
        <w:rPr>
          <w:rFonts w:cs="Helvetica"/>
          <w:i/>
        </w:rPr>
        <w:t xml:space="preserve">Introduction </w:t>
      </w:r>
    </w:p>
    <w:p w14:paraId="172E9D06" w14:textId="77777777" w:rsidR="00505F06" w:rsidRPr="00C6424E" w:rsidRDefault="00505F06" w:rsidP="00441B6F">
      <w:pPr>
        <w:pStyle w:val="Body"/>
        <w:spacing w:after="0"/>
        <w:rPr>
          <w:rFonts w:cs="Helvetica"/>
          <w:i/>
        </w:rPr>
      </w:pPr>
    </w:p>
    <w:p w14:paraId="724AA580" w14:textId="64A4A812" w:rsidR="007F7B32" w:rsidRPr="00C6424E" w:rsidRDefault="00902823" w:rsidP="00441B6F">
      <w:pPr>
        <w:pStyle w:val="AbstHead"/>
        <w:spacing w:after="0"/>
        <w:jc w:val="both"/>
        <w:rPr>
          <w:rFonts w:cs="Helvetica"/>
        </w:rPr>
      </w:pPr>
      <w:r w:rsidRPr="00C6424E">
        <w:rPr>
          <w:rFonts w:cs="Helvetica"/>
        </w:rPr>
        <w:t xml:space="preserve">1. </w:t>
      </w:r>
      <w:r w:rsidR="00F146B2" w:rsidRPr="00C6424E">
        <w:rPr>
          <w:rFonts w:cs="Helvetica"/>
        </w:rPr>
        <w:t>Background of the study</w:t>
      </w:r>
      <w:r w:rsidR="007F7B32" w:rsidRPr="00C6424E">
        <w:rPr>
          <w:rFonts w:cs="Helvetica"/>
        </w:rPr>
        <w:t xml:space="preserve"> </w:t>
      </w:r>
    </w:p>
    <w:p w14:paraId="34BC13CA" w14:textId="77777777" w:rsidR="00790ADA" w:rsidRPr="00C6424E" w:rsidRDefault="00790ADA" w:rsidP="00441B6F">
      <w:pPr>
        <w:pStyle w:val="AbstHead"/>
        <w:spacing w:after="0"/>
        <w:jc w:val="both"/>
        <w:rPr>
          <w:rFonts w:cs="Helvetica"/>
        </w:rPr>
      </w:pPr>
    </w:p>
    <w:p w14:paraId="7889E411" w14:textId="0AF1B1A8" w:rsidR="005625F5" w:rsidRPr="00C6424E" w:rsidRDefault="00626BD5" w:rsidP="00DE3D89">
      <w:pPr>
        <w:jc w:val="both"/>
        <w:rPr>
          <w:rFonts w:eastAsia="Calibri" w:cs="Helvetica"/>
          <w:color w:val="000000" w:themeColor="text1"/>
          <w:szCs w:val="24"/>
        </w:rPr>
      </w:pPr>
      <w:r w:rsidRPr="00C6424E">
        <w:rPr>
          <w:rFonts w:eastAsia="Calibri" w:cs="Helvetica"/>
          <w:color w:val="000000" w:themeColor="text1"/>
          <w:szCs w:val="24"/>
        </w:rPr>
        <w:t>To establish the effects of the implementation of sustainable forest practices in the buffer zone on dryland forest cover change in Endau Forest. The forest's sustainable practices enhance the forest cover. Most of these sustainable practices are done by individual farmers. Community-based initiatives, including forest restocking after degradation, are vital for supporting dryland forest regeneration, but their impacts are not fully understood</w:t>
      </w:r>
      <w:sdt>
        <w:sdtPr>
          <w:rPr>
            <w:rFonts w:eastAsia="Calibri" w:cs="Helvetica"/>
            <w:color w:val="000000" w:themeColor="text1"/>
            <w:szCs w:val="24"/>
          </w:rPr>
          <w:id w:val="-1809541919"/>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Sha22 \l 1033 </w:instrText>
          </w:r>
          <w:r w:rsidRPr="00C6424E">
            <w:rPr>
              <w:rFonts w:eastAsia="Calibri" w:cs="Helvetica"/>
              <w:color w:val="000000" w:themeColor="text1"/>
              <w:szCs w:val="24"/>
            </w:rPr>
            <w:fldChar w:fldCharType="separate"/>
          </w:r>
          <w:r w:rsidR="00DE3D89" w:rsidRPr="00C6424E">
            <w:rPr>
              <w:rFonts w:eastAsia="Calibri" w:cs="Helvetica"/>
              <w:noProof/>
              <w:color w:val="000000" w:themeColor="text1"/>
              <w:szCs w:val="24"/>
            </w:rPr>
            <w:t xml:space="preserve"> [1]</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xml:space="preserve">. </w:t>
      </w:r>
      <w:r w:rsidR="005625F5" w:rsidRPr="00C6424E">
        <w:rPr>
          <w:rFonts w:eastAsia="Calibri" w:cs="Helvetica"/>
          <w:color w:val="000000" w:themeColor="text1"/>
          <w:szCs w:val="24"/>
        </w:rPr>
        <w:t xml:space="preserve">Land cover changes significantly contribute to modifying the Earth's surface (Yasin </w:t>
      </w:r>
      <w:r w:rsidR="005625F5" w:rsidRPr="00C6424E">
        <w:rPr>
          <w:rFonts w:eastAsia="Calibri" w:cs="Helvetica"/>
          <w:i/>
          <w:color w:val="000000" w:themeColor="text1"/>
          <w:szCs w:val="24"/>
        </w:rPr>
        <w:t>et al</w:t>
      </w:r>
      <w:r w:rsidR="005625F5" w:rsidRPr="00C6424E">
        <w:rPr>
          <w:rFonts w:eastAsia="Calibri" w:cs="Helvetica"/>
          <w:color w:val="000000" w:themeColor="text1"/>
          <w:szCs w:val="24"/>
        </w:rPr>
        <w:t>, 2023). If this modification is not mitigated through restocking, reforestation, and afforestation, the Earth's environmental services will likely be interfered with. The drylands are usually defined by the ratio of annual precipitation (P) to annual potential evapotranspiration (PET); drylands have a P/PET ratio. Drylands are typically identified by comparing annual rainfall to potential evapotranspiration, using the aridity index (AI), or the P/PET ratio (FAO, 2019). Based on this index, drylands fall into four categories: hyper-arid (AI below 0.05), arid (0.05 to less than 0.2), semi-arid (0.2 to less than 0.5), and dry sub-humid (0.5 to less than 0.65). These regions experience limited rainfall and high rates of evaporation. Dryland forests, therefore, are those that grow within zones where the aridity index ranges from 0.05 to 0.65</w:t>
      </w:r>
      <w:sdt>
        <w:sdtPr>
          <w:rPr>
            <w:rFonts w:eastAsia="Calibri" w:cs="Helvetica"/>
            <w:color w:val="000000" w:themeColor="text1"/>
            <w:szCs w:val="24"/>
          </w:rPr>
          <w:id w:val="1419827844"/>
          <w:citation/>
        </w:sdtPr>
        <w:sdtEndPr/>
        <w:sdtContent>
          <w:r w:rsidR="00F84591" w:rsidRPr="00C6424E">
            <w:rPr>
              <w:rFonts w:eastAsia="Calibri" w:cs="Helvetica"/>
              <w:color w:val="000000" w:themeColor="text1"/>
              <w:szCs w:val="24"/>
            </w:rPr>
            <w:fldChar w:fldCharType="begin"/>
          </w:r>
          <w:r w:rsidR="00F84591" w:rsidRPr="00C6424E">
            <w:rPr>
              <w:rFonts w:eastAsia="Calibri" w:cs="Helvetica"/>
              <w:color w:val="000000" w:themeColor="text1"/>
              <w:szCs w:val="24"/>
              <w:lang w:val="en-US"/>
            </w:rPr>
            <w:instrText xml:space="preserve"> CITATION Hui23 \l 1033 </w:instrText>
          </w:r>
          <w:r w:rsidR="00F84591" w:rsidRPr="00C6424E">
            <w:rPr>
              <w:rFonts w:eastAsia="Calibri" w:cs="Helvetica"/>
              <w:color w:val="000000" w:themeColor="text1"/>
              <w:szCs w:val="24"/>
            </w:rPr>
            <w:fldChar w:fldCharType="separate"/>
          </w:r>
          <w:r w:rsidR="00DE3D89" w:rsidRPr="00C6424E">
            <w:rPr>
              <w:rFonts w:eastAsia="Calibri" w:cs="Helvetica"/>
              <w:noProof/>
              <w:color w:val="000000" w:themeColor="text1"/>
              <w:szCs w:val="24"/>
              <w:lang w:val="en-US"/>
            </w:rPr>
            <w:t xml:space="preserve"> [2]</w:t>
          </w:r>
          <w:r w:rsidR="00F84591" w:rsidRPr="00C6424E">
            <w:rPr>
              <w:rFonts w:eastAsia="Calibri" w:cs="Helvetica"/>
              <w:color w:val="000000" w:themeColor="text1"/>
              <w:szCs w:val="24"/>
            </w:rPr>
            <w:fldChar w:fldCharType="end"/>
          </w:r>
        </w:sdtContent>
      </w:sdt>
      <w:r w:rsidR="005625F5" w:rsidRPr="00C6424E">
        <w:rPr>
          <w:rFonts w:eastAsia="Calibri" w:cs="Helvetica"/>
          <w:color w:val="000000" w:themeColor="text1"/>
          <w:szCs w:val="24"/>
        </w:rPr>
        <w:t>.</w:t>
      </w:r>
    </w:p>
    <w:p w14:paraId="25FD2502" w14:textId="77777777" w:rsidR="005625F5" w:rsidRPr="00C6424E" w:rsidRDefault="005625F5" w:rsidP="00DE3D89">
      <w:pPr>
        <w:jc w:val="both"/>
        <w:rPr>
          <w:rFonts w:eastAsia="Calibri" w:cs="Helvetica"/>
          <w:color w:val="000000" w:themeColor="text1"/>
          <w:szCs w:val="24"/>
        </w:rPr>
      </w:pPr>
    </w:p>
    <w:p w14:paraId="02D41B62" w14:textId="26D8330F" w:rsidR="00DE3D89" w:rsidRPr="00C6424E" w:rsidRDefault="00DE3D89" w:rsidP="00DE3D89">
      <w:pPr>
        <w:jc w:val="both"/>
        <w:rPr>
          <w:rFonts w:eastAsia="Calibri" w:cs="Helvetica"/>
          <w:color w:val="000000" w:themeColor="text1"/>
          <w:szCs w:val="24"/>
        </w:rPr>
      </w:pPr>
      <w:r w:rsidRPr="00C6424E">
        <w:rPr>
          <w:rFonts w:eastAsia="Calibri" w:cs="Helvetica"/>
          <w:color w:val="000000" w:themeColor="text1"/>
          <w:szCs w:val="24"/>
        </w:rPr>
        <w:t>Dryland forests are vital ecosystems that cover approximately 27% of the Earth's forested area. Dryland forests provide environmental services such as carbon sequestration and biodiversity conservation. Dryland forests are a source of livelihood that supports approximately two billion people in the world</w:t>
      </w:r>
      <w:sdt>
        <w:sdtPr>
          <w:rPr>
            <w:rFonts w:eastAsia="Calibri" w:cs="Helvetica"/>
            <w:color w:val="000000" w:themeColor="text1"/>
            <w:szCs w:val="24"/>
          </w:rPr>
          <w:id w:val="1211759888"/>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[3]</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xml:space="preserve">. Despite their importance, these ecosystems are increasingly threatened by human activities like agricultural expansion, logging, and overgrazing, as well as by the impacts of climate change. Globally, the degradation of dryland forests contributes to rising carbon emissions, exacerbates </w:t>
      </w:r>
      <w:r w:rsidRPr="00C6424E">
        <w:rPr>
          <w:rFonts w:eastAsia="Calibri" w:cs="Helvetica"/>
          <w:color w:val="000000" w:themeColor="text1"/>
          <w:szCs w:val="24"/>
        </w:rPr>
        <w:lastRenderedPageBreak/>
        <w:t>desertification, and diminishes biodiversity</w:t>
      </w:r>
      <w:sdt>
        <w:sdtPr>
          <w:rPr>
            <w:rFonts w:eastAsia="Calibri" w:cs="Helvetica"/>
            <w:color w:val="000000" w:themeColor="text1"/>
            <w:szCs w:val="24"/>
          </w:rPr>
          <w:id w:val="-773474092"/>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FAO19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[4]</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According to FAO 2020, all types of forests constitute 31% of the total land in the world. Studies by FAO have shown that the forest cover has been decreasing at alarming rates. The first Forest Research Assessment (FRA) was done in 1948. In 1948, FRA indicated that 66% of the world was forested. In 2020, only 30.8% (4.06 billion hectares) of the world was forested. Therefore, more than half of the area that was occupied by the forest in 1948 has been deforested</w:t>
      </w:r>
      <w:sdt>
        <w:sdtPr>
          <w:rPr>
            <w:rFonts w:eastAsia="Calibri" w:cs="Helvetica"/>
            <w:color w:val="000000" w:themeColor="text1"/>
            <w:szCs w:val="24"/>
          </w:rPr>
          <w:id w:val="-671480977"/>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[3]</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More than half of the forests have been deforested in seven decades. Despite extensive research on tropical rainforests, there is a significant gap in the literature concerning the spatiotemporal dynamics of dryland forests, particularly in understanding the specific patterns and drivers of change over extended periods. Addressing these knowledge gaps is crucial for developing effective conservation strategies that are tailored to the unique challenges faced by dryland forests.</w:t>
      </w:r>
    </w:p>
    <w:p w14:paraId="1E2B2830" w14:textId="77777777" w:rsidR="00DE3D89" w:rsidRPr="00C6424E" w:rsidRDefault="00DE3D89" w:rsidP="00DE3D89">
      <w:pPr>
        <w:jc w:val="both"/>
        <w:rPr>
          <w:rFonts w:eastAsia="Calibri" w:cs="Helvetica"/>
          <w:color w:val="000000" w:themeColor="text1"/>
          <w:szCs w:val="24"/>
        </w:rPr>
      </w:pPr>
    </w:p>
    <w:p w14:paraId="78B18C02" w14:textId="1704A2D0" w:rsidR="00DE3D89" w:rsidRPr="00C6424E" w:rsidRDefault="00DE3D89" w:rsidP="00DE3D89">
      <w:pPr>
        <w:jc w:val="both"/>
        <w:rPr>
          <w:rFonts w:eastAsia="Calibri" w:cs="Helvetica"/>
          <w:color w:val="000000" w:themeColor="text1"/>
          <w:szCs w:val="24"/>
        </w:rPr>
      </w:pPr>
      <w:r w:rsidRPr="00C6424E">
        <w:rPr>
          <w:rFonts w:eastAsia="Calibri" w:cs="Helvetica"/>
          <w:color w:val="000000" w:themeColor="text1"/>
          <w:szCs w:val="24"/>
        </w:rPr>
        <w:t>African forests account for only 16% (636 million hectares) of the world's forests</w:t>
      </w:r>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CITATION FAO20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[3]</w:t>
      </w:r>
      <w:r w:rsidRPr="00C6424E">
        <w:rPr>
          <w:rFonts w:eastAsia="Calibri" w:cs="Helvetica"/>
          <w:color w:val="000000" w:themeColor="text1"/>
          <w:szCs w:val="24"/>
        </w:rPr>
        <w:fldChar w:fldCharType="end"/>
      </w:r>
      <w:r w:rsidRPr="00C6424E">
        <w:rPr>
          <w:rFonts w:eastAsia="Calibri" w:cs="Helvetica"/>
          <w:color w:val="000000" w:themeColor="text1"/>
          <w:szCs w:val="24"/>
        </w:rPr>
        <w:t>. The African forest cover is almost half the world's average.  However, Africa experienced significant deforestation, losing 3.9 million hectares annually between 2010 and 2020</w:t>
      </w:r>
      <w:sdt>
        <w:sdtPr>
          <w:rPr>
            <w:rFonts w:eastAsia="Calibri" w:cs="Helvetica"/>
            <w:color w:val="000000" w:themeColor="text1"/>
            <w:szCs w:val="24"/>
          </w:rPr>
          <w:id w:val="-2068945932"/>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[3]</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Forest services such as food, fibre, medicinal, pharmaceutical plants, timber, and biofuel production will be affected if deforestation continues</w:t>
      </w:r>
      <w:sdt>
        <w:sdtPr>
          <w:rPr>
            <w:rFonts w:eastAsia="Calibri" w:cs="Helvetica"/>
            <w:color w:val="000000" w:themeColor="text1"/>
            <w:szCs w:val="24"/>
          </w:rPr>
          <w:id w:val="-848636479"/>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CITATION Uni19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[5]</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In Africa, dryland forests are especially vulnerable due to rapid population growth, poverty, and a heavy reliance on natural resources for livelihoods</w:t>
      </w:r>
      <w:sdt>
        <w:sdtPr>
          <w:rPr>
            <w:rFonts w:eastAsia="Calibri" w:cs="Helvetica"/>
            <w:color w:val="000000" w:themeColor="text1"/>
            <w:szCs w:val="24"/>
          </w:rPr>
          <w:id w:val="-231387664"/>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Moh17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[6]</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xml:space="preserve">. Dryland forests that are found </w:t>
      </w:r>
      <w:r w:rsidR="00A816F2">
        <w:rPr>
          <w:rFonts w:eastAsia="Calibri" w:cs="Helvetica"/>
          <w:color w:val="000000" w:themeColor="text1"/>
          <w:szCs w:val="24"/>
        </w:rPr>
        <w:t xml:space="preserve">in </w:t>
      </w:r>
      <w:r w:rsidRPr="00C6424E">
        <w:rPr>
          <w:rFonts w:eastAsia="Calibri" w:cs="Helvetica"/>
          <w:color w:val="000000" w:themeColor="text1"/>
          <w:szCs w:val="24"/>
        </w:rPr>
        <w:t xml:space="preserve">regions such as </w:t>
      </w:r>
      <w:r w:rsidR="00A816F2">
        <w:rPr>
          <w:rFonts w:eastAsia="Calibri" w:cs="Helvetica"/>
          <w:color w:val="000000" w:themeColor="text1"/>
          <w:szCs w:val="24"/>
        </w:rPr>
        <w:t xml:space="preserve">the </w:t>
      </w:r>
      <w:r w:rsidRPr="00C6424E">
        <w:rPr>
          <w:rFonts w:eastAsia="Calibri" w:cs="Helvetica"/>
          <w:color w:val="000000" w:themeColor="text1"/>
          <w:szCs w:val="24"/>
        </w:rPr>
        <w:t xml:space="preserve">Sahel, </w:t>
      </w:r>
      <w:r w:rsidR="00A816F2">
        <w:rPr>
          <w:rFonts w:eastAsia="Calibri" w:cs="Helvetica"/>
          <w:color w:val="000000" w:themeColor="text1"/>
          <w:szCs w:val="24"/>
        </w:rPr>
        <w:t xml:space="preserve">in </w:t>
      </w:r>
      <w:r w:rsidRPr="00C6424E">
        <w:rPr>
          <w:rFonts w:eastAsia="Calibri" w:cs="Helvetica"/>
          <w:color w:val="000000" w:themeColor="text1"/>
          <w:szCs w:val="24"/>
        </w:rPr>
        <w:t>the Horn of Africa, and Southern Africa, are under immense pressure from agricultural expansion, charcoal production, and unsustainable land-use practices</w:t>
      </w:r>
      <w:sdt>
        <w:sdtPr>
          <w:rPr>
            <w:rFonts w:eastAsia="Calibri" w:cs="Helvetica"/>
            <w:color w:val="000000" w:themeColor="text1"/>
            <w:szCs w:val="24"/>
          </w:rPr>
          <w:id w:val="577481800"/>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Ruu22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[7]</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While there is growing research on the drivers of deforestation in Africa, regional studies often cover short periods. The specific impacts of economic activities on forest cover remain underexplored. The intersection of economic factors with forest cover change is particularly critical, as economic pressures frequently lead to the conversion of forested land into agricultural land or the extraction of forest resources for income generation.</w:t>
      </w:r>
    </w:p>
    <w:p w14:paraId="4E552003" w14:textId="77777777" w:rsidR="00DE3D89" w:rsidRPr="00C6424E" w:rsidRDefault="00DE3D89" w:rsidP="00DE3D89">
      <w:pPr>
        <w:ind w:right="301"/>
        <w:jc w:val="both"/>
        <w:rPr>
          <w:rFonts w:eastAsia="Calibri" w:cs="Helvetica"/>
          <w:color w:val="000000" w:themeColor="text1"/>
          <w:szCs w:val="24"/>
        </w:rPr>
      </w:pPr>
    </w:p>
    <w:p w14:paraId="32B9F386" w14:textId="3168C1EB" w:rsidR="00DE3D89" w:rsidRPr="00C6424E" w:rsidRDefault="00DE3D89" w:rsidP="00DE3D89">
      <w:pPr>
        <w:jc w:val="both"/>
        <w:rPr>
          <w:rFonts w:eastAsia="Calibri" w:cs="Helvetica"/>
          <w:color w:val="000000" w:themeColor="text1"/>
          <w:szCs w:val="24"/>
        </w:rPr>
      </w:pPr>
      <w:r w:rsidRPr="00C6424E">
        <w:rPr>
          <w:rFonts w:eastAsia="Calibri" w:cs="Helvetica"/>
          <w:color w:val="000000" w:themeColor="text1"/>
          <w:szCs w:val="24"/>
        </w:rPr>
        <w:t>In East Africa, dryland forests are facing significant threats due to economic, environmental, and social pressures</w:t>
      </w:r>
      <w:sdt>
        <w:sdtPr>
          <w:rPr>
            <w:rFonts w:eastAsia="Calibri" w:cs="Helvetica"/>
            <w:color w:val="000000" w:themeColor="text1"/>
            <w:szCs w:val="24"/>
          </w:rPr>
          <w:id w:val="-45529171"/>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Win191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[8]</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These forests are crucial for the ecological balance and the livelihoods of local communities, yet they have experienced notable degradation over the past four decades</w:t>
      </w:r>
      <w:sdt>
        <w:sdtPr>
          <w:rPr>
            <w:rFonts w:eastAsia="Calibri" w:cs="Helvetica"/>
            <w:color w:val="000000" w:themeColor="text1"/>
            <w:szCs w:val="24"/>
          </w:rPr>
          <w:id w:val="2022428751"/>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Win191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[8]</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However, the literature on forest cover change in East Africa often lacks a comprehensive analysis of the spatial and temporal dynamics specific to dryland forests, which are distinct from other forest types in the region. Moreover, there is limited literature on Participatory Forest Management (PFM), which is used to mitigate forest degradation in these areas, specifically dryland forests.</w:t>
      </w:r>
    </w:p>
    <w:p w14:paraId="1B78CDAF" w14:textId="77777777" w:rsidR="00DE3D89" w:rsidRPr="00C6424E" w:rsidRDefault="00DE3D89" w:rsidP="00DE3D89">
      <w:pPr>
        <w:jc w:val="both"/>
        <w:rPr>
          <w:rFonts w:eastAsia="Calibri" w:cs="Helvetica"/>
          <w:color w:val="000000" w:themeColor="text1"/>
          <w:szCs w:val="24"/>
        </w:rPr>
      </w:pPr>
    </w:p>
    <w:p w14:paraId="0C8519F3" w14:textId="5BCCD468" w:rsidR="00DE3D89" w:rsidRDefault="00DE3D89" w:rsidP="00DE3D89">
      <w:pPr>
        <w:jc w:val="both"/>
        <w:rPr>
          <w:rFonts w:eastAsia="Calibri" w:cs="Helvetica"/>
          <w:color w:val="000000" w:themeColor="text1"/>
          <w:szCs w:val="24"/>
        </w:rPr>
      </w:pPr>
      <w:r w:rsidRPr="00C6424E">
        <w:rPr>
          <w:rFonts w:eastAsia="Calibri" w:cs="Helvetica"/>
          <w:color w:val="000000" w:themeColor="text1"/>
          <w:szCs w:val="24"/>
        </w:rPr>
        <w:t>The forest's sustainable practices enhance the forest cover. Most of these sustainable practices are done by individual farmers or community-based groups. Community-based initiatives, including forest restocking after degradation, are vital for supporting dryland forest regeneration, but their impacts are not fully understood</w:t>
      </w:r>
      <w:sdt>
        <w:sdtPr>
          <w:rPr>
            <w:rFonts w:eastAsia="Calibri" w:cs="Helvetica"/>
            <w:color w:val="000000" w:themeColor="text1"/>
            <w:szCs w:val="24"/>
          </w:rPr>
          <w:id w:val="-1249956525"/>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Sha22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[1]</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Globally, there is a growing interest in the role of community-based resource management in conservation, yet studies often overlook the specific challenges and outcomes associated with dryland forests. In Africa, while community restocking initiatives are expected in response to the degradation of forests, there is limited research on how these practices impact forest cover. The existing literature tends to focus more on restocking western and montane forests</w:t>
      </w:r>
      <w:sdt>
        <w:sdtPr>
          <w:rPr>
            <w:rFonts w:eastAsia="Calibri" w:cs="Helvetica"/>
            <w:color w:val="000000" w:themeColor="text1"/>
            <w:szCs w:val="24"/>
          </w:rPr>
          <w:id w:val="-1655674672"/>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MŨS18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[9]</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xml:space="preserve">. In East Africa, very little information exists about the community's restocking of forest cover. This study seeks to assess the impact of community restocking on forest cover in the Endau Forest, to identify strategies that support both sustainable livelihoods and forest </w:t>
      </w:r>
      <w:commentRangeStart w:id="0"/>
      <w:r w:rsidRPr="00C6424E">
        <w:rPr>
          <w:rFonts w:eastAsia="Calibri" w:cs="Helvetica"/>
          <w:color w:val="000000" w:themeColor="text1"/>
          <w:szCs w:val="24"/>
        </w:rPr>
        <w:t>conservation</w:t>
      </w:r>
      <w:commentRangeEnd w:id="0"/>
      <w:r w:rsidR="004C6804">
        <w:rPr>
          <w:rStyle w:val="CommentReference"/>
          <w:rFonts w:ascii="Times New Roman" w:hAnsi="Times New Roman"/>
          <w:lang w:val="nb-NO" w:eastAsia="nb-NO"/>
        </w:rPr>
        <w:commentReference w:id="0"/>
      </w:r>
      <w:r w:rsidRPr="00C6424E">
        <w:rPr>
          <w:rFonts w:eastAsia="Calibri" w:cs="Helvetica"/>
          <w:color w:val="000000" w:themeColor="text1"/>
          <w:szCs w:val="24"/>
        </w:rPr>
        <w:t>.</w:t>
      </w:r>
    </w:p>
    <w:p w14:paraId="5BFD7139" w14:textId="77777777" w:rsidR="004C6804" w:rsidRPr="00C6424E" w:rsidRDefault="004C6804" w:rsidP="00DE3D89">
      <w:pPr>
        <w:jc w:val="both"/>
        <w:rPr>
          <w:rFonts w:eastAsia="Calibri" w:cs="Helvetica"/>
          <w:color w:val="000000" w:themeColor="text1"/>
          <w:szCs w:val="24"/>
        </w:rPr>
      </w:pPr>
    </w:p>
    <w:p w14:paraId="686EF5C7" w14:textId="77777777" w:rsidR="00DE3D89" w:rsidRPr="00C6424E" w:rsidRDefault="00DE3D89" w:rsidP="00DE3D89">
      <w:pPr>
        <w:jc w:val="both"/>
        <w:rPr>
          <w:rFonts w:eastAsia="Calibri" w:cs="Helvetica"/>
          <w:color w:val="000000" w:themeColor="text1"/>
          <w:szCs w:val="24"/>
        </w:rPr>
      </w:pPr>
    </w:p>
    <w:p w14:paraId="59CD7DDE" w14:textId="77777777" w:rsidR="00626BD5" w:rsidRPr="00C6424E" w:rsidRDefault="00626BD5" w:rsidP="00626BD5">
      <w:pPr>
        <w:jc w:val="both"/>
        <w:rPr>
          <w:rFonts w:eastAsia="Calibri" w:cs="Helvetica"/>
          <w:color w:val="000000" w:themeColor="text1"/>
          <w:szCs w:val="24"/>
        </w:rPr>
      </w:pPr>
    </w:p>
    <w:p w14:paraId="22950858" w14:textId="2E5D5BC2" w:rsidR="00790ADA" w:rsidRPr="00C6424E" w:rsidRDefault="00902823" w:rsidP="00441B6F">
      <w:pPr>
        <w:pStyle w:val="AbstHead"/>
        <w:spacing w:after="0"/>
        <w:jc w:val="both"/>
        <w:rPr>
          <w:rFonts w:cs="Helvetica"/>
        </w:rPr>
      </w:pPr>
      <w:r w:rsidRPr="00C6424E">
        <w:rPr>
          <w:rFonts w:cs="Helvetica"/>
        </w:rPr>
        <w:t xml:space="preserve">2. </w:t>
      </w:r>
      <w:r w:rsidR="00D872A1" w:rsidRPr="00C6424E">
        <w:rPr>
          <w:rFonts w:cs="Helvetica"/>
        </w:rPr>
        <w:t>Materials</w:t>
      </w:r>
      <w:r w:rsidRPr="00C6424E">
        <w:rPr>
          <w:rFonts w:cs="Helvetica"/>
        </w:rPr>
        <w:t xml:space="preserve"> and </w:t>
      </w:r>
      <w:commentRangeStart w:id="1"/>
      <w:r w:rsidR="00D872A1" w:rsidRPr="00C6424E">
        <w:rPr>
          <w:rFonts w:cs="Helvetica"/>
        </w:rPr>
        <w:t>Methods</w:t>
      </w:r>
      <w:commentRangeEnd w:id="1"/>
      <w:r w:rsidR="004C6804">
        <w:rPr>
          <w:rStyle w:val="CommentReference"/>
          <w:rFonts w:ascii="Times New Roman" w:hAnsi="Times New Roman"/>
          <w:b w:val="0"/>
          <w:caps w:val="0"/>
          <w:lang w:val="nb-NO" w:eastAsia="nb-NO"/>
        </w:rPr>
        <w:commentReference w:id="1"/>
      </w:r>
      <w:r w:rsidR="00000F8F" w:rsidRPr="00C6424E">
        <w:rPr>
          <w:rFonts w:cs="Helvetica"/>
        </w:rPr>
        <w:t xml:space="preserve"> </w:t>
      </w:r>
    </w:p>
    <w:p w14:paraId="75E13153" w14:textId="694C42AE" w:rsidR="00626BD5" w:rsidRPr="00C6424E" w:rsidRDefault="00626BD5" w:rsidP="00626BD5">
      <w:pPr>
        <w:spacing w:before="100" w:beforeAutospacing="1" w:after="100" w:afterAutospacing="1"/>
        <w:jc w:val="both"/>
        <w:rPr>
          <w:rFonts w:cs="Helvetica"/>
          <w:szCs w:val="24"/>
        </w:rPr>
      </w:pPr>
      <w:r w:rsidRPr="00C6424E">
        <w:rPr>
          <w:rFonts w:cs="Helvetica"/>
          <w:szCs w:val="24"/>
        </w:rPr>
        <w:t xml:space="preserve">This research used </w:t>
      </w:r>
      <w:r w:rsidR="007B41AE" w:rsidRPr="00C6424E">
        <w:rPr>
          <w:rFonts w:cs="Helvetica"/>
          <w:szCs w:val="24"/>
        </w:rPr>
        <w:t xml:space="preserve">a </w:t>
      </w:r>
      <w:r w:rsidRPr="00C6424E">
        <w:rPr>
          <w:rFonts w:cs="Helvetica"/>
          <w:szCs w:val="24"/>
        </w:rPr>
        <w:t xml:space="preserve">descriptive survey design. The sample of 298 respondents </w:t>
      </w:r>
      <w:r w:rsidR="007B41AE" w:rsidRPr="00C6424E">
        <w:rPr>
          <w:rFonts w:cs="Helvetica"/>
          <w:szCs w:val="24"/>
        </w:rPr>
        <w:t>was</w:t>
      </w:r>
      <w:r w:rsidRPr="00C6424E">
        <w:rPr>
          <w:rFonts w:cs="Helvetica"/>
          <w:szCs w:val="24"/>
        </w:rPr>
        <w:t xml:space="preserve"> interviewed using </w:t>
      </w:r>
      <w:r w:rsidR="007B41AE" w:rsidRPr="00C6424E">
        <w:rPr>
          <w:rFonts w:cs="Helvetica"/>
          <w:szCs w:val="24"/>
        </w:rPr>
        <w:t xml:space="preserve">the </w:t>
      </w:r>
      <w:r w:rsidRPr="00C6424E">
        <w:rPr>
          <w:rFonts w:cs="Helvetica"/>
          <w:szCs w:val="24"/>
        </w:rPr>
        <w:t xml:space="preserve">Yamane </w:t>
      </w:r>
      <w:r w:rsidR="007B41AE" w:rsidRPr="00C6424E">
        <w:rPr>
          <w:rFonts w:cs="Helvetica"/>
          <w:szCs w:val="24"/>
        </w:rPr>
        <w:t>formulae</w:t>
      </w:r>
      <w:r w:rsidRPr="00C6424E">
        <w:rPr>
          <w:rFonts w:cs="Helvetica"/>
          <w:szCs w:val="24"/>
        </w:rPr>
        <w:t xml:space="preserve">, </w:t>
      </w:r>
      <w:r w:rsidR="007B41AE" w:rsidRPr="00C6424E">
        <w:rPr>
          <w:rFonts w:cs="Helvetica"/>
          <w:szCs w:val="24"/>
        </w:rPr>
        <w:t>and six</w:t>
      </w:r>
      <w:r w:rsidRPr="00C6424E">
        <w:rPr>
          <w:rFonts w:cs="Helvetica"/>
          <w:szCs w:val="24"/>
        </w:rPr>
        <w:t xml:space="preserve"> people were interviewed who </w:t>
      </w:r>
      <w:r w:rsidR="007B41AE" w:rsidRPr="00C6424E">
        <w:rPr>
          <w:rFonts w:cs="Helvetica"/>
          <w:szCs w:val="24"/>
        </w:rPr>
        <w:t>including</w:t>
      </w:r>
      <w:r w:rsidRPr="00C6424E">
        <w:rPr>
          <w:rFonts w:cs="Helvetica"/>
          <w:szCs w:val="24"/>
        </w:rPr>
        <w:t xml:space="preserve"> </w:t>
      </w:r>
      <w:r w:rsidR="00A816F2">
        <w:rPr>
          <w:rFonts w:cs="Helvetica"/>
          <w:szCs w:val="24"/>
        </w:rPr>
        <w:t xml:space="preserve">two </w:t>
      </w:r>
      <w:r w:rsidRPr="00C6424E">
        <w:rPr>
          <w:rFonts w:cs="Helvetica"/>
          <w:szCs w:val="24"/>
        </w:rPr>
        <w:t xml:space="preserve">foresters, </w:t>
      </w:r>
      <w:r w:rsidR="00F128D0">
        <w:rPr>
          <w:rFonts w:cs="Helvetica"/>
          <w:szCs w:val="24"/>
        </w:rPr>
        <w:t>two researchers, a ranger</w:t>
      </w:r>
      <w:r w:rsidR="007B41AE" w:rsidRPr="00C6424E">
        <w:rPr>
          <w:rFonts w:cs="Helvetica"/>
          <w:szCs w:val="24"/>
        </w:rPr>
        <w:t>,</w:t>
      </w:r>
      <w:r w:rsidRPr="00C6424E">
        <w:rPr>
          <w:rFonts w:cs="Helvetica"/>
          <w:szCs w:val="24"/>
        </w:rPr>
        <w:t xml:space="preserve"> and local leaders. Questionnaires were used to collect data from the household heads</w:t>
      </w:r>
      <w:r w:rsidR="007B41AE" w:rsidRPr="00C6424E">
        <w:rPr>
          <w:rFonts w:cs="Helvetica"/>
          <w:szCs w:val="24"/>
        </w:rPr>
        <w:t>,</w:t>
      </w:r>
      <w:r w:rsidRPr="00C6424E">
        <w:rPr>
          <w:rFonts w:cs="Helvetica"/>
          <w:szCs w:val="24"/>
        </w:rPr>
        <w:t xml:space="preserve"> while semi </w:t>
      </w:r>
      <w:r w:rsidR="007B41AE" w:rsidRPr="00C6424E">
        <w:rPr>
          <w:rFonts w:cs="Helvetica"/>
          <w:szCs w:val="24"/>
        </w:rPr>
        <w:t>semi-structured</w:t>
      </w:r>
      <w:r w:rsidRPr="00C6424E">
        <w:rPr>
          <w:rFonts w:cs="Helvetica"/>
          <w:szCs w:val="24"/>
        </w:rPr>
        <w:t xml:space="preserve"> interview guide was used to collect data from 6 key </w:t>
      </w:r>
      <w:r w:rsidR="007B41AE" w:rsidRPr="00C6424E">
        <w:rPr>
          <w:rFonts w:cs="Helvetica"/>
          <w:szCs w:val="24"/>
        </w:rPr>
        <w:t>informants</w:t>
      </w:r>
      <w:r w:rsidRPr="00C6424E">
        <w:rPr>
          <w:rFonts w:cs="Helvetica"/>
          <w:szCs w:val="24"/>
        </w:rPr>
        <w:t>.</w:t>
      </w:r>
    </w:p>
    <w:p w14:paraId="0BA8CC80" w14:textId="528833D5" w:rsidR="005625F5" w:rsidRPr="00C6424E" w:rsidRDefault="00626BD5" w:rsidP="00626BD5">
      <w:pPr>
        <w:spacing w:before="100" w:beforeAutospacing="1" w:after="100" w:afterAutospacing="1"/>
        <w:jc w:val="both"/>
        <w:rPr>
          <w:rFonts w:cs="Helvetica"/>
          <w:szCs w:val="24"/>
        </w:rPr>
      </w:pPr>
      <w:r w:rsidRPr="00C6424E">
        <w:rPr>
          <w:rFonts w:cs="Helvetica"/>
          <w:szCs w:val="24"/>
        </w:rPr>
        <w:t>Responses to closed-ended survey questions were analysed to determine the frequency of different perceptions and attitudes toward forest restocking. Descriptive statistics</w:t>
      </w:r>
      <w:r w:rsidR="005625F5" w:rsidRPr="00C6424E">
        <w:rPr>
          <w:rFonts w:cs="Helvetica"/>
          <w:szCs w:val="24"/>
        </w:rPr>
        <w:t>,</w:t>
      </w:r>
      <w:r w:rsidRPr="00C6424E">
        <w:rPr>
          <w:rFonts w:cs="Helvetica"/>
          <w:szCs w:val="24"/>
        </w:rPr>
        <w:t xml:space="preserve"> such as</w:t>
      </w:r>
      <w:r w:rsidR="00F128D0">
        <w:rPr>
          <w:rFonts w:cs="Helvetica"/>
          <w:szCs w:val="24"/>
        </w:rPr>
        <w:t xml:space="preserve"> frequencies and percentages, were used</w:t>
      </w:r>
      <w:r w:rsidRPr="00C6424E">
        <w:rPr>
          <w:rFonts w:cs="Helvetica"/>
          <w:szCs w:val="24"/>
        </w:rPr>
        <w:t xml:space="preserve"> for Likert scale responses to assess community perceptions </w:t>
      </w:r>
      <w:sdt>
        <w:sdtPr>
          <w:rPr>
            <w:rFonts w:cs="Helvetica"/>
          </w:rPr>
          <w:id w:val="38407016"/>
          <w:citation/>
        </w:sdtPr>
        <w:sdtEndPr/>
        <w:sdtContent>
          <w:r w:rsidR="0095114B" w:rsidRPr="00C6424E">
            <w:rPr>
              <w:rFonts w:cs="Helvetica"/>
            </w:rPr>
            <w:fldChar w:fldCharType="begin"/>
          </w:r>
          <w:r w:rsidR="0095114B" w:rsidRPr="00C6424E">
            <w:rPr>
              <w:rFonts w:cs="Helvetica"/>
            </w:rPr>
            <w:instrText xml:space="preserve"> CITATION Placeholder1 \l 1033 </w:instrText>
          </w:r>
          <w:r w:rsidR="0095114B" w:rsidRPr="00C6424E">
            <w:rPr>
              <w:rFonts w:cs="Helvetica"/>
            </w:rPr>
            <w:fldChar w:fldCharType="separate"/>
          </w:r>
          <w:r w:rsidR="00DE3D89" w:rsidRPr="00C6424E">
            <w:rPr>
              <w:rFonts w:cs="Helvetica"/>
              <w:noProof/>
            </w:rPr>
            <w:t>[10]</w:t>
          </w:r>
          <w:r w:rsidR="0095114B" w:rsidRPr="00C6424E">
            <w:rPr>
              <w:rFonts w:cs="Helvetica"/>
            </w:rPr>
            <w:fldChar w:fldCharType="end"/>
          </w:r>
        </w:sdtContent>
      </w:sdt>
      <w:r w:rsidRPr="00C6424E">
        <w:rPr>
          <w:rFonts w:cs="Helvetica"/>
          <w:szCs w:val="24"/>
        </w:rPr>
        <w:t xml:space="preserve">. </w:t>
      </w:r>
    </w:p>
    <w:p w14:paraId="15961905" w14:textId="03B082B5" w:rsidR="00626BD5" w:rsidRPr="00C6424E" w:rsidRDefault="00F128D0" w:rsidP="00626BD5">
      <w:pPr>
        <w:spacing w:before="100" w:beforeAutospacing="1" w:after="100" w:afterAutospacing="1"/>
        <w:jc w:val="both"/>
        <w:rPr>
          <w:rFonts w:cs="Helvetica"/>
          <w:szCs w:val="24"/>
        </w:rPr>
      </w:pPr>
      <w:r>
        <w:rPr>
          <w:rFonts w:cs="Helvetica"/>
          <w:szCs w:val="24"/>
        </w:rPr>
        <w:t>A</w:t>
      </w:r>
      <w:r w:rsidR="00626BD5" w:rsidRPr="00C6424E">
        <w:rPr>
          <w:rFonts w:cs="Helvetica"/>
          <w:szCs w:val="24"/>
        </w:rPr>
        <w:t xml:space="preserve"> </w:t>
      </w:r>
      <w:r>
        <w:rPr>
          <w:rFonts w:cs="Helvetica"/>
          <w:szCs w:val="24"/>
        </w:rPr>
        <w:t>manual</w:t>
      </w:r>
      <w:r w:rsidR="00626BD5" w:rsidRPr="00C6424E">
        <w:rPr>
          <w:rFonts w:cs="Helvetica"/>
          <w:szCs w:val="24"/>
        </w:rPr>
        <w:t xml:space="preserve"> thematic analysis approach was used to identify themes and patterns in the qualitative data collected from community surveys</w:t>
      </w:r>
      <w:r w:rsidR="005625F5" w:rsidRPr="00C6424E">
        <w:rPr>
          <w:rFonts w:cs="Helvetica"/>
          <w:szCs w:val="24"/>
        </w:rPr>
        <w:t xml:space="preserve"> </w:t>
      </w:r>
      <w:r w:rsidR="00626BD5" w:rsidRPr="00C6424E">
        <w:rPr>
          <w:rFonts w:cs="Helvetica"/>
          <w:szCs w:val="24"/>
        </w:rPr>
        <w:t xml:space="preserve">and interviews </w:t>
      </w:r>
      <w:sdt>
        <w:sdtPr>
          <w:rPr>
            <w:rFonts w:cs="Helvetica"/>
          </w:rPr>
          <w:id w:val="493381853"/>
          <w:citation/>
        </w:sdtPr>
        <w:sdtEndPr/>
        <w:sdtContent>
          <w:r w:rsidR="0095114B" w:rsidRPr="00C6424E">
            <w:rPr>
              <w:rFonts w:cs="Helvetica"/>
            </w:rPr>
            <w:fldChar w:fldCharType="begin"/>
          </w:r>
          <w:r w:rsidR="0095114B" w:rsidRPr="00C6424E">
            <w:rPr>
              <w:rFonts w:cs="Helvetica"/>
            </w:rPr>
            <w:instrText xml:space="preserve"> CITATION Dan16 \l 1033 </w:instrText>
          </w:r>
          <w:r w:rsidR="0095114B" w:rsidRPr="00C6424E">
            <w:rPr>
              <w:rFonts w:cs="Helvetica"/>
            </w:rPr>
            <w:fldChar w:fldCharType="separate"/>
          </w:r>
          <w:r w:rsidR="00DE3D89" w:rsidRPr="00C6424E">
            <w:rPr>
              <w:rFonts w:cs="Helvetica"/>
              <w:noProof/>
            </w:rPr>
            <w:t>[11]</w:t>
          </w:r>
          <w:r w:rsidR="0095114B" w:rsidRPr="00C6424E">
            <w:rPr>
              <w:rFonts w:cs="Helvetica"/>
            </w:rPr>
            <w:fldChar w:fldCharType="end"/>
          </w:r>
        </w:sdtContent>
      </w:sdt>
      <w:r w:rsidR="00626BD5" w:rsidRPr="00C6424E">
        <w:rPr>
          <w:rFonts w:cs="Helvetica"/>
          <w:szCs w:val="24"/>
        </w:rPr>
        <w:t>). Responses were transcribed and organi</w:t>
      </w:r>
      <w:r w:rsidR="00720CD5" w:rsidRPr="00C6424E">
        <w:rPr>
          <w:rFonts w:cs="Helvetica"/>
          <w:szCs w:val="24"/>
        </w:rPr>
        <w:t>s</w:t>
      </w:r>
      <w:r w:rsidR="00626BD5" w:rsidRPr="00C6424E">
        <w:rPr>
          <w:rFonts w:cs="Helvetica"/>
          <w:szCs w:val="24"/>
        </w:rPr>
        <w:t>ed systematically to facilitate coding and analysis. Themes captured overarching patterns and trends in community perceptions.</w:t>
      </w:r>
    </w:p>
    <w:p w14:paraId="16AA3734" w14:textId="177B8EBC" w:rsidR="00790ADA" w:rsidRPr="00C6424E" w:rsidRDefault="00626BD5" w:rsidP="00720CD5">
      <w:pPr>
        <w:jc w:val="both"/>
        <w:rPr>
          <w:rFonts w:cs="Helvetica"/>
          <w:szCs w:val="24"/>
        </w:rPr>
      </w:pPr>
      <w:r w:rsidRPr="00C6424E">
        <w:rPr>
          <w:rFonts w:cs="Helvetica"/>
          <w:szCs w:val="24"/>
        </w:rPr>
        <w:lastRenderedPageBreak/>
        <w:t xml:space="preserve">Findings from the qualitative and quantitative analyses were triangulated to provide a comprehensive understanding of community perceptions </w:t>
      </w:r>
      <w:sdt>
        <w:sdtPr>
          <w:rPr>
            <w:rFonts w:cs="Helvetica"/>
          </w:rPr>
          <w:id w:val="-2099250891"/>
          <w:citation/>
        </w:sdtPr>
        <w:sdtEndPr/>
        <w:sdtContent>
          <w:r w:rsidR="0095114B" w:rsidRPr="00C6424E">
            <w:rPr>
              <w:rFonts w:cs="Helvetica"/>
            </w:rPr>
            <w:fldChar w:fldCharType="begin"/>
          </w:r>
          <w:r w:rsidR="0095114B" w:rsidRPr="00C6424E">
            <w:rPr>
              <w:rFonts w:cs="Helvetica"/>
            </w:rPr>
            <w:instrText xml:space="preserve"> CITATION Dan16 \l 1033 </w:instrText>
          </w:r>
          <w:r w:rsidR="0095114B" w:rsidRPr="00C6424E">
            <w:rPr>
              <w:rFonts w:cs="Helvetica"/>
            </w:rPr>
            <w:fldChar w:fldCharType="separate"/>
          </w:r>
          <w:r w:rsidR="00DE3D89" w:rsidRPr="00C6424E">
            <w:rPr>
              <w:rFonts w:cs="Helvetica"/>
              <w:noProof/>
            </w:rPr>
            <w:t>[11]</w:t>
          </w:r>
          <w:r w:rsidR="0095114B" w:rsidRPr="00C6424E">
            <w:rPr>
              <w:rFonts w:cs="Helvetica"/>
            </w:rPr>
            <w:fldChar w:fldCharType="end"/>
          </w:r>
        </w:sdtContent>
      </w:sdt>
      <w:r w:rsidRPr="00C6424E">
        <w:rPr>
          <w:rFonts w:cs="Helvetica"/>
          <w:szCs w:val="24"/>
        </w:rPr>
        <w:t>. Consistent patterns and discrepancies between the two data sets were identified and explored. Qualitative insights were used to contextuali</w:t>
      </w:r>
      <w:r w:rsidR="005625F5" w:rsidRPr="00C6424E">
        <w:rPr>
          <w:rFonts w:cs="Helvetica"/>
          <w:szCs w:val="24"/>
        </w:rPr>
        <w:t>s</w:t>
      </w:r>
      <w:r w:rsidRPr="00C6424E">
        <w:rPr>
          <w:rFonts w:cs="Helvetica"/>
          <w:szCs w:val="24"/>
        </w:rPr>
        <w:t>e and explain quantitative findings, providing a deeper understanding of the factors influencing community perceptions of forest restocking.</w:t>
      </w:r>
    </w:p>
    <w:p w14:paraId="21941E4E" w14:textId="77777777" w:rsidR="00720CD5" w:rsidRPr="00C6424E" w:rsidRDefault="00720CD5" w:rsidP="00720CD5">
      <w:pPr>
        <w:jc w:val="both"/>
        <w:rPr>
          <w:rFonts w:cs="Helvetica"/>
          <w:szCs w:val="24"/>
        </w:rPr>
      </w:pPr>
    </w:p>
    <w:p w14:paraId="1B14941E" w14:textId="5858210E" w:rsidR="00902823" w:rsidRPr="00C6424E" w:rsidRDefault="00000F8F" w:rsidP="00441B6F">
      <w:pPr>
        <w:pStyle w:val="Head1"/>
        <w:spacing w:after="0"/>
        <w:jc w:val="both"/>
        <w:rPr>
          <w:rFonts w:cs="Helvetica"/>
        </w:rPr>
      </w:pPr>
      <w:r w:rsidRPr="00C6424E">
        <w:rPr>
          <w:rFonts w:cs="Helvetica"/>
        </w:rPr>
        <w:t>3</w:t>
      </w:r>
      <w:r w:rsidR="00902823" w:rsidRPr="00C6424E">
        <w:rPr>
          <w:rFonts w:cs="Helvetica"/>
        </w:rPr>
        <w:t xml:space="preserve">. </w:t>
      </w:r>
      <w:r w:rsidRPr="00C6424E">
        <w:rPr>
          <w:rFonts w:cs="Helvetica"/>
        </w:rPr>
        <w:t>results and discussion</w:t>
      </w:r>
    </w:p>
    <w:p w14:paraId="1549DE4F" w14:textId="77C93127" w:rsidR="00720CD5" w:rsidRPr="00F128D0" w:rsidRDefault="00720CD5" w:rsidP="00720CD5">
      <w:pPr>
        <w:pStyle w:val="Caption"/>
        <w:spacing w:before="0" w:line="240" w:lineRule="auto"/>
        <w:rPr>
          <w:rFonts w:ascii="Helvetica" w:hAnsi="Helvetica" w:cs="Helvetica"/>
          <w:b w:val="0"/>
          <w:bCs/>
          <w:sz w:val="20"/>
          <w:szCs w:val="20"/>
        </w:rPr>
      </w:pPr>
      <w:bookmarkStart w:id="2" w:name="_Toc51829008"/>
      <w:bookmarkStart w:id="3" w:name="_Toc103281960"/>
      <w:bookmarkStart w:id="4" w:name="_Toc196395126"/>
      <w:r w:rsidRPr="00F128D0">
        <w:rPr>
          <w:rFonts w:ascii="Helvetica" w:hAnsi="Helvetica" w:cs="Helvetica"/>
          <w:b w:val="0"/>
          <w:bCs/>
          <w:sz w:val="20"/>
          <w:szCs w:val="20"/>
        </w:rPr>
        <w:t>Table 1 shows the classification schemes that were used in this study. The forest had three classes</w:t>
      </w:r>
      <w:r w:rsidR="00F128D0">
        <w:rPr>
          <w:rFonts w:ascii="Helvetica" w:hAnsi="Helvetica" w:cs="Helvetica"/>
          <w:b w:val="0"/>
          <w:bCs/>
          <w:sz w:val="20"/>
          <w:szCs w:val="20"/>
        </w:rPr>
        <w:t>,</w:t>
      </w:r>
      <w:r w:rsidRPr="00F128D0">
        <w:rPr>
          <w:rFonts w:ascii="Helvetica" w:hAnsi="Helvetica" w:cs="Helvetica"/>
          <w:b w:val="0"/>
          <w:bCs/>
          <w:sz w:val="20"/>
          <w:szCs w:val="20"/>
        </w:rPr>
        <w:t xml:space="preserve"> </w:t>
      </w:r>
      <w:r w:rsidR="00F128D0">
        <w:rPr>
          <w:rFonts w:ascii="Helvetica" w:hAnsi="Helvetica" w:cs="Helvetica"/>
          <w:b w:val="0"/>
          <w:bCs/>
          <w:sz w:val="20"/>
          <w:szCs w:val="20"/>
        </w:rPr>
        <w:t xml:space="preserve">which </w:t>
      </w:r>
      <w:r w:rsidRPr="00F128D0">
        <w:rPr>
          <w:rFonts w:ascii="Helvetica" w:hAnsi="Helvetica" w:cs="Helvetica"/>
          <w:b w:val="0"/>
          <w:bCs/>
          <w:sz w:val="20"/>
          <w:szCs w:val="20"/>
        </w:rPr>
        <w:t>were shrub, forest</w:t>
      </w:r>
      <w:r w:rsidR="00B53B2E" w:rsidRPr="00F128D0">
        <w:rPr>
          <w:rFonts w:ascii="Helvetica" w:hAnsi="Helvetica" w:cs="Helvetica"/>
          <w:b w:val="0"/>
          <w:bCs/>
          <w:sz w:val="20"/>
          <w:szCs w:val="20"/>
        </w:rPr>
        <w:t>,</w:t>
      </w:r>
      <w:r w:rsidRPr="00F128D0">
        <w:rPr>
          <w:rFonts w:ascii="Helvetica" w:hAnsi="Helvetica" w:cs="Helvetica"/>
          <w:b w:val="0"/>
          <w:bCs/>
          <w:sz w:val="20"/>
          <w:szCs w:val="20"/>
        </w:rPr>
        <w:t xml:space="preserve"> and bare land. The classes were used to make maps and calculate the area of each class.</w:t>
      </w:r>
    </w:p>
    <w:p w14:paraId="0578F246" w14:textId="77777777" w:rsidR="00720CD5" w:rsidRPr="00F128D0" w:rsidRDefault="00720CD5" w:rsidP="00720CD5">
      <w:pPr>
        <w:rPr>
          <w:rFonts w:cs="Helvetica"/>
        </w:rPr>
      </w:pPr>
    </w:p>
    <w:p w14:paraId="08E9BF3B" w14:textId="1B4A87D6" w:rsidR="00791C31" w:rsidRPr="00F128D0" w:rsidRDefault="00791C31" w:rsidP="00791C31">
      <w:pPr>
        <w:pStyle w:val="Caption"/>
        <w:spacing w:before="0"/>
        <w:rPr>
          <w:rFonts w:ascii="Helvetica" w:hAnsi="Helvetica" w:cs="Helvetica"/>
          <w:sz w:val="20"/>
          <w:szCs w:val="20"/>
        </w:rPr>
      </w:pPr>
      <w:r w:rsidRPr="00F128D0">
        <w:rPr>
          <w:rFonts w:ascii="Helvetica" w:hAnsi="Helvetica" w:cs="Helvetica"/>
          <w:sz w:val="20"/>
          <w:szCs w:val="20"/>
        </w:rPr>
        <w:t xml:space="preserve">Table </w:t>
      </w:r>
      <w:r w:rsidRPr="00F128D0">
        <w:rPr>
          <w:rFonts w:ascii="Helvetica" w:hAnsi="Helvetica" w:cs="Helvetica"/>
          <w:sz w:val="20"/>
          <w:szCs w:val="20"/>
        </w:rPr>
        <w:fldChar w:fldCharType="begin"/>
      </w:r>
      <w:r w:rsidRPr="00F128D0">
        <w:rPr>
          <w:rFonts w:ascii="Helvetica" w:hAnsi="Helvetica" w:cs="Helvetica"/>
          <w:sz w:val="20"/>
          <w:szCs w:val="20"/>
        </w:rPr>
        <w:instrText xml:space="preserve"> SEQ Table \* ARABIC </w:instrText>
      </w:r>
      <w:r w:rsidRPr="00F128D0">
        <w:rPr>
          <w:rFonts w:ascii="Helvetica" w:hAnsi="Helvetica" w:cs="Helvetica"/>
          <w:sz w:val="20"/>
          <w:szCs w:val="20"/>
        </w:rPr>
        <w:fldChar w:fldCharType="separate"/>
      </w:r>
      <w:r w:rsidRPr="00F128D0">
        <w:rPr>
          <w:rFonts w:ascii="Helvetica" w:hAnsi="Helvetica" w:cs="Helvetica"/>
          <w:sz w:val="20"/>
          <w:szCs w:val="20"/>
        </w:rPr>
        <w:t>1</w:t>
      </w:r>
      <w:r w:rsidRPr="00F128D0">
        <w:rPr>
          <w:rFonts w:ascii="Helvetica" w:hAnsi="Helvetica" w:cs="Helvetica"/>
          <w:sz w:val="20"/>
          <w:szCs w:val="20"/>
        </w:rPr>
        <w:fldChar w:fldCharType="end"/>
      </w:r>
      <w:r w:rsidRPr="00F128D0">
        <w:rPr>
          <w:rFonts w:ascii="Helvetica" w:hAnsi="Helvetica" w:cs="Helvetica"/>
          <w:sz w:val="20"/>
          <w:szCs w:val="20"/>
        </w:rPr>
        <w:t xml:space="preserve">: </w:t>
      </w:r>
      <w:r w:rsidRPr="00F128D0">
        <w:rPr>
          <w:rFonts w:ascii="Helvetica" w:hAnsi="Helvetica" w:cs="Helvetica"/>
          <w:sz w:val="20"/>
          <w:szCs w:val="20"/>
          <w14:ligatures w14:val="none"/>
        </w:rPr>
        <w:t>Land Cover Classification Scheme</w:t>
      </w:r>
      <w:bookmarkEnd w:id="2"/>
      <w:bookmarkEnd w:id="3"/>
      <w:bookmarkEnd w:id="4"/>
    </w:p>
    <w:tbl>
      <w:tblPr>
        <w:tblStyle w:val="TableGrid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9072"/>
      </w:tblGrid>
      <w:tr w:rsidR="00791C31" w:rsidRPr="00F128D0" w14:paraId="6F3C9B8A" w14:textId="77777777" w:rsidTr="007E5858">
        <w:tc>
          <w:tcPr>
            <w:tcW w:w="800" w:type="pct"/>
            <w:tcBorders>
              <w:top w:val="single" w:sz="4" w:space="0" w:color="auto"/>
              <w:bottom w:val="single" w:sz="4" w:space="0" w:color="auto"/>
            </w:tcBorders>
          </w:tcPr>
          <w:p w14:paraId="0A59DDA7" w14:textId="77777777" w:rsidR="00791C31" w:rsidRPr="00F128D0" w:rsidRDefault="00791C31" w:rsidP="007E5858">
            <w:pPr>
              <w:autoSpaceDE w:val="0"/>
              <w:autoSpaceDN w:val="0"/>
              <w:adjustRightInd w:val="0"/>
              <w:jc w:val="both"/>
              <w:rPr>
                <w:rFonts w:cs="Helvetica"/>
                <w:b/>
                <w:sz w:val="20"/>
                <w:szCs w:val="20"/>
              </w:rPr>
            </w:pPr>
            <w:r w:rsidRPr="00F128D0">
              <w:rPr>
                <w:rFonts w:cs="Helvetica"/>
                <w:b/>
                <w:sz w:val="20"/>
                <w:szCs w:val="20"/>
              </w:rPr>
              <w:t>Class</w:t>
            </w:r>
          </w:p>
        </w:tc>
        <w:tc>
          <w:tcPr>
            <w:tcW w:w="4200" w:type="pct"/>
            <w:tcBorders>
              <w:top w:val="single" w:sz="4" w:space="0" w:color="auto"/>
              <w:bottom w:val="single" w:sz="4" w:space="0" w:color="auto"/>
            </w:tcBorders>
          </w:tcPr>
          <w:p w14:paraId="34991162" w14:textId="77777777" w:rsidR="00791C31" w:rsidRPr="00F128D0" w:rsidRDefault="00791C31" w:rsidP="007E5858">
            <w:pPr>
              <w:autoSpaceDE w:val="0"/>
              <w:autoSpaceDN w:val="0"/>
              <w:adjustRightInd w:val="0"/>
              <w:jc w:val="both"/>
              <w:rPr>
                <w:rFonts w:cs="Helvetica"/>
                <w:b/>
                <w:sz w:val="20"/>
                <w:szCs w:val="20"/>
              </w:rPr>
            </w:pPr>
            <w:r w:rsidRPr="00F128D0">
              <w:rPr>
                <w:rFonts w:cs="Helvetica"/>
                <w:b/>
                <w:sz w:val="20"/>
                <w:szCs w:val="20"/>
              </w:rPr>
              <w:t>Description</w:t>
            </w:r>
          </w:p>
        </w:tc>
      </w:tr>
      <w:tr w:rsidR="00791C31" w:rsidRPr="00F128D0" w14:paraId="7C067AE2" w14:textId="77777777" w:rsidTr="007E5858">
        <w:trPr>
          <w:trHeight w:val="530"/>
        </w:trPr>
        <w:tc>
          <w:tcPr>
            <w:tcW w:w="800" w:type="pct"/>
          </w:tcPr>
          <w:p w14:paraId="0327ED28" w14:textId="77777777" w:rsidR="00791C31" w:rsidRPr="00F128D0" w:rsidRDefault="00791C31" w:rsidP="007E5858">
            <w:pPr>
              <w:autoSpaceDE w:val="0"/>
              <w:autoSpaceDN w:val="0"/>
              <w:adjustRightInd w:val="0"/>
              <w:jc w:val="both"/>
              <w:rPr>
                <w:rFonts w:cs="Helvetica"/>
                <w:sz w:val="20"/>
                <w:szCs w:val="20"/>
              </w:rPr>
            </w:pPr>
            <w:r w:rsidRPr="00F128D0">
              <w:rPr>
                <w:rFonts w:cs="Helvetica"/>
                <w:sz w:val="20"/>
                <w:szCs w:val="20"/>
              </w:rPr>
              <w:t>Shrub</w:t>
            </w:r>
          </w:p>
        </w:tc>
        <w:tc>
          <w:tcPr>
            <w:tcW w:w="4200" w:type="pct"/>
          </w:tcPr>
          <w:p w14:paraId="2DC1B9ED" w14:textId="77777777" w:rsidR="00791C31" w:rsidRPr="00F128D0" w:rsidRDefault="00791C31" w:rsidP="007E5858">
            <w:pPr>
              <w:autoSpaceDE w:val="0"/>
              <w:autoSpaceDN w:val="0"/>
              <w:adjustRightInd w:val="0"/>
              <w:jc w:val="both"/>
              <w:rPr>
                <w:rFonts w:cs="Helvetica"/>
                <w:color w:val="000000"/>
                <w:sz w:val="20"/>
                <w:szCs w:val="20"/>
              </w:rPr>
            </w:pPr>
            <w:r w:rsidRPr="00F128D0">
              <w:rPr>
                <w:rFonts w:cs="Helvetica"/>
                <w:color w:val="000000"/>
                <w:sz w:val="20"/>
                <w:szCs w:val="20"/>
              </w:rPr>
              <w:t xml:space="preserve">This category is characterised by scattered deciduous perennial vegetation of mainly less than 3m in height. </w:t>
            </w:r>
          </w:p>
        </w:tc>
      </w:tr>
      <w:tr w:rsidR="00791C31" w:rsidRPr="00F128D0" w14:paraId="01A6F571" w14:textId="77777777" w:rsidTr="007E5858">
        <w:trPr>
          <w:trHeight w:val="486"/>
        </w:trPr>
        <w:tc>
          <w:tcPr>
            <w:tcW w:w="800" w:type="pct"/>
          </w:tcPr>
          <w:p w14:paraId="1FA53361" w14:textId="77777777" w:rsidR="00791C31" w:rsidRPr="00F128D0" w:rsidRDefault="00791C31" w:rsidP="007E5858">
            <w:pPr>
              <w:autoSpaceDE w:val="0"/>
              <w:autoSpaceDN w:val="0"/>
              <w:adjustRightInd w:val="0"/>
              <w:jc w:val="both"/>
              <w:rPr>
                <w:rFonts w:cs="Helvetica"/>
                <w:sz w:val="20"/>
                <w:szCs w:val="20"/>
              </w:rPr>
            </w:pPr>
            <w:r w:rsidRPr="00F128D0">
              <w:rPr>
                <w:rFonts w:cs="Helvetica"/>
                <w:sz w:val="20"/>
                <w:szCs w:val="20"/>
              </w:rPr>
              <w:t>Forest</w:t>
            </w:r>
          </w:p>
          <w:p w14:paraId="1FB0CCB5" w14:textId="77777777" w:rsidR="00791C31" w:rsidRPr="00F128D0" w:rsidRDefault="00791C31" w:rsidP="007E5858">
            <w:pPr>
              <w:autoSpaceDE w:val="0"/>
              <w:autoSpaceDN w:val="0"/>
              <w:adjustRightInd w:val="0"/>
              <w:jc w:val="both"/>
              <w:rPr>
                <w:rFonts w:cs="Helvetica"/>
                <w:sz w:val="20"/>
                <w:szCs w:val="20"/>
              </w:rPr>
            </w:pPr>
          </w:p>
        </w:tc>
        <w:tc>
          <w:tcPr>
            <w:tcW w:w="4200" w:type="pct"/>
          </w:tcPr>
          <w:p w14:paraId="5CAA05A2" w14:textId="77777777" w:rsidR="00791C31" w:rsidRPr="00F128D0" w:rsidRDefault="00791C31" w:rsidP="007E5858">
            <w:pPr>
              <w:autoSpaceDE w:val="0"/>
              <w:autoSpaceDN w:val="0"/>
              <w:adjustRightInd w:val="0"/>
              <w:jc w:val="both"/>
              <w:rPr>
                <w:rFonts w:cs="Helvetica"/>
                <w:color w:val="000000"/>
                <w:sz w:val="20"/>
                <w:szCs w:val="20"/>
              </w:rPr>
            </w:pPr>
            <w:r w:rsidRPr="00F128D0">
              <w:rPr>
                <w:rFonts w:cs="Helvetica"/>
                <w:color w:val="000000"/>
                <w:sz w:val="20"/>
                <w:szCs w:val="20"/>
              </w:rPr>
              <w:t xml:space="preserve">Evergreen woody vegetation with an interlocking canopy of height above 3m, with a canopy of more than ten percent. </w:t>
            </w:r>
          </w:p>
        </w:tc>
      </w:tr>
      <w:tr w:rsidR="00791C31" w:rsidRPr="00F128D0" w14:paraId="710CF1CF" w14:textId="77777777" w:rsidTr="007E5858">
        <w:tc>
          <w:tcPr>
            <w:tcW w:w="800" w:type="pct"/>
          </w:tcPr>
          <w:p w14:paraId="7D229E81" w14:textId="0B18558E" w:rsidR="00791C31" w:rsidRPr="00F128D0" w:rsidRDefault="00791C31" w:rsidP="007E5858">
            <w:pPr>
              <w:autoSpaceDE w:val="0"/>
              <w:autoSpaceDN w:val="0"/>
              <w:adjustRightInd w:val="0"/>
              <w:jc w:val="both"/>
              <w:rPr>
                <w:rFonts w:cs="Helvetica"/>
                <w:sz w:val="20"/>
                <w:szCs w:val="20"/>
              </w:rPr>
            </w:pPr>
            <w:r w:rsidRPr="00F128D0">
              <w:rPr>
                <w:rFonts w:cs="Helvetica"/>
                <w:color w:val="000000"/>
                <w:sz w:val="20"/>
                <w:szCs w:val="20"/>
              </w:rPr>
              <w:t>Bare</w:t>
            </w:r>
            <w:r w:rsidR="005625F5" w:rsidRPr="00F128D0">
              <w:rPr>
                <w:rFonts w:cs="Helvetica"/>
                <w:color w:val="000000"/>
                <w:sz w:val="20"/>
                <w:szCs w:val="20"/>
              </w:rPr>
              <w:t xml:space="preserve"> </w:t>
            </w:r>
            <w:r w:rsidRPr="00F128D0">
              <w:rPr>
                <w:rFonts w:cs="Helvetica"/>
                <w:color w:val="000000"/>
                <w:sz w:val="20"/>
                <w:szCs w:val="20"/>
              </w:rPr>
              <w:t>land</w:t>
            </w:r>
          </w:p>
        </w:tc>
        <w:tc>
          <w:tcPr>
            <w:tcW w:w="4200" w:type="pct"/>
          </w:tcPr>
          <w:p w14:paraId="3427AC62" w14:textId="77777777" w:rsidR="00791C31" w:rsidRPr="00F128D0" w:rsidRDefault="00791C31" w:rsidP="007E5858">
            <w:pPr>
              <w:autoSpaceDE w:val="0"/>
              <w:autoSpaceDN w:val="0"/>
              <w:adjustRightInd w:val="0"/>
              <w:jc w:val="both"/>
              <w:rPr>
                <w:rFonts w:cs="Helvetica"/>
                <w:color w:val="000000"/>
                <w:sz w:val="20"/>
                <w:szCs w:val="20"/>
              </w:rPr>
            </w:pPr>
            <w:r w:rsidRPr="00F128D0">
              <w:rPr>
                <w:rFonts w:cs="Helvetica"/>
                <w:color w:val="000000"/>
                <w:sz w:val="20"/>
                <w:szCs w:val="20"/>
              </w:rPr>
              <w:t xml:space="preserve">Bare ground usually with no vegetation. Usually characterised by rocks and without trees. </w:t>
            </w:r>
          </w:p>
        </w:tc>
      </w:tr>
    </w:tbl>
    <w:p w14:paraId="18A5739C" w14:textId="77777777" w:rsidR="00791C31" w:rsidRPr="00C6424E" w:rsidRDefault="00791C31" w:rsidP="00791C31">
      <w:pPr>
        <w:spacing w:after="160"/>
        <w:jc w:val="both"/>
        <w:rPr>
          <w:rFonts w:eastAsia="Calibri" w:cs="Helvetica"/>
          <w:b/>
          <w:szCs w:val="24"/>
        </w:rPr>
      </w:pPr>
    </w:p>
    <w:p w14:paraId="7F830EA6" w14:textId="599F6796" w:rsidR="00790ADA" w:rsidRPr="00C6424E" w:rsidRDefault="00791C31" w:rsidP="00441B6F">
      <w:pPr>
        <w:pStyle w:val="Head1"/>
        <w:spacing w:after="0"/>
        <w:jc w:val="both"/>
        <w:rPr>
          <w:rFonts w:cs="Helvetica"/>
          <w:b w:val="0"/>
          <w:bCs/>
        </w:rPr>
      </w:pPr>
      <w:r w:rsidRPr="00C6424E">
        <w:rPr>
          <w:rFonts w:cs="Helvetica"/>
          <w:noProof/>
        </w:rPr>
        <w:drawing>
          <wp:anchor distT="0" distB="0" distL="114300" distR="114300" simplePos="0" relativeHeight="251659264" behindDoc="1" locked="0" layoutInCell="1" allowOverlap="1" wp14:anchorId="2019D854" wp14:editId="12BF5798">
            <wp:simplePos x="0" y="0"/>
            <wp:positionH relativeFrom="margin">
              <wp:align>right</wp:align>
            </wp:positionH>
            <wp:positionV relativeFrom="paragraph">
              <wp:posOffset>245745</wp:posOffset>
            </wp:positionV>
            <wp:extent cx="5207000" cy="2171700"/>
            <wp:effectExtent l="0" t="0" r="0" b="0"/>
            <wp:wrapTopAndBottom/>
            <wp:docPr id="3" name="Picture 3" descr="E:\GIS Work\ENDAU\Export files\ENDAU FOREST LULC 1979\Final digrams\Ma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GIS Work\ENDAU\Export files\ENDAU FOREST LULC 1979\Final digrams\Map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700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424E">
        <w:rPr>
          <w:rFonts w:cs="Helvetica"/>
          <w:b w:val="0"/>
          <w:bCs/>
          <w:caps w:val="0"/>
        </w:rPr>
        <w:t>Table 1 shows the land cover classification schemes that were used in the research.</w:t>
      </w:r>
    </w:p>
    <w:p w14:paraId="02BEE500" w14:textId="7FE81079" w:rsidR="00626BD5" w:rsidRPr="00C6424E" w:rsidRDefault="00626BD5" w:rsidP="00720CD5">
      <w:pPr>
        <w:pStyle w:val="Caption"/>
        <w:spacing w:line="240" w:lineRule="auto"/>
        <w:rPr>
          <w:rFonts w:ascii="Helvetica" w:hAnsi="Helvetica" w:cs="Helvetica"/>
        </w:rPr>
      </w:pPr>
      <w:bookmarkStart w:id="5" w:name="_Toc194304561"/>
      <w:r w:rsidRPr="00C6424E">
        <w:rPr>
          <w:rFonts w:ascii="Helvetica" w:hAnsi="Helvetica" w:cs="Helvetica"/>
        </w:rPr>
        <w:t xml:space="preserve">Figure </w:t>
      </w:r>
      <w:r w:rsidR="00E50C50">
        <w:rPr>
          <w:rFonts w:ascii="Helvetica" w:hAnsi="Helvetica" w:cs="Helvetica"/>
        </w:rPr>
        <w:t>1</w:t>
      </w:r>
      <w:r w:rsidRPr="00C6424E">
        <w:rPr>
          <w:rFonts w:ascii="Helvetica" w:hAnsi="Helvetica" w:cs="Helvetica"/>
        </w:rPr>
        <w:t>: Maps showing Endau Forest Cover Change between 1979, 1994, 2009</w:t>
      </w:r>
      <w:r w:rsidR="00D872A1" w:rsidRPr="00C6424E">
        <w:rPr>
          <w:rFonts w:ascii="Helvetica" w:hAnsi="Helvetica" w:cs="Helvetica"/>
        </w:rPr>
        <w:t>,</w:t>
      </w:r>
      <w:r w:rsidRPr="00C6424E">
        <w:rPr>
          <w:rFonts w:ascii="Helvetica" w:hAnsi="Helvetica" w:cs="Helvetica"/>
        </w:rPr>
        <w:t xml:space="preserve"> and 2024</w:t>
      </w:r>
      <w:bookmarkEnd w:id="5"/>
    </w:p>
    <w:p w14:paraId="7063EB37" w14:textId="1CE7E03B" w:rsidR="00626BD5" w:rsidRPr="00C6424E" w:rsidRDefault="00ED556F" w:rsidP="00626BD5">
      <w:pPr>
        <w:pStyle w:val="Heading2"/>
        <w:jc w:val="both"/>
        <w:rPr>
          <w:rFonts w:ascii="Helvetica" w:hAnsi="Helvetica" w:cs="Helvetica"/>
          <w:b/>
          <w:bCs/>
          <w:color w:val="auto"/>
        </w:rPr>
      </w:pPr>
      <w:r w:rsidRPr="00C6424E">
        <w:rPr>
          <w:rFonts w:ascii="Helvetica" w:hAnsi="Helvetica" w:cs="Helvetica"/>
          <w:b/>
          <w:bCs/>
          <w:color w:val="auto"/>
        </w:rPr>
        <w:t xml:space="preserve">3.1 </w:t>
      </w:r>
      <w:r w:rsidR="00626BD5" w:rsidRPr="00C6424E">
        <w:rPr>
          <w:rFonts w:ascii="Helvetica" w:hAnsi="Helvetica" w:cs="Helvetica"/>
          <w:b/>
          <w:bCs/>
          <w:color w:val="auto"/>
        </w:rPr>
        <w:t>Endau Forest Cover Change between 1979, 1994, 2009</w:t>
      </w:r>
      <w:r w:rsidR="0095114B" w:rsidRPr="00C6424E">
        <w:rPr>
          <w:rFonts w:ascii="Helvetica" w:hAnsi="Helvetica" w:cs="Helvetica"/>
          <w:b/>
          <w:bCs/>
          <w:color w:val="auto"/>
        </w:rPr>
        <w:t>,</w:t>
      </w:r>
      <w:r w:rsidR="00626BD5" w:rsidRPr="00C6424E">
        <w:rPr>
          <w:rFonts w:ascii="Helvetica" w:hAnsi="Helvetica" w:cs="Helvetica"/>
          <w:b/>
          <w:bCs/>
          <w:color w:val="auto"/>
        </w:rPr>
        <w:t xml:space="preserve"> and 2024</w:t>
      </w:r>
    </w:p>
    <w:p w14:paraId="4443A25B" w14:textId="77777777" w:rsidR="00626BD5" w:rsidRPr="00C6424E" w:rsidRDefault="00626BD5" w:rsidP="00626BD5">
      <w:pPr>
        <w:jc w:val="both"/>
        <w:rPr>
          <w:rFonts w:cs="Helvetica"/>
        </w:rPr>
      </w:pPr>
      <w:r w:rsidRPr="00C6424E">
        <w:rPr>
          <w:rFonts w:cs="Helvetica"/>
        </w:rPr>
        <w:t>As shown in Table 19, the changes in Endau Forest cover between 1979, 1994, 2009, and 2024 reveal significant shifts in land cover categories, reflecting both conservation efforts and degradation trends. The key land cover classes analysed include bare land, forest, and shrubs. Understanding these changes is crucial in assessing the effectiveness of forest management strategies, conservation interventions, and external pressures affecting forest sustainability over the decades.</w:t>
      </w:r>
    </w:p>
    <w:p w14:paraId="71B853E6" w14:textId="248E32C1" w:rsidR="00626BD5" w:rsidRPr="00C6424E" w:rsidRDefault="00626BD5" w:rsidP="00626BD5">
      <w:pPr>
        <w:pStyle w:val="Caption"/>
        <w:rPr>
          <w:rFonts w:ascii="Helvetica" w:hAnsi="Helvetica" w:cs="Helvetica"/>
        </w:rPr>
      </w:pPr>
      <w:bookmarkStart w:id="6" w:name="_Toc196395127"/>
      <w:r w:rsidRPr="00C6424E">
        <w:rPr>
          <w:rFonts w:ascii="Helvetica" w:hAnsi="Helvetica" w:cs="Helvetica"/>
        </w:rPr>
        <w:t xml:space="preserve">Table </w:t>
      </w:r>
      <w:r w:rsidRPr="00C6424E">
        <w:rPr>
          <w:rFonts w:ascii="Helvetica" w:hAnsi="Helvetica" w:cs="Helvetica"/>
        </w:rPr>
        <w:fldChar w:fldCharType="begin"/>
      </w:r>
      <w:r w:rsidRPr="00C6424E">
        <w:rPr>
          <w:rFonts w:ascii="Helvetica" w:hAnsi="Helvetica" w:cs="Helvetica"/>
        </w:rPr>
        <w:instrText xml:space="preserve"> SEQ Table \* ARABIC </w:instrText>
      </w:r>
      <w:r w:rsidRPr="00C6424E">
        <w:rPr>
          <w:rFonts w:ascii="Helvetica" w:hAnsi="Helvetica" w:cs="Helvetica"/>
        </w:rPr>
        <w:fldChar w:fldCharType="separate"/>
      </w:r>
      <w:r w:rsidR="00531FA5" w:rsidRPr="00C6424E">
        <w:rPr>
          <w:rFonts w:ascii="Helvetica" w:hAnsi="Helvetica" w:cs="Helvetica"/>
        </w:rPr>
        <w:t>2</w:t>
      </w:r>
      <w:r w:rsidRPr="00C6424E">
        <w:rPr>
          <w:rFonts w:ascii="Helvetica" w:hAnsi="Helvetica" w:cs="Helvetica"/>
        </w:rPr>
        <w:fldChar w:fldCharType="end"/>
      </w:r>
      <w:r w:rsidRPr="00C6424E">
        <w:rPr>
          <w:rFonts w:ascii="Helvetica" w:hAnsi="Helvetica" w:cs="Helvetica"/>
        </w:rPr>
        <w:t>: Endau Forest Cover Change between 1979, 1994, 2009</w:t>
      </w:r>
      <w:r w:rsidR="00ED556F" w:rsidRPr="00C6424E">
        <w:rPr>
          <w:rFonts w:ascii="Helvetica" w:hAnsi="Helvetica" w:cs="Helvetica"/>
        </w:rPr>
        <w:t>,</w:t>
      </w:r>
      <w:r w:rsidRPr="00C6424E">
        <w:rPr>
          <w:rFonts w:ascii="Helvetica" w:hAnsi="Helvetica" w:cs="Helvetica"/>
        </w:rPr>
        <w:t xml:space="preserve"> and 2024</w:t>
      </w:r>
      <w:bookmarkEnd w:id="6"/>
    </w:p>
    <w:tbl>
      <w:tblPr>
        <w:tblStyle w:val="ListTable6Colorful"/>
        <w:tblW w:w="4906" w:type="pct"/>
        <w:tblLook w:val="04A0" w:firstRow="1" w:lastRow="0" w:firstColumn="1" w:lastColumn="0" w:noHBand="0" w:noVBand="1"/>
      </w:tblPr>
      <w:tblGrid>
        <w:gridCol w:w="2829"/>
        <w:gridCol w:w="2340"/>
        <w:gridCol w:w="1810"/>
        <w:gridCol w:w="1810"/>
        <w:gridCol w:w="1808"/>
      </w:tblGrid>
      <w:tr w:rsidR="00626BD5" w:rsidRPr="00C6424E" w14:paraId="4CF2ED23" w14:textId="77777777" w:rsidTr="007E585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5" w:type="pct"/>
            <w:shd w:val="clear" w:color="auto" w:fill="auto"/>
            <w:noWrap/>
            <w:hideMark/>
          </w:tcPr>
          <w:p w14:paraId="47778C66" w14:textId="77777777" w:rsidR="00626BD5" w:rsidRPr="00C6424E" w:rsidRDefault="00626BD5" w:rsidP="007E5858">
            <w:pPr>
              <w:jc w:val="both"/>
              <w:rPr>
                <w:rFonts w:cs="Helvetica"/>
                <w:bCs w:val="0"/>
                <w:szCs w:val="24"/>
              </w:rPr>
            </w:pPr>
            <w:r w:rsidRPr="00C6424E">
              <w:rPr>
                <w:rFonts w:cs="Helvetica"/>
                <w:bCs w:val="0"/>
                <w:szCs w:val="24"/>
              </w:rPr>
              <w:t xml:space="preserve">CLASSES </w:t>
            </w:r>
          </w:p>
        </w:tc>
        <w:tc>
          <w:tcPr>
            <w:tcW w:w="1104" w:type="pct"/>
            <w:shd w:val="clear" w:color="auto" w:fill="auto"/>
            <w:noWrap/>
            <w:hideMark/>
          </w:tcPr>
          <w:p w14:paraId="505209FC" w14:textId="77777777" w:rsidR="00626BD5" w:rsidRPr="00C6424E" w:rsidRDefault="00626BD5" w:rsidP="007E5858">
            <w:pPr>
              <w:jc w:val="both"/>
              <w:cnfStyle w:val="100000000000" w:firstRow="1" w:lastRow="0" w:firstColumn="0" w:lastColumn="0" w:oddVBand="0" w:evenVBand="0" w:oddHBand="0" w:evenHBand="0" w:firstRowFirstColumn="0" w:firstRowLastColumn="0" w:lastRowFirstColumn="0" w:lastRowLastColumn="0"/>
              <w:rPr>
                <w:rFonts w:eastAsia="Times New Roman" w:cs="Helvetica"/>
                <w:bCs w:val="0"/>
                <w:szCs w:val="24"/>
              </w:rPr>
            </w:pPr>
            <w:r w:rsidRPr="00C6424E">
              <w:rPr>
                <w:rFonts w:eastAsia="Times New Roman" w:cs="Helvetica"/>
                <w:bCs w:val="0"/>
                <w:szCs w:val="24"/>
              </w:rPr>
              <w:t>1979</w:t>
            </w:r>
          </w:p>
        </w:tc>
        <w:tc>
          <w:tcPr>
            <w:tcW w:w="854" w:type="pct"/>
            <w:shd w:val="clear" w:color="auto" w:fill="auto"/>
            <w:noWrap/>
            <w:hideMark/>
          </w:tcPr>
          <w:p w14:paraId="7655D5B8" w14:textId="77777777" w:rsidR="00626BD5" w:rsidRPr="00C6424E" w:rsidRDefault="00626BD5" w:rsidP="007E5858">
            <w:pPr>
              <w:jc w:val="both"/>
              <w:cnfStyle w:val="100000000000" w:firstRow="1" w:lastRow="0" w:firstColumn="0" w:lastColumn="0" w:oddVBand="0" w:evenVBand="0" w:oddHBand="0" w:evenHBand="0" w:firstRowFirstColumn="0" w:firstRowLastColumn="0" w:lastRowFirstColumn="0" w:lastRowLastColumn="0"/>
              <w:rPr>
                <w:rFonts w:eastAsia="Times New Roman" w:cs="Helvetica"/>
                <w:bCs w:val="0"/>
                <w:szCs w:val="24"/>
              </w:rPr>
            </w:pPr>
            <w:r w:rsidRPr="00C6424E">
              <w:rPr>
                <w:rFonts w:eastAsia="Times New Roman" w:cs="Helvetica"/>
                <w:bCs w:val="0"/>
                <w:szCs w:val="24"/>
              </w:rPr>
              <w:t>1994</w:t>
            </w:r>
          </w:p>
        </w:tc>
        <w:tc>
          <w:tcPr>
            <w:tcW w:w="854" w:type="pct"/>
            <w:shd w:val="clear" w:color="auto" w:fill="auto"/>
            <w:noWrap/>
            <w:hideMark/>
          </w:tcPr>
          <w:p w14:paraId="55F4F77E" w14:textId="77777777" w:rsidR="00626BD5" w:rsidRPr="00C6424E" w:rsidRDefault="00626BD5" w:rsidP="007E5858">
            <w:pPr>
              <w:jc w:val="both"/>
              <w:cnfStyle w:val="100000000000" w:firstRow="1" w:lastRow="0" w:firstColumn="0" w:lastColumn="0" w:oddVBand="0" w:evenVBand="0" w:oddHBand="0" w:evenHBand="0" w:firstRowFirstColumn="0" w:firstRowLastColumn="0" w:lastRowFirstColumn="0" w:lastRowLastColumn="0"/>
              <w:rPr>
                <w:rFonts w:eastAsia="Times New Roman" w:cs="Helvetica"/>
                <w:bCs w:val="0"/>
                <w:szCs w:val="24"/>
              </w:rPr>
            </w:pPr>
            <w:r w:rsidRPr="00C6424E">
              <w:rPr>
                <w:rFonts w:eastAsia="Times New Roman" w:cs="Helvetica"/>
                <w:bCs w:val="0"/>
                <w:szCs w:val="24"/>
              </w:rPr>
              <w:t>2009</w:t>
            </w:r>
          </w:p>
        </w:tc>
        <w:tc>
          <w:tcPr>
            <w:tcW w:w="853" w:type="pct"/>
            <w:shd w:val="clear" w:color="auto" w:fill="auto"/>
          </w:tcPr>
          <w:p w14:paraId="31C77C29" w14:textId="77777777" w:rsidR="00626BD5" w:rsidRPr="00C6424E" w:rsidRDefault="00626BD5" w:rsidP="007E5858">
            <w:pPr>
              <w:jc w:val="both"/>
              <w:cnfStyle w:val="100000000000" w:firstRow="1" w:lastRow="0" w:firstColumn="0" w:lastColumn="0" w:oddVBand="0" w:evenVBand="0" w:oddHBand="0" w:evenHBand="0" w:firstRowFirstColumn="0" w:firstRowLastColumn="0" w:lastRowFirstColumn="0" w:lastRowLastColumn="0"/>
              <w:rPr>
                <w:rFonts w:eastAsia="Times New Roman" w:cs="Helvetica"/>
                <w:bCs w:val="0"/>
                <w:szCs w:val="24"/>
              </w:rPr>
            </w:pPr>
            <w:r w:rsidRPr="00C6424E">
              <w:rPr>
                <w:rFonts w:eastAsia="Times New Roman" w:cs="Helvetica"/>
                <w:bCs w:val="0"/>
                <w:szCs w:val="24"/>
              </w:rPr>
              <w:t>2024</w:t>
            </w:r>
          </w:p>
        </w:tc>
      </w:tr>
      <w:tr w:rsidR="00626BD5" w:rsidRPr="00C6424E" w14:paraId="22EF5799" w14:textId="77777777" w:rsidTr="007E5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5" w:type="pct"/>
            <w:shd w:val="clear" w:color="auto" w:fill="auto"/>
            <w:noWrap/>
            <w:hideMark/>
          </w:tcPr>
          <w:p w14:paraId="1E80330E" w14:textId="77777777" w:rsidR="00626BD5" w:rsidRPr="00C6424E" w:rsidRDefault="00626BD5" w:rsidP="007E5858">
            <w:pPr>
              <w:jc w:val="both"/>
              <w:rPr>
                <w:rFonts w:eastAsia="Times New Roman" w:cs="Helvetica"/>
              </w:rPr>
            </w:pPr>
            <w:r w:rsidRPr="00C6424E">
              <w:rPr>
                <w:rFonts w:eastAsia="Times New Roman" w:cs="Helvetica"/>
              </w:rPr>
              <w:t>Bare land</w:t>
            </w:r>
          </w:p>
        </w:tc>
        <w:tc>
          <w:tcPr>
            <w:tcW w:w="1104" w:type="pct"/>
            <w:shd w:val="clear" w:color="auto" w:fill="auto"/>
            <w:noWrap/>
          </w:tcPr>
          <w:p w14:paraId="373363AC"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2593.91</w:t>
            </w:r>
          </w:p>
        </w:tc>
        <w:tc>
          <w:tcPr>
            <w:tcW w:w="854" w:type="pct"/>
            <w:shd w:val="clear" w:color="auto" w:fill="auto"/>
            <w:noWrap/>
          </w:tcPr>
          <w:p w14:paraId="4983912E"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1230.23</w:t>
            </w:r>
          </w:p>
        </w:tc>
        <w:tc>
          <w:tcPr>
            <w:tcW w:w="854" w:type="pct"/>
            <w:shd w:val="clear" w:color="auto" w:fill="auto"/>
            <w:noWrap/>
          </w:tcPr>
          <w:p w14:paraId="5765676E"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1564.64</w:t>
            </w:r>
          </w:p>
        </w:tc>
        <w:tc>
          <w:tcPr>
            <w:tcW w:w="853" w:type="pct"/>
            <w:shd w:val="clear" w:color="auto" w:fill="auto"/>
          </w:tcPr>
          <w:p w14:paraId="683DB901"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cs="Helvetica"/>
                <w:szCs w:val="24"/>
              </w:rPr>
            </w:pPr>
            <w:r w:rsidRPr="00C6424E">
              <w:rPr>
                <w:rFonts w:cs="Helvetica"/>
                <w:szCs w:val="24"/>
              </w:rPr>
              <w:t>1119.36</w:t>
            </w:r>
          </w:p>
        </w:tc>
      </w:tr>
      <w:tr w:rsidR="00626BD5" w:rsidRPr="00C6424E" w14:paraId="32A20138" w14:textId="77777777" w:rsidTr="007E5858">
        <w:trPr>
          <w:trHeight w:val="352"/>
        </w:trPr>
        <w:tc>
          <w:tcPr>
            <w:cnfStyle w:val="001000000000" w:firstRow="0" w:lastRow="0" w:firstColumn="1" w:lastColumn="0" w:oddVBand="0" w:evenVBand="0" w:oddHBand="0" w:evenHBand="0" w:firstRowFirstColumn="0" w:firstRowLastColumn="0" w:lastRowFirstColumn="0" w:lastRowLastColumn="0"/>
            <w:tcW w:w="1335" w:type="pct"/>
            <w:shd w:val="clear" w:color="auto" w:fill="auto"/>
            <w:noWrap/>
            <w:hideMark/>
          </w:tcPr>
          <w:p w14:paraId="53004233" w14:textId="77777777" w:rsidR="00626BD5" w:rsidRPr="00C6424E" w:rsidRDefault="00626BD5" w:rsidP="007E5858">
            <w:pPr>
              <w:jc w:val="both"/>
              <w:rPr>
                <w:rFonts w:eastAsia="Times New Roman" w:cs="Helvetica"/>
              </w:rPr>
            </w:pPr>
            <w:r w:rsidRPr="00C6424E">
              <w:rPr>
                <w:rFonts w:eastAsia="Times New Roman" w:cs="Helvetica"/>
              </w:rPr>
              <w:t>Forest</w:t>
            </w:r>
          </w:p>
        </w:tc>
        <w:tc>
          <w:tcPr>
            <w:tcW w:w="1104" w:type="pct"/>
            <w:shd w:val="clear" w:color="auto" w:fill="auto"/>
            <w:noWrap/>
          </w:tcPr>
          <w:p w14:paraId="4BF89284" w14:textId="77777777" w:rsidR="00626BD5" w:rsidRPr="00C6424E" w:rsidRDefault="00626BD5" w:rsidP="007E5858">
            <w:pPr>
              <w:jc w:val="both"/>
              <w:cnfStyle w:val="000000000000" w:firstRow="0" w:lastRow="0" w:firstColumn="0" w:lastColumn="0" w:oddVBand="0" w:evenVBand="0" w:oddHBand="0" w:evenHBand="0" w:firstRowFirstColumn="0" w:firstRowLastColumn="0" w:lastRowFirstColumn="0" w:lastRowLastColumn="0"/>
              <w:rPr>
                <w:rFonts w:eastAsia="Times New Roman" w:cs="Helvetica"/>
              </w:rPr>
            </w:pPr>
            <w:r w:rsidRPr="00C6424E">
              <w:rPr>
                <w:rFonts w:eastAsia="Times New Roman" w:cs="Helvetica"/>
              </w:rPr>
              <w:t>3397.32</w:t>
            </w:r>
          </w:p>
        </w:tc>
        <w:tc>
          <w:tcPr>
            <w:tcW w:w="854" w:type="pct"/>
            <w:shd w:val="clear" w:color="auto" w:fill="auto"/>
            <w:noWrap/>
          </w:tcPr>
          <w:p w14:paraId="1A19B2B0" w14:textId="77777777" w:rsidR="00626BD5" w:rsidRPr="00C6424E" w:rsidRDefault="00626BD5" w:rsidP="007E5858">
            <w:pPr>
              <w:jc w:val="both"/>
              <w:cnfStyle w:val="000000000000" w:firstRow="0" w:lastRow="0" w:firstColumn="0" w:lastColumn="0" w:oddVBand="0" w:evenVBand="0" w:oddHBand="0" w:evenHBand="0" w:firstRowFirstColumn="0" w:firstRowLastColumn="0" w:lastRowFirstColumn="0" w:lastRowLastColumn="0"/>
              <w:rPr>
                <w:rFonts w:eastAsia="Times New Roman" w:cs="Helvetica"/>
              </w:rPr>
            </w:pPr>
            <w:r w:rsidRPr="00C6424E">
              <w:rPr>
                <w:rFonts w:eastAsia="Times New Roman" w:cs="Helvetica"/>
              </w:rPr>
              <w:t>5959.91</w:t>
            </w:r>
          </w:p>
        </w:tc>
        <w:tc>
          <w:tcPr>
            <w:tcW w:w="854" w:type="pct"/>
            <w:shd w:val="clear" w:color="auto" w:fill="auto"/>
            <w:noWrap/>
          </w:tcPr>
          <w:p w14:paraId="66E8D085" w14:textId="77777777" w:rsidR="00626BD5" w:rsidRPr="00C6424E" w:rsidRDefault="00626BD5" w:rsidP="007E5858">
            <w:pPr>
              <w:jc w:val="both"/>
              <w:cnfStyle w:val="000000000000" w:firstRow="0" w:lastRow="0" w:firstColumn="0" w:lastColumn="0" w:oddVBand="0" w:evenVBand="0" w:oddHBand="0" w:evenHBand="0" w:firstRowFirstColumn="0" w:firstRowLastColumn="0" w:lastRowFirstColumn="0" w:lastRowLastColumn="0"/>
              <w:rPr>
                <w:rFonts w:eastAsia="Times New Roman" w:cs="Helvetica"/>
              </w:rPr>
            </w:pPr>
            <w:r w:rsidRPr="00C6424E">
              <w:rPr>
                <w:rFonts w:eastAsia="Times New Roman" w:cs="Helvetica"/>
              </w:rPr>
              <w:t>6465.05</w:t>
            </w:r>
          </w:p>
        </w:tc>
        <w:tc>
          <w:tcPr>
            <w:tcW w:w="853" w:type="pct"/>
            <w:shd w:val="clear" w:color="auto" w:fill="auto"/>
          </w:tcPr>
          <w:p w14:paraId="0C945C34" w14:textId="77777777" w:rsidR="00626BD5" w:rsidRPr="00C6424E" w:rsidRDefault="00626BD5" w:rsidP="007E5858">
            <w:pPr>
              <w:jc w:val="both"/>
              <w:cnfStyle w:val="000000000000" w:firstRow="0" w:lastRow="0" w:firstColumn="0" w:lastColumn="0" w:oddVBand="0" w:evenVBand="0" w:oddHBand="0" w:evenHBand="0" w:firstRowFirstColumn="0" w:firstRowLastColumn="0" w:lastRowFirstColumn="0" w:lastRowLastColumn="0"/>
              <w:rPr>
                <w:rFonts w:cs="Helvetica"/>
                <w:szCs w:val="24"/>
              </w:rPr>
            </w:pPr>
            <w:r w:rsidRPr="00C6424E">
              <w:rPr>
                <w:rFonts w:cs="Helvetica"/>
                <w:szCs w:val="24"/>
              </w:rPr>
              <w:t>5727.04</w:t>
            </w:r>
          </w:p>
        </w:tc>
      </w:tr>
      <w:tr w:rsidR="00626BD5" w:rsidRPr="00C6424E" w14:paraId="7A9E3A88" w14:textId="77777777" w:rsidTr="007E5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5" w:type="pct"/>
            <w:shd w:val="clear" w:color="auto" w:fill="auto"/>
            <w:noWrap/>
            <w:hideMark/>
          </w:tcPr>
          <w:p w14:paraId="0C15A261" w14:textId="77777777" w:rsidR="00626BD5" w:rsidRPr="00C6424E" w:rsidRDefault="00626BD5" w:rsidP="007E5858">
            <w:pPr>
              <w:jc w:val="both"/>
              <w:rPr>
                <w:rFonts w:eastAsia="Times New Roman" w:cs="Helvetica"/>
              </w:rPr>
            </w:pPr>
            <w:r w:rsidRPr="00C6424E">
              <w:rPr>
                <w:rFonts w:eastAsia="Times New Roman" w:cs="Helvetica"/>
              </w:rPr>
              <w:t>Shrubs</w:t>
            </w:r>
          </w:p>
        </w:tc>
        <w:tc>
          <w:tcPr>
            <w:tcW w:w="1104" w:type="pct"/>
            <w:shd w:val="clear" w:color="auto" w:fill="auto"/>
            <w:noWrap/>
          </w:tcPr>
          <w:p w14:paraId="35031F55"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2067.94</w:t>
            </w:r>
          </w:p>
        </w:tc>
        <w:tc>
          <w:tcPr>
            <w:tcW w:w="854" w:type="pct"/>
            <w:shd w:val="clear" w:color="auto" w:fill="auto"/>
            <w:noWrap/>
          </w:tcPr>
          <w:p w14:paraId="53D5CD47"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872.34</w:t>
            </w:r>
          </w:p>
        </w:tc>
        <w:tc>
          <w:tcPr>
            <w:tcW w:w="854" w:type="pct"/>
            <w:shd w:val="clear" w:color="auto" w:fill="auto"/>
            <w:noWrap/>
          </w:tcPr>
          <w:p w14:paraId="4C310EFC"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32.16</w:t>
            </w:r>
          </w:p>
        </w:tc>
        <w:tc>
          <w:tcPr>
            <w:tcW w:w="853" w:type="pct"/>
            <w:shd w:val="clear" w:color="auto" w:fill="auto"/>
          </w:tcPr>
          <w:p w14:paraId="1118AC7F"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cs="Helvetica"/>
                <w:szCs w:val="24"/>
              </w:rPr>
            </w:pPr>
            <w:r w:rsidRPr="00C6424E">
              <w:rPr>
                <w:rFonts w:cs="Helvetica"/>
                <w:szCs w:val="24"/>
              </w:rPr>
              <w:t>1214.62</w:t>
            </w:r>
          </w:p>
        </w:tc>
      </w:tr>
    </w:tbl>
    <w:p w14:paraId="23386EAA" w14:textId="77777777" w:rsidR="00626BD5" w:rsidRPr="00C6424E" w:rsidRDefault="00626BD5" w:rsidP="00626BD5">
      <w:pPr>
        <w:jc w:val="both"/>
        <w:rPr>
          <w:rFonts w:cs="Helvetica"/>
        </w:rPr>
      </w:pPr>
    </w:p>
    <w:p w14:paraId="46FA41F4" w14:textId="46D973A4" w:rsidR="00626BD5" w:rsidRPr="00C6424E" w:rsidRDefault="00ED556F" w:rsidP="00626BD5">
      <w:pPr>
        <w:jc w:val="both"/>
        <w:rPr>
          <w:rFonts w:cs="Helvetica"/>
          <w:b/>
        </w:rPr>
      </w:pPr>
      <w:r w:rsidRPr="00C6424E">
        <w:rPr>
          <w:rFonts w:cs="Helvetica"/>
          <w:b/>
        </w:rPr>
        <w:t>3.2</w:t>
      </w:r>
      <w:r w:rsidR="00626BD5" w:rsidRPr="00C6424E">
        <w:rPr>
          <w:rFonts w:cs="Helvetica"/>
          <w:b/>
        </w:rPr>
        <w:t>.</w:t>
      </w:r>
      <w:r w:rsidRPr="00C6424E">
        <w:rPr>
          <w:rFonts w:cs="Helvetica"/>
          <w:b/>
        </w:rPr>
        <w:t xml:space="preserve"> </w:t>
      </w:r>
      <w:r w:rsidR="00626BD5" w:rsidRPr="00C6424E">
        <w:rPr>
          <w:rFonts w:cs="Helvetica"/>
          <w:b/>
        </w:rPr>
        <w:t>The analysis of land cover changes</w:t>
      </w:r>
    </w:p>
    <w:p w14:paraId="09C11173" w14:textId="441D8483" w:rsidR="00626BD5" w:rsidRPr="00C6424E" w:rsidRDefault="00626BD5" w:rsidP="00626BD5">
      <w:pPr>
        <w:jc w:val="both"/>
        <w:rPr>
          <w:rFonts w:cs="Helvetica"/>
          <w:color w:val="000000" w:themeColor="text1"/>
        </w:rPr>
      </w:pPr>
      <w:r w:rsidRPr="00C6424E">
        <w:rPr>
          <w:rFonts w:cs="Helvetica"/>
          <w:color w:val="000000" w:themeColor="text1"/>
        </w:rPr>
        <w:t xml:space="preserve">The analysis of land cover changes in Endau Forest between 1979 and 2024 reveals significant shifts in bare land coverage. In 1979, bare land occupied 2,593.91 hectares, but by 1994, this figure had declined sharply to 1,230.23 hectares, indicating potential afforestation efforts or natural vegetation regrowth. However, in 2009, bare land slightly increased to 1,564.64 hectares, suggesting possible land degradation due to deforestation caused by animal grazing. By 2024, a further decline to 1,119.36 hectares was observed, reinforcing the idea that conservation strategies, including reforestation and </w:t>
      </w:r>
      <w:r w:rsidRPr="00C6424E">
        <w:rPr>
          <w:rFonts w:cs="Helvetica"/>
          <w:color w:val="000000" w:themeColor="text1"/>
        </w:rPr>
        <w:lastRenderedPageBreak/>
        <w:t xml:space="preserve">enforcement of laws, may be contributing to the reduction of barren land. The forest improvement may have been contributed by the decision by the government to </w:t>
      </w:r>
      <w:r w:rsidR="00ED556F" w:rsidRPr="00C6424E">
        <w:rPr>
          <w:rFonts w:cs="Helvetica"/>
          <w:color w:val="000000" w:themeColor="text1"/>
        </w:rPr>
        <w:t>evict</w:t>
      </w:r>
      <w:r w:rsidRPr="00C6424E">
        <w:rPr>
          <w:rFonts w:cs="Helvetica"/>
          <w:color w:val="000000" w:themeColor="text1"/>
        </w:rPr>
        <w:t xml:space="preserve"> all the people </w:t>
      </w:r>
      <w:r w:rsidR="007B41AE" w:rsidRPr="00C6424E">
        <w:rPr>
          <w:rFonts w:cs="Helvetica"/>
          <w:color w:val="000000" w:themeColor="text1"/>
        </w:rPr>
        <w:t>who</w:t>
      </w:r>
      <w:r w:rsidRPr="00C6424E">
        <w:rPr>
          <w:rFonts w:cs="Helvetica"/>
          <w:color w:val="000000" w:themeColor="text1"/>
        </w:rPr>
        <w:t xml:space="preserve"> lived in the forest in 1993 when the forest was gazetted.</w:t>
      </w:r>
    </w:p>
    <w:p w14:paraId="4EC71A28" w14:textId="77777777" w:rsidR="00626BD5" w:rsidRPr="00C6424E" w:rsidRDefault="00626BD5" w:rsidP="00626BD5">
      <w:pPr>
        <w:jc w:val="both"/>
        <w:rPr>
          <w:rFonts w:cs="Helvetica"/>
          <w:color w:val="000000" w:themeColor="text1"/>
        </w:rPr>
      </w:pPr>
    </w:p>
    <w:p w14:paraId="47433EE8" w14:textId="756A5E6F" w:rsidR="00626BD5" w:rsidRPr="00C6424E" w:rsidRDefault="00626BD5" w:rsidP="00626BD5">
      <w:pPr>
        <w:jc w:val="both"/>
        <w:rPr>
          <w:rFonts w:cs="Helvetica"/>
          <w:color w:val="000000" w:themeColor="text1"/>
        </w:rPr>
      </w:pPr>
      <w:r w:rsidRPr="00C6424E">
        <w:rPr>
          <w:rFonts w:cs="Helvetica"/>
          <w:color w:val="000000" w:themeColor="text1"/>
        </w:rPr>
        <w:t>Forest cover exhibited a notable increase over the study period, rising from 3,397.32 hectares in 1979 to a peak of 6,465.05 hectares in 2009. The sharp expansion between 1979 and 1994 (5,959.91 hectares) may indicate effective forest conservation programs, strict regulatory enforcement. However, by 2024, forest cover declined to 5,727.04 hectares, reflecting renewed deforestation pressures. This decline could be attributed to human activities such as illegal logging</w:t>
      </w:r>
      <w:r w:rsidR="00ED556F" w:rsidRPr="00C6424E">
        <w:rPr>
          <w:rFonts w:cs="Helvetica"/>
          <w:color w:val="000000" w:themeColor="text1"/>
        </w:rPr>
        <w:t xml:space="preserve"> and</w:t>
      </w:r>
      <w:r w:rsidRPr="00C6424E">
        <w:rPr>
          <w:rFonts w:cs="Helvetica"/>
          <w:color w:val="000000" w:themeColor="text1"/>
        </w:rPr>
        <w:t xml:space="preserve"> charcoal burning, which continue to pose challenges to forest sustainability. The fluctuation in forest cover highlights the need for continuous conservation efforts to maintain and expand forested areas. This decline may be caused by the fact that </w:t>
      </w:r>
      <w:r w:rsidR="007B41AE" w:rsidRPr="00C6424E">
        <w:rPr>
          <w:rFonts w:cs="Helvetica"/>
          <w:color w:val="000000" w:themeColor="text1"/>
        </w:rPr>
        <w:t xml:space="preserve">the </w:t>
      </w:r>
      <w:r w:rsidRPr="00C6424E">
        <w:rPr>
          <w:rFonts w:cs="Helvetica"/>
          <w:color w:val="000000" w:themeColor="text1"/>
        </w:rPr>
        <w:t xml:space="preserve">community forest association stopped </w:t>
      </w:r>
      <w:r w:rsidR="00ED556F" w:rsidRPr="00C6424E">
        <w:rPr>
          <w:rFonts w:cs="Helvetica"/>
          <w:color w:val="000000" w:themeColor="text1"/>
        </w:rPr>
        <w:t>its</w:t>
      </w:r>
      <w:r w:rsidRPr="00C6424E">
        <w:rPr>
          <w:rFonts w:cs="Helvetica"/>
          <w:color w:val="000000" w:themeColor="text1"/>
        </w:rPr>
        <w:t xml:space="preserve"> operations.</w:t>
      </w:r>
    </w:p>
    <w:p w14:paraId="49554A20" w14:textId="77777777" w:rsidR="00D872A1" w:rsidRPr="00C6424E" w:rsidRDefault="00D872A1" w:rsidP="00626BD5">
      <w:pPr>
        <w:jc w:val="both"/>
        <w:rPr>
          <w:rFonts w:cs="Helvetica"/>
          <w:color w:val="000000" w:themeColor="text1"/>
        </w:rPr>
      </w:pPr>
    </w:p>
    <w:p w14:paraId="79D123F8" w14:textId="7C886195" w:rsidR="00626BD5" w:rsidRPr="00C6424E" w:rsidRDefault="00626BD5" w:rsidP="00626BD5">
      <w:pPr>
        <w:jc w:val="both"/>
        <w:rPr>
          <w:rFonts w:cs="Helvetica"/>
          <w:color w:val="000000" w:themeColor="text1"/>
        </w:rPr>
      </w:pPr>
      <w:r w:rsidRPr="00C6424E">
        <w:rPr>
          <w:rFonts w:cs="Helvetica"/>
          <w:color w:val="000000" w:themeColor="text1"/>
        </w:rPr>
        <w:t xml:space="preserve">Shrubland, on the other hand, experienced a dramatic decline from 2,067.94 hectares in 1979 to just 32.16 hectares in 2009. This reduction suggests that shrubland areas were converted into forests due to </w:t>
      </w:r>
      <w:r w:rsidR="00ED556F" w:rsidRPr="00C6424E">
        <w:rPr>
          <w:rFonts w:cs="Helvetica"/>
          <w:color w:val="000000" w:themeColor="text1"/>
        </w:rPr>
        <w:t>natural</w:t>
      </w:r>
      <w:r w:rsidRPr="00C6424E">
        <w:rPr>
          <w:rFonts w:cs="Helvetica"/>
          <w:color w:val="000000" w:themeColor="text1"/>
        </w:rPr>
        <w:t xml:space="preserve"> regeneration and </w:t>
      </w:r>
      <w:r w:rsidR="00ED556F" w:rsidRPr="00C6424E">
        <w:rPr>
          <w:rFonts w:cs="Helvetica"/>
          <w:color w:val="000000" w:themeColor="text1"/>
        </w:rPr>
        <w:t xml:space="preserve">the </w:t>
      </w:r>
      <w:r w:rsidRPr="00C6424E">
        <w:rPr>
          <w:rFonts w:cs="Helvetica"/>
          <w:color w:val="000000" w:themeColor="text1"/>
        </w:rPr>
        <w:t>reduction of anthropogenic activities. Interestingly, by 2024, shrubland had rebounded to 1,214.62 hectares, suggesting natural regeneration, land abandonment. This resurgence of shrubs may play a crucial role in ecosystem restoration, soil stabili</w:t>
      </w:r>
      <w:r w:rsidR="00ED556F" w:rsidRPr="00C6424E">
        <w:rPr>
          <w:rFonts w:cs="Helvetica"/>
          <w:color w:val="000000" w:themeColor="text1"/>
        </w:rPr>
        <w:t>s</w:t>
      </w:r>
      <w:r w:rsidRPr="00C6424E">
        <w:rPr>
          <w:rFonts w:cs="Helvetica"/>
          <w:color w:val="000000" w:themeColor="text1"/>
        </w:rPr>
        <w:t>ation, and biodiversity conservation. The patterns observed indicate the dynamic nature of land use and highlight the importance of sustainable forest management policies to balance conservation and land utilization.</w:t>
      </w:r>
    </w:p>
    <w:p w14:paraId="69237056" w14:textId="77777777" w:rsidR="00372976" w:rsidRPr="00C6424E" w:rsidRDefault="00372976" w:rsidP="00626BD5">
      <w:pPr>
        <w:jc w:val="both"/>
        <w:rPr>
          <w:rFonts w:cs="Helvetica"/>
          <w:color w:val="000000" w:themeColor="text1"/>
        </w:rPr>
      </w:pPr>
    </w:p>
    <w:p w14:paraId="2B1836AF" w14:textId="763E3F2B" w:rsidR="00D872A1" w:rsidRPr="00C6424E" w:rsidRDefault="00372976" w:rsidP="00626BD5">
      <w:pPr>
        <w:jc w:val="both"/>
        <w:rPr>
          <w:rFonts w:cs="Helvetica"/>
          <w:b/>
          <w:bCs/>
          <w:color w:val="000000" w:themeColor="text1"/>
        </w:rPr>
      </w:pPr>
      <w:r w:rsidRPr="00C6424E">
        <w:rPr>
          <w:rFonts w:cs="Helvetica"/>
          <w:b/>
          <w:bCs/>
          <w:color w:val="000000" w:themeColor="text1"/>
        </w:rPr>
        <w:t xml:space="preserve">3. 3 </w:t>
      </w:r>
      <w:r w:rsidR="007F1E0D" w:rsidRPr="00C6424E">
        <w:rPr>
          <w:rFonts w:cs="Helvetica"/>
          <w:b/>
          <w:bCs/>
          <w:color w:val="000000" w:themeColor="text1"/>
        </w:rPr>
        <w:t xml:space="preserve">Sustainable Forest </w:t>
      </w:r>
      <w:commentRangeStart w:id="7"/>
      <w:r w:rsidR="007F1E0D" w:rsidRPr="00C6424E">
        <w:rPr>
          <w:rFonts w:cs="Helvetica"/>
          <w:b/>
          <w:bCs/>
          <w:color w:val="000000" w:themeColor="text1"/>
        </w:rPr>
        <w:t>Management</w:t>
      </w:r>
      <w:commentRangeEnd w:id="7"/>
      <w:r w:rsidR="004C6804">
        <w:rPr>
          <w:rStyle w:val="CommentReference"/>
          <w:rFonts w:ascii="Times New Roman" w:hAnsi="Times New Roman"/>
          <w:lang w:val="nb-NO" w:eastAsia="nb-NO"/>
        </w:rPr>
        <w:commentReference w:id="7"/>
      </w:r>
      <w:r w:rsidRPr="00C6424E">
        <w:rPr>
          <w:rFonts w:cs="Helvetica"/>
          <w:b/>
          <w:bCs/>
          <w:color w:val="000000" w:themeColor="text1"/>
        </w:rPr>
        <w:t xml:space="preserve"> </w:t>
      </w:r>
    </w:p>
    <w:p w14:paraId="548B6450" w14:textId="77777777" w:rsidR="007F1E0D" w:rsidRPr="00C6424E" w:rsidRDefault="007F1E0D" w:rsidP="007F1E0D">
      <w:pPr>
        <w:jc w:val="both"/>
        <w:rPr>
          <w:rFonts w:cs="Helvetica"/>
          <w:color w:val="000000" w:themeColor="text1"/>
        </w:rPr>
      </w:pPr>
      <w:r w:rsidRPr="00C6424E">
        <w:rPr>
          <w:rFonts w:cs="Helvetica"/>
          <w:color w:val="000000" w:themeColor="text1"/>
        </w:rPr>
        <w:t xml:space="preserve">The findings suggest that respondents held generally positive views towards a variety of sustainable forest practices. A considerable proportion (72.1%) of participants agreed that climate change adaptation strategies, such as the planting of drought-resistant tree species, are necessary for the conservation of dryland forest ecosystems. The results indicate that it is important to mix different tree species when planting, to promote biodiversity and improve environmental health. </w:t>
      </w:r>
    </w:p>
    <w:p w14:paraId="02943193" w14:textId="77777777" w:rsidR="007F1E0D" w:rsidRPr="00C6424E" w:rsidRDefault="007F1E0D" w:rsidP="007F1E0D">
      <w:pPr>
        <w:jc w:val="both"/>
        <w:rPr>
          <w:rFonts w:cs="Helvetica"/>
          <w:color w:val="000000" w:themeColor="text1"/>
        </w:rPr>
      </w:pPr>
    </w:p>
    <w:p w14:paraId="0A3E8615" w14:textId="77777777" w:rsidR="007F1E0D" w:rsidRPr="00C6424E" w:rsidRDefault="007F1E0D" w:rsidP="007F1E0D">
      <w:pPr>
        <w:jc w:val="both"/>
        <w:rPr>
          <w:rFonts w:cs="Helvetica"/>
          <w:color w:val="000000" w:themeColor="text1"/>
        </w:rPr>
      </w:pPr>
      <w:r w:rsidRPr="00C6424E">
        <w:rPr>
          <w:rFonts w:cs="Helvetica"/>
          <w:color w:val="000000" w:themeColor="text1"/>
        </w:rPr>
        <w:t>Support was also evident for the sustainable harvesting of forest resources, including firewood and medicinal plants. A total of 69.8% of respondents either agreed with the role of sustainable harvesting in forest preservation. Only a small proportion (14.4%) expressed disagreement, while 15.8% remained neutral, reflecting consensus with a slight variation in views. Those who did not agree may be due to the unsustainability of harvesting medicinal roots that sometimes destroy the whole tree.</w:t>
      </w:r>
    </w:p>
    <w:p w14:paraId="224B4274" w14:textId="77777777" w:rsidR="007F1E0D" w:rsidRPr="00C6424E" w:rsidRDefault="007F1E0D" w:rsidP="007F1E0D">
      <w:pPr>
        <w:jc w:val="both"/>
        <w:rPr>
          <w:rFonts w:cs="Helvetica"/>
          <w:color w:val="000000" w:themeColor="text1"/>
        </w:rPr>
      </w:pPr>
    </w:p>
    <w:p w14:paraId="3C411EC1" w14:textId="46ABEA49" w:rsidR="007F1E0D" w:rsidRPr="00C6424E" w:rsidRDefault="007F1E0D" w:rsidP="007F1E0D">
      <w:pPr>
        <w:jc w:val="both"/>
        <w:rPr>
          <w:rFonts w:cs="Helvetica"/>
          <w:color w:val="000000" w:themeColor="text1"/>
        </w:rPr>
      </w:pPr>
      <w:r w:rsidRPr="00C6424E">
        <w:rPr>
          <w:rFonts w:cs="Helvetica"/>
          <w:color w:val="000000" w:themeColor="text1"/>
        </w:rPr>
        <w:t>Alternative energy solutions, such as solar and biogas, were also endorsed, with 69.5% of participants acknowledging diversification through activities such as beekeeping and eco-tourism receiving similarly high support, with 69.1% of respondents agreeing that such strategies help reduce pressure on dryland forests. These findings suggest that communities are open to adopting alternative income-generating opportunities that align with conservation goals.</w:t>
      </w:r>
    </w:p>
    <w:p w14:paraId="294597F3" w14:textId="77777777" w:rsidR="007F1E0D" w:rsidRPr="00C6424E" w:rsidRDefault="007F1E0D" w:rsidP="007F1E0D">
      <w:pPr>
        <w:jc w:val="both"/>
        <w:rPr>
          <w:rFonts w:cs="Helvetica"/>
          <w:color w:val="000000" w:themeColor="text1"/>
        </w:rPr>
      </w:pPr>
    </w:p>
    <w:p w14:paraId="6DE303D7" w14:textId="77777777" w:rsidR="007F1E0D" w:rsidRPr="00C6424E" w:rsidRDefault="007F1E0D" w:rsidP="007F1E0D">
      <w:pPr>
        <w:jc w:val="both"/>
        <w:rPr>
          <w:rFonts w:cs="Helvetica"/>
          <w:color w:val="000000" w:themeColor="text1"/>
        </w:rPr>
      </w:pPr>
      <w:r w:rsidRPr="00C6424E">
        <w:rPr>
          <w:rFonts w:cs="Helvetica"/>
          <w:color w:val="000000" w:themeColor="text1"/>
        </w:rPr>
        <w:t>The role of agroforestry in balancing forest conservation with agricultural needs was also positively rated, with 68.5% of respondents expressing agreement. Although a modest proportion of respondents disagreed (16.4%) or were neutral (15.1%), most of the response suggests that agroforestry is viewed favourably as a viable land-use strategy. Once the residents get trees in their farm forestry, it will reduce the need to get timber products from the forest.</w:t>
      </w:r>
    </w:p>
    <w:p w14:paraId="391742A5" w14:textId="77777777" w:rsidR="007F1E0D" w:rsidRPr="00C6424E" w:rsidRDefault="007F1E0D" w:rsidP="007F1E0D">
      <w:pPr>
        <w:jc w:val="both"/>
        <w:rPr>
          <w:rFonts w:cs="Helvetica"/>
          <w:color w:val="000000" w:themeColor="text1"/>
        </w:rPr>
      </w:pPr>
    </w:p>
    <w:p w14:paraId="4C649160" w14:textId="77777777" w:rsidR="007F1E0D" w:rsidRPr="00C6424E" w:rsidRDefault="007F1E0D" w:rsidP="007F1E0D">
      <w:pPr>
        <w:jc w:val="both"/>
        <w:rPr>
          <w:rFonts w:cs="Helvetica"/>
          <w:color w:val="000000" w:themeColor="text1"/>
        </w:rPr>
      </w:pPr>
      <w:r w:rsidRPr="00C6424E">
        <w:rPr>
          <w:rFonts w:cs="Helvetica"/>
          <w:color w:val="000000" w:themeColor="text1"/>
        </w:rPr>
        <w:t>Although slightly lower in level of agreement, the view that community involvement enhances forest management outcomes still received support from 65.8% of participants. While a notable minority (15.5%) disagreed and 18.8% were neutral, this pattern may reflect diverse experiences with participatory governance and varying levels of community engagement in forestry programmes.</w:t>
      </w:r>
    </w:p>
    <w:p w14:paraId="1F761A30" w14:textId="60253B17" w:rsidR="00626BD5" w:rsidRPr="00C6424E" w:rsidRDefault="007F1E0D" w:rsidP="00626BD5">
      <w:pPr>
        <w:spacing w:before="100" w:beforeAutospacing="1" w:after="100" w:afterAutospacing="1"/>
        <w:jc w:val="both"/>
        <w:rPr>
          <w:rFonts w:cs="Helvetica"/>
          <w:b/>
          <w:bCs/>
          <w:szCs w:val="24"/>
        </w:rPr>
      </w:pPr>
      <w:r w:rsidRPr="00C6424E">
        <w:rPr>
          <w:rFonts w:cs="Helvetica"/>
          <w:b/>
          <w:bCs/>
          <w:szCs w:val="24"/>
        </w:rPr>
        <w:t xml:space="preserve">3.4 </w:t>
      </w:r>
      <w:r w:rsidR="00626BD5" w:rsidRPr="00C6424E">
        <w:rPr>
          <w:rFonts w:cs="Helvetica"/>
          <w:b/>
          <w:bCs/>
          <w:szCs w:val="24"/>
        </w:rPr>
        <w:t xml:space="preserve">Discussion </w:t>
      </w:r>
    </w:p>
    <w:p w14:paraId="10D760F5" w14:textId="75C41B0E" w:rsidR="00626BD5" w:rsidRPr="00C6424E" w:rsidRDefault="00626BD5" w:rsidP="00626BD5">
      <w:pPr>
        <w:jc w:val="both"/>
        <w:rPr>
          <w:rFonts w:cs="Helvetica"/>
        </w:rPr>
      </w:pPr>
      <w:r w:rsidRPr="00C6424E">
        <w:rPr>
          <w:rFonts w:cs="Helvetica"/>
        </w:rPr>
        <w:t xml:space="preserve">The Pearson correlation coefficient of </w:t>
      </w:r>
      <w:r w:rsidR="007F1E0D" w:rsidRPr="00C6424E">
        <w:rPr>
          <w:rFonts w:cs="Helvetica"/>
        </w:rPr>
        <w:t>0</w:t>
      </w:r>
      <w:r w:rsidRPr="00C6424E">
        <w:rPr>
          <w:rFonts w:cs="Helvetica"/>
        </w:rPr>
        <w:t>.868, significant at the .01 level, indicates a very strong positive relationship between these variables. This suggests that the adoption of sustainable forest management practices has a significant impact on improving dryland forest cover. Sustainable forestry practices, such as selective logging, controlled grazing, and afforestation, contribute to the restoration and expansion of forested areas. The high correlation emphasi</w:t>
      </w:r>
      <w:r w:rsidR="00ED556F" w:rsidRPr="00C6424E">
        <w:rPr>
          <w:rFonts w:cs="Helvetica"/>
        </w:rPr>
        <w:t>s</w:t>
      </w:r>
      <w:r w:rsidRPr="00C6424E">
        <w:rPr>
          <w:rFonts w:cs="Helvetica"/>
        </w:rPr>
        <w:t>es the need for promoting sustainable forest utilization to ensure long-term ecological balance. These results align with the findings of</w:t>
      </w:r>
      <w:r w:rsidR="00541625" w:rsidRPr="00C6424E">
        <w:rPr>
          <w:rFonts w:cs="Helvetica"/>
        </w:rPr>
        <w:t xml:space="preserve"> </w:t>
      </w:r>
      <w:r w:rsidR="00541625" w:rsidRPr="00C6424E">
        <w:rPr>
          <w:rFonts w:cs="Helvetica"/>
          <w:noProof/>
        </w:rPr>
        <w:t>Githae &amp; Mutiga</w:t>
      </w:r>
      <w:r w:rsidRPr="00C6424E">
        <w:rPr>
          <w:rFonts w:cs="Helvetica"/>
        </w:rPr>
        <w:t xml:space="preserve"> </w:t>
      </w:r>
      <w:sdt>
        <w:sdtPr>
          <w:rPr>
            <w:rFonts w:cs="Helvetica"/>
          </w:rPr>
          <w:id w:val="-825129937"/>
          <w:citation/>
        </w:sdtPr>
        <w:sdtEndPr/>
        <w:sdtContent>
          <w:r w:rsidRPr="00C6424E">
            <w:rPr>
              <w:rFonts w:cs="Helvetica"/>
            </w:rPr>
            <w:fldChar w:fldCharType="begin"/>
          </w:r>
          <w:r w:rsidRPr="00C6424E">
            <w:rPr>
              <w:rFonts w:cs="Helvetica"/>
            </w:rPr>
            <w:instrText xml:space="preserve"> CITATION Git21 \l 1033 </w:instrText>
          </w:r>
          <w:r w:rsidRPr="00C6424E">
            <w:rPr>
              <w:rFonts w:cs="Helvetica"/>
            </w:rPr>
            <w:fldChar w:fldCharType="separate"/>
          </w:r>
          <w:r w:rsidR="00DE3D89" w:rsidRPr="00C6424E">
            <w:rPr>
              <w:rFonts w:cs="Helvetica"/>
              <w:noProof/>
            </w:rPr>
            <w:t>[12]</w:t>
          </w:r>
          <w:r w:rsidRPr="00C6424E">
            <w:rPr>
              <w:rFonts w:cs="Helvetica"/>
            </w:rPr>
            <w:fldChar w:fldCharType="end"/>
          </w:r>
        </w:sdtContent>
      </w:sdt>
      <w:r w:rsidRPr="00C6424E">
        <w:rPr>
          <w:rFonts w:cs="Helvetica"/>
        </w:rPr>
        <w:t>, who reported that the implementation of sustainable forest practices leads to measurable improvements in forest cover and biodiversity conservation.</w:t>
      </w:r>
    </w:p>
    <w:p w14:paraId="6CEDB31A" w14:textId="77777777" w:rsidR="00D872A1" w:rsidRPr="00C6424E" w:rsidRDefault="00D872A1" w:rsidP="00626BD5">
      <w:pPr>
        <w:jc w:val="both"/>
        <w:rPr>
          <w:rFonts w:cs="Helvetica"/>
        </w:rPr>
      </w:pPr>
    </w:p>
    <w:p w14:paraId="2D83F9F3" w14:textId="40AF8A3C" w:rsidR="00626BD5" w:rsidRPr="00C6424E" w:rsidRDefault="00626BD5" w:rsidP="00D872A1">
      <w:pPr>
        <w:jc w:val="both"/>
        <w:rPr>
          <w:rFonts w:cs="Helvetica"/>
        </w:rPr>
      </w:pPr>
      <w:r w:rsidRPr="00C6424E">
        <w:rPr>
          <w:rFonts w:cs="Helvetica"/>
        </w:rPr>
        <w:t xml:space="preserve">The results imply that policymakers and conservation agencies should prioritise sustainable forest practices as a core strategy for dryland forest management. The promotion of community-based forestry, </w:t>
      </w:r>
      <w:r w:rsidR="007B41AE" w:rsidRPr="00C6424E">
        <w:rPr>
          <w:rFonts w:cs="Helvetica"/>
        </w:rPr>
        <w:t xml:space="preserve">the </w:t>
      </w:r>
      <w:r w:rsidRPr="00C6424E">
        <w:rPr>
          <w:rFonts w:cs="Helvetica"/>
        </w:rPr>
        <w:t xml:space="preserve">enforcement of anti-deforestation </w:t>
      </w:r>
      <w:r w:rsidRPr="00C6424E">
        <w:rPr>
          <w:rFonts w:cs="Helvetica"/>
        </w:rPr>
        <w:lastRenderedPageBreak/>
        <w:t xml:space="preserve">policies, and </w:t>
      </w:r>
      <w:r w:rsidR="007B41AE" w:rsidRPr="00C6424E">
        <w:rPr>
          <w:rFonts w:cs="Helvetica"/>
        </w:rPr>
        <w:t xml:space="preserve">the </w:t>
      </w:r>
      <w:r w:rsidRPr="00C6424E">
        <w:rPr>
          <w:rFonts w:cs="Helvetica"/>
        </w:rPr>
        <w:t xml:space="preserve">investment in afforestation projects are key measures that can support dryland forest regeneration. Additionally, integrating traditional knowledge with modern conservation techniques can enhance the effectiveness of sustainable forest management. According </w:t>
      </w:r>
      <w:r w:rsidR="00541625" w:rsidRPr="00C6424E">
        <w:rPr>
          <w:rFonts w:cs="Helvetica"/>
          <w:noProof/>
        </w:rPr>
        <w:t xml:space="preserve">(Worku, Auch, Pretzsch, &amp; Kassa </w:t>
      </w:r>
      <w:sdt>
        <w:sdtPr>
          <w:rPr>
            <w:rFonts w:cs="Helvetica"/>
          </w:rPr>
          <w:id w:val="1341431501"/>
          <w:citation/>
        </w:sdtPr>
        <w:sdtEndPr/>
        <w:sdtContent>
          <w:r w:rsidRPr="00C6424E">
            <w:rPr>
              <w:rFonts w:cs="Helvetica"/>
            </w:rPr>
            <w:fldChar w:fldCharType="begin"/>
          </w:r>
          <w:r w:rsidRPr="00C6424E">
            <w:rPr>
              <w:rFonts w:cs="Helvetica"/>
            </w:rPr>
            <w:instrText xml:space="preserve"> CITATION Wor14 \l 1033 </w:instrText>
          </w:r>
          <w:r w:rsidRPr="00C6424E">
            <w:rPr>
              <w:rFonts w:cs="Helvetica"/>
            </w:rPr>
            <w:fldChar w:fldCharType="separate"/>
          </w:r>
          <w:r w:rsidR="00DE3D89" w:rsidRPr="00C6424E">
            <w:rPr>
              <w:rFonts w:cs="Helvetica"/>
              <w:noProof/>
            </w:rPr>
            <w:t>[13]</w:t>
          </w:r>
          <w:r w:rsidRPr="00C6424E">
            <w:rPr>
              <w:rFonts w:cs="Helvetica"/>
            </w:rPr>
            <w:fldChar w:fldCharType="end"/>
          </w:r>
        </w:sdtContent>
      </w:sdt>
      <w:r w:rsidRPr="00C6424E">
        <w:rPr>
          <w:rFonts w:cs="Helvetica"/>
        </w:rPr>
        <w:t>, combining indigenous conservation practices with scientific forestry approaches leads to better ecological outcomes in forest restoration efforts. Therefore, fostering sustainable forest management practices through policy support and community engagement can significantly improve dryland forest cover over time.</w:t>
      </w:r>
    </w:p>
    <w:p w14:paraId="5A82B329" w14:textId="77777777" w:rsidR="00D872A1" w:rsidRPr="00C6424E" w:rsidRDefault="00D872A1" w:rsidP="00D872A1">
      <w:pPr>
        <w:jc w:val="both"/>
        <w:rPr>
          <w:rFonts w:cs="Helvetica"/>
        </w:rPr>
      </w:pPr>
    </w:p>
    <w:p w14:paraId="38091CB7" w14:textId="1EA173FF" w:rsidR="007B41AE" w:rsidRDefault="007B41AE" w:rsidP="00B91CBE">
      <w:pPr>
        <w:jc w:val="both"/>
        <w:rPr>
          <w:rFonts w:cs="Helvetica"/>
        </w:rPr>
      </w:pPr>
      <w:r w:rsidRPr="00C6424E">
        <w:rPr>
          <w:rStyle w:val="Strong"/>
          <w:rFonts w:cs="Helvetica"/>
          <w:i/>
          <w:iCs/>
        </w:rPr>
        <w:t xml:space="preserve">Hypothesis testing: </w:t>
      </w:r>
      <w:r w:rsidR="00626BD5" w:rsidRPr="00C6424E">
        <w:rPr>
          <w:rFonts w:cs="Helvetica"/>
        </w:rPr>
        <w:t>The results indicate that</w:t>
      </w:r>
      <w:r w:rsidR="00626BD5" w:rsidRPr="00C6424E">
        <w:rPr>
          <w:rFonts w:cs="Helvetica"/>
          <w:b/>
          <w:bCs/>
        </w:rPr>
        <w:t xml:space="preserve"> </w:t>
      </w:r>
      <w:r w:rsidR="00626BD5" w:rsidRPr="00C6424E">
        <w:rPr>
          <w:rStyle w:val="Strong"/>
          <w:rFonts w:cs="Helvetica"/>
          <w:b w:val="0"/>
          <w:bCs w:val="0"/>
        </w:rPr>
        <w:t>sustainable forest practices (</w:t>
      </w:r>
      <w:r w:rsidR="00626BD5" w:rsidRPr="00C6424E">
        <w:rPr>
          <w:rStyle w:val="Strong"/>
          <w:rFonts w:cs="Helvetica"/>
          <w:b w:val="0"/>
          <w:bCs w:val="0"/>
          <w:i/>
          <w:iCs/>
        </w:rPr>
        <w:t>B</w:t>
      </w:r>
      <w:r w:rsidR="00626BD5" w:rsidRPr="00C6424E">
        <w:rPr>
          <w:rStyle w:val="Strong"/>
          <w:rFonts w:cs="Helvetica"/>
          <w:b w:val="0"/>
          <w:bCs w:val="0"/>
        </w:rPr>
        <w:t xml:space="preserve"> = 0.149, </w:t>
      </w:r>
      <w:r w:rsidR="00626BD5" w:rsidRPr="00C6424E">
        <w:rPr>
          <w:rStyle w:val="Strong"/>
          <w:rFonts w:cs="Helvetica"/>
          <w:b w:val="0"/>
          <w:bCs w:val="0"/>
          <w:i/>
          <w:iCs/>
        </w:rPr>
        <w:t>t</w:t>
      </w:r>
      <w:r w:rsidR="00626BD5" w:rsidRPr="00C6424E">
        <w:rPr>
          <w:rStyle w:val="Strong"/>
          <w:rFonts w:cs="Helvetica"/>
          <w:b w:val="0"/>
          <w:bCs w:val="0"/>
        </w:rPr>
        <w:t xml:space="preserve"> = 2.515, </w:t>
      </w:r>
      <w:r w:rsidR="00626BD5" w:rsidRPr="00C6424E">
        <w:rPr>
          <w:rStyle w:val="Strong"/>
          <w:rFonts w:cs="Helvetica"/>
          <w:b w:val="0"/>
          <w:bCs w:val="0"/>
          <w:i/>
          <w:iCs/>
        </w:rPr>
        <w:t>p</w:t>
      </w:r>
      <w:r w:rsidR="00626BD5" w:rsidRPr="00C6424E">
        <w:rPr>
          <w:rStyle w:val="Strong"/>
          <w:rFonts w:cs="Helvetica"/>
          <w:b w:val="0"/>
          <w:bCs w:val="0"/>
        </w:rPr>
        <w:t xml:space="preserve"> = 0.012)</w:t>
      </w:r>
      <w:r w:rsidR="00626BD5" w:rsidRPr="00C6424E">
        <w:rPr>
          <w:rFonts w:cs="Helvetica"/>
          <w:b/>
          <w:bCs/>
        </w:rPr>
        <w:t xml:space="preserve"> </w:t>
      </w:r>
      <w:r w:rsidR="00626BD5" w:rsidRPr="00C6424E">
        <w:rPr>
          <w:rFonts w:cs="Helvetica"/>
        </w:rPr>
        <w:t>have a</w:t>
      </w:r>
      <w:r w:rsidR="00626BD5" w:rsidRPr="00C6424E">
        <w:rPr>
          <w:rFonts w:cs="Helvetica"/>
          <w:b/>
          <w:bCs/>
        </w:rPr>
        <w:t xml:space="preserve"> </w:t>
      </w:r>
      <w:r w:rsidR="00626BD5" w:rsidRPr="00C6424E">
        <w:rPr>
          <w:rFonts w:cs="Helvetica"/>
        </w:rPr>
        <w:t>significant positive effect on forest cover change. This suggests that initiatives such as afforestation, soil conservation, and controlled logging contribute to improved forest conditions. The findings are supported by</w:t>
      </w:r>
      <w:r w:rsidR="00541625" w:rsidRPr="00C6424E">
        <w:rPr>
          <w:rFonts w:cs="Helvetica"/>
        </w:rPr>
        <w:t xml:space="preserve"> </w:t>
      </w:r>
      <w:r w:rsidR="00541625" w:rsidRPr="00C6424E">
        <w:rPr>
          <w:rFonts w:cs="Helvetica"/>
          <w:noProof/>
        </w:rPr>
        <w:t xml:space="preserve">Djoudi </w:t>
      </w:r>
      <w:r w:rsidR="00541625" w:rsidRPr="00C6424E">
        <w:rPr>
          <w:rFonts w:cs="Helvetica"/>
          <w:i/>
          <w:iCs/>
          <w:noProof/>
        </w:rPr>
        <w:t>et al</w:t>
      </w:r>
      <w:r w:rsidR="00626BD5" w:rsidRPr="00C6424E">
        <w:rPr>
          <w:rFonts w:cs="Helvetica"/>
        </w:rPr>
        <w:t xml:space="preserve"> </w:t>
      </w:r>
      <w:sdt>
        <w:sdtPr>
          <w:rPr>
            <w:rFonts w:cs="Helvetica"/>
          </w:rPr>
          <w:id w:val="1898008579"/>
          <w:citation/>
        </w:sdtPr>
        <w:sdtEndPr/>
        <w:sdtContent>
          <w:r w:rsidR="00626BD5" w:rsidRPr="00C6424E">
            <w:rPr>
              <w:rFonts w:cs="Helvetica"/>
            </w:rPr>
            <w:fldChar w:fldCharType="begin"/>
          </w:r>
          <w:r w:rsidR="00626BD5" w:rsidRPr="00C6424E">
            <w:rPr>
              <w:rFonts w:cs="Helvetica"/>
            </w:rPr>
            <w:instrText xml:space="preserve"> CITATION HDJ15 \l 1033 </w:instrText>
          </w:r>
          <w:r w:rsidR="00626BD5" w:rsidRPr="00C6424E">
            <w:rPr>
              <w:rFonts w:cs="Helvetica"/>
            </w:rPr>
            <w:fldChar w:fldCharType="separate"/>
          </w:r>
          <w:r w:rsidR="00DE3D89" w:rsidRPr="00C6424E">
            <w:rPr>
              <w:rFonts w:cs="Helvetica"/>
              <w:noProof/>
            </w:rPr>
            <w:t>[14]</w:t>
          </w:r>
          <w:r w:rsidR="00626BD5" w:rsidRPr="00C6424E">
            <w:rPr>
              <w:rFonts w:cs="Helvetica"/>
            </w:rPr>
            <w:fldChar w:fldCharType="end"/>
          </w:r>
        </w:sdtContent>
      </w:sdt>
      <w:r w:rsidR="00626BD5" w:rsidRPr="00C6424E">
        <w:rPr>
          <w:rFonts w:cs="Helvetica"/>
          <w:b/>
        </w:rPr>
        <w:t>,</w:t>
      </w:r>
      <w:r w:rsidR="00626BD5" w:rsidRPr="00C6424E">
        <w:rPr>
          <w:rFonts w:cs="Helvetica"/>
        </w:rPr>
        <w:t xml:space="preserve"> who found that sustainable management practices enhance forest resilience and reduce degradation in dryland ecosystems. The positive relationship implies that conservation programs focusing on sustainable land use have played a critical role in shaping the forest landscape. Given the statistical significance of the results, </w:t>
      </w:r>
      <w:r w:rsidR="00D872A1" w:rsidRPr="00C6424E">
        <w:rPr>
          <w:rFonts w:cs="Helvetica"/>
        </w:rPr>
        <w:t>the</w:t>
      </w:r>
      <w:r w:rsidR="00F84591" w:rsidRPr="00C6424E">
        <w:rPr>
          <w:rFonts w:cs="Helvetica"/>
        </w:rPr>
        <w:t xml:space="preserve"> null</w:t>
      </w:r>
      <w:r w:rsidR="00D872A1" w:rsidRPr="00C6424E">
        <w:rPr>
          <w:rFonts w:cs="Helvetica"/>
        </w:rPr>
        <w:t xml:space="preserve"> </w:t>
      </w:r>
      <w:r w:rsidR="00D872A1" w:rsidRPr="00C6424E">
        <w:rPr>
          <w:rStyle w:val="Strong"/>
          <w:rFonts w:cs="Helvetica"/>
          <w:b w:val="0"/>
          <w:bCs w:val="0"/>
        </w:rPr>
        <w:t>hypothesis</w:t>
      </w:r>
      <w:r w:rsidR="00B91CBE">
        <w:rPr>
          <w:rStyle w:val="Strong"/>
          <w:rFonts w:cs="Helvetica"/>
          <w:b w:val="0"/>
          <w:bCs w:val="0"/>
        </w:rPr>
        <w:t xml:space="preserve">, that </w:t>
      </w:r>
      <w:r w:rsidR="00B91CBE" w:rsidRPr="00B91CBE">
        <w:rPr>
          <w:rStyle w:val="Strong"/>
          <w:rFonts w:cs="Helvetica"/>
          <w:b w:val="0"/>
          <w:bCs w:val="0"/>
        </w:rPr>
        <w:t xml:space="preserve">there is no significant relationship between the implementation of sustainable forest practices in buffer zones and changes in dryland forest cover between </w:t>
      </w:r>
      <w:r w:rsidR="00B91CBE">
        <w:rPr>
          <w:rStyle w:val="Strong"/>
          <w:rFonts w:cs="Helvetica"/>
          <w:b w:val="0"/>
          <w:bCs w:val="0"/>
        </w:rPr>
        <w:t>1979</w:t>
      </w:r>
      <w:r w:rsidR="00B91CBE" w:rsidRPr="00B91CBE">
        <w:rPr>
          <w:rStyle w:val="Strong"/>
          <w:rFonts w:cs="Helvetica"/>
          <w:b w:val="0"/>
          <w:bCs w:val="0"/>
        </w:rPr>
        <w:t xml:space="preserve"> and 2024</w:t>
      </w:r>
      <w:r w:rsidR="00B91CBE">
        <w:rPr>
          <w:rStyle w:val="Strong"/>
          <w:rFonts w:cs="Helvetica"/>
          <w:b w:val="0"/>
          <w:bCs w:val="0"/>
        </w:rPr>
        <w:t>,</w:t>
      </w:r>
      <w:r w:rsidR="00D872A1" w:rsidRPr="00C6424E">
        <w:rPr>
          <w:rStyle w:val="Strong"/>
          <w:rFonts w:cs="Helvetica"/>
          <w:b w:val="0"/>
          <w:bCs w:val="0"/>
        </w:rPr>
        <w:t xml:space="preserve"> was </w:t>
      </w:r>
      <w:r w:rsidR="00626BD5" w:rsidRPr="00C6424E">
        <w:rPr>
          <w:rStyle w:val="Strong"/>
          <w:rFonts w:cs="Helvetica"/>
          <w:b w:val="0"/>
          <w:bCs w:val="0"/>
        </w:rPr>
        <w:t>rejected</w:t>
      </w:r>
      <w:r w:rsidR="00626BD5" w:rsidRPr="00C6424E">
        <w:rPr>
          <w:rFonts w:cs="Helvetica"/>
          <w:b/>
        </w:rPr>
        <w:t xml:space="preserve">, </w:t>
      </w:r>
      <w:r w:rsidR="00626BD5" w:rsidRPr="00C6424E">
        <w:rPr>
          <w:rFonts w:cs="Helvetica"/>
        </w:rPr>
        <w:t>confirming that sustainable forest practices have significantly influenced dryland forest cover change between 2004 and 2024.</w:t>
      </w:r>
    </w:p>
    <w:p w14:paraId="5B5B1D2D" w14:textId="77777777" w:rsidR="00B91CBE" w:rsidRPr="00C6424E" w:rsidRDefault="00B91CBE" w:rsidP="00B91CBE">
      <w:pPr>
        <w:jc w:val="both"/>
        <w:rPr>
          <w:rFonts w:cs="Helvetica"/>
        </w:rPr>
      </w:pPr>
    </w:p>
    <w:p w14:paraId="222AE0C3" w14:textId="77777777" w:rsidR="00B01FCD" w:rsidRPr="00C6424E" w:rsidRDefault="00000F8F" w:rsidP="00441B6F">
      <w:pPr>
        <w:pStyle w:val="ConcHead"/>
        <w:spacing w:after="0"/>
        <w:jc w:val="both"/>
        <w:rPr>
          <w:rFonts w:cs="Helvetica"/>
        </w:rPr>
      </w:pPr>
      <w:r w:rsidRPr="00C6424E">
        <w:rPr>
          <w:rFonts w:cs="Helvetica"/>
        </w:rPr>
        <w:t xml:space="preserve">4. </w:t>
      </w:r>
      <w:commentRangeStart w:id="8"/>
      <w:r w:rsidR="00B01FCD" w:rsidRPr="00C6424E">
        <w:rPr>
          <w:rFonts w:cs="Helvetica"/>
        </w:rPr>
        <w:t>Conclusion</w:t>
      </w:r>
      <w:commentRangeEnd w:id="8"/>
      <w:r w:rsidR="00D744CB">
        <w:rPr>
          <w:rStyle w:val="CommentReference"/>
          <w:rFonts w:ascii="Times New Roman" w:hAnsi="Times New Roman"/>
          <w:b w:val="0"/>
          <w:caps w:val="0"/>
          <w:lang w:val="nb-NO" w:eastAsia="nb-NO"/>
        </w:rPr>
        <w:commentReference w:id="8"/>
      </w:r>
    </w:p>
    <w:p w14:paraId="61FD5A53" w14:textId="77777777" w:rsidR="00790ADA" w:rsidRPr="00C6424E" w:rsidRDefault="00790ADA" w:rsidP="00441B6F">
      <w:pPr>
        <w:pStyle w:val="ConcHead"/>
        <w:spacing w:after="0"/>
        <w:jc w:val="both"/>
        <w:rPr>
          <w:rFonts w:cs="Helvetica"/>
        </w:rPr>
      </w:pPr>
    </w:p>
    <w:p w14:paraId="0455A753" w14:textId="77777777" w:rsidR="00762093" w:rsidRPr="00C6424E" w:rsidRDefault="00762093" w:rsidP="00762093">
      <w:pPr>
        <w:jc w:val="both"/>
        <w:rPr>
          <w:rFonts w:cs="Helvetica"/>
        </w:rPr>
      </w:pPr>
      <w:r w:rsidRPr="00C6424E">
        <w:rPr>
          <w:rFonts w:cs="Helvetica"/>
        </w:rPr>
        <w:t>The implementation of sustainable forest practices in the buffer zones has had a significant and measurable effect on dryland forest cover change. Respondents rated sustainable practices such as selective harvesting, agroforestry, and controlled grazing as effective strategies for mitigating deforestation. The correlation between the adoption of these practices and improvements in forest health reinforces the argument that sustainable management is essential for long-term conservation. To promote these practices, targeted training and resources should be made available to local communities, ensuring that they are equipped to implement sustainable methods that halt or reverse the decline in forest cover.</w:t>
      </w:r>
    </w:p>
    <w:p w14:paraId="59EB9F06" w14:textId="77777777" w:rsidR="00790ADA" w:rsidRPr="00C6424E" w:rsidRDefault="00790ADA" w:rsidP="00441B6F">
      <w:pPr>
        <w:pStyle w:val="Body"/>
        <w:spacing w:after="0"/>
        <w:rPr>
          <w:rFonts w:cs="Helvetica"/>
        </w:rPr>
      </w:pPr>
    </w:p>
    <w:p w14:paraId="25B38200" w14:textId="5AA6F84D" w:rsidR="005C784C" w:rsidRDefault="005C784C" w:rsidP="00441B6F">
      <w:pPr>
        <w:pStyle w:val="ReferHead"/>
        <w:spacing w:after="0"/>
        <w:jc w:val="both"/>
        <w:rPr>
          <w:rFonts w:cs="Helvetica"/>
          <w:b w:val="0"/>
          <w:caps w:val="0"/>
          <w:sz w:val="20"/>
        </w:rPr>
      </w:pPr>
    </w:p>
    <w:p w14:paraId="529084CD" w14:textId="77777777" w:rsidR="00DD1100" w:rsidRPr="00C6424E" w:rsidRDefault="00DD1100" w:rsidP="00441B6F">
      <w:pPr>
        <w:pStyle w:val="ReferHead"/>
        <w:spacing w:after="0"/>
        <w:jc w:val="both"/>
        <w:rPr>
          <w:rFonts w:cs="Helvetica"/>
          <w:b w:val="0"/>
          <w:caps w:val="0"/>
          <w:sz w:val="20"/>
        </w:rPr>
      </w:pPr>
      <w:bookmarkStart w:id="9" w:name="_GoBack"/>
      <w:bookmarkEnd w:id="9"/>
    </w:p>
    <w:p w14:paraId="72A8F6ED" w14:textId="074CC436" w:rsidR="005C784C" w:rsidRPr="00C6424E" w:rsidRDefault="005C784C" w:rsidP="00441B6F">
      <w:pPr>
        <w:pStyle w:val="ReferHead"/>
        <w:spacing w:after="0"/>
        <w:jc w:val="both"/>
        <w:rPr>
          <w:rFonts w:cs="Helvetica"/>
          <w:bCs/>
        </w:rPr>
      </w:pPr>
      <w:r w:rsidRPr="00C6424E">
        <w:rPr>
          <w:rFonts w:cs="Helvetica"/>
          <w:bCs/>
        </w:rPr>
        <w:t xml:space="preserve">Ethical approval </w:t>
      </w:r>
    </w:p>
    <w:p w14:paraId="5184AE81" w14:textId="240007B0" w:rsidR="00860000" w:rsidRDefault="00762093" w:rsidP="007B41AE">
      <w:pPr>
        <w:spacing w:before="100" w:beforeAutospacing="1" w:after="100" w:afterAutospacing="1"/>
        <w:jc w:val="both"/>
        <w:rPr>
          <w:rFonts w:cs="Helvetica"/>
          <w:lang w:eastAsia="en-GB"/>
        </w:rPr>
      </w:pPr>
      <w:r w:rsidRPr="00B91CBE">
        <w:rPr>
          <w:rFonts w:cs="Helvetica"/>
          <w:lang w:eastAsia="en-GB"/>
        </w:rPr>
        <w:t xml:space="preserve">This study was approved by </w:t>
      </w:r>
      <w:r w:rsidR="007B41AE" w:rsidRPr="00B91CBE">
        <w:rPr>
          <w:rFonts w:cs="Helvetica"/>
          <w:lang w:eastAsia="en-GB"/>
        </w:rPr>
        <w:t xml:space="preserve">the </w:t>
      </w:r>
      <w:r w:rsidRPr="00B91CBE">
        <w:rPr>
          <w:rFonts w:cs="Helvetica"/>
          <w:lang w:eastAsia="en-GB"/>
        </w:rPr>
        <w:t>Chuka University Ethics Committee. Informed consent was obtained from all participants.</w:t>
      </w:r>
    </w:p>
    <w:p w14:paraId="03C19482" w14:textId="77777777" w:rsidR="003C52B0" w:rsidRPr="00C6424E" w:rsidRDefault="003C52B0" w:rsidP="003C52B0">
      <w:pPr>
        <w:pStyle w:val="DefAcrHead"/>
        <w:spacing w:after="0"/>
        <w:jc w:val="both"/>
        <w:rPr>
          <w:rFonts w:cs="Helvetica"/>
        </w:rPr>
      </w:pPr>
      <w:r w:rsidRPr="00C6424E">
        <w:rPr>
          <w:rFonts w:cs="Helvetica"/>
        </w:rPr>
        <w:t>Definitions, Acronyms, Abbreviations</w:t>
      </w:r>
    </w:p>
    <w:p w14:paraId="346AF819" w14:textId="77777777" w:rsidR="003C52B0" w:rsidRPr="00C6424E" w:rsidRDefault="003C52B0" w:rsidP="003C52B0">
      <w:pPr>
        <w:pStyle w:val="Body"/>
        <w:spacing w:after="0"/>
        <w:rPr>
          <w:rFonts w:cs="Helvetica"/>
        </w:rPr>
      </w:pPr>
      <w:r w:rsidRPr="00C6424E">
        <w:rPr>
          <w:rFonts w:cs="Helvetica"/>
          <w:b/>
          <w:bCs/>
        </w:rPr>
        <w:t>CFA</w:t>
      </w:r>
      <w:r w:rsidRPr="00C6424E">
        <w:rPr>
          <w:rFonts w:cs="Helvetica"/>
        </w:rPr>
        <w:t xml:space="preserve"> Community Forest Association</w:t>
      </w:r>
    </w:p>
    <w:p w14:paraId="06BCABC1" w14:textId="77777777" w:rsidR="003C52B0" w:rsidRPr="00C6424E" w:rsidRDefault="003C52B0" w:rsidP="003C52B0">
      <w:pPr>
        <w:pStyle w:val="Body"/>
        <w:spacing w:after="0"/>
        <w:rPr>
          <w:rFonts w:cs="Helvetica"/>
        </w:rPr>
      </w:pPr>
      <w:r w:rsidRPr="00C6424E">
        <w:rPr>
          <w:rFonts w:cs="Helvetica"/>
          <w:b/>
          <w:bCs/>
        </w:rPr>
        <w:t>PFM</w:t>
      </w:r>
      <w:r w:rsidRPr="00C6424E">
        <w:rPr>
          <w:rFonts w:cs="Helvetica"/>
        </w:rPr>
        <w:t xml:space="preserve"> Participatory Forest Management</w:t>
      </w:r>
    </w:p>
    <w:p w14:paraId="0F15C855" w14:textId="77777777" w:rsidR="003C52B0" w:rsidRPr="00C6424E" w:rsidRDefault="003C52B0" w:rsidP="003C52B0">
      <w:pPr>
        <w:pStyle w:val="Body"/>
        <w:spacing w:after="0"/>
        <w:rPr>
          <w:rFonts w:cs="Helvetica"/>
        </w:rPr>
      </w:pPr>
    </w:p>
    <w:p w14:paraId="51B327B7" w14:textId="77777777" w:rsidR="003C52B0" w:rsidRPr="00C6424E" w:rsidRDefault="003C52B0" w:rsidP="003C52B0">
      <w:pPr>
        <w:ind w:left="720" w:hanging="720"/>
        <w:jc w:val="both"/>
        <w:rPr>
          <w:rFonts w:eastAsia="Calibri" w:cs="Helvetica"/>
          <w:color w:val="000000" w:themeColor="text1"/>
          <w:szCs w:val="24"/>
        </w:rPr>
      </w:pPr>
      <w:bookmarkStart w:id="10" w:name="_Hlk177322147"/>
      <w:r w:rsidRPr="00C6424E">
        <w:rPr>
          <w:rFonts w:eastAsia="Calibri" w:cs="Helvetica"/>
          <w:b/>
          <w:bCs/>
          <w:color w:val="000000" w:themeColor="text1"/>
          <w:szCs w:val="24"/>
        </w:rPr>
        <w:t>Buffer Zones:</w:t>
      </w:r>
      <w:r w:rsidRPr="00C6424E">
        <w:rPr>
          <w:rFonts w:eastAsia="Calibri" w:cs="Helvetica"/>
          <w:color w:val="000000" w:themeColor="text1"/>
          <w:szCs w:val="24"/>
        </w:rPr>
        <w:t xml:space="preserve"> The area approximately five kilometres from the forest boundary. </w:t>
      </w:r>
    </w:p>
    <w:bookmarkEnd w:id="10"/>
    <w:p w14:paraId="61077238"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color w:val="000000" w:themeColor="text1"/>
          <w:szCs w:val="24"/>
        </w:rPr>
        <w:t>Community Forest</w:t>
      </w:r>
      <w:r w:rsidRPr="00C6424E">
        <w:rPr>
          <w:rFonts w:eastAsia="Calibri" w:cs="Helvetica"/>
          <w:color w:val="000000" w:themeColor="text1"/>
          <w:szCs w:val="24"/>
        </w:rPr>
        <w:t>: The people who live within a five-kilometre radius around the forest boundary. They form the forest buffer zone and are interested in the forest.</w:t>
      </w:r>
    </w:p>
    <w:p w14:paraId="75B5A6E8"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bCs/>
          <w:color w:val="000000" w:themeColor="text1"/>
          <w:szCs w:val="24"/>
        </w:rPr>
        <w:t xml:space="preserve">Deforestation: </w:t>
      </w:r>
      <w:r w:rsidRPr="00C6424E">
        <w:rPr>
          <w:rFonts w:eastAsia="Calibri" w:cs="Helvetica"/>
          <w:color w:val="000000" w:themeColor="text1"/>
          <w:szCs w:val="24"/>
        </w:rPr>
        <w:t>The conversion of forests to other land uses.</w:t>
      </w:r>
    </w:p>
    <w:p w14:paraId="54D106F2"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bCs/>
          <w:color w:val="000000" w:themeColor="text1"/>
          <w:szCs w:val="24"/>
        </w:rPr>
        <w:t xml:space="preserve">Dryland Areas: </w:t>
      </w:r>
      <w:r w:rsidRPr="00C6424E">
        <w:rPr>
          <w:rFonts w:eastAsia="Calibri" w:cs="Helvetica"/>
          <w:color w:val="000000" w:themeColor="text1"/>
          <w:szCs w:val="24"/>
        </w:rPr>
        <w:t>The areas that receive very little rainfall throughout the year, and very little crop farming is done due to aridity. Dryland areas are places where the ratio of annual precipitation and mean annual potential evapotranspiration is less than 0.65.</w:t>
      </w:r>
    </w:p>
    <w:p w14:paraId="720444B5"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color w:val="000000" w:themeColor="text1"/>
          <w:szCs w:val="24"/>
        </w:rPr>
        <w:t>Dryland Forests:</w:t>
      </w:r>
      <w:bookmarkStart w:id="11" w:name="_Hlk169866387"/>
      <w:r w:rsidRPr="00C6424E">
        <w:rPr>
          <w:rFonts w:eastAsia="Calibri" w:cs="Helvetica"/>
          <w:b/>
          <w:color w:val="000000" w:themeColor="text1"/>
          <w:szCs w:val="24"/>
        </w:rPr>
        <w:t xml:space="preserve"> </w:t>
      </w:r>
      <w:r w:rsidRPr="00C6424E">
        <w:rPr>
          <w:rFonts w:eastAsia="Calibri" w:cs="Helvetica"/>
          <w:bCs/>
          <w:color w:val="000000" w:themeColor="text1"/>
          <w:szCs w:val="24"/>
        </w:rPr>
        <w:t>F</w:t>
      </w:r>
      <w:r w:rsidRPr="00C6424E">
        <w:rPr>
          <w:rFonts w:eastAsia="Calibri" w:cs="Helvetica"/>
          <w:color w:val="000000" w:themeColor="text1"/>
          <w:szCs w:val="24"/>
        </w:rPr>
        <w:t xml:space="preserve">orests found in areas with low precipitation and high evaporation (dryland). These trees should cover more than half a hectare. </w:t>
      </w:r>
    </w:p>
    <w:bookmarkEnd w:id="11"/>
    <w:p w14:paraId="28CCC8F2"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bCs/>
          <w:color w:val="000000" w:themeColor="text1"/>
          <w:szCs w:val="24"/>
        </w:rPr>
        <w:t>Sustainable Forest Management (SFM):</w:t>
      </w:r>
      <w:r w:rsidRPr="00C6424E">
        <w:rPr>
          <w:rFonts w:eastAsia="Calibri" w:cs="Helvetica"/>
          <w:color w:val="000000" w:themeColor="text1"/>
          <w:szCs w:val="24"/>
        </w:rPr>
        <w:t xml:space="preserve"> It is the approach aimed at ensuring that forest ecosystems are managed in a way that maintains their biodiversity, productivity, regeneration capacity, and vitality, while also meeting social, economic, and ecological needs.</w:t>
      </w:r>
    </w:p>
    <w:p w14:paraId="5345A2B0"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bCs/>
          <w:color w:val="000000" w:themeColor="text1"/>
          <w:szCs w:val="24"/>
        </w:rPr>
        <w:t>Sustainable Forest Practices (SFP):</w:t>
      </w:r>
      <w:r w:rsidRPr="00C6424E">
        <w:rPr>
          <w:rFonts w:eastAsia="Calibri" w:cs="Helvetica"/>
          <w:color w:val="000000" w:themeColor="text1"/>
          <w:szCs w:val="24"/>
        </w:rPr>
        <w:t xml:space="preserve"> These are specific actions used by individuals or communities to achieve sustainability in forest management. The practices that will enable the farm forest to continue thriving. </w:t>
      </w:r>
    </w:p>
    <w:p w14:paraId="2F69077C" w14:textId="2D64AA58" w:rsidR="003C52B0" w:rsidRDefault="003C52B0" w:rsidP="007B41AE">
      <w:pPr>
        <w:spacing w:before="100" w:beforeAutospacing="1" w:after="100" w:afterAutospacing="1"/>
        <w:jc w:val="both"/>
        <w:rPr>
          <w:rFonts w:cs="Helvetica"/>
          <w:lang w:eastAsia="en-GB"/>
        </w:rPr>
      </w:pPr>
    </w:p>
    <w:p w14:paraId="09E7B7BB" w14:textId="19803888" w:rsidR="00DD1100" w:rsidRDefault="00DD1100" w:rsidP="007B41AE">
      <w:pPr>
        <w:spacing w:before="100" w:beforeAutospacing="1" w:after="100" w:afterAutospacing="1"/>
        <w:jc w:val="both"/>
        <w:rPr>
          <w:rFonts w:cs="Helvetica"/>
          <w:lang w:eastAsia="en-GB"/>
        </w:rPr>
      </w:pPr>
    </w:p>
    <w:p w14:paraId="67058AB4" w14:textId="77777777" w:rsidR="00DD1100" w:rsidRPr="00B91CBE" w:rsidRDefault="00DD1100" w:rsidP="007B41AE">
      <w:pPr>
        <w:spacing w:before="100" w:beforeAutospacing="1" w:after="100" w:afterAutospacing="1"/>
        <w:jc w:val="both"/>
        <w:rPr>
          <w:rFonts w:cs="Helvetica"/>
          <w:lang w:eastAsia="en-GB"/>
        </w:rPr>
      </w:pPr>
    </w:p>
    <w:p w14:paraId="6A277C4D" w14:textId="77777777" w:rsidR="00B01FCD" w:rsidRPr="00C6424E" w:rsidRDefault="00B01FCD" w:rsidP="00B53B2E">
      <w:pPr>
        <w:pStyle w:val="ReferHead"/>
        <w:spacing w:after="0"/>
        <w:jc w:val="both"/>
        <w:rPr>
          <w:rFonts w:cs="Helvetica"/>
        </w:rPr>
      </w:pPr>
      <w:r w:rsidRPr="00C6424E">
        <w:rPr>
          <w:rFonts w:cs="Helvetica"/>
        </w:rPr>
        <w:t>References</w:t>
      </w:r>
    </w:p>
    <w:sdt>
      <w:sdtPr>
        <w:rPr>
          <w:rFonts w:cs="Helvetica"/>
        </w:rPr>
        <w:id w:val="286704297"/>
        <w:docPartObj>
          <w:docPartGallery w:val="Bibliographies"/>
          <w:docPartUnique/>
        </w:docPartObj>
      </w:sdtPr>
      <w:sdtEndPr>
        <w:rPr>
          <w:b/>
          <w:bCs/>
        </w:rPr>
      </w:sdtEndPr>
      <w:sdtContent>
        <w:p w14:paraId="20A635CB" w14:textId="77777777" w:rsidR="00DE3D89" w:rsidRPr="00C6424E" w:rsidRDefault="00F146B2" w:rsidP="00B53B2E">
          <w:pPr>
            <w:jc w:val="both"/>
            <w:rPr>
              <w:rFonts w:cs="Helvetica"/>
              <w:noProof/>
              <w:lang w:val="en-US"/>
            </w:rPr>
          </w:pPr>
          <w:r w:rsidRPr="00C6424E">
            <w:rPr>
              <w:rFonts w:cs="Helvetica"/>
            </w:rPr>
            <w:fldChar w:fldCharType="begin"/>
          </w:r>
          <w:r w:rsidRPr="00C6424E">
            <w:rPr>
              <w:rFonts w:cs="Helvetica"/>
            </w:rPr>
            <w:instrText xml:space="preserve"> BIBLIOGRAPHY </w:instrText>
          </w:r>
          <w:r w:rsidRPr="00C6424E">
            <w:rPr>
              <w:rFonts w:cs="Helvetica"/>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10391"/>
          </w:tblGrid>
          <w:tr w:rsidR="00DE3D89" w:rsidRPr="00C6424E" w14:paraId="3387522E" w14:textId="77777777">
            <w:trPr>
              <w:divId w:val="575090973"/>
              <w:tblCellSpacing w:w="15" w:type="dxa"/>
            </w:trPr>
            <w:tc>
              <w:tcPr>
                <w:tcW w:w="50" w:type="pct"/>
                <w:hideMark/>
              </w:tcPr>
              <w:p w14:paraId="2C95A766" w14:textId="592CA441" w:rsidR="00DE3D89" w:rsidRPr="00C6424E" w:rsidRDefault="00DE3D89" w:rsidP="00B53B2E">
                <w:pPr>
                  <w:pStyle w:val="Bibliography"/>
                  <w:jc w:val="both"/>
                  <w:rPr>
                    <w:rFonts w:cs="Helvetica"/>
                    <w:noProof/>
                    <w:sz w:val="24"/>
                    <w:szCs w:val="24"/>
                  </w:rPr>
                </w:pPr>
                <w:r w:rsidRPr="00C6424E">
                  <w:rPr>
                    <w:rFonts w:cs="Helvetica"/>
                    <w:noProof/>
                  </w:rPr>
                  <w:t xml:space="preserve">[1] </w:t>
                </w:r>
              </w:p>
            </w:tc>
            <w:tc>
              <w:tcPr>
                <w:tcW w:w="0" w:type="auto"/>
                <w:hideMark/>
              </w:tcPr>
              <w:p w14:paraId="0443AE6E" w14:textId="77777777" w:rsidR="00DE3D89" w:rsidRPr="00C6424E" w:rsidRDefault="00DE3D89" w:rsidP="00B53B2E">
                <w:pPr>
                  <w:pStyle w:val="Bibliography"/>
                  <w:jc w:val="both"/>
                  <w:rPr>
                    <w:rFonts w:cs="Helvetica"/>
                    <w:noProof/>
                  </w:rPr>
                </w:pPr>
                <w:r w:rsidRPr="00C6424E">
                  <w:rPr>
                    <w:rFonts w:cs="Helvetica"/>
                    <w:noProof/>
                  </w:rPr>
                  <w:t>A. Sharifi and E. Moradi, “Assessment of forest cover changes using multi</w:t>
                </w:r>
                <w:r w:rsidRPr="00C6424E">
                  <w:rPr>
                    <w:rFonts w:cs="Helvetica"/>
                    <w:noProof/>
                  </w:rPr>
                  <w:noBreakHyphen/>
                  <w:t xml:space="preserve">temporal observation,” </w:t>
                </w:r>
                <w:r w:rsidRPr="00C6424E">
                  <w:rPr>
                    <w:rFonts w:cs="Helvetica"/>
                    <w:i/>
                    <w:iCs/>
                    <w:noProof/>
                  </w:rPr>
                  <w:t xml:space="preserve">Environment Development and Sustainability, </w:t>
                </w:r>
                <w:r w:rsidRPr="00C6424E">
                  <w:rPr>
                    <w:rFonts w:cs="Helvetica"/>
                    <w:noProof/>
                  </w:rPr>
                  <w:t xml:space="preserve">p. 1351–1360, 2022. </w:t>
                </w:r>
              </w:p>
            </w:tc>
          </w:tr>
          <w:tr w:rsidR="00DE3D89" w:rsidRPr="00C6424E" w14:paraId="2AC532AE" w14:textId="77777777">
            <w:trPr>
              <w:divId w:val="575090973"/>
              <w:tblCellSpacing w:w="15" w:type="dxa"/>
            </w:trPr>
            <w:tc>
              <w:tcPr>
                <w:tcW w:w="50" w:type="pct"/>
                <w:hideMark/>
              </w:tcPr>
              <w:p w14:paraId="69688C98" w14:textId="77777777" w:rsidR="00DE3D89" w:rsidRPr="00C6424E" w:rsidRDefault="00DE3D89" w:rsidP="00B53B2E">
                <w:pPr>
                  <w:pStyle w:val="Bibliography"/>
                  <w:jc w:val="both"/>
                  <w:rPr>
                    <w:rFonts w:cs="Helvetica"/>
                    <w:noProof/>
                  </w:rPr>
                </w:pPr>
                <w:r w:rsidRPr="00C6424E">
                  <w:rPr>
                    <w:rFonts w:cs="Helvetica"/>
                    <w:noProof/>
                  </w:rPr>
                  <w:t xml:space="preserve">[2] </w:t>
                </w:r>
              </w:p>
            </w:tc>
            <w:tc>
              <w:tcPr>
                <w:tcW w:w="0" w:type="auto"/>
                <w:hideMark/>
              </w:tcPr>
              <w:p w14:paraId="6AE693E9" w14:textId="77777777" w:rsidR="00DE3D89" w:rsidRPr="00C6424E" w:rsidRDefault="00DE3D89" w:rsidP="00B53B2E">
                <w:pPr>
                  <w:pStyle w:val="Bibliography"/>
                  <w:jc w:val="both"/>
                  <w:rPr>
                    <w:rFonts w:cs="Helvetica"/>
                    <w:noProof/>
                  </w:rPr>
                </w:pPr>
                <w:r w:rsidRPr="00C6424E">
                  <w:rPr>
                    <w:rFonts w:cs="Helvetica"/>
                    <w:noProof/>
                  </w:rPr>
                  <w:t xml:space="preserve">H. Wang, Y. Liu, Y. Wang, Y. Yao and C. Wang, “Land cover change in global drylands: A review,” </w:t>
                </w:r>
                <w:r w:rsidRPr="00C6424E">
                  <w:rPr>
                    <w:rFonts w:cs="Helvetica"/>
                    <w:i/>
                    <w:iCs/>
                    <w:noProof/>
                  </w:rPr>
                  <w:t xml:space="preserve">Science of The Total Environment, </w:t>
                </w:r>
                <w:r w:rsidRPr="00C6424E">
                  <w:rPr>
                    <w:rFonts w:cs="Helvetica"/>
                    <w:noProof/>
                  </w:rPr>
                  <w:t xml:space="preserve">p. 1, 2023. </w:t>
                </w:r>
              </w:p>
            </w:tc>
          </w:tr>
          <w:tr w:rsidR="00DE3D89" w:rsidRPr="00C6424E" w14:paraId="08187262" w14:textId="77777777">
            <w:trPr>
              <w:divId w:val="575090973"/>
              <w:tblCellSpacing w:w="15" w:type="dxa"/>
            </w:trPr>
            <w:tc>
              <w:tcPr>
                <w:tcW w:w="50" w:type="pct"/>
                <w:hideMark/>
              </w:tcPr>
              <w:p w14:paraId="6A35F960" w14:textId="77777777" w:rsidR="00DE3D89" w:rsidRPr="00C6424E" w:rsidRDefault="00DE3D89" w:rsidP="00B53B2E">
                <w:pPr>
                  <w:pStyle w:val="Bibliography"/>
                  <w:jc w:val="both"/>
                  <w:rPr>
                    <w:rFonts w:cs="Helvetica"/>
                    <w:noProof/>
                  </w:rPr>
                </w:pPr>
                <w:r w:rsidRPr="00C6424E">
                  <w:rPr>
                    <w:rFonts w:cs="Helvetica"/>
                    <w:noProof/>
                  </w:rPr>
                  <w:t xml:space="preserve">[3] </w:t>
                </w:r>
              </w:p>
            </w:tc>
            <w:tc>
              <w:tcPr>
                <w:tcW w:w="0" w:type="auto"/>
                <w:hideMark/>
              </w:tcPr>
              <w:p w14:paraId="33ACD29C" w14:textId="77777777" w:rsidR="00DE3D89" w:rsidRPr="00C6424E" w:rsidRDefault="00DE3D89" w:rsidP="00B53B2E">
                <w:pPr>
                  <w:pStyle w:val="Bibliography"/>
                  <w:jc w:val="both"/>
                  <w:rPr>
                    <w:rFonts w:cs="Helvetica"/>
                    <w:noProof/>
                  </w:rPr>
                </w:pPr>
                <w:r w:rsidRPr="00C6424E">
                  <w:rPr>
                    <w:rFonts w:cs="Helvetica"/>
                    <w:noProof/>
                  </w:rPr>
                  <w:t>FAO, “Global Forest Resources Assessment 2020: Main report,” Food and Agriculture Organization of the United Nations, Rome, 2020.</w:t>
                </w:r>
              </w:p>
            </w:tc>
          </w:tr>
          <w:tr w:rsidR="00DE3D89" w:rsidRPr="00C6424E" w14:paraId="64035916" w14:textId="77777777">
            <w:trPr>
              <w:divId w:val="575090973"/>
              <w:tblCellSpacing w:w="15" w:type="dxa"/>
            </w:trPr>
            <w:tc>
              <w:tcPr>
                <w:tcW w:w="50" w:type="pct"/>
                <w:hideMark/>
              </w:tcPr>
              <w:p w14:paraId="2CE8C68F" w14:textId="77777777" w:rsidR="00DE3D89" w:rsidRPr="00C6424E" w:rsidRDefault="00DE3D89" w:rsidP="00B53B2E">
                <w:pPr>
                  <w:pStyle w:val="Bibliography"/>
                  <w:jc w:val="both"/>
                  <w:rPr>
                    <w:rFonts w:cs="Helvetica"/>
                    <w:noProof/>
                  </w:rPr>
                </w:pPr>
                <w:r w:rsidRPr="00C6424E">
                  <w:rPr>
                    <w:rFonts w:cs="Helvetica"/>
                    <w:noProof/>
                  </w:rPr>
                  <w:t xml:space="preserve">[4] </w:t>
                </w:r>
              </w:p>
            </w:tc>
            <w:tc>
              <w:tcPr>
                <w:tcW w:w="0" w:type="auto"/>
                <w:hideMark/>
              </w:tcPr>
              <w:p w14:paraId="79163530" w14:textId="77777777" w:rsidR="00DE3D89" w:rsidRPr="00C6424E" w:rsidRDefault="00DE3D89" w:rsidP="00B53B2E">
                <w:pPr>
                  <w:pStyle w:val="Bibliography"/>
                  <w:jc w:val="both"/>
                  <w:rPr>
                    <w:rFonts w:cs="Helvetica"/>
                    <w:noProof/>
                  </w:rPr>
                </w:pPr>
                <w:r w:rsidRPr="00C6424E">
                  <w:rPr>
                    <w:rFonts w:cs="Helvetica"/>
                    <w:noProof/>
                  </w:rPr>
                  <w:t>FAO, “Trees, forests and land use in drylands: the first global assessment-Full report,” FAO Forestry, Rome, 2019.</w:t>
                </w:r>
              </w:p>
            </w:tc>
          </w:tr>
          <w:tr w:rsidR="00DE3D89" w:rsidRPr="00C6424E" w14:paraId="20E09798" w14:textId="77777777">
            <w:trPr>
              <w:divId w:val="575090973"/>
              <w:tblCellSpacing w:w="15" w:type="dxa"/>
            </w:trPr>
            <w:tc>
              <w:tcPr>
                <w:tcW w:w="50" w:type="pct"/>
                <w:hideMark/>
              </w:tcPr>
              <w:p w14:paraId="6F7D9B7F" w14:textId="77777777" w:rsidR="00DE3D89" w:rsidRPr="00C6424E" w:rsidRDefault="00DE3D89" w:rsidP="00B53B2E">
                <w:pPr>
                  <w:pStyle w:val="Bibliography"/>
                  <w:jc w:val="both"/>
                  <w:rPr>
                    <w:rFonts w:cs="Helvetica"/>
                    <w:noProof/>
                  </w:rPr>
                </w:pPr>
                <w:r w:rsidRPr="00C6424E">
                  <w:rPr>
                    <w:rFonts w:cs="Helvetica"/>
                    <w:noProof/>
                  </w:rPr>
                  <w:t xml:space="preserve">[5] </w:t>
                </w:r>
              </w:p>
            </w:tc>
            <w:tc>
              <w:tcPr>
                <w:tcW w:w="0" w:type="auto"/>
                <w:hideMark/>
              </w:tcPr>
              <w:p w14:paraId="40C356AA" w14:textId="77777777" w:rsidR="00DE3D89" w:rsidRPr="00C6424E" w:rsidRDefault="00DE3D89" w:rsidP="00B53B2E">
                <w:pPr>
                  <w:pStyle w:val="Bibliography"/>
                  <w:jc w:val="both"/>
                  <w:rPr>
                    <w:rFonts w:cs="Helvetica"/>
                    <w:noProof/>
                  </w:rPr>
                </w:pPr>
                <w:r w:rsidRPr="00C6424E">
                  <w:rPr>
                    <w:rFonts w:cs="Helvetica"/>
                    <w:noProof/>
                  </w:rPr>
                  <w:t>U. N. E. Programme, “Climate Change Impacts on Africa’s Economic Growth,” African Development Bank, Nairobi, 2019.</w:t>
                </w:r>
              </w:p>
            </w:tc>
          </w:tr>
          <w:tr w:rsidR="00DE3D89" w:rsidRPr="00C6424E" w14:paraId="2143ABD0" w14:textId="77777777">
            <w:trPr>
              <w:divId w:val="575090973"/>
              <w:tblCellSpacing w:w="15" w:type="dxa"/>
            </w:trPr>
            <w:tc>
              <w:tcPr>
                <w:tcW w:w="50" w:type="pct"/>
                <w:hideMark/>
              </w:tcPr>
              <w:p w14:paraId="632461E8" w14:textId="77777777" w:rsidR="00DE3D89" w:rsidRPr="00C6424E" w:rsidRDefault="00DE3D89" w:rsidP="00B53B2E">
                <w:pPr>
                  <w:pStyle w:val="Bibliography"/>
                  <w:jc w:val="both"/>
                  <w:rPr>
                    <w:rFonts w:cs="Helvetica"/>
                    <w:noProof/>
                  </w:rPr>
                </w:pPr>
                <w:r w:rsidRPr="00C6424E">
                  <w:rPr>
                    <w:rFonts w:cs="Helvetica"/>
                    <w:noProof/>
                  </w:rPr>
                  <w:t xml:space="preserve">[6] </w:t>
                </w:r>
              </w:p>
            </w:tc>
            <w:tc>
              <w:tcPr>
                <w:tcW w:w="0" w:type="auto"/>
                <w:hideMark/>
              </w:tcPr>
              <w:p w14:paraId="05CCEA42" w14:textId="77777777" w:rsidR="00DE3D89" w:rsidRPr="00C6424E" w:rsidRDefault="00DE3D89" w:rsidP="00B53B2E">
                <w:pPr>
                  <w:pStyle w:val="Bibliography"/>
                  <w:jc w:val="both"/>
                  <w:rPr>
                    <w:rFonts w:cs="Helvetica"/>
                    <w:noProof/>
                  </w:rPr>
                </w:pPr>
                <w:r w:rsidRPr="00C6424E">
                  <w:rPr>
                    <w:rFonts w:cs="Helvetica"/>
                    <w:noProof/>
                  </w:rPr>
                  <w:t xml:space="preserve">J. Mohammed, O.-F. A. Kofi and H. Yusif, “Factors influencing households’ participation in forest management in the northern region of Ghana,” </w:t>
                </w:r>
                <w:r w:rsidRPr="00C6424E">
                  <w:rPr>
                    <w:rFonts w:cs="Helvetica"/>
                    <w:i/>
                    <w:iCs/>
                    <w:noProof/>
                  </w:rPr>
                  <w:t xml:space="preserve">Independent Journal of Management &amp; Production, </w:t>
                </w:r>
                <w:r w:rsidRPr="00C6424E">
                  <w:rPr>
                    <w:rFonts w:cs="Helvetica"/>
                    <w:noProof/>
                  </w:rPr>
                  <w:t xml:space="preserve">pp. 1324-1340, 2017. </w:t>
                </w:r>
              </w:p>
            </w:tc>
          </w:tr>
          <w:tr w:rsidR="00DE3D89" w:rsidRPr="00C6424E" w14:paraId="5F069C8B" w14:textId="77777777">
            <w:trPr>
              <w:divId w:val="575090973"/>
              <w:tblCellSpacing w:w="15" w:type="dxa"/>
            </w:trPr>
            <w:tc>
              <w:tcPr>
                <w:tcW w:w="50" w:type="pct"/>
                <w:hideMark/>
              </w:tcPr>
              <w:p w14:paraId="3C230921" w14:textId="77777777" w:rsidR="00DE3D89" w:rsidRPr="00C6424E" w:rsidRDefault="00DE3D89" w:rsidP="00B53B2E">
                <w:pPr>
                  <w:pStyle w:val="Bibliography"/>
                  <w:jc w:val="both"/>
                  <w:rPr>
                    <w:rFonts w:cs="Helvetica"/>
                    <w:noProof/>
                  </w:rPr>
                </w:pPr>
                <w:r w:rsidRPr="00C6424E">
                  <w:rPr>
                    <w:rFonts w:cs="Helvetica"/>
                    <w:noProof/>
                  </w:rPr>
                  <w:t xml:space="preserve">[7] </w:t>
                </w:r>
              </w:p>
            </w:tc>
            <w:tc>
              <w:tcPr>
                <w:tcW w:w="0" w:type="auto"/>
                <w:hideMark/>
              </w:tcPr>
              <w:p w14:paraId="2722042B" w14:textId="77777777" w:rsidR="00DE3D89" w:rsidRPr="00C6424E" w:rsidRDefault="00DE3D89" w:rsidP="00B53B2E">
                <w:pPr>
                  <w:pStyle w:val="Bibliography"/>
                  <w:jc w:val="both"/>
                  <w:rPr>
                    <w:rFonts w:cs="Helvetica"/>
                    <w:noProof/>
                  </w:rPr>
                </w:pPr>
                <w:r w:rsidRPr="00C6424E">
                  <w:rPr>
                    <w:rFonts w:cs="Helvetica"/>
                    <w:noProof/>
                  </w:rPr>
                  <w:t xml:space="preserve">R. M. David, N. J. Rosser and D. N. M. Donoghue, “Remote sensing for monitoring tropical dryland forests: a review of current research, knowledge gaps and future directions for Southern Africa,” </w:t>
                </w:r>
                <w:r w:rsidRPr="00C6424E">
                  <w:rPr>
                    <w:rFonts w:cs="Helvetica"/>
                    <w:i/>
                    <w:iCs/>
                    <w:noProof/>
                  </w:rPr>
                  <w:t xml:space="preserve">Environmental Research Communication, </w:t>
                </w:r>
                <w:r w:rsidRPr="00C6424E">
                  <w:rPr>
                    <w:rFonts w:cs="Helvetica"/>
                    <w:noProof/>
                  </w:rPr>
                  <w:t xml:space="preserve">p. 4, 2022. </w:t>
                </w:r>
              </w:p>
            </w:tc>
          </w:tr>
          <w:tr w:rsidR="00DE3D89" w:rsidRPr="00C6424E" w14:paraId="4C3B2A6A" w14:textId="77777777">
            <w:trPr>
              <w:divId w:val="575090973"/>
              <w:tblCellSpacing w:w="15" w:type="dxa"/>
            </w:trPr>
            <w:tc>
              <w:tcPr>
                <w:tcW w:w="50" w:type="pct"/>
                <w:hideMark/>
              </w:tcPr>
              <w:p w14:paraId="1BB05FCF" w14:textId="77777777" w:rsidR="00DE3D89" w:rsidRPr="00C6424E" w:rsidRDefault="00DE3D89" w:rsidP="00B53B2E">
                <w:pPr>
                  <w:pStyle w:val="Bibliography"/>
                  <w:jc w:val="both"/>
                  <w:rPr>
                    <w:rFonts w:cs="Helvetica"/>
                    <w:noProof/>
                  </w:rPr>
                </w:pPr>
                <w:r w:rsidRPr="00C6424E">
                  <w:rPr>
                    <w:rFonts w:cs="Helvetica"/>
                    <w:noProof/>
                  </w:rPr>
                  <w:t xml:space="preserve">[8] </w:t>
                </w:r>
              </w:p>
            </w:tc>
            <w:tc>
              <w:tcPr>
                <w:tcW w:w="0" w:type="auto"/>
                <w:hideMark/>
              </w:tcPr>
              <w:p w14:paraId="58583D79" w14:textId="77777777" w:rsidR="00DE3D89" w:rsidRPr="00C6424E" w:rsidRDefault="00DE3D89" w:rsidP="00B53B2E">
                <w:pPr>
                  <w:pStyle w:val="Bibliography"/>
                  <w:jc w:val="both"/>
                  <w:rPr>
                    <w:rFonts w:cs="Helvetica"/>
                    <w:noProof/>
                  </w:rPr>
                </w:pPr>
                <w:r w:rsidRPr="00C6424E">
                  <w:rPr>
                    <w:rFonts w:cs="Helvetica"/>
                    <w:noProof/>
                  </w:rPr>
                  <w:t xml:space="preserve">W. Mwikali, “Historical Causes of Farmer-Herder Conflict in Kitui East Sub-County, Kenya, 1895-1963,” </w:t>
                </w:r>
                <w:r w:rsidRPr="00C6424E">
                  <w:rPr>
                    <w:rFonts w:cs="Helvetica"/>
                    <w:i/>
                    <w:iCs/>
                    <w:noProof/>
                  </w:rPr>
                  <w:t xml:space="preserve">International Journal of Humanities Social Sciences and Education, </w:t>
                </w:r>
                <w:r w:rsidRPr="00C6424E">
                  <w:rPr>
                    <w:rFonts w:cs="Helvetica"/>
                    <w:noProof/>
                  </w:rPr>
                  <w:t xml:space="preserve">pp. 55-64, 2019. </w:t>
                </w:r>
              </w:p>
            </w:tc>
          </w:tr>
          <w:tr w:rsidR="00DE3D89" w:rsidRPr="00C6424E" w14:paraId="6393D2CA" w14:textId="77777777">
            <w:trPr>
              <w:divId w:val="575090973"/>
              <w:tblCellSpacing w:w="15" w:type="dxa"/>
            </w:trPr>
            <w:tc>
              <w:tcPr>
                <w:tcW w:w="50" w:type="pct"/>
                <w:hideMark/>
              </w:tcPr>
              <w:p w14:paraId="14D70E16" w14:textId="77777777" w:rsidR="00DE3D89" w:rsidRPr="00C6424E" w:rsidRDefault="00DE3D89" w:rsidP="00B53B2E">
                <w:pPr>
                  <w:pStyle w:val="Bibliography"/>
                  <w:jc w:val="both"/>
                  <w:rPr>
                    <w:rFonts w:cs="Helvetica"/>
                    <w:noProof/>
                  </w:rPr>
                </w:pPr>
                <w:r w:rsidRPr="00C6424E">
                  <w:rPr>
                    <w:rFonts w:cs="Helvetica"/>
                    <w:noProof/>
                  </w:rPr>
                  <w:t xml:space="preserve">[9] </w:t>
                </w:r>
              </w:p>
            </w:tc>
            <w:tc>
              <w:tcPr>
                <w:tcW w:w="0" w:type="auto"/>
                <w:hideMark/>
              </w:tcPr>
              <w:p w14:paraId="194412D9" w14:textId="77777777" w:rsidR="00DE3D89" w:rsidRPr="00C6424E" w:rsidRDefault="00DE3D89" w:rsidP="00B53B2E">
                <w:pPr>
                  <w:pStyle w:val="Bibliography"/>
                  <w:jc w:val="both"/>
                  <w:rPr>
                    <w:rFonts w:cs="Helvetica"/>
                    <w:noProof/>
                  </w:rPr>
                </w:pPr>
                <w:r w:rsidRPr="00C6424E">
                  <w:rPr>
                    <w:rFonts w:cs="Helvetica"/>
                    <w:noProof/>
                  </w:rPr>
                  <w:t>M. T. Mbuvi, “Policy Makers’ Perspective on Impacts of Decentralizing Forest Management in Kenya on Forestry Conservation and Community Livelihoods,” Kenyatta University, Nairobi, 2020.</w:t>
                </w:r>
              </w:p>
            </w:tc>
          </w:tr>
          <w:tr w:rsidR="00DE3D89" w:rsidRPr="00C6424E" w14:paraId="688FABC0" w14:textId="77777777">
            <w:trPr>
              <w:divId w:val="575090973"/>
              <w:tblCellSpacing w:w="15" w:type="dxa"/>
            </w:trPr>
            <w:tc>
              <w:tcPr>
                <w:tcW w:w="50" w:type="pct"/>
                <w:hideMark/>
              </w:tcPr>
              <w:p w14:paraId="390A85EC" w14:textId="77777777" w:rsidR="00DE3D89" w:rsidRPr="00C6424E" w:rsidRDefault="00DE3D89" w:rsidP="00B53B2E">
                <w:pPr>
                  <w:pStyle w:val="Bibliography"/>
                  <w:jc w:val="both"/>
                  <w:rPr>
                    <w:rFonts w:cs="Helvetica"/>
                    <w:noProof/>
                  </w:rPr>
                </w:pPr>
                <w:r w:rsidRPr="00C6424E">
                  <w:rPr>
                    <w:rFonts w:cs="Helvetica"/>
                    <w:noProof/>
                  </w:rPr>
                  <w:t xml:space="preserve">[10] </w:t>
                </w:r>
              </w:p>
            </w:tc>
            <w:tc>
              <w:tcPr>
                <w:tcW w:w="0" w:type="auto"/>
                <w:hideMark/>
              </w:tcPr>
              <w:p w14:paraId="63C06FD8" w14:textId="77777777" w:rsidR="00DE3D89" w:rsidRPr="00C6424E" w:rsidRDefault="00DE3D89" w:rsidP="00B53B2E">
                <w:pPr>
                  <w:pStyle w:val="Bibliography"/>
                  <w:jc w:val="both"/>
                  <w:rPr>
                    <w:rFonts w:cs="Helvetica"/>
                    <w:noProof/>
                  </w:rPr>
                </w:pPr>
                <w:r w:rsidRPr="00C6424E">
                  <w:rPr>
                    <w:rFonts w:cs="Helvetica"/>
                    <w:noProof/>
                  </w:rPr>
                  <w:t xml:space="preserve">Creswell and C. Plano, “Research Design: Qualitative, Quantitative and Mixed Methods Approaches (4th ed.),” </w:t>
                </w:r>
                <w:r w:rsidRPr="00C6424E">
                  <w:rPr>
                    <w:rFonts w:cs="Helvetica"/>
                    <w:i/>
                    <w:iCs/>
                    <w:noProof/>
                  </w:rPr>
                  <w:t xml:space="preserve">Canadian Center of Science and Education, </w:t>
                </w:r>
                <w:r w:rsidRPr="00C6424E">
                  <w:rPr>
                    <w:rFonts w:cs="Helvetica"/>
                    <w:noProof/>
                  </w:rPr>
                  <w:t xml:space="preserve">p. 5, 2014. </w:t>
                </w:r>
              </w:p>
            </w:tc>
          </w:tr>
          <w:tr w:rsidR="00DE3D89" w:rsidRPr="00C6424E" w14:paraId="200153F1" w14:textId="77777777">
            <w:trPr>
              <w:divId w:val="575090973"/>
              <w:tblCellSpacing w:w="15" w:type="dxa"/>
            </w:trPr>
            <w:tc>
              <w:tcPr>
                <w:tcW w:w="50" w:type="pct"/>
                <w:hideMark/>
              </w:tcPr>
              <w:p w14:paraId="6ABCCF5F" w14:textId="77777777" w:rsidR="00DE3D89" w:rsidRPr="00C6424E" w:rsidRDefault="00DE3D89" w:rsidP="00B53B2E">
                <w:pPr>
                  <w:pStyle w:val="Bibliography"/>
                  <w:jc w:val="both"/>
                  <w:rPr>
                    <w:rFonts w:cs="Helvetica"/>
                    <w:noProof/>
                  </w:rPr>
                </w:pPr>
                <w:r w:rsidRPr="00C6424E">
                  <w:rPr>
                    <w:rFonts w:cs="Helvetica"/>
                    <w:noProof/>
                  </w:rPr>
                  <w:t xml:space="preserve">[11] </w:t>
                </w:r>
              </w:p>
            </w:tc>
            <w:tc>
              <w:tcPr>
                <w:tcW w:w="0" w:type="auto"/>
                <w:hideMark/>
              </w:tcPr>
              <w:p w14:paraId="686C5B8E" w14:textId="77777777" w:rsidR="00DE3D89" w:rsidRPr="00C6424E" w:rsidRDefault="00DE3D89" w:rsidP="00B53B2E">
                <w:pPr>
                  <w:pStyle w:val="Bibliography"/>
                  <w:jc w:val="both"/>
                  <w:rPr>
                    <w:rFonts w:cs="Helvetica"/>
                    <w:noProof/>
                  </w:rPr>
                </w:pPr>
                <w:r w:rsidRPr="00C6424E">
                  <w:rPr>
                    <w:rFonts w:cs="Helvetica"/>
                    <w:noProof/>
                  </w:rPr>
                  <w:t xml:space="preserve">D. Kombo and D. Tromp, Proposal and Thesis Writing, Nairobi: Paulines Publications Africa, 2016. </w:t>
                </w:r>
              </w:p>
            </w:tc>
          </w:tr>
          <w:tr w:rsidR="00DE3D89" w:rsidRPr="00C6424E" w14:paraId="052BD5EB" w14:textId="77777777">
            <w:trPr>
              <w:divId w:val="575090973"/>
              <w:tblCellSpacing w:w="15" w:type="dxa"/>
            </w:trPr>
            <w:tc>
              <w:tcPr>
                <w:tcW w:w="50" w:type="pct"/>
                <w:hideMark/>
              </w:tcPr>
              <w:p w14:paraId="6DFE19F7" w14:textId="77777777" w:rsidR="00DE3D89" w:rsidRPr="00C6424E" w:rsidRDefault="00DE3D89" w:rsidP="00B53B2E">
                <w:pPr>
                  <w:pStyle w:val="Bibliography"/>
                  <w:jc w:val="both"/>
                  <w:rPr>
                    <w:rFonts w:cs="Helvetica"/>
                    <w:noProof/>
                  </w:rPr>
                </w:pPr>
                <w:r w:rsidRPr="00C6424E">
                  <w:rPr>
                    <w:rFonts w:cs="Helvetica"/>
                    <w:noProof/>
                  </w:rPr>
                  <w:t xml:space="preserve">[12] </w:t>
                </w:r>
              </w:p>
            </w:tc>
            <w:tc>
              <w:tcPr>
                <w:tcW w:w="0" w:type="auto"/>
                <w:hideMark/>
              </w:tcPr>
              <w:p w14:paraId="48371BA1" w14:textId="77777777" w:rsidR="00DE3D89" w:rsidRPr="00C6424E" w:rsidRDefault="00DE3D89" w:rsidP="00B53B2E">
                <w:pPr>
                  <w:pStyle w:val="Bibliography"/>
                  <w:jc w:val="both"/>
                  <w:rPr>
                    <w:rFonts w:cs="Helvetica"/>
                    <w:noProof/>
                  </w:rPr>
                </w:pPr>
                <w:r w:rsidRPr="00C6424E">
                  <w:rPr>
                    <w:rFonts w:cs="Helvetica"/>
                    <w:noProof/>
                  </w:rPr>
                  <w:t xml:space="preserve">E. W. Githae and I. M. Mutiga, “Ecological restoration of pastoral landscapes in the drylands of East Africa,” </w:t>
                </w:r>
                <w:r w:rsidRPr="00C6424E">
                  <w:rPr>
                    <w:rFonts w:cs="Helvetica"/>
                    <w:i/>
                    <w:iCs/>
                    <w:noProof/>
                  </w:rPr>
                  <w:t xml:space="preserve">Journal of Dryland Agriculture, </w:t>
                </w:r>
                <w:r w:rsidRPr="00C6424E">
                  <w:rPr>
                    <w:rFonts w:cs="Helvetica"/>
                    <w:noProof/>
                  </w:rPr>
                  <w:t xml:space="preserve">2021. </w:t>
                </w:r>
              </w:p>
            </w:tc>
          </w:tr>
          <w:tr w:rsidR="00DE3D89" w:rsidRPr="00C6424E" w14:paraId="2FA26C62" w14:textId="77777777">
            <w:trPr>
              <w:divId w:val="575090973"/>
              <w:tblCellSpacing w:w="15" w:type="dxa"/>
            </w:trPr>
            <w:tc>
              <w:tcPr>
                <w:tcW w:w="50" w:type="pct"/>
                <w:hideMark/>
              </w:tcPr>
              <w:p w14:paraId="7DBA5775" w14:textId="77777777" w:rsidR="00DE3D89" w:rsidRPr="00C6424E" w:rsidRDefault="00DE3D89" w:rsidP="00B53B2E">
                <w:pPr>
                  <w:pStyle w:val="Bibliography"/>
                  <w:jc w:val="both"/>
                  <w:rPr>
                    <w:rFonts w:cs="Helvetica"/>
                    <w:noProof/>
                  </w:rPr>
                </w:pPr>
                <w:r w:rsidRPr="00C6424E">
                  <w:rPr>
                    <w:rFonts w:cs="Helvetica"/>
                    <w:noProof/>
                  </w:rPr>
                  <w:t xml:space="preserve">[13] </w:t>
                </w:r>
              </w:p>
            </w:tc>
            <w:tc>
              <w:tcPr>
                <w:tcW w:w="0" w:type="auto"/>
                <w:hideMark/>
              </w:tcPr>
              <w:p w14:paraId="70BA2175" w14:textId="77777777" w:rsidR="00DE3D89" w:rsidRPr="00C6424E" w:rsidRDefault="00DE3D89" w:rsidP="00B53B2E">
                <w:pPr>
                  <w:pStyle w:val="Bibliography"/>
                  <w:jc w:val="both"/>
                  <w:rPr>
                    <w:rFonts w:cs="Helvetica"/>
                    <w:noProof/>
                  </w:rPr>
                </w:pPr>
                <w:r w:rsidRPr="00C6424E">
                  <w:rPr>
                    <w:rFonts w:cs="Helvetica"/>
                    <w:noProof/>
                  </w:rPr>
                  <w:t xml:space="preserve">A. Worku, E. Auch, J. Pretzsch and H. Kassa, “The significance of dry forest income for livelihood resilience: the case of pastrolist ànd agro-pastrolist in dryland of southern Ethiopia,” </w:t>
                </w:r>
                <w:r w:rsidRPr="00C6424E">
                  <w:rPr>
                    <w:rFonts w:cs="Helvetica"/>
                    <w:i/>
                    <w:iCs/>
                    <w:noProof/>
                  </w:rPr>
                  <w:t xml:space="preserve">Forest policy and economics, </w:t>
                </w:r>
                <w:r w:rsidRPr="00C6424E">
                  <w:rPr>
                    <w:rFonts w:cs="Helvetica"/>
                    <w:noProof/>
                  </w:rPr>
                  <w:t xml:space="preserve">vol. 41, pp. 51-59, 2014. </w:t>
                </w:r>
              </w:p>
            </w:tc>
          </w:tr>
          <w:tr w:rsidR="00DE3D89" w:rsidRPr="00C6424E" w14:paraId="0082C57F" w14:textId="77777777">
            <w:trPr>
              <w:divId w:val="575090973"/>
              <w:tblCellSpacing w:w="15" w:type="dxa"/>
            </w:trPr>
            <w:tc>
              <w:tcPr>
                <w:tcW w:w="50" w:type="pct"/>
                <w:hideMark/>
              </w:tcPr>
              <w:p w14:paraId="0524AE37" w14:textId="77777777" w:rsidR="00DE3D89" w:rsidRPr="00C6424E" w:rsidRDefault="00DE3D89" w:rsidP="00B53B2E">
                <w:pPr>
                  <w:pStyle w:val="Bibliography"/>
                  <w:jc w:val="both"/>
                  <w:rPr>
                    <w:rFonts w:cs="Helvetica"/>
                    <w:noProof/>
                  </w:rPr>
                </w:pPr>
                <w:r w:rsidRPr="00C6424E">
                  <w:rPr>
                    <w:rFonts w:cs="Helvetica"/>
                    <w:noProof/>
                  </w:rPr>
                  <w:t xml:space="preserve">[14] </w:t>
                </w:r>
              </w:p>
            </w:tc>
            <w:tc>
              <w:tcPr>
                <w:tcW w:w="0" w:type="auto"/>
                <w:hideMark/>
              </w:tcPr>
              <w:p w14:paraId="6B3C39D0" w14:textId="77777777" w:rsidR="00DE3D89" w:rsidRPr="00C6424E" w:rsidRDefault="00DE3D89" w:rsidP="00B53B2E">
                <w:pPr>
                  <w:pStyle w:val="Bibliography"/>
                  <w:jc w:val="both"/>
                  <w:rPr>
                    <w:rFonts w:cs="Helvetica"/>
                    <w:noProof/>
                  </w:rPr>
                </w:pPr>
                <w:r w:rsidRPr="00C6424E">
                  <w:rPr>
                    <w:rFonts w:cs="Helvetica"/>
                    <w:noProof/>
                  </w:rPr>
                  <w:t xml:space="preserve">H. Djoudi, E. Vergles, R. R. Blackie, C. K. Koame and D. Gautier, “Dryland forests, livelihoods and poverty alleviation: understanding current trends,” </w:t>
                </w:r>
                <w:r w:rsidRPr="00C6424E">
                  <w:rPr>
                    <w:rFonts w:cs="Helvetica"/>
                    <w:i/>
                    <w:iCs/>
                    <w:noProof/>
                  </w:rPr>
                  <w:t xml:space="preserve">International Forestry Review, </w:t>
                </w:r>
                <w:r w:rsidRPr="00C6424E">
                  <w:rPr>
                    <w:rFonts w:cs="Helvetica"/>
                    <w:noProof/>
                  </w:rPr>
                  <w:t xml:space="preserve">vol. 17, no. 2, pp. 55-69, 2015. </w:t>
                </w:r>
              </w:p>
            </w:tc>
          </w:tr>
          <w:tr w:rsidR="00DE3D89" w:rsidRPr="00C6424E" w14:paraId="47A52B03" w14:textId="77777777">
            <w:trPr>
              <w:divId w:val="575090973"/>
              <w:tblCellSpacing w:w="15" w:type="dxa"/>
            </w:trPr>
            <w:tc>
              <w:tcPr>
                <w:tcW w:w="50" w:type="pct"/>
                <w:hideMark/>
              </w:tcPr>
              <w:p w14:paraId="33DF4007" w14:textId="77777777" w:rsidR="00DE3D89" w:rsidRPr="00C6424E" w:rsidRDefault="00DE3D89" w:rsidP="00B53B2E">
                <w:pPr>
                  <w:pStyle w:val="Bibliography"/>
                  <w:jc w:val="both"/>
                  <w:rPr>
                    <w:rFonts w:cs="Helvetica"/>
                    <w:noProof/>
                  </w:rPr>
                </w:pPr>
                <w:r w:rsidRPr="00C6424E">
                  <w:rPr>
                    <w:rFonts w:cs="Helvetica"/>
                    <w:noProof/>
                  </w:rPr>
                  <w:t xml:space="preserve">[15] </w:t>
                </w:r>
              </w:p>
            </w:tc>
            <w:tc>
              <w:tcPr>
                <w:tcW w:w="0" w:type="auto"/>
                <w:hideMark/>
              </w:tcPr>
              <w:p w14:paraId="16A80A70" w14:textId="77777777" w:rsidR="00DE3D89" w:rsidRPr="00C6424E" w:rsidRDefault="00DE3D89" w:rsidP="00B53B2E">
                <w:pPr>
                  <w:pStyle w:val="Bibliography"/>
                  <w:jc w:val="both"/>
                  <w:rPr>
                    <w:rFonts w:cs="Helvetica"/>
                    <w:noProof/>
                  </w:rPr>
                </w:pPr>
                <w:r w:rsidRPr="00C6424E">
                  <w:rPr>
                    <w:rFonts w:cs="Helvetica"/>
                    <w:noProof/>
                  </w:rPr>
                  <w:t xml:space="preserve">S. Sengupta and M. Saha, “Dependence on Forest products to Sustain Rural Livelihood: An Expirience from Bankura Forest, West Bengal,” </w:t>
                </w:r>
                <w:r w:rsidRPr="00C6424E">
                  <w:rPr>
                    <w:rFonts w:cs="Helvetica"/>
                    <w:i/>
                    <w:iCs/>
                    <w:noProof/>
                  </w:rPr>
                  <w:t xml:space="preserve">Environmental Management and Sustainability, </w:t>
                </w:r>
                <w:r w:rsidRPr="00C6424E">
                  <w:rPr>
                    <w:rFonts w:cs="Helvetica"/>
                    <w:noProof/>
                  </w:rPr>
                  <w:t xml:space="preserve">pp. 447-477, 2023. </w:t>
                </w:r>
              </w:p>
            </w:tc>
          </w:tr>
          <w:tr w:rsidR="00DE3D89" w:rsidRPr="00C6424E" w14:paraId="0633ED43" w14:textId="77777777">
            <w:trPr>
              <w:divId w:val="575090973"/>
              <w:tblCellSpacing w:w="15" w:type="dxa"/>
            </w:trPr>
            <w:tc>
              <w:tcPr>
                <w:tcW w:w="50" w:type="pct"/>
                <w:hideMark/>
              </w:tcPr>
              <w:p w14:paraId="266FFCC1" w14:textId="77777777" w:rsidR="00DE3D89" w:rsidRPr="00C6424E" w:rsidRDefault="00DE3D89" w:rsidP="00B53B2E">
                <w:pPr>
                  <w:pStyle w:val="Bibliography"/>
                  <w:jc w:val="both"/>
                  <w:rPr>
                    <w:rFonts w:cs="Helvetica"/>
                    <w:noProof/>
                  </w:rPr>
                </w:pPr>
                <w:r w:rsidRPr="00C6424E">
                  <w:rPr>
                    <w:rFonts w:cs="Helvetica"/>
                    <w:noProof/>
                  </w:rPr>
                  <w:t xml:space="preserve">[16] </w:t>
                </w:r>
              </w:p>
            </w:tc>
            <w:tc>
              <w:tcPr>
                <w:tcW w:w="0" w:type="auto"/>
                <w:hideMark/>
              </w:tcPr>
              <w:p w14:paraId="31402E10" w14:textId="77777777" w:rsidR="00DE3D89" w:rsidRPr="00C6424E" w:rsidRDefault="00DE3D89" w:rsidP="00B53B2E">
                <w:pPr>
                  <w:pStyle w:val="Bibliography"/>
                  <w:jc w:val="both"/>
                  <w:rPr>
                    <w:rFonts w:cs="Helvetica"/>
                    <w:noProof/>
                  </w:rPr>
                </w:pPr>
                <w:r w:rsidRPr="00C6424E">
                  <w:rPr>
                    <w:rFonts w:cs="Helvetica"/>
                    <w:noProof/>
                  </w:rPr>
                  <w:t xml:space="preserve">A. Beuchle and C. Bourgoin, “Deforestation and Forest Degradation in the Amazon - Status and trends up to year 2020,” </w:t>
                </w:r>
                <w:r w:rsidRPr="00C6424E">
                  <w:rPr>
                    <w:rFonts w:cs="Helvetica"/>
                    <w:i/>
                    <w:iCs/>
                    <w:noProof/>
                  </w:rPr>
                  <w:t xml:space="preserve">International Journal of Sustainable and Green Energy, </w:t>
                </w:r>
                <w:r w:rsidRPr="00C6424E">
                  <w:rPr>
                    <w:rFonts w:cs="Helvetica"/>
                    <w:noProof/>
                  </w:rPr>
                  <w:t xml:space="preserve">pp. 1-11, 2019. </w:t>
                </w:r>
              </w:p>
            </w:tc>
          </w:tr>
          <w:tr w:rsidR="00DE3D89" w:rsidRPr="00C6424E" w14:paraId="685D6926" w14:textId="77777777">
            <w:trPr>
              <w:divId w:val="575090973"/>
              <w:tblCellSpacing w:w="15" w:type="dxa"/>
            </w:trPr>
            <w:tc>
              <w:tcPr>
                <w:tcW w:w="50" w:type="pct"/>
                <w:hideMark/>
              </w:tcPr>
              <w:p w14:paraId="1121E7D4" w14:textId="77777777" w:rsidR="00DE3D89" w:rsidRPr="00C6424E" w:rsidRDefault="00DE3D89" w:rsidP="00B53B2E">
                <w:pPr>
                  <w:pStyle w:val="Bibliography"/>
                  <w:jc w:val="both"/>
                  <w:rPr>
                    <w:rFonts w:cs="Helvetica"/>
                    <w:noProof/>
                  </w:rPr>
                </w:pPr>
                <w:r w:rsidRPr="00C6424E">
                  <w:rPr>
                    <w:rFonts w:cs="Helvetica"/>
                    <w:noProof/>
                  </w:rPr>
                  <w:t xml:space="preserve">[17] </w:t>
                </w:r>
              </w:p>
            </w:tc>
            <w:tc>
              <w:tcPr>
                <w:tcW w:w="0" w:type="auto"/>
                <w:hideMark/>
              </w:tcPr>
              <w:p w14:paraId="5CC7643D" w14:textId="77777777" w:rsidR="00DE3D89" w:rsidRPr="00C6424E" w:rsidRDefault="00DE3D89" w:rsidP="00B53B2E">
                <w:pPr>
                  <w:pStyle w:val="Bibliography"/>
                  <w:jc w:val="both"/>
                  <w:rPr>
                    <w:rFonts w:cs="Helvetica"/>
                    <w:noProof/>
                  </w:rPr>
                </w:pPr>
                <w:r w:rsidRPr="00C6424E">
                  <w:rPr>
                    <w:rFonts w:cs="Helvetica"/>
                    <w:noProof/>
                  </w:rPr>
                  <w:t>Global Forest Watch, “Location of deforestation alerts in Kitui, Kenya,” 2 September 2023. [Online]. Available: https//www.Globalforestwatch.org.</w:t>
                </w:r>
              </w:p>
            </w:tc>
          </w:tr>
        </w:tbl>
        <w:p w14:paraId="6297D3B5" w14:textId="77777777" w:rsidR="00DE3D89" w:rsidRPr="00C6424E" w:rsidRDefault="00DE3D89" w:rsidP="00B53B2E">
          <w:pPr>
            <w:jc w:val="both"/>
            <w:divId w:val="575090973"/>
            <w:rPr>
              <w:rFonts w:cs="Helvetica"/>
              <w:noProof/>
            </w:rPr>
          </w:pPr>
        </w:p>
        <w:p w14:paraId="3C67EFFB" w14:textId="255FACC6" w:rsidR="00B01FCD" w:rsidRPr="00C6424E" w:rsidRDefault="00F146B2" w:rsidP="00B53B2E">
          <w:pPr>
            <w:jc w:val="both"/>
            <w:rPr>
              <w:rFonts w:cs="Helvetica"/>
            </w:rPr>
          </w:pPr>
          <w:r w:rsidRPr="00C6424E">
            <w:rPr>
              <w:rFonts w:cs="Helvetica"/>
              <w:b/>
              <w:bCs/>
            </w:rPr>
            <w:fldChar w:fldCharType="end"/>
          </w:r>
        </w:p>
      </w:sdtContent>
    </w:sdt>
    <w:p w14:paraId="655EC824" w14:textId="77777777" w:rsidR="00CA09BA" w:rsidRPr="00C6424E" w:rsidRDefault="00CA09BA" w:rsidP="00441B6F">
      <w:pPr>
        <w:pStyle w:val="Body"/>
        <w:spacing w:after="0"/>
        <w:rPr>
          <w:rFonts w:cs="Helvetica"/>
        </w:rPr>
      </w:pPr>
    </w:p>
    <w:p w14:paraId="70C601D6" w14:textId="77777777" w:rsidR="00CA09BA" w:rsidRPr="00C6424E" w:rsidRDefault="00CA09BA" w:rsidP="00441B6F">
      <w:pPr>
        <w:pStyle w:val="Body"/>
        <w:spacing w:after="0"/>
        <w:rPr>
          <w:rFonts w:cs="Helvetica"/>
        </w:rPr>
      </w:pPr>
    </w:p>
    <w:p w14:paraId="14C29658" w14:textId="77777777" w:rsidR="00B01FCD" w:rsidRPr="00C6424E" w:rsidRDefault="00B01FCD" w:rsidP="00CA09BA">
      <w:pPr>
        <w:pStyle w:val="Appendix"/>
        <w:spacing w:after="0"/>
        <w:jc w:val="both"/>
        <w:rPr>
          <w:rFonts w:cs="Helvetica"/>
          <w:b w:val="0"/>
        </w:rPr>
      </w:pPr>
    </w:p>
    <w:sectPr w:rsidR="00B01FCD" w:rsidRPr="00C6424E" w:rsidSect="00DD1100">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Office User" w:date="2025-07-11T19:32:00Z" w:initials="MOU">
    <w:p w14:paraId="2CDF4200" w14:textId="77777777" w:rsidR="004C6804" w:rsidRDefault="004C6804">
      <w:pPr>
        <w:pStyle w:val="CommentText"/>
      </w:pPr>
      <w:r>
        <w:rPr>
          <w:rStyle w:val="CommentReference"/>
        </w:rPr>
        <w:annotationRef/>
      </w:r>
      <w:r>
        <w:t xml:space="preserve"> In </w:t>
      </w:r>
      <w:proofErr w:type="spellStart"/>
      <w:r>
        <w:t>this</w:t>
      </w:r>
      <w:proofErr w:type="spellEnd"/>
      <w:r>
        <w:t xml:space="preserve"> </w:t>
      </w:r>
      <w:proofErr w:type="spellStart"/>
      <w:r>
        <w:t>section</w:t>
      </w:r>
      <w:proofErr w:type="spellEnd"/>
      <w:r>
        <w:t xml:space="preserve"> </w:t>
      </w:r>
      <w:proofErr w:type="spellStart"/>
      <w:r>
        <w:t>better</w:t>
      </w:r>
      <w:proofErr w:type="spellEnd"/>
      <w:r>
        <w:t xml:space="preserve"> to </w:t>
      </w:r>
      <w:proofErr w:type="spellStart"/>
      <w:r>
        <w:t>use</w:t>
      </w:r>
      <w:proofErr w:type="spellEnd"/>
      <w:r>
        <w:t xml:space="preserve"> </w:t>
      </w:r>
      <w:proofErr w:type="spellStart"/>
      <w:r>
        <w:t>the</w:t>
      </w:r>
      <w:proofErr w:type="spellEnd"/>
      <w:r>
        <w:t xml:space="preserve"> </w:t>
      </w:r>
      <w:proofErr w:type="spellStart"/>
      <w:r>
        <w:t>study</w:t>
      </w:r>
      <w:proofErr w:type="spellEnd"/>
      <w:r>
        <w:t xml:space="preserve"> area </w:t>
      </w:r>
      <w:proofErr w:type="spellStart"/>
      <w:proofErr w:type="gramStart"/>
      <w:r>
        <w:t>map</w:t>
      </w:r>
      <w:proofErr w:type="spellEnd"/>
      <w:r>
        <w:t xml:space="preserve"> .</w:t>
      </w:r>
      <w:proofErr w:type="gramEnd"/>
      <w:r>
        <w:t xml:space="preserve"> it </w:t>
      </w:r>
      <w:proofErr w:type="spellStart"/>
      <w:r>
        <w:t>will</w:t>
      </w:r>
      <w:proofErr w:type="spellEnd"/>
      <w:r>
        <w:t xml:space="preserve"> be </w:t>
      </w:r>
      <w:proofErr w:type="spellStart"/>
      <w:r>
        <w:t>good</w:t>
      </w:r>
      <w:proofErr w:type="spellEnd"/>
      <w:r>
        <w:t xml:space="preserve"> for </w:t>
      </w:r>
      <w:proofErr w:type="spellStart"/>
      <w:r>
        <w:t>the</w:t>
      </w:r>
      <w:proofErr w:type="spellEnd"/>
      <w:r>
        <w:t xml:space="preserve"> </w:t>
      </w:r>
      <w:proofErr w:type="spellStart"/>
      <w:r>
        <w:t>reader</w:t>
      </w:r>
      <w:proofErr w:type="spellEnd"/>
      <w:r>
        <w:t xml:space="preserve"> </w:t>
      </w:r>
      <w:proofErr w:type="spellStart"/>
      <w:r>
        <w:t>visibilty</w:t>
      </w:r>
      <w:proofErr w:type="spellEnd"/>
      <w:r>
        <w:t>.</w:t>
      </w:r>
    </w:p>
    <w:p w14:paraId="4776F382" w14:textId="5F326F28" w:rsidR="004C6804" w:rsidRDefault="004C6804">
      <w:pPr>
        <w:pStyle w:val="CommentText"/>
      </w:pPr>
    </w:p>
  </w:comment>
  <w:comment w:id="1" w:author="Microsoft Office User" w:date="2025-07-11T19:34:00Z" w:initials="MOU">
    <w:p w14:paraId="0BF3C621" w14:textId="6CB96E61" w:rsidR="004C6804" w:rsidRDefault="004C6804">
      <w:pPr>
        <w:pStyle w:val="CommentText"/>
      </w:pPr>
      <w:r>
        <w:rPr>
          <w:rStyle w:val="CommentReference"/>
        </w:rPr>
        <w:annotationRef/>
      </w:r>
      <w:proofErr w:type="spellStart"/>
      <w:r>
        <w:t>You</w:t>
      </w:r>
      <w:proofErr w:type="spellEnd"/>
      <w:r>
        <w:t xml:space="preserve"> </w:t>
      </w:r>
      <w:proofErr w:type="spellStart"/>
      <w:proofErr w:type="gramStart"/>
      <w:r>
        <w:t>can</w:t>
      </w:r>
      <w:proofErr w:type="spellEnd"/>
      <w:r>
        <w:t xml:space="preserve">  </w:t>
      </w:r>
      <w:proofErr w:type="spellStart"/>
      <w:r>
        <w:t>use</w:t>
      </w:r>
      <w:proofErr w:type="spellEnd"/>
      <w:proofErr w:type="gramEnd"/>
      <w:r>
        <w:t xml:space="preserve"> </w:t>
      </w:r>
      <w:proofErr w:type="spellStart"/>
      <w:r>
        <w:t>the</w:t>
      </w:r>
      <w:proofErr w:type="spellEnd"/>
      <w:r>
        <w:t xml:space="preserve"> </w:t>
      </w:r>
      <w:proofErr w:type="spellStart"/>
      <w:r>
        <w:t>schematic</w:t>
      </w:r>
      <w:proofErr w:type="spellEnd"/>
      <w:r>
        <w:t xml:space="preserve"> diagram for </w:t>
      </w:r>
      <w:proofErr w:type="spellStart"/>
      <w:r>
        <w:t>the</w:t>
      </w:r>
      <w:proofErr w:type="spellEnd"/>
      <w:r>
        <w:t xml:space="preserve">  </w:t>
      </w:r>
      <w:proofErr w:type="spellStart"/>
      <w:r>
        <w:t>research</w:t>
      </w:r>
      <w:proofErr w:type="spellEnd"/>
      <w:r>
        <w:t xml:space="preserve"> </w:t>
      </w:r>
      <w:proofErr w:type="spellStart"/>
      <w:r>
        <w:t>methods</w:t>
      </w:r>
      <w:proofErr w:type="spellEnd"/>
      <w:r>
        <w:t xml:space="preserve"> </w:t>
      </w:r>
      <w:proofErr w:type="spellStart"/>
      <w:r>
        <w:t>if</w:t>
      </w:r>
      <w:proofErr w:type="spellEnd"/>
      <w:r>
        <w:t xml:space="preserve"> </w:t>
      </w:r>
      <w:proofErr w:type="spellStart"/>
      <w:r>
        <w:t>possible</w:t>
      </w:r>
      <w:proofErr w:type="spellEnd"/>
      <w:r>
        <w:t xml:space="preserve"> </w:t>
      </w:r>
      <w:proofErr w:type="spellStart"/>
      <w:r>
        <w:t>rather</w:t>
      </w:r>
      <w:proofErr w:type="spellEnd"/>
      <w:r>
        <w:t xml:space="preserve"> </w:t>
      </w:r>
      <w:proofErr w:type="spellStart"/>
      <w:r>
        <w:t>than</w:t>
      </w:r>
      <w:proofErr w:type="spellEnd"/>
      <w:r>
        <w:t xml:space="preserve"> </w:t>
      </w:r>
      <w:proofErr w:type="spellStart"/>
      <w:r>
        <w:t>long</w:t>
      </w:r>
      <w:proofErr w:type="spellEnd"/>
      <w:r>
        <w:t xml:space="preserve"> </w:t>
      </w:r>
      <w:proofErr w:type="spellStart"/>
      <w:r>
        <w:t>texts</w:t>
      </w:r>
      <w:proofErr w:type="spellEnd"/>
      <w:r>
        <w:t xml:space="preserve">. </w:t>
      </w:r>
    </w:p>
  </w:comment>
  <w:comment w:id="7" w:author="Microsoft Office User" w:date="2025-07-11T19:36:00Z" w:initials="MOU">
    <w:p w14:paraId="514CEF90" w14:textId="391E773D" w:rsidR="004C6804" w:rsidRDefault="004C6804">
      <w:pPr>
        <w:pStyle w:val="CommentText"/>
      </w:pPr>
      <w:r>
        <w:rPr>
          <w:rStyle w:val="CommentReference"/>
        </w:rPr>
        <w:annotationRef/>
      </w:r>
      <w:r>
        <w:t xml:space="preserve">In </w:t>
      </w:r>
      <w:proofErr w:type="spellStart"/>
      <w:r>
        <w:t>this</w:t>
      </w:r>
      <w:proofErr w:type="spellEnd"/>
      <w:r>
        <w:t xml:space="preserve"> </w:t>
      </w:r>
      <w:proofErr w:type="spellStart"/>
      <w:r>
        <w:t>discussion</w:t>
      </w:r>
      <w:proofErr w:type="spellEnd"/>
      <w:r>
        <w:t xml:space="preserve"> </w:t>
      </w:r>
      <w:proofErr w:type="spellStart"/>
      <w:r>
        <w:t>section</w:t>
      </w:r>
      <w:proofErr w:type="spellEnd"/>
      <w:r>
        <w:t xml:space="preserve"> </w:t>
      </w:r>
      <w:proofErr w:type="spellStart"/>
      <w:r>
        <w:t>please</w:t>
      </w:r>
      <w:proofErr w:type="spellEnd"/>
      <w:r>
        <w:t xml:space="preserve"> </w:t>
      </w:r>
      <w:proofErr w:type="spellStart"/>
      <w:r>
        <w:t>compare</w:t>
      </w:r>
      <w:proofErr w:type="spellEnd"/>
      <w:r>
        <w:t xml:space="preserve"> </w:t>
      </w:r>
      <w:proofErr w:type="spellStart"/>
      <w:r>
        <w:t>with</w:t>
      </w:r>
      <w:proofErr w:type="spellEnd"/>
      <w:r>
        <w:t xml:space="preserve"> </w:t>
      </w:r>
      <w:proofErr w:type="spellStart"/>
      <w:r>
        <w:t>atleast</w:t>
      </w:r>
      <w:proofErr w:type="spellEnd"/>
      <w:r>
        <w:t xml:space="preserve"> </w:t>
      </w:r>
      <w:proofErr w:type="spellStart"/>
      <w:r>
        <w:t>some</w:t>
      </w:r>
      <w:proofErr w:type="spellEnd"/>
      <w:r>
        <w:t xml:space="preserve"> </w:t>
      </w:r>
      <w:proofErr w:type="spellStart"/>
      <w:r>
        <w:t>international</w:t>
      </w:r>
      <w:proofErr w:type="spellEnd"/>
      <w:r>
        <w:t xml:space="preserve"> studies </w:t>
      </w:r>
      <w:proofErr w:type="spellStart"/>
      <w:r>
        <w:t>too</w:t>
      </w:r>
      <w:proofErr w:type="spellEnd"/>
      <w:r>
        <w:t xml:space="preserve"> to </w:t>
      </w:r>
      <w:proofErr w:type="spellStart"/>
      <w:r>
        <w:t>verify</w:t>
      </w:r>
      <w:proofErr w:type="spellEnd"/>
      <w:r>
        <w:t xml:space="preserve"> </w:t>
      </w:r>
      <w:proofErr w:type="spellStart"/>
      <w:r>
        <w:t>your</w:t>
      </w:r>
      <w:proofErr w:type="spellEnd"/>
      <w:r>
        <w:t xml:space="preserve"> </w:t>
      </w:r>
      <w:proofErr w:type="spellStart"/>
      <w:r>
        <w:t>result</w:t>
      </w:r>
      <w:proofErr w:type="spellEnd"/>
      <w:r>
        <w:t xml:space="preserve">. </w:t>
      </w:r>
    </w:p>
  </w:comment>
  <w:comment w:id="8" w:author="Microsoft Office User" w:date="2025-07-11T19:37:00Z" w:initials="MOU">
    <w:p w14:paraId="65192BF3" w14:textId="250859C9" w:rsidR="00D744CB" w:rsidRDefault="00D744CB">
      <w:pPr>
        <w:pStyle w:val="CommentText"/>
      </w:pPr>
      <w:r>
        <w:rPr>
          <w:rStyle w:val="CommentReference"/>
        </w:rPr>
        <w:annotationRef/>
      </w:r>
      <w:proofErr w:type="spellStart"/>
      <w:r>
        <w:t>You</w:t>
      </w:r>
      <w:proofErr w:type="spellEnd"/>
      <w:r>
        <w:t xml:space="preserve"> </w:t>
      </w:r>
      <w:proofErr w:type="spellStart"/>
      <w:r>
        <w:t>can</w:t>
      </w:r>
      <w:proofErr w:type="spellEnd"/>
      <w:r>
        <w:t xml:space="preserve"> </w:t>
      </w:r>
      <w:proofErr w:type="spellStart"/>
      <w:r>
        <w:t>give</w:t>
      </w:r>
      <w:proofErr w:type="spellEnd"/>
      <w:r>
        <w:t xml:space="preserve"> </w:t>
      </w:r>
      <w:proofErr w:type="spellStart"/>
      <w:r>
        <w:t>some</w:t>
      </w:r>
      <w:proofErr w:type="spellEnd"/>
      <w:r>
        <w:t xml:space="preserve"> </w:t>
      </w:r>
      <w:proofErr w:type="spellStart"/>
      <w:r>
        <w:t>strategic</w:t>
      </w:r>
      <w:proofErr w:type="spellEnd"/>
      <w:r>
        <w:t xml:space="preserve"> and policy </w:t>
      </w:r>
      <w:proofErr w:type="spellStart"/>
      <w:r>
        <w:t>recomendations</w:t>
      </w:r>
      <w:proofErr w:type="spellEnd"/>
      <w:r>
        <w:t xml:space="preserve"> </w:t>
      </w:r>
      <w:proofErr w:type="spellStart"/>
      <w:r>
        <w:t>if</w:t>
      </w:r>
      <w:proofErr w:type="spellEnd"/>
      <w:r>
        <w:t xml:space="preserve"> </w:t>
      </w:r>
      <w:proofErr w:type="spellStart"/>
      <w:proofErr w:type="gramStart"/>
      <w:r>
        <w:t>possible</w:t>
      </w:r>
      <w:proofErr w:type="spellEnd"/>
      <w:r>
        <w:t xml:space="preserve"> .</w:t>
      </w:r>
      <w:proofErr w:type="gramEnd"/>
      <w:r>
        <w:t xml:space="preserve">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76F382" w15:done="0"/>
  <w15:commentEx w15:paraId="0BF3C621" w15:done="0"/>
  <w15:commentEx w15:paraId="514CEF90" w15:done="0"/>
  <w15:commentEx w15:paraId="65192B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76F382" w16cid:durableId="2C1BE567"/>
  <w16cid:commentId w16cid:paraId="0BF3C621" w16cid:durableId="2C1BE5BB"/>
  <w16cid:commentId w16cid:paraId="514CEF90" w16cid:durableId="2C1BE631"/>
  <w16cid:commentId w16cid:paraId="65192BF3" w16cid:durableId="2C1BE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9739D" w14:textId="77777777" w:rsidR="00194817" w:rsidRPr="005625F5" w:rsidRDefault="00194817" w:rsidP="00C37E61">
      <w:r w:rsidRPr="005625F5">
        <w:separator/>
      </w:r>
    </w:p>
  </w:endnote>
  <w:endnote w:type="continuationSeparator" w:id="0">
    <w:p w14:paraId="0360C0BF" w14:textId="77777777" w:rsidR="00194817" w:rsidRPr="005625F5" w:rsidRDefault="00194817" w:rsidP="00C37E61">
      <w:r w:rsidRPr="005625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F640" w14:textId="77777777" w:rsidR="00DD1100" w:rsidRDefault="00DD1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9F8C5" w14:textId="77777777" w:rsidR="00DD1100" w:rsidRDefault="00DD1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66FA4" w14:textId="34158A12" w:rsidR="00754C9A" w:rsidRPr="00DD1100" w:rsidRDefault="00754C9A" w:rsidP="00DD11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BDC6" w14:textId="77777777" w:rsidR="00C37E61" w:rsidRPr="005625F5"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7753B" w14:textId="77777777" w:rsidR="00194817" w:rsidRPr="005625F5" w:rsidRDefault="00194817" w:rsidP="00C37E61">
      <w:r w:rsidRPr="005625F5">
        <w:separator/>
      </w:r>
    </w:p>
  </w:footnote>
  <w:footnote w:type="continuationSeparator" w:id="0">
    <w:p w14:paraId="608F54DE" w14:textId="77777777" w:rsidR="00194817" w:rsidRPr="005625F5" w:rsidRDefault="00194817" w:rsidP="00C37E61">
      <w:r w:rsidRPr="005625F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8142" w14:textId="19B40B8A" w:rsidR="00DD1100" w:rsidRDefault="00194817">
    <w:pPr>
      <w:pStyle w:val="Header"/>
    </w:pPr>
    <w:r>
      <w:rPr>
        <w:noProof/>
      </w:rPr>
      <w:pict w14:anchorId="76399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3" o:spid="_x0000_s2054"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4D95" w14:textId="64D25B2B" w:rsidR="00DD1100" w:rsidRDefault="00194817">
    <w:pPr>
      <w:pStyle w:val="Header"/>
    </w:pPr>
    <w:r>
      <w:rPr>
        <w:noProof/>
      </w:rPr>
      <w:pict w14:anchorId="10DC0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4" o:spid="_x0000_s2053"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47A4" w14:textId="2B41AAA7" w:rsidR="00296529" w:rsidRPr="005625F5" w:rsidRDefault="00194817" w:rsidP="00296529">
    <w:pPr>
      <w:ind w:left="2160"/>
      <w:jc w:val="center"/>
      <w:rPr>
        <w:rFonts w:ascii="Times New Roman" w:eastAsia="Calibri" w:hAnsi="Times New Roman"/>
        <w:i/>
        <w:sz w:val="18"/>
        <w:szCs w:val="22"/>
      </w:rPr>
    </w:pPr>
    <w:r>
      <w:rPr>
        <w:noProof/>
      </w:rPr>
      <w:pict w14:anchorId="108A7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2" o:spid="_x0000_s2052" type="#_x0000_t136" alt="" style="position:absolute;left:0;text-align:left;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3AE246CE" w14:textId="77777777" w:rsidR="00296529" w:rsidRPr="005625F5" w:rsidRDefault="00754C9A" w:rsidP="00296529">
    <w:pPr>
      <w:ind w:left="4320"/>
      <w:rPr>
        <w:rFonts w:ascii="Times New Roman" w:eastAsia="Calibri" w:hAnsi="Times New Roman"/>
        <w:i/>
        <w:sz w:val="18"/>
        <w:szCs w:val="22"/>
      </w:rPr>
    </w:pPr>
    <w:r w:rsidRPr="005625F5">
      <w:rPr>
        <w:rFonts w:ascii="Times New Roman" w:eastAsia="Calibri" w:hAnsi="Times New Roman"/>
        <w:i/>
        <w:sz w:val="18"/>
        <w:szCs w:val="22"/>
      </w:rPr>
      <w:t>.</w:t>
    </w:r>
    <w:r w:rsidR="00296529" w:rsidRPr="005625F5">
      <w:rPr>
        <w:rFonts w:ascii="Times New Roman" w:eastAsia="Calibri" w:hAnsi="Times New Roman"/>
        <w:i/>
        <w:sz w:val="18"/>
        <w:szCs w:val="22"/>
      </w:rPr>
      <w:t xml:space="preserve">     </w:t>
    </w:r>
  </w:p>
  <w:p w14:paraId="15C319B7" w14:textId="77777777" w:rsidR="00296529" w:rsidRPr="005625F5" w:rsidRDefault="00754C9A" w:rsidP="00296529">
    <w:pPr>
      <w:jc w:val="center"/>
      <w:rPr>
        <w:rFonts w:ascii="Times New Roman" w:eastAsia="Calibri" w:hAnsi="Times New Roman"/>
        <w:i/>
        <w:sz w:val="18"/>
        <w:szCs w:val="22"/>
      </w:rPr>
    </w:pPr>
    <w:r w:rsidRPr="005625F5">
      <w:rPr>
        <w:rFonts w:ascii="Times New Roman" w:eastAsia="Calibri" w:hAnsi="Times New Roman"/>
        <w:i/>
        <w:sz w:val="18"/>
        <w:szCs w:val="22"/>
      </w:rPr>
      <w:t>.</w:t>
    </w:r>
  </w:p>
  <w:p w14:paraId="78BE42E4" w14:textId="77777777" w:rsidR="00296529" w:rsidRPr="005625F5" w:rsidRDefault="00296529" w:rsidP="00296529">
    <w:pPr>
      <w:spacing w:after="200"/>
      <w:jc w:val="center"/>
      <w:rPr>
        <w:rFonts w:ascii="Times New Roman" w:eastAsia="Calibri" w:hAnsi="Times New Roman"/>
        <w:b/>
        <w:i/>
        <w:sz w:val="32"/>
        <w:szCs w:val="22"/>
      </w:rPr>
    </w:pPr>
    <w:r w:rsidRPr="005625F5">
      <w:rPr>
        <w:rFonts w:ascii="Times New Roman" w:eastAsia="Calibri" w:hAnsi="Times New Roman"/>
        <w:b/>
        <w:i/>
        <w:sz w:val="32"/>
        <w:szCs w:val="22"/>
      </w:rPr>
      <w:t xml:space="preserve">              </w:t>
    </w:r>
    <w:r w:rsidR="00754C9A" w:rsidRPr="005625F5">
      <w:rPr>
        <w:rFonts w:ascii="Times New Roman" w:eastAsia="Calibri" w:hAnsi="Times New Roman"/>
        <w:b/>
        <w:i/>
        <w:sz w:val="32"/>
        <w:szCs w:val="22"/>
      </w:rPr>
      <w:t>.</w:t>
    </w:r>
    <w:r w:rsidRPr="005625F5">
      <w:rPr>
        <w:rFonts w:ascii="Times New Roman" w:eastAsia="Calibri" w:hAnsi="Times New Roman"/>
        <w:b/>
        <w:i/>
        <w:sz w:val="32"/>
        <w:szCs w:val="22"/>
      </w:rPr>
      <w:t xml:space="preserve"> </w:t>
    </w:r>
  </w:p>
  <w:p w14:paraId="3619149F" w14:textId="77777777" w:rsidR="00296529" w:rsidRPr="005625F5" w:rsidRDefault="00296529" w:rsidP="00296529">
    <w:pPr>
      <w:jc w:val="center"/>
      <w:rPr>
        <w:rFonts w:ascii="Times New Roman" w:eastAsia="Calibri" w:hAnsi="Times New Roman"/>
        <w:i/>
        <w:sz w:val="18"/>
        <w:szCs w:val="22"/>
      </w:rPr>
    </w:pPr>
    <w:r w:rsidRPr="005625F5">
      <w:rPr>
        <w:rFonts w:ascii="Times New Roman" w:eastAsia="Calibri" w:hAnsi="Times New Roman"/>
        <w:i/>
        <w:sz w:val="18"/>
        <w:szCs w:val="22"/>
      </w:rPr>
      <w:t xml:space="preserve">                     </w:t>
    </w:r>
  </w:p>
  <w:p w14:paraId="7B38F1E6" w14:textId="77777777" w:rsidR="00296529" w:rsidRPr="005625F5" w:rsidRDefault="00296529" w:rsidP="00296529">
    <w:pPr>
      <w:tabs>
        <w:tab w:val="left" w:pos="2145"/>
      </w:tabs>
      <w:rPr>
        <w:rFonts w:ascii="Times New Roman" w:eastAsia="Calibri" w:hAnsi="Times New Roman"/>
        <w:i/>
        <w:sz w:val="18"/>
        <w:szCs w:val="22"/>
      </w:rPr>
    </w:pPr>
    <w:r w:rsidRPr="005625F5">
      <w:rPr>
        <w:rFonts w:ascii="Times New Roman" w:eastAsia="Calibri" w:hAnsi="Times New Roman"/>
        <w:i/>
        <w:sz w:val="18"/>
        <w:szCs w:val="22"/>
      </w:rPr>
      <w:tab/>
    </w:r>
    <w:r w:rsidR="00754C9A" w:rsidRPr="005625F5">
      <w:rPr>
        <w:rFonts w:ascii="Times New Roman" w:eastAsia="Calibri" w:hAnsi="Times New Roman"/>
        <w:i/>
        <w:sz w:val="18"/>
        <w:szCs w:val="22"/>
      </w:rPr>
      <w:t>.</w:t>
    </w:r>
  </w:p>
  <w:p w14:paraId="52A4F219" w14:textId="77777777" w:rsidR="00296529" w:rsidRPr="005625F5" w:rsidRDefault="00754C9A">
    <w:pPr>
      <w:pStyle w:val="Header"/>
    </w:pPr>
    <w:r w:rsidRPr="005625F5">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7B14" w14:textId="6EB15912" w:rsidR="00DD1100" w:rsidRDefault="00194817">
    <w:pPr>
      <w:pStyle w:val="Header"/>
    </w:pPr>
    <w:r>
      <w:rPr>
        <w:noProof/>
      </w:rPr>
      <w:pict w14:anchorId="2EDCF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6" o:spid="_x0000_s2051" type="#_x0000_t136" alt="" style="position:absolute;margin-left:0;margin-top:0;width:685.25pt;height:76.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3438C" w14:textId="5A3811F3" w:rsidR="00DD1100" w:rsidRDefault="00194817">
    <w:pPr>
      <w:pStyle w:val="Header"/>
    </w:pPr>
    <w:r>
      <w:rPr>
        <w:noProof/>
      </w:rPr>
      <w:pict w14:anchorId="5ED2D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7" o:spid="_x0000_s2050" type="#_x0000_t136" alt="" style="position:absolute;margin-left:0;margin-top:0;width:685.25pt;height:76.1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92EE" w14:textId="7D7C34F8" w:rsidR="00DD1100" w:rsidRDefault="00194817">
    <w:pPr>
      <w:pStyle w:val="Header"/>
    </w:pPr>
    <w:r>
      <w:rPr>
        <w:noProof/>
      </w:rPr>
      <w:pict w14:anchorId="4F294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5" o:spid="_x0000_s2049" type="#_x0000_t136" alt="" style="position:absolute;margin-left:0;margin-top:0;width:685.25pt;height:76.1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0407C7"/>
    <w:multiLevelType w:val="multilevel"/>
    <w:tmpl w:val="FC0AA8AE"/>
    <w:lvl w:ilvl="0">
      <w:start w:val="1"/>
      <w:numFmt w:val="lowerRoman"/>
      <w:lvlText w:val="%1."/>
      <w:lvlJc w:val="right"/>
      <w:pPr>
        <w:ind w:left="72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794" w:hanging="1440"/>
      </w:pPr>
      <w:rPr>
        <w:rFonts w:hint="default"/>
      </w:rPr>
    </w:lvl>
    <w:lvl w:ilvl="8">
      <w:start w:val="1"/>
      <w:numFmt w:val="decimal"/>
      <w:lvlText w:val="%1.%2.%3.%4.%5.%6.%7.%8.%9"/>
      <w:lvlJc w:val="left"/>
      <w:pPr>
        <w:ind w:left="3296" w:hanging="1800"/>
      </w:pPr>
      <w:rPr>
        <w:rFonts w:hint="default"/>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1720"/>
    <w:rsid w:val="00030174"/>
    <w:rsid w:val="0004579C"/>
    <w:rsid w:val="00045ABA"/>
    <w:rsid w:val="00077C2C"/>
    <w:rsid w:val="000A47FA"/>
    <w:rsid w:val="000A65D3"/>
    <w:rsid w:val="000B1E33"/>
    <w:rsid w:val="000D689F"/>
    <w:rsid w:val="000E7B7B"/>
    <w:rsid w:val="000E7D62"/>
    <w:rsid w:val="00103357"/>
    <w:rsid w:val="00123C9F"/>
    <w:rsid w:val="00126190"/>
    <w:rsid w:val="00130F17"/>
    <w:rsid w:val="001320BF"/>
    <w:rsid w:val="00153A65"/>
    <w:rsid w:val="00156728"/>
    <w:rsid w:val="00163BC4"/>
    <w:rsid w:val="00166721"/>
    <w:rsid w:val="00191062"/>
    <w:rsid w:val="00192B72"/>
    <w:rsid w:val="00194817"/>
    <w:rsid w:val="001A29D8"/>
    <w:rsid w:val="001A5CAA"/>
    <w:rsid w:val="001B0427"/>
    <w:rsid w:val="001B4ADC"/>
    <w:rsid w:val="001C29CD"/>
    <w:rsid w:val="001D3A51"/>
    <w:rsid w:val="001E10D2"/>
    <w:rsid w:val="001E25B4"/>
    <w:rsid w:val="001E44FE"/>
    <w:rsid w:val="00200595"/>
    <w:rsid w:val="00204835"/>
    <w:rsid w:val="00231920"/>
    <w:rsid w:val="0023195C"/>
    <w:rsid w:val="0024282C"/>
    <w:rsid w:val="002460DC"/>
    <w:rsid w:val="00250985"/>
    <w:rsid w:val="00251C08"/>
    <w:rsid w:val="002556F6"/>
    <w:rsid w:val="00283105"/>
    <w:rsid w:val="00284C4C"/>
    <w:rsid w:val="00287E68"/>
    <w:rsid w:val="00296529"/>
    <w:rsid w:val="002B27FB"/>
    <w:rsid w:val="002B685A"/>
    <w:rsid w:val="002C57D2"/>
    <w:rsid w:val="002E0D56"/>
    <w:rsid w:val="00315186"/>
    <w:rsid w:val="0033343E"/>
    <w:rsid w:val="003512C2"/>
    <w:rsid w:val="00371FB6"/>
    <w:rsid w:val="00372976"/>
    <w:rsid w:val="003763C1"/>
    <w:rsid w:val="00376BBE"/>
    <w:rsid w:val="0039224F"/>
    <w:rsid w:val="003A43A4"/>
    <w:rsid w:val="003A7E18"/>
    <w:rsid w:val="003C4C86"/>
    <w:rsid w:val="003C52B0"/>
    <w:rsid w:val="003C6258"/>
    <w:rsid w:val="003E2904"/>
    <w:rsid w:val="00401927"/>
    <w:rsid w:val="0041027F"/>
    <w:rsid w:val="00412475"/>
    <w:rsid w:val="00423789"/>
    <w:rsid w:val="00440F43"/>
    <w:rsid w:val="00441B6F"/>
    <w:rsid w:val="00446221"/>
    <w:rsid w:val="0045029F"/>
    <w:rsid w:val="00450E62"/>
    <w:rsid w:val="004539DB"/>
    <w:rsid w:val="00471A80"/>
    <w:rsid w:val="004A73DD"/>
    <w:rsid w:val="004C6804"/>
    <w:rsid w:val="004D1F95"/>
    <w:rsid w:val="004D305E"/>
    <w:rsid w:val="004D4277"/>
    <w:rsid w:val="00502516"/>
    <w:rsid w:val="00505F06"/>
    <w:rsid w:val="00506828"/>
    <w:rsid w:val="0053056E"/>
    <w:rsid w:val="00531FA5"/>
    <w:rsid w:val="00541625"/>
    <w:rsid w:val="00554FDA"/>
    <w:rsid w:val="005625F5"/>
    <w:rsid w:val="005C784C"/>
    <w:rsid w:val="005D17F6"/>
    <w:rsid w:val="005E5539"/>
    <w:rsid w:val="00602BF5"/>
    <w:rsid w:val="00617FDD"/>
    <w:rsid w:val="00626BD5"/>
    <w:rsid w:val="00633614"/>
    <w:rsid w:val="00633F68"/>
    <w:rsid w:val="00636EB2"/>
    <w:rsid w:val="006375B8"/>
    <w:rsid w:val="00652845"/>
    <w:rsid w:val="0066510A"/>
    <w:rsid w:val="00673F9F"/>
    <w:rsid w:val="00686953"/>
    <w:rsid w:val="00687DEA"/>
    <w:rsid w:val="00687E67"/>
    <w:rsid w:val="006967F7"/>
    <w:rsid w:val="006A250C"/>
    <w:rsid w:val="006B21D3"/>
    <w:rsid w:val="006B57D0"/>
    <w:rsid w:val="006D30FF"/>
    <w:rsid w:val="006D6940"/>
    <w:rsid w:val="006F0F0B"/>
    <w:rsid w:val="006F11EC"/>
    <w:rsid w:val="0070082C"/>
    <w:rsid w:val="00720CD5"/>
    <w:rsid w:val="007369E6"/>
    <w:rsid w:val="00746E59"/>
    <w:rsid w:val="00754C9A"/>
    <w:rsid w:val="0075599A"/>
    <w:rsid w:val="00761D52"/>
    <w:rsid w:val="00762093"/>
    <w:rsid w:val="0077749E"/>
    <w:rsid w:val="00790ADA"/>
    <w:rsid w:val="00791C31"/>
    <w:rsid w:val="007B41AE"/>
    <w:rsid w:val="007D2288"/>
    <w:rsid w:val="007E088F"/>
    <w:rsid w:val="007E5858"/>
    <w:rsid w:val="007F1E0D"/>
    <w:rsid w:val="007F7B32"/>
    <w:rsid w:val="0080098B"/>
    <w:rsid w:val="00804BC2"/>
    <w:rsid w:val="0081431A"/>
    <w:rsid w:val="0083216F"/>
    <w:rsid w:val="00860000"/>
    <w:rsid w:val="008625B9"/>
    <w:rsid w:val="00863BD3"/>
    <w:rsid w:val="008641ED"/>
    <w:rsid w:val="00866D66"/>
    <w:rsid w:val="008671C6"/>
    <w:rsid w:val="00875803"/>
    <w:rsid w:val="008B459E"/>
    <w:rsid w:val="008D2D05"/>
    <w:rsid w:val="008E13AE"/>
    <w:rsid w:val="008E1506"/>
    <w:rsid w:val="008E710C"/>
    <w:rsid w:val="008F69D6"/>
    <w:rsid w:val="00902823"/>
    <w:rsid w:val="00915CA6"/>
    <w:rsid w:val="00915F0F"/>
    <w:rsid w:val="00927834"/>
    <w:rsid w:val="009500A6"/>
    <w:rsid w:val="0095114B"/>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16F2"/>
    <w:rsid w:val="00A94063"/>
    <w:rsid w:val="00AA6219"/>
    <w:rsid w:val="00AA74E0"/>
    <w:rsid w:val="00AB703F"/>
    <w:rsid w:val="00AC6BB8"/>
    <w:rsid w:val="00AE008F"/>
    <w:rsid w:val="00AE4E50"/>
    <w:rsid w:val="00B01FCD"/>
    <w:rsid w:val="00B15640"/>
    <w:rsid w:val="00B1776C"/>
    <w:rsid w:val="00B52583"/>
    <w:rsid w:val="00B52896"/>
    <w:rsid w:val="00B53B2E"/>
    <w:rsid w:val="00B91CBE"/>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4FB1"/>
    <w:rsid w:val="00C6424E"/>
    <w:rsid w:val="00C70F1B"/>
    <w:rsid w:val="00C71A47"/>
    <w:rsid w:val="00C7464C"/>
    <w:rsid w:val="00C85588"/>
    <w:rsid w:val="00CA09BA"/>
    <w:rsid w:val="00CB6D5A"/>
    <w:rsid w:val="00CD6755"/>
    <w:rsid w:val="00CD6856"/>
    <w:rsid w:val="00CE0089"/>
    <w:rsid w:val="00CE793C"/>
    <w:rsid w:val="00CF193C"/>
    <w:rsid w:val="00D173F1"/>
    <w:rsid w:val="00D744CB"/>
    <w:rsid w:val="00D74CB0"/>
    <w:rsid w:val="00D76F06"/>
    <w:rsid w:val="00D8295D"/>
    <w:rsid w:val="00D872A1"/>
    <w:rsid w:val="00DC2A65"/>
    <w:rsid w:val="00DD1100"/>
    <w:rsid w:val="00DE15F0"/>
    <w:rsid w:val="00DE218C"/>
    <w:rsid w:val="00DE3D89"/>
    <w:rsid w:val="00DE5663"/>
    <w:rsid w:val="00DE78AA"/>
    <w:rsid w:val="00E02847"/>
    <w:rsid w:val="00E053D0"/>
    <w:rsid w:val="00E15994"/>
    <w:rsid w:val="00E1752C"/>
    <w:rsid w:val="00E24F77"/>
    <w:rsid w:val="00E3114E"/>
    <w:rsid w:val="00E31A70"/>
    <w:rsid w:val="00E35B02"/>
    <w:rsid w:val="00E50C50"/>
    <w:rsid w:val="00E55431"/>
    <w:rsid w:val="00E64F4A"/>
    <w:rsid w:val="00E66496"/>
    <w:rsid w:val="00E66B35"/>
    <w:rsid w:val="00E66E10"/>
    <w:rsid w:val="00E769F6"/>
    <w:rsid w:val="00E8407C"/>
    <w:rsid w:val="00E84F3C"/>
    <w:rsid w:val="00EA012C"/>
    <w:rsid w:val="00EC6A55"/>
    <w:rsid w:val="00ED0288"/>
    <w:rsid w:val="00ED1BA5"/>
    <w:rsid w:val="00ED556F"/>
    <w:rsid w:val="00EE52CB"/>
    <w:rsid w:val="00EF581D"/>
    <w:rsid w:val="00EF7FD8"/>
    <w:rsid w:val="00F06F59"/>
    <w:rsid w:val="00F128D0"/>
    <w:rsid w:val="00F146B2"/>
    <w:rsid w:val="00F17988"/>
    <w:rsid w:val="00F469F0"/>
    <w:rsid w:val="00F53273"/>
    <w:rsid w:val="00F73A69"/>
    <w:rsid w:val="00F755E4"/>
    <w:rsid w:val="00F77D02"/>
    <w:rsid w:val="00F8459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FF9FED5"/>
  <w15:docId w15:val="{5F54E90D-624B-4C37-AD27-280A701C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26B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626BD5"/>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qFormat/>
    <w:rsid w:val="00626BD5"/>
    <w:pPr>
      <w:keepNext/>
      <w:spacing w:before="120" w:line="480" w:lineRule="auto"/>
      <w:jc w:val="both"/>
    </w:pPr>
    <w:rPr>
      <w:rFonts w:ascii="Times New Roman" w:eastAsia="Calibri" w:hAnsi="Times New Roman"/>
      <w:b/>
      <w:iCs/>
      <w:color w:val="000000"/>
      <w:sz w:val="24"/>
      <w:szCs w:val="24"/>
      <w14:ligatures w14:val="standardContextual"/>
    </w:rPr>
  </w:style>
  <w:style w:type="table" w:styleId="ListTable6Colorful">
    <w:name w:val="List Table 6 Colorful"/>
    <w:basedOn w:val="TableNormal"/>
    <w:uiPriority w:val="51"/>
    <w:rsid w:val="00626BD5"/>
    <w:rPr>
      <w:rFonts w:asciiTheme="minorHAnsi" w:eastAsiaTheme="minorHAnsi" w:hAnsiTheme="minorHAnsi" w:cstheme="minorBidi"/>
      <w:color w:val="000000" w:themeColor="text1"/>
      <w:sz w:val="22"/>
      <w:szCs w:val="22"/>
      <w:lang w:val="en-GB"/>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6">
    <w:name w:val="Table Grid6"/>
    <w:basedOn w:val="TableNormal"/>
    <w:next w:val="TableGrid"/>
    <w:uiPriority w:val="59"/>
    <w:rsid w:val="00626BD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6BD5"/>
    <w:rPr>
      <w:b/>
      <w:bCs/>
    </w:rPr>
  </w:style>
  <w:style w:type="character" w:customStyle="1" w:styleId="Heading1Char">
    <w:name w:val="Heading 1 Char"/>
    <w:basedOn w:val="DefaultParagraphFont"/>
    <w:link w:val="Heading1"/>
    <w:uiPriority w:val="9"/>
    <w:rsid w:val="00F146B2"/>
    <w:rPr>
      <w:rFonts w:ascii="Arial" w:hAnsi="Arial"/>
      <w:b/>
      <w:kern w:val="28"/>
      <w:sz w:val="28"/>
    </w:rPr>
  </w:style>
  <w:style w:type="paragraph" w:styleId="Bibliography">
    <w:name w:val="Bibliography"/>
    <w:basedOn w:val="Normal"/>
    <w:next w:val="Normal"/>
    <w:uiPriority w:val="37"/>
    <w:unhideWhenUsed/>
    <w:rsid w:val="00F146B2"/>
  </w:style>
  <w:style w:type="paragraph" w:styleId="NormalWeb">
    <w:name w:val="Normal (Web)"/>
    <w:basedOn w:val="Normal"/>
    <w:uiPriority w:val="99"/>
    <w:semiHidden/>
    <w:unhideWhenUsed/>
    <w:rsid w:val="004C6804"/>
    <w:pPr>
      <w:spacing w:before="100" w:beforeAutospacing="1" w:after="100" w:afterAutospacing="1"/>
    </w:pPr>
    <w:rPr>
      <w:rFonts w:ascii="Times New Roman" w:eastAsiaTheme="minorEastAsia" w:hAnsi="Times New Roman"/>
      <w:sz w:val="24"/>
      <w:szCs w:val="24"/>
      <w:lang w:val="en-US" w:bidi="hi-IN"/>
    </w:rPr>
  </w:style>
  <w:style w:type="paragraph" w:styleId="CommentSubject">
    <w:name w:val="annotation subject"/>
    <w:basedOn w:val="CommentText"/>
    <w:next w:val="CommentText"/>
    <w:link w:val="CommentSubjectChar"/>
    <w:semiHidden/>
    <w:unhideWhenUsed/>
    <w:rsid w:val="004C6804"/>
    <w:rPr>
      <w:rFonts w:ascii="Helvetica" w:hAnsi="Helvetica"/>
      <w:b/>
      <w:bCs/>
      <w:lang w:val="en-GB" w:eastAsia="en-US"/>
    </w:rPr>
  </w:style>
  <w:style w:type="character" w:customStyle="1" w:styleId="CommentSubjectChar">
    <w:name w:val="Comment Subject Char"/>
    <w:basedOn w:val="CommentTextChar"/>
    <w:link w:val="CommentSubject"/>
    <w:semiHidden/>
    <w:rsid w:val="004C6804"/>
    <w:rPr>
      <w:rFonts w:ascii="Helvetica" w:hAnsi="Helvetica"/>
      <w:b/>
      <w:bCs/>
      <w:lang w:val="en-GB"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42">
      <w:bodyDiv w:val="1"/>
      <w:marLeft w:val="0"/>
      <w:marRight w:val="0"/>
      <w:marTop w:val="0"/>
      <w:marBottom w:val="0"/>
      <w:divBdr>
        <w:top w:val="none" w:sz="0" w:space="0" w:color="auto"/>
        <w:left w:val="none" w:sz="0" w:space="0" w:color="auto"/>
        <w:bottom w:val="none" w:sz="0" w:space="0" w:color="auto"/>
        <w:right w:val="none" w:sz="0" w:space="0" w:color="auto"/>
      </w:divBdr>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6784271">
      <w:bodyDiv w:val="1"/>
      <w:marLeft w:val="0"/>
      <w:marRight w:val="0"/>
      <w:marTop w:val="0"/>
      <w:marBottom w:val="0"/>
      <w:divBdr>
        <w:top w:val="none" w:sz="0" w:space="0" w:color="auto"/>
        <w:left w:val="none" w:sz="0" w:space="0" w:color="auto"/>
        <w:bottom w:val="none" w:sz="0" w:space="0" w:color="auto"/>
        <w:right w:val="none" w:sz="0" w:space="0" w:color="auto"/>
      </w:divBdr>
    </w:div>
    <w:div w:id="44111314">
      <w:bodyDiv w:val="1"/>
      <w:marLeft w:val="0"/>
      <w:marRight w:val="0"/>
      <w:marTop w:val="0"/>
      <w:marBottom w:val="0"/>
      <w:divBdr>
        <w:top w:val="none" w:sz="0" w:space="0" w:color="auto"/>
        <w:left w:val="none" w:sz="0" w:space="0" w:color="auto"/>
        <w:bottom w:val="none" w:sz="0" w:space="0" w:color="auto"/>
        <w:right w:val="none" w:sz="0" w:space="0" w:color="auto"/>
      </w:divBdr>
    </w:div>
    <w:div w:id="44649260">
      <w:bodyDiv w:val="1"/>
      <w:marLeft w:val="0"/>
      <w:marRight w:val="0"/>
      <w:marTop w:val="0"/>
      <w:marBottom w:val="0"/>
      <w:divBdr>
        <w:top w:val="none" w:sz="0" w:space="0" w:color="auto"/>
        <w:left w:val="none" w:sz="0" w:space="0" w:color="auto"/>
        <w:bottom w:val="none" w:sz="0" w:space="0" w:color="auto"/>
        <w:right w:val="none" w:sz="0" w:space="0" w:color="auto"/>
      </w:divBdr>
    </w:div>
    <w:div w:id="86002738">
      <w:bodyDiv w:val="1"/>
      <w:marLeft w:val="0"/>
      <w:marRight w:val="0"/>
      <w:marTop w:val="0"/>
      <w:marBottom w:val="0"/>
      <w:divBdr>
        <w:top w:val="none" w:sz="0" w:space="0" w:color="auto"/>
        <w:left w:val="none" w:sz="0" w:space="0" w:color="auto"/>
        <w:bottom w:val="none" w:sz="0" w:space="0" w:color="auto"/>
        <w:right w:val="none" w:sz="0" w:space="0" w:color="auto"/>
      </w:divBdr>
    </w:div>
    <w:div w:id="122355820">
      <w:bodyDiv w:val="1"/>
      <w:marLeft w:val="0"/>
      <w:marRight w:val="0"/>
      <w:marTop w:val="0"/>
      <w:marBottom w:val="0"/>
      <w:divBdr>
        <w:top w:val="none" w:sz="0" w:space="0" w:color="auto"/>
        <w:left w:val="none" w:sz="0" w:space="0" w:color="auto"/>
        <w:bottom w:val="none" w:sz="0" w:space="0" w:color="auto"/>
        <w:right w:val="none" w:sz="0" w:space="0" w:color="auto"/>
      </w:divBdr>
    </w:div>
    <w:div w:id="134614722">
      <w:bodyDiv w:val="1"/>
      <w:marLeft w:val="0"/>
      <w:marRight w:val="0"/>
      <w:marTop w:val="0"/>
      <w:marBottom w:val="0"/>
      <w:divBdr>
        <w:top w:val="none" w:sz="0" w:space="0" w:color="auto"/>
        <w:left w:val="none" w:sz="0" w:space="0" w:color="auto"/>
        <w:bottom w:val="none" w:sz="0" w:space="0" w:color="auto"/>
        <w:right w:val="none" w:sz="0" w:space="0" w:color="auto"/>
      </w:divBdr>
    </w:div>
    <w:div w:id="150172407">
      <w:bodyDiv w:val="1"/>
      <w:marLeft w:val="0"/>
      <w:marRight w:val="0"/>
      <w:marTop w:val="0"/>
      <w:marBottom w:val="0"/>
      <w:divBdr>
        <w:top w:val="none" w:sz="0" w:space="0" w:color="auto"/>
        <w:left w:val="none" w:sz="0" w:space="0" w:color="auto"/>
        <w:bottom w:val="none" w:sz="0" w:space="0" w:color="auto"/>
        <w:right w:val="none" w:sz="0" w:space="0" w:color="auto"/>
      </w:divBdr>
    </w:div>
    <w:div w:id="152450751">
      <w:bodyDiv w:val="1"/>
      <w:marLeft w:val="0"/>
      <w:marRight w:val="0"/>
      <w:marTop w:val="0"/>
      <w:marBottom w:val="0"/>
      <w:divBdr>
        <w:top w:val="none" w:sz="0" w:space="0" w:color="auto"/>
        <w:left w:val="none" w:sz="0" w:space="0" w:color="auto"/>
        <w:bottom w:val="none" w:sz="0" w:space="0" w:color="auto"/>
        <w:right w:val="none" w:sz="0" w:space="0" w:color="auto"/>
      </w:divBdr>
    </w:div>
    <w:div w:id="1556557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500360">
      <w:bodyDiv w:val="1"/>
      <w:marLeft w:val="0"/>
      <w:marRight w:val="0"/>
      <w:marTop w:val="0"/>
      <w:marBottom w:val="0"/>
      <w:divBdr>
        <w:top w:val="none" w:sz="0" w:space="0" w:color="auto"/>
        <w:left w:val="none" w:sz="0" w:space="0" w:color="auto"/>
        <w:bottom w:val="none" w:sz="0" w:space="0" w:color="auto"/>
        <w:right w:val="none" w:sz="0" w:space="0" w:color="auto"/>
      </w:divBdr>
    </w:div>
    <w:div w:id="159123034">
      <w:bodyDiv w:val="1"/>
      <w:marLeft w:val="0"/>
      <w:marRight w:val="0"/>
      <w:marTop w:val="0"/>
      <w:marBottom w:val="0"/>
      <w:divBdr>
        <w:top w:val="none" w:sz="0" w:space="0" w:color="auto"/>
        <w:left w:val="none" w:sz="0" w:space="0" w:color="auto"/>
        <w:bottom w:val="none" w:sz="0" w:space="0" w:color="auto"/>
        <w:right w:val="none" w:sz="0" w:space="0" w:color="auto"/>
      </w:divBdr>
    </w:div>
    <w:div w:id="178084191">
      <w:bodyDiv w:val="1"/>
      <w:marLeft w:val="0"/>
      <w:marRight w:val="0"/>
      <w:marTop w:val="0"/>
      <w:marBottom w:val="0"/>
      <w:divBdr>
        <w:top w:val="none" w:sz="0" w:space="0" w:color="auto"/>
        <w:left w:val="none" w:sz="0" w:space="0" w:color="auto"/>
        <w:bottom w:val="none" w:sz="0" w:space="0" w:color="auto"/>
        <w:right w:val="none" w:sz="0" w:space="0" w:color="auto"/>
      </w:divBdr>
    </w:div>
    <w:div w:id="220095754">
      <w:bodyDiv w:val="1"/>
      <w:marLeft w:val="0"/>
      <w:marRight w:val="0"/>
      <w:marTop w:val="0"/>
      <w:marBottom w:val="0"/>
      <w:divBdr>
        <w:top w:val="none" w:sz="0" w:space="0" w:color="auto"/>
        <w:left w:val="none" w:sz="0" w:space="0" w:color="auto"/>
        <w:bottom w:val="none" w:sz="0" w:space="0" w:color="auto"/>
        <w:right w:val="none" w:sz="0" w:space="0" w:color="auto"/>
      </w:divBdr>
    </w:div>
    <w:div w:id="23679478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1794541">
      <w:bodyDiv w:val="1"/>
      <w:marLeft w:val="0"/>
      <w:marRight w:val="0"/>
      <w:marTop w:val="0"/>
      <w:marBottom w:val="0"/>
      <w:divBdr>
        <w:top w:val="none" w:sz="0" w:space="0" w:color="auto"/>
        <w:left w:val="none" w:sz="0" w:space="0" w:color="auto"/>
        <w:bottom w:val="none" w:sz="0" w:space="0" w:color="auto"/>
        <w:right w:val="none" w:sz="0" w:space="0" w:color="auto"/>
      </w:divBdr>
    </w:div>
    <w:div w:id="254175495">
      <w:bodyDiv w:val="1"/>
      <w:marLeft w:val="0"/>
      <w:marRight w:val="0"/>
      <w:marTop w:val="0"/>
      <w:marBottom w:val="0"/>
      <w:divBdr>
        <w:top w:val="none" w:sz="0" w:space="0" w:color="auto"/>
        <w:left w:val="none" w:sz="0" w:space="0" w:color="auto"/>
        <w:bottom w:val="none" w:sz="0" w:space="0" w:color="auto"/>
        <w:right w:val="none" w:sz="0" w:space="0" w:color="auto"/>
      </w:divBdr>
    </w:div>
    <w:div w:id="260837583">
      <w:bodyDiv w:val="1"/>
      <w:marLeft w:val="0"/>
      <w:marRight w:val="0"/>
      <w:marTop w:val="0"/>
      <w:marBottom w:val="0"/>
      <w:divBdr>
        <w:top w:val="none" w:sz="0" w:space="0" w:color="auto"/>
        <w:left w:val="none" w:sz="0" w:space="0" w:color="auto"/>
        <w:bottom w:val="none" w:sz="0" w:space="0" w:color="auto"/>
        <w:right w:val="none" w:sz="0" w:space="0" w:color="auto"/>
      </w:divBdr>
    </w:div>
    <w:div w:id="290134928">
      <w:bodyDiv w:val="1"/>
      <w:marLeft w:val="0"/>
      <w:marRight w:val="0"/>
      <w:marTop w:val="0"/>
      <w:marBottom w:val="0"/>
      <w:divBdr>
        <w:top w:val="none" w:sz="0" w:space="0" w:color="auto"/>
        <w:left w:val="none" w:sz="0" w:space="0" w:color="auto"/>
        <w:bottom w:val="none" w:sz="0" w:space="0" w:color="auto"/>
        <w:right w:val="none" w:sz="0" w:space="0" w:color="auto"/>
      </w:divBdr>
    </w:div>
    <w:div w:id="297800535">
      <w:bodyDiv w:val="1"/>
      <w:marLeft w:val="0"/>
      <w:marRight w:val="0"/>
      <w:marTop w:val="0"/>
      <w:marBottom w:val="0"/>
      <w:divBdr>
        <w:top w:val="none" w:sz="0" w:space="0" w:color="auto"/>
        <w:left w:val="none" w:sz="0" w:space="0" w:color="auto"/>
        <w:bottom w:val="none" w:sz="0" w:space="0" w:color="auto"/>
        <w:right w:val="none" w:sz="0" w:space="0" w:color="auto"/>
      </w:divBdr>
    </w:div>
    <w:div w:id="300889903">
      <w:bodyDiv w:val="1"/>
      <w:marLeft w:val="0"/>
      <w:marRight w:val="0"/>
      <w:marTop w:val="0"/>
      <w:marBottom w:val="0"/>
      <w:divBdr>
        <w:top w:val="none" w:sz="0" w:space="0" w:color="auto"/>
        <w:left w:val="none" w:sz="0" w:space="0" w:color="auto"/>
        <w:bottom w:val="none" w:sz="0" w:space="0" w:color="auto"/>
        <w:right w:val="none" w:sz="0" w:space="0" w:color="auto"/>
      </w:divBdr>
    </w:div>
    <w:div w:id="310444194">
      <w:bodyDiv w:val="1"/>
      <w:marLeft w:val="0"/>
      <w:marRight w:val="0"/>
      <w:marTop w:val="0"/>
      <w:marBottom w:val="0"/>
      <w:divBdr>
        <w:top w:val="none" w:sz="0" w:space="0" w:color="auto"/>
        <w:left w:val="none" w:sz="0" w:space="0" w:color="auto"/>
        <w:bottom w:val="none" w:sz="0" w:space="0" w:color="auto"/>
        <w:right w:val="none" w:sz="0" w:space="0" w:color="auto"/>
      </w:divBdr>
    </w:div>
    <w:div w:id="324433944">
      <w:bodyDiv w:val="1"/>
      <w:marLeft w:val="0"/>
      <w:marRight w:val="0"/>
      <w:marTop w:val="0"/>
      <w:marBottom w:val="0"/>
      <w:divBdr>
        <w:top w:val="none" w:sz="0" w:space="0" w:color="auto"/>
        <w:left w:val="none" w:sz="0" w:space="0" w:color="auto"/>
        <w:bottom w:val="none" w:sz="0" w:space="0" w:color="auto"/>
        <w:right w:val="none" w:sz="0" w:space="0" w:color="auto"/>
      </w:divBdr>
    </w:div>
    <w:div w:id="332924336">
      <w:bodyDiv w:val="1"/>
      <w:marLeft w:val="0"/>
      <w:marRight w:val="0"/>
      <w:marTop w:val="0"/>
      <w:marBottom w:val="0"/>
      <w:divBdr>
        <w:top w:val="none" w:sz="0" w:space="0" w:color="auto"/>
        <w:left w:val="none" w:sz="0" w:space="0" w:color="auto"/>
        <w:bottom w:val="none" w:sz="0" w:space="0" w:color="auto"/>
        <w:right w:val="none" w:sz="0" w:space="0" w:color="auto"/>
      </w:divBdr>
    </w:div>
    <w:div w:id="358160638">
      <w:bodyDiv w:val="1"/>
      <w:marLeft w:val="0"/>
      <w:marRight w:val="0"/>
      <w:marTop w:val="0"/>
      <w:marBottom w:val="0"/>
      <w:divBdr>
        <w:top w:val="none" w:sz="0" w:space="0" w:color="auto"/>
        <w:left w:val="none" w:sz="0" w:space="0" w:color="auto"/>
        <w:bottom w:val="none" w:sz="0" w:space="0" w:color="auto"/>
        <w:right w:val="none" w:sz="0" w:space="0" w:color="auto"/>
      </w:divBdr>
    </w:div>
    <w:div w:id="361441511">
      <w:bodyDiv w:val="1"/>
      <w:marLeft w:val="0"/>
      <w:marRight w:val="0"/>
      <w:marTop w:val="0"/>
      <w:marBottom w:val="0"/>
      <w:divBdr>
        <w:top w:val="none" w:sz="0" w:space="0" w:color="auto"/>
        <w:left w:val="none" w:sz="0" w:space="0" w:color="auto"/>
        <w:bottom w:val="none" w:sz="0" w:space="0" w:color="auto"/>
        <w:right w:val="none" w:sz="0" w:space="0" w:color="auto"/>
      </w:divBdr>
    </w:div>
    <w:div w:id="369571093">
      <w:bodyDiv w:val="1"/>
      <w:marLeft w:val="0"/>
      <w:marRight w:val="0"/>
      <w:marTop w:val="0"/>
      <w:marBottom w:val="0"/>
      <w:divBdr>
        <w:top w:val="none" w:sz="0" w:space="0" w:color="auto"/>
        <w:left w:val="none" w:sz="0" w:space="0" w:color="auto"/>
        <w:bottom w:val="none" w:sz="0" w:space="0" w:color="auto"/>
        <w:right w:val="none" w:sz="0" w:space="0" w:color="auto"/>
      </w:divBdr>
    </w:div>
    <w:div w:id="375399960">
      <w:bodyDiv w:val="1"/>
      <w:marLeft w:val="0"/>
      <w:marRight w:val="0"/>
      <w:marTop w:val="0"/>
      <w:marBottom w:val="0"/>
      <w:divBdr>
        <w:top w:val="none" w:sz="0" w:space="0" w:color="auto"/>
        <w:left w:val="none" w:sz="0" w:space="0" w:color="auto"/>
        <w:bottom w:val="none" w:sz="0" w:space="0" w:color="auto"/>
        <w:right w:val="none" w:sz="0" w:space="0" w:color="auto"/>
      </w:divBdr>
    </w:div>
    <w:div w:id="379862134">
      <w:bodyDiv w:val="1"/>
      <w:marLeft w:val="0"/>
      <w:marRight w:val="0"/>
      <w:marTop w:val="0"/>
      <w:marBottom w:val="0"/>
      <w:divBdr>
        <w:top w:val="none" w:sz="0" w:space="0" w:color="auto"/>
        <w:left w:val="none" w:sz="0" w:space="0" w:color="auto"/>
        <w:bottom w:val="none" w:sz="0" w:space="0" w:color="auto"/>
        <w:right w:val="none" w:sz="0" w:space="0" w:color="auto"/>
      </w:divBdr>
    </w:div>
    <w:div w:id="389155522">
      <w:bodyDiv w:val="1"/>
      <w:marLeft w:val="0"/>
      <w:marRight w:val="0"/>
      <w:marTop w:val="0"/>
      <w:marBottom w:val="0"/>
      <w:divBdr>
        <w:top w:val="none" w:sz="0" w:space="0" w:color="auto"/>
        <w:left w:val="none" w:sz="0" w:space="0" w:color="auto"/>
        <w:bottom w:val="none" w:sz="0" w:space="0" w:color="auto"/>
        <w:right w:val="none" w:sz="0" w:space="0" w:color="auto"/>
      </w:divBdr>
    </w:div>
    <w:div w:id="420415503">
      <w:bodyDiv w:val="1"/>
      <w:marLeft w:val="0"/>
      <w:marRight w:val="0"/>
      <w:marTop w:val="0"/>
      <w:marBottom w:val="0"/>
      <w:divBdr>
        <w:top w:val="none" w:sz="0" w:space="0" w:color="auto"/>
        <w:left w:val="none" w:sz="0" w:space="0" w:color="auto"/>
        <w:bottom w:val="none" w:sz="0" w:space="0" w:color="auto"/>
        <w:right w:val="none" w:sz="0" w:space="0" w:color="auto"/>
      </w:divBdr>
    </w:div>
    <w:div w:id="420952918">
      <w:bodyDiv w:val="1"/>
      <w:marLeft w:val="0"/>
      <w:marRight w:val="0"/>
      <w:marTop w:val="0"/>
      <w:marBottom w:val="0"/>
      <w:divBdr>
        <w:top w:val="none" w:sz="0" w:space="0" w:color="auto"/>
        <w:left w:val="none" w:sz="0" w:space="0" w:color="auto"/>
        <w:bottom w:val="none" w:sz="0" w:space="0" w:color="auto"/>
        <w:right w:val="none" w:sz="0" w:space="0" w:color="auto"/>
      </w:divBdr>
    </w:div>
    <w:div w:id="427896179">
      <w:bodyDiv w:val="1"/>
      <w:marLeft w:val="0"/>
      <w:marRight w:val="0"/>
      <w:marTop w:val="0"/>
      <w:marBottom w:val="0"/>
      <w:divBdr>
        <w:top w:val="none" w:sz="0" w:space="0" w:color="auto"/>
        <w:left w:val="none" w:sz="0" w:space="0" w:color="auto"/>
        <w:bottom w:val="none" w:sz="0" w:space="0" w:color="auto"/>
        <w:right w:val="none" w:sz="0" w:space="0" w:color="auto"/>
      </w:divBdr>
    </w:div>
    <w:div w:id="430246622">
      <w:bodyDiv w:val="1"/>
      <w:marLeft w:val="0"/>
      <w:marRight w:val="0"/>
      <w:marTop w:val="0"/>
      <w:marBottom w:val="0"/>
      <w:divBdr>
        <w:top w:val="none" w:sz="0" w:space="0" w:color="auto"/>
        <w:left w:val="none" w:sz="0" w:space="0" w:color="auto"/>
        <w:bottom w:val="none" w:sz="0" w:space="0" w:color="auto"/>
        <w:right w:val="none" w:sz="0" w:space="0" w:color="auto"/>
      </w:divBdr>
    </w:div>
    <w:div w:id="441345951">
      <w:bodyDiv w:val="1"/>
      <w:marLeft w:val="0"/>
      <w:marRight w:val="0"/>
      <w:marTop w:val="0"/>
      <w:marBottom w:val="0"/>
      <w:divBdr>
        <w:top w:val="none" w:sz="0" w:space="0" w:color="auto"/>
        <w:left w:val="none" w:sz="0" w:space="0" w:color="auto"/>
        <w:bottom w:val="none" w:sz="0" w:space="0" w:color="auto"/>
        <w:right w:val="none" w:sz="0" w:space="0" w:color="auto"/>
      </w:divBdr>
    </w:div>
    <w:div w:id="442651026">
      <w:bodyDiv w:val="1"/>
      <w:marLeft w:val="0"/>
      <w:marRight w:val="0"/>
      <w:marTop w:val="0"/>
      <w:marBottom w:val="0"/>
      <w:divBdr>
        <w:top w:val="none" w:sz="0" w:space="0" w:color="auto"/>
        <w:left w:val="none" w:sz="0" w:space="0" w:color="auto"/>
        <w:bottom w:val="none" w:sz="0" w:space="0" w:color="auto"/>
        <w:right w:val="none" w:sz="0" w:space="0" w:color="auto"/>
      </w:divBdr>
    </w:div>
    <w:div w:id="456677540">
      <w:bodyDiv w:val="1"/>
      <w:marLeft w:val="0"/>
      <w:marRight w:val="0"/>
      <w:marTop w:val="0"/>
      <w:marBottom w:val="0"/>
      <w:divBdr>
        <w:top w:val="none" w:sz="0" w:space="0" w:color="auto"/>
        <w:left w:val="none" w:sz="0" w:space="0" w:color="auto"/>
        <w:bottom w:val="none" w:sz="0" w:space="0" w:color="auto"/>
        <w:right w:val="none" w:sz="0" w:space="0" w:color="auto"/>
      </w:divBdr>
    </w:div>
    <w:div w:id="478037709">
      <w:bodyDiv w:val="1"/>
      <w:marLeft w:val="0"/>
      <w:marRight w:val="0"/>
      <w:marTop w:val="0"/>
      <w:marBottom w:val="0"/>
      <w:divBdr>
        <w:top w:val="none" w:sz="0" w:space="0" w:color="auto"/>
        <w:left w:val="none" w:sz="0" w:space="0" w:color="auto"/>
        <w:bottom w:val="none" w:sz="0" w:space="0" w:color="auto"/>
        <w:right w:val="none" w:sz="0" w:space="0" w:color="auto"/>
      </w:divBdr>
    </w:div>
    <w:div w:id="503936202">
      <w:bodyDiv w:val="1"/>
      <w:marLeft w:val="0"/>
      <w:marRight w:val="0"/>
      <w:marTop w:val="0"/>
      <w:marBottom w:val="0"/>
      <w:divBdr>
        <w:top w:val="none" w:sz="0" w:space="0" w:color="auto"/>
        <w:left w:val="none" w:sz="0" w:space="0" w:color="auto"/>
        <w:bottom w:val="none" w:sz="0" w:space="0" w:color="auto"/>
        <w:right w:val="none" w:sz="0" w:space="0" w:color="auto"/>
      </w:divBdr>
    </w:div>
    <w:div w:id="511644353">
      <w:bodyDiv w:val="1"/>
      <w:marLeft w:val="0"/>
      <w:marRight w:val="0"/>
      <w:marTop w:val="0"/>
      <w:marBottom w:val="0"/>
      <w:divBdr>
        <w:top w:val="none" w:sz="0" w:space="0" w:color="auto"/>
        <w:left w:val="none" w:sz="0" w:space="0" w:color="auto"/>
        <w:bottom w:val="none" w:sz="0" w:space="0" w:color="auto"/>
        <w:right w:val="none" w:sz="0" w:space="0" w:color="auto"/>
      </w:divBdr>
    </w:div>
    <w:div w:id="549727385">
      <w:bodyDiv w:val="1"/>
      <w:marLeft w:val="0"/>
      <w:marRight w:val="0"/>
      <w:marTop w:val="0"/>
      <w:marBottom w:val="0"/>
      <w:divBdr>
        <w:top w:val="none" w:sz="0" w:space="0" w:color="auto"/>
        <w:left w:val="none" w:sz="0" w:space="0" w:color="auto"/>
        <w:bottom w:val="none" w:sz="0" w:space="0" w:color="auto"/>
        <w:right w:val="none" w:sz="0" w:space="0" w:color="auto"/>
      </w:divBdr>
    </w:div>
    <w:div w:id="563033648">
      <w:bodyDiv w:val="1"/>
      <w:marLeft w:val="0"/>
      <w:marRight w:val="0"/>
      <w:marTop w:val="0"/>
      <w:marBottom w:val="0"/>
      <w:divBdr>
        <w:top w:val="none" w:sz="0" w:space="0" w:color="auto"/>
        <w:left w:val="none" w:sz="0" w:space="0" w:color="auto"/>
        <w:bottom w:val="none" w:sz="0" w:space="0" w:color="auto"/>
        <w:right w:val="none" w:sz="0" w:space="0" w:color="auto"/>
      </w:divBdr>
    </w:div>
    <w:div w:id="575090973">
      <w:bodyDiv w:val="1"/>
      <w:marLeft w:val="0"/>
      <w:marRight w:val="0"/>
      <w:marTop w:val="0"/>
      <w:marBottom w:val="0"/>
      <w:divBdr>
        <w:top w:val="none" w:sz="0" w:space="0" w:color="auto"/>
        <w:left w:val="none" w:sz="0" w:space="0" w:color="auto"/>
        <w:bottom w:val="none" w:sz="0" w:space="0" w:color="auto"/>
        <w:right w:val="none" w:sz="0" w:space="0" w:color="auto"/>
      </w:divBdr>
    </w:div>
    <w:div w:id="599413197">
      <w:bodyDiv w:val="1"/>
      <w:marLeft w:val="0"/>
      <w:marRight w:val="0"/>
      <w:marTop w:val="0"/>
      <w:marBottom w:val="0"/>
      <w:divBdr>
        <w:top w:val="none" w:sz="0" w:space="0" w:color="auto"/>
        <w:left w:val="none" w:sz="0" w:space="0" w:color="auto"/>
        <w:bottom w:val="none" w:sz="0" w:space="0" w:color="auto"/>
        <w:right w:val="none" w:sz="0" w:space="0" w:color="auto"/>
      </w:divBdr>
    </w:div>
    <w:div w:id="614216776">
      <w:bodyDiv w:val="1"/>
      <w:marLeft w:val="0"/>
      <w:marRight w:val="0"/>
      <w:marTop w:val="0"/>
      <w:marBottom w:val="0"/>
      <w:divBdr>
        <w:top w:val="none" w:sz="0" w:space="0" w:color="auto"/>
        <w:left w:val="none" w:sz="0" w:space="0" w:color="auto"/>
        <w:bottom w:val="none" w:sz="0" w:space="0" w:color="auto"/>
        <w:right w:val="none" w:sz="0" w:space="0" w:color="auto"/>
      </w:divBdr>
    </w:div>
    <w:div w:id="615066993">
      <w:bodyDiv w:val="1"/>
      <w:marLeft w:val="0"/>
      <w:marRight w:val="0"/>
      <w:marTop w:val="0"/>
      <w:marBottom w:val="0"/>
      <w:divBdr>
        <w:top w:val="none" w:sz="0" w:space="0" w:color="auto"/>
        <w:left w:val="none" w:sz="0" w:space="0" w:color="auto"/>
        <w:bottom w:val="none" w:sz="0" w:space="0" w:color="auto"/>
        <w:right w:val="none" w:sz="0" w:space="0" w:color="auto"/>
      </w:divBdr>
    </w:div>
    <w:div w:id="615209946">
      <w:bodyDiv w:val="1"/>
      <w:marLeft w:val="0"/>
      <w:marRight w:val="0"/>
      <w:marTop w:val="0"/>
      <w:marBottom w:val="0"/>
      <w:divBdr>
        <w:top w:val="none" w:sz="0" w:space="0" w:color="auto"/>
        <w:left w:val="none" w:sz="0" w:space="0" w:color="auto"/>
        <w:bottom w:val="none" w:sz="0" w:space="0" w:color="auto"/>
        <w:right w:val="none" w:sz="0" w:space="0" w:color="auto"/>
      </w:divBdr>
    </w:div>
    <w:div w:id="63033265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8753664">
      <w:bodyDiv w:val="1"/>
      <w:marLeft w:val="0"/>
      <w:marRight w:val="0"/>
      <w:marTop w:val="0"/>
      <w:marBottom w:val="0"/>
      <w:divBdr>
        <w:top w:val="none" w:sz="0" w:space="0" w:color="auto"/>
        <w:left w:val="none" w:sz="0" w:space="0" w:color="auto"/>
        <w:bottom w:val="none" w:sz="0" w:space="0" w:color="auto"/>
        <w:right w:val="none" w:sz="0" w:space="0" w:color="auto"/>
      </w:divBdr>
    </w:div>
    <w:div w:id="678241884">
      <w:bodyDiv w:val="1"/>
      <w:marLeft w:val="0"/>
      <w:marRight w:val="0"/>
      <w:marTop w:val="0"/>
      <w:marBottom w:val="0"/>
      <w:divBdr>
        <w:top w:val="none" w:sz="0" w:space="0" w:color="auto"/>
        <w:left w:val="none" w:sz="0" w:space="0" w:color="auto"/>
        <w:bottom w:val="none" w:sz="0" w:space="0" w:color="auto"/>
        <w:right w:val="none" w:sz="0" w:space="0" w:color="auto"/>
      </w:divBdr>
    </w:div>
    <w:div w:id="681511558">
      <w:bodyDiv w:val="1"/>
      <w:marLeft w:val="0"/>
      <w:marRight w:val="0"/>
      <w:marTop w:val="0"/>
      <w:marBottom w:val="0"/>
      <w:divBdr>
        <w:top w:val="none" w:sz="0" w:space="0" w:color="auto"/>
        <w:left w:val="none" w:sz="0" w:space="0" w:color="auto"/>
        <w:bottom w:val="none" w:sz="0" w:space="0" w:color="auto"/>
        <w:right w:val="none" w:sz="0" w:space="0" w:color="auto"/>
      </w:divBdr>
    </w:div>
    <w:div w:id="686254431">
      <w:bodyDiv w:val="1"/>
      <w:marLeft w:val="0"/>
      <w:marRight w:val="0"/>
      <w:marTop w:val="0"/>
      <w:marBottom w:val="0"/>
      <w:divBdr>
        <w:top w:val="none" w:sz="0" w:space="0" w:color="auto"/>
        <w:left w:val="none" w:sz="0" w:space="0" w:color="auto"/>
        <w:bottom w:val="none" w:sz="0" w:space="0" w:color="auto"/>
        <w:right w:val="none" w:sz="0" w:space="0" w:color="auto"/>
      </w:divBdr>
    </w:div>
    <w:div w:id="686640918">
      <w:bodyDiv w:val="1"/>
      <w:marLeft w:val="0"/>
      <w:marRight w:val="0"/>
      <w:marTop w:val="0"/>
      <w:marBottom w:val="0"/>
      <w:divBdr>
        <w:top w:val="none" w:sz="0" w:space="0" w:color="auto"/>
        <w:left w:val="none" w:sz="0" w:space="0" w:color="auto"/>
        <w:bottom w:val="none" w:sz="0" w:space="0" w:color="auto"/>
        <w:right w:val="none" w:sz="0" w:space="0" w:color="auto"/>
      </w:divBdr>
    </w:div>
    <w:div w:id="702293640">
      <w:bodyDiv w:val="1"/>
      <w:marLeft w:val="0"/>
      <w:marRight w:val="0"/>
      <w:marTop w:val="0"/>
      <w:marBottom w:val="0"/>
      <w:divBdr>
        <w:top w:val="none" w:sz="0" w:space="0" w:color="auto"/>
        <w:left w:val="none" w:sz="0" w:space="0" w:color="auto"/>
        <w:bottom w:val="none" w:sz="0" w:space="0" w:color="auto"/>
        <w:right w:val="none" w:sz="0" w:space="0" w:color="auto"/>
      </w:divBdr>
    </w:div>
    <w:div w:id="714620517">
      <w:bodyDiv w:val="1"/>
      <w:marLeft w:val="0"/>
      <w:marRight w:val="0"/>
      <w:marTop w:val="0"/>
      <w:marBottom w:val="0"/>
      <w:divBdr>
        <w:top w:val="none" w:sz="0" w:space="0" w:color="auto"/>
        <w:left w:val="none" w:sz="0" w:space="0" w:color="auto"/>
        <w:bottom w:val="none" w:sz="0" w:space="0" w:color="auto"/>
        <w:right w:val="none" w:sz="0" w:space="0" w:color="auto"/>
      </w:divBdr>
    </w:div>
    <w:div w:id="718363867">
      <w:bodyDiv w:val="1"/>
      <w:marLeft w:val="0"/>
      <w:marRight w:val="0"/>
      <w:marTop w:val="0"/>
      <w:marBottom w:val="0"/>
      <w:divBdr>
        <w:top w:val="none" w:sz="0" w:space="0" w:color="auto"/>
        <w:left w:val="none" w:sz="0" w:space="0" w:color="auto"/>
        <w:bottom w:val="none" w:sz="0" w:space="0" w:color="auto"/>
        <w:right w:val="none" w:sz="0" w:space="0" w:color="auto"/>
      </w:divBdr>
    </w:div>
    <w:div w:id="730276310">
      <w:bodyDiv w:val="1"/>
      <w:marLeft w:val="0"/>
      <w:marRight w:val="0"/>
      <w:marTop w:val="0"/>
      <w:marBottom w:val="0"/>
      <w:divBdr>
        <w:top w:val="none" w:sz="0" w:space="0" w:color="auto"/>
        <w:left w:val="none" w:sz="0" w:space="0" w:color="auto"/>
        <w:bottom w:val="none" w:sz="0" w:space="0" w:color="auto"/>
        <w:right w:val="none" w:sz="0" w:space="0" w:color="auto"/>
      </w:divBdr>
    </w:div>
    <w:div w:id="742263927">
      <w:bodyDiv w:val="1"/>
      <w:marLeft w:val="0"/>
      <w:marRight w:val="0"/>
      <w:marTop w:val="0"/>
      <w:marBottom w:val="0"/>
      <w:divBdr>
        <w:top w:val="none" w:sz="0" w:space="0" w:color="auto"/>
        <w:left w:val="none" w:sz="0" w:space="0" w:color="auto"/>
        <w:bottom w:val="none" w:sz="0" w:space="0" w:color="auto"/>
        <w:right w:val="none" w:sz="0" w:space="0" w:color="auto"/>
      </w:divBdr>
    </w:div>
    <w:div w:id="751656437">
      <w:bodyDiv w:val="1"/>
      <w:marLeft w:val="0"/>
      <w:marRight w:val="0"/>
      <w:marTop w:val="0"/>
      <w:marBottom w:val="0"/>
      <w:divBdr>
        <w:top w:val="none" w:sz="0" w:space="0" w:color="auto"/>
        <w:left w:val="none" w:sz="0" w:space="0" w:color="auto"/>
        <w:bottom w:val="none" w:sz="0" w:space="0" w:color="auto"/>
        <w:right w:val="none" w:sz="0" w:space="0" w:color="auto"/>
      </w:divBdr>
    </w:div>
    <w:div w:id="760444613">
      <w:bodyDiv w:val="1"/>
      <w:marLeft w:val="0"/>
      <w:marRight w:val="0"/>
      <w:marTop w:val="0"/>
      <w:marBottom w:val="0"/>
      <w:divBdr>
        <w:top w:val="none" w:sz="0" w:space="0" w:color="auto"/>
        <w:left w:val="none" w:sz="0" w:space="0" w:color="auto"/>
        <w:bottom w:val="none" w:sz="0" w:space="0" w:color="auto"/>
        <w:right w:val="none" w:sz="0" w:space="0" w:color="auto"/>
      </w:divBdr>
    </w:div>
    <w:div w:id="760564688">
      <w:bodyDiv w:val="1"/>
      <w:marLeft w:val="0"/>
      <w:marRight w:val="0"/>
      <w:marTop w:val="0"/>
      <w:marBottom w:val="0"/>
      <w:divBdr>
        <w:top w:val="none" w:sz="0" w:space="0" w:color="auto"/>
        <w:left w:val="none" w:sz="0" w:space="0" w:color="auto"/>
        <w:bottom w:val="none" w:sz="0" w:space="0" w:color="auto"/>
        <w:right w:val="none" w:sz="0" w:space="0" w:color="auto"/>
      </w:divBdr>
    </w:div>
    <w:div w:id="785273421">
      <w:bodyDiv w:val="1"/>
      <w:marLeft w:val="0"/>
      <w:marRight w:val="0"/>
      <w:marTop w:val="0"/>
      <w:marBottom w:val="0"/>
      <w:divBdr>
        <w:top w:val="none" w:sz="0" w:space="0" w:color="auto"/>
        <w:left w:val="none" w:sz="0" w:space="0" w:color="auto"/>
        <w:bottom w:val="none" w:sz="0" w:space="0" w:color="auto"/>
        <w:right w:val="none" w:sz="0" w:space="0" w:color="auto"/>
      </w:divBdr>
    </w:div>
    <w:div w:id="805778359">
      <w:bodyDiv w:val="1"/>
      <w:marLeft w:val="0"/>
      <w:marRight w:val="0"/>
      <w:marTop w:val="0"/>
      <w:marBottom w:val="0"/>
      <w:divBdr>
        <w:top w:val="none" w:sz="0" w:space="0" w:color="auto"/>
        <w:left w:val="none" w:sz="0" w:space="0" w:color="auto"/>
        <w:bottom w:val="none" w:sz="0" w:space="0" w:color="auto"/>
        <w:right w:val="none" w:sz="0" w:space="0" w:color="auto"/>
      </w:divBdr>
    </w:div>
    <w:div w:id="836992029">
      <w:bodyDiv w:val="1"/>
      <w:marLeft w:val="0"/>
      <w:marRight w:val="0"/>
      <w:marTop w:val="0"/>
      <w:marBottom w:val="0"/>
      <w:divBdr>
        <w:top w:val="none" w:sz="0" w:space="0" w:color="auto"/>
        <w:left w:val="none" w:sz="0" w:space="0" w:color="auto"/>
        <w:bottom w:val="none" w:sz="0" w:space="0" w:color="auto"/>
        <w:right w:val="none" w:sz="0" w:space="0" w:color="auto"/>
      </w:divBdr>
    </w:div>
    <w:div w:id="850296793">
      <w:bodyDiv w:val="1"/>
      <w:marLeft w:val="0"/>
      <w:marRight w:val="0"/>
      <w:marTop w:val="0"/>
      <w:marBottom w:val="0"/>
      <w:divBdr>
        <w:top w:val="none" w:sz="0" w:space="0" w:color="auto"/>
        <w:left w:val="none" w:sz="0" w:space="0" w:color="auto"/>
        <w:bottom w:val="none" w:sz="0" w:space="0" w:color="auto"/>
        <w:right w:val="none" w:sz="0" w:space="0" w:color="auto"/>
      </w:divBdr>
    </w:div>
    <w:div w:id="864169237">
      <w:bodyDiv w:val="1"/>
      <w:marLeft w:val="0"/>
      <w:marRight w:val="0"/>
      <w:marTop w:val="0"/>
      <w:marBottom w:val="0"/>
      <w:divBdr>
        <w:top w:val="none" w:sz="0" w:space="0" w:color="auto"/>
        <w:left w:val="none" w:sz="0" w:space="0" w:color="auto"/>
        <w:bottom w:val="none" w:sz="0" w:space="0" w:color="auto"/>
        <w:right w:val="none" w:sz="0" w:space="0" w:color="auto"/>
      </w:divBdr>
    </w:div>
    <w:div w:id="869688870">
      <w:bodyDiv w:val="1"/>
      <w:marLeft w:val="0"/>
      <w:marRight w:val="0"/>
      <w:marTop w:val="0"/>
      <w:marBottom w:val="0"/>
      <w:divBdr>
        <w:top w:val="none" w:sz="0" w:space="0" w:color="auto"/>
        <w:left w:val="none" w:sz="0" w:space="0" w:color="auto"/>
        <w:bottom w:val="none" w:sz="0" w:space="0" w:color="auto"/>
        <w:right w:val="none" w:sz="0" w:space="0" w:color="auto"/>
      </w:divBdr>
    </w:div>
    <w:div w:id="894511494">
      <w:bodyDiv w:val="1"/>
      <w:marLeft w:val="0"/>
      <w:marRight w:val="0"/>
      <w:marTop w:val="0"/>
      <w:marBottom w:val="0"/>
      <w:divBdr>
        <w:top w:val="none" w:sz="0" w:space="0" w:color="auto"/>
        <w:left w:val="none" w:sz="0" w:space="0" w:color="auto"/>
        <w:bottom w:val="none" w:sz="0" w:space="0" w:color="auto"/>
        <w:right w:val="none" w:sz="0" w:space="0" w:color="auto"/>
      </w:divBdr>
    </w:div>
    <w:div w:id="900016311">
      <w:bodyDiv w:val="1"/>
      <w:marLeft w:val="0"/>
      <w:marRight w:val="0"/>
      <w:marTop w:val="0"/>
      <w:marBottom w:val="0"/>
      <w:divBdr>
        <w:top w:val="none" w:sz="0" w:space="0" w:color="auto"/>
        <w:left w:val="none" w:sz="0" w:space="0" w:color="auto"/>
        <w:bottom w:val="none" w:sz="0" w:space="0" w:color="auto"/>
        <w:right w:val="none" w:sz="0" w:space="0" w:color="auto"/>
      </w:divBdr>
    </w:div>
    <w:div w:id="906497282">
      <w:bodyDiv w:val="1"/>
      <w:marLeft w:val="0"/>
      <w:marRight w:val="0"/>
      <w:marTop w:val="0"/>
      <w:marBottom w:val="0"/>
      <w:divBdr>
        <w:top w:val="none" w:sz="0" w:space="0" w:color="auto"/>
        <w:left w:val="none" w:sz="0" w:space="0" w:color="auto"/>
        <w:bottom w:val="none" w:sz="0" w:space="0" w:color="auto"/>
        <w:right w:val="none" w:sz="0" w:space="0" w:color="auto"/>
      </w:divBdr>
    </w:div>
    <w:div w:id="909970154">
      <w:bodyDiv w:val="1"/>
      <w:marLeft w:val="0"/>
      <w:marRight w:val="0"/>
      <w:marTop w:val="0"/>
      <w:marBottom w:val="0"/>
      <w:divBdr>
        <w:top w:val="none" w:sz="0" w:space="0" w:color="auto"/>
        <w:left w:val="none" w:sz="0" w:space="0" w:color="auto"/>
        <w:bottom w:val="none" w:sz="0" w:space="0" w:color="auto"/>
        <w:right w:val="none" w:sz="0" w:space="0" w:color="auto"/>
      </w:divBdr>
    </w:div>
    <w:div w:id="915171883">
      <w:bodyDiv w:val="1"/>
      <w:marLeft w:val="0"/>
      <w:marRight w:val="0"/>
      <w:marTop w:val="0"/>
      <w:marBottom w:val="0"/>
      <w:divBdr>
        <w:top w:val="none" w:sz="0" w:space="0" w:color="auto"/>
        <w:left w:val="none" w:sz="0" w:space="0" w:color="auto"/>
        <w:bottom w:val="none" w:sz="0" w:space="0" w:color="auto"/>
        <w:right w:val="none" w:sz="0" w:space="0" w:color="auto"/>
      </w:divBdr>
    </w:div>
    <w:div w:id="938945842">
      <w:bodyDiv w:val="1"/>
      <w:marLeft w:val="0"/>
      <w:marRight w:val="0"/>
      <w:marTop w:val="0"/>
      <w:marBottom w:val="0"/>
      <w:divBdr>
        <w:top w:val="none" w:sz="0" w:space="0" w:color="auto"/>
        <w:left w:val="none" w:sz="0" w:space="0" w:color="auto"/>
        <w:bottom w:val="none" w:sz="0" w:space="0" w:color="auto"/>
        <w:right w:val="none" w:sz="0" w:space="0" w:color="auto"/>
      </w:divBdr>
    </w:div>
    <w:div w:id="947740430">
      <w:bodyDiv w:val="1"/>
      <w:marLeft w:val="0"/>
      <w:marRight w:val="0"/>
      <w:marTop w:val="0"/>
      <w:marBottom w:val="0"/>
      <w:divBdr>
        <w:top w:val="none" w:sz="0" w:space="0" w:color="auto"/>
        <w:left w:val="none" w:sz="0" w:space="0" w:color="auto"/>
        <w:bottom w:val="none" w:sz="0" w:space="0" w:color="auto"/>
        <w:right w:val="none" w:sz="0" w:space="0" w:color="auto"/>
      </w:divBdr>
    </w:div>
    <w:div w:id="947928816">
      <w:bodyDiv w:val="1"/>
      <w:marLeft w:val="0"/>
      <w:marRight w:val="0"/>
      <w:marTop w:val="0"/>
      <w:marBottom w:val="0"/>
      <w:divBdr>
        <w:top w:val="none" w:sz="0" w:space="0" w:color="auto"/>
        <w:left w:val="none" w:sz="0" w:space="0" w:color="auto"/>
        <w:bottom w:val="none" w:sz="0" w:space="0" w:color="auto"/>
        <w:right w:val="none" w:sz="0" w:space="0" w:color="auto"/>
      </w:divBdr>
    </w:div>
    <w:div w:id="953633969">
      <w:bodyDiv w:val="1"/>
      <w:marLeft w:val="0"/>
      <w:marRight w:val="0"/>
      <w:marTop w:val="0"/>
      <w:marBottom w:val="0"/>
      <w:divBdr>
        <w:top w:val="none" w:sz="0" w:space="0" w:color="auto"/>
        <w:left w:val="none" w:sz="0" w:space="0" w:color="auto"/>
        <w:bottom w:val="none" w:sz="0" w:space="0" w:color="auto"/>
        <w:right w:val="none" w:sz="0" w:space="0" w:color="auto"/>
      </w:divBdr>
    </w:div>
    <w:div w:id="965163546">
      <w:bodyDiv w:val="1"/>
      <w:marLeft w:val="0"/>
      <w:marRight w:val="0"/>
      <w:marTop w:val="0"/>
      <w:marBottom w:val="0"/>
      <w:divBdr>
        <w:top w:val="none" w:sz="0" w:space="0" w:color="auto"/>
        <w:left w:val="none" w:sz="0" w:space="0" w:color="auto"/>
        <w:bottom w:val="none" w:sz="0" w:space="0" w:color="auto"/>
        <w:right w:val="none" w:sz="0" w:space="0" w:color="auto"/>
      </w:divBdr>
    </w:div>
    <w:div w:id="967586249">
      <w:bodyDiv w:val="1"/>
      <w:marLeft w:val="0"/>
      <w:marRight w:val="0"/>
      <w:marTop w:val="0"/>
      <w:marBottom w:val="0"/>
      <w:divBdr>
        <w:top w:val="none" w:sz="0" w:space="0" w:color="auto"/>
        <w:left w:val="none" w:sz="0" w:space="0" w:color="auto"/>
        <w:bottom w:val="none" w:sz="0" w:space="0" w:color="auto"/>
        <w:right w:val="none" w:sz="0" w:space="0" w:color="auto"/>
      </w:divBdr>
    </w:div>
    <w:div w:id="97887841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6351269">
      <w:bodyDiv w:val="1"/>
      <w:marLeft w:val="0"/>
      <w:marRight w:val="0"/>
      <w:marTop w:val="0"/>
      <w:marBottom w:val="0"/>
      <w:divBdr>
        <w:top w:val="none" w:sz="0" w:space="0" w:color="auto"/>
        <w:left w:val="none" w:sz="0" w:space="0" w:color="auto"/>
        <w:bottom w:val="none" w:sz="0" w:space="0" w:color="auto"/>
        <w:right w:val="none" w:sz="0" w:space="0" w:color="auto"/>
      </w:divBdr>
    </w:div>
    <w:div w:id="1019769677">
      <w:bodyDiv w:val="1"/>
      <w:marLeft w:val="0"/>
      <w:marRight w:val="0"/>
      <w:marTop w:val="0"/>
      <w:marBottom w:val="0"/>
      <w:divBdr>
        <w:top w:val="none" w:sz="0" w:space="0" w:color="auto"/>
        <w:left w:val="none" w:sz="0" w:space="0" w:color="auto"/>
        <w:bottom w:val="none" w:sz="0" w:space="0" w:color="auto"/>
        <w:right w:val="none" w:sz="0" w:space="0" w:color="auto"/>
      </w:divBdr>
    </w:div>
    <w:div w:id="104105601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126987">
      <w:bodyDiv w:val="1"/>
      <w:marLeft w:val="0"/>
      <w:marRight w:val="0"/>
      <w:marTop w:val="0"/>
      <w:marBottom w:val="0"/>
      <w:divBdr>
        <w:top w:val="none" w:sz="0" w:space="0" w:color="auto"/>
        <w:left w:val="none" w:sz="0" w:space="0" w:color="auto"/>
        <w:bottom w:val="none" w:sz="0" w:space="0" w:color="auto"/>
        <w:right w:val="none" w:sz="0" w:space="0" w:color="auto"/>
      </w:divBdr>
    </w:div>
    <w:div w:id="1082795343">
      <w:bodyDiv w:val="1"/>
      <w:marLeft w:val="0"/>
      <w:marRight w:val="0"/>
      <w:marTop w:val="0"/>
      <w:marBottom w:val="0"/>
      <w:divBdr>
        <w:top w:val="none" w:sz="0" w:space="0" w:color="auto"/>
        <w:left w:val="none" w:sz="0" w:space="0" w:color="auto"/>
        <w:bottom w:val="none" w:sz="0" w:space="0" w:color="auto"/>
        <w:right w:val="none" w:sz="0" w:space="0" w:color="auto"/>
      </w:divBdr>
    </w:div>
    <w:div w:id="1087263183">
      <w:bodyDiv w:val="1"/>
      <w:marLeft w:val="0"/>
      <w:marRight w:val="0"/>
      <w:marTop w:val="0"/>
      <w:marBottom w:val="0"/>
      <w:divBdr>
        <w:top w:val="none" w:sz="0" w:space="0" w:color="auto"/>
        <w:left w:val="none" w:sz="0" w:space="0" w:color="auto"/>
        <w:bottom w:val="none" w:sz="0" w:space="0" w:color="auto"/>
        <w:right w:val="none" w:sz="0" w:space="0" w:color="auto"/>
      </w:divBdr>
    </w:div>
    <w:div w:id="1088308001">
      <w:bodyDiv w:val="1"/>
      <w:marLeft w:val="0"/>
      <w:marRight w:val="0"/>
      <w:marTop w:val="0"/>
      <w:marBottom w:val="0"/>
      <w:divBdr>
        <w:top w:val="none" w:sz="0" w:space="0" w:color="auto"/>
        <w:left w:val="none" w:sz="0" w:space="0" w:color="auto"/>
        <w:bottom w:val="none" w:sz="0" w:space="0" w:color="auto"/>
        <w:right w:val="none" w:sz="0" w:space="0" w:color="auto"/>
      </w:divBdr>
    </w:div>
    <w:div w:id="1097747617">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475120">
      <w:bodyDiv w:val="1"/>
      <w:marLeft w:val="0"/>
      <w:marRight w:val="0"/>
      <w:marTop w:val="0"/>
      <w:marBottom w:val="0"/>
      <w:divBdr>
        <w:top w:val="none" w:sz="0" w:space="0" w:color="auto"/>
        <w:left w:val="none" w:sz="0" w:space="0" w:color="auto"/>
        <w:bottom w:val="none" w:sz="0" w:space="0" w:color="auto"/>
        <w:right w:val="none" w:sz="0" w:space="0" w:color="auto"/>
      </w:divBdr>
    </w:div>
    <w:div w:id="1150830886">
      <w:bodyDiv w:val="1"/>
      <w:marLeft w:val="0"/>
      <w:marRight w:val="0"/>
      <w:marTop w:val="0"/>
      <w:marBottom w:val="0"/>
      <w:divBdr>
        <w:top w:val="none" w:sz="0" w:space="0" w:color="auto"/>
        <w:left w:val="none" w:sz="0" w:space="0" w:color="auto"/>
        <w:bottom w:val="none" w:sz="0" w:space="0" w:color="auto"/>
        <w:right w:val="none" w:sz="0" w:space="0" w:color="auto"/>
      </w:divBdr>
    </w:div>
    <w:div w:id="1159233432">
      <w:bodyDiv w:val="1"/>
      <w:marLeft w:val="0"/>
      <w:marRight w:val="0"/>
      <w:marTop w:val="0"/>
      <w:marBottom w:val="0"/>
      <w:divBdr>
        <w:top w:val="none" w:sz="0" w:space="0" w:color="auto"/>
        <w:left w:val="none" w:sz="0" w:space="0" w:color="auto"/>
        <w:bottom w:val="none" w:sz="0" w:space="0" w:color="auto"/>
        <w:right w:val="none" w:sz="0" w:space="0" w:color="auto"/>
      </w:divBdr>
    </w:div>
    <w:div w:id="1166096353">
      <w:bodyDiv w:val="1"/>
      <w:marLeft w:val="0"/>
      <w:marRight w:val="0"/>
      <w:marTop w:val="0"/>
      <w:marBottom w:val="0"/>
      <w:divBdr>
        <w:top w:val="none" w:sz="0" w:space="0" w:color="auto"/>
        <w:left w:val="none" w:sz="0" w:space="0" w:color="auto"/>
        <w:bottom w:val="none" w:sz="0" w:space="0" w:color="auto"/>
        <w:right w:val="none" w:sz="0" w:space="0" w:color="auto"/>
      </w:divBdr>
    </w:div>
    <w:div w:id="1183980144">
      <w:bodyDiv w:val="1"/>
      <w:marLeft w:val="0"/>
      <w:marRight w:val="0"/>
      <w:marTop w:val="0"/>
      <w:marBottom w:val="0"/>
      <w:divBdr>
        <w:top w:val="none" w:sz="0" w:space="0" w:color="auto"/>
        <w:left w:val="none" w:sz="0" w:space="0" w:color="auto"/>
        <w:bottom w:val="none" w:sz="0" w:space="0" w:color="auto"/>
        <w:right w:val="none" w:sz="0" w:space="0" w:color="auto"/>
      </w:divBdr>
    </w:div>
    <w:div w:id="1194223383">
      <w:bodyDiv w:val="1"/>
      <w:marLeft w:val="0"/>
      <w:marRight w:val="0"/>
      <w:marTop w:val="0"/>
      <w:marBottom w:val="0"/>
      <w:divBdr>
        <w:top w:val="none" w:sz="0" w:space="0" w:color="auto"/>
        <w:left w:val="none" w:sz="0" w:space="0" w:color="auto"/>
        <w:bottom w:val="none" w:sz="0" w:space="0" w:color="auto"/>
        <w:right w:val="none" w:sz="0" w:space="0" w:color="auto"/>
      </w:divBdr>
    </w:div>
    <w:div w:id="1235093368">
      <w:bodyDiv w:val="1"/>
      <w:marLeft w:val="0"/>
      <w:marRight w:val="0"/>
      <w:marTop w:val="0"/>
      <w:marBottom w:val="0"/>
      <w:divBdr>
        <w:top w:val="none" w:sz="0" w:space="0" w:color="auto"/>
        <w:left w:val="none" w:sz="0" w:space="0" w:color="auto"/>
        <w:bottom w:val="none" w:sz="0" w:space="0" w:color="auto"/>
        <w:right w:val="none" w:sz="0" w:space="0" w:color="auto"/>
      </w:divBdr>
    </w:div>
    <w:div w:id="1241452545">
      <w:bodyDiv w:val="1"/>
      <w:marLeft w:val="0"/>
      <w:marRight w:val="0"/>
      <w:marTop w:val="0"/>
      <w:marBottom w:val="0"/>
      <w:divBdr>
        <w:top w:val="none" w:sz="0" w:space="0" w:color="auto"/>
        <w:left w:val="none" w:sz="0" w:space="0" w:color="auto"/>
        <w:bottom w:val="none" w:sz="0" w:space="0" w:color="auto"/>
        <w:right w:val="none" w:sz="0" w:space="0" w:color="auto"/>
      </w:divBdr>
    </w:div>
    <w:div w:id="1271932155">
      <w:bodyDiv w:val="1"/>
      <w:marLeft w:val="0"/>
      <w:marRight w:val="0"/>
      <w:marTop w:val="0"/>
      <w:marBottom w:val="0"/>
      <w:divBdr>
        <w:top w:val="none" w:sz="0" w:space="0" w:color="auto"/>
        <w:left w:val="none" w:sz="0" w:space="0" w:color="auto"/>
        <w:bottom w:val="none" w:sz="0" w:space="0" w:color="auto"/>
        <w:right w:val="none" w:sz="0" w:space="0" w:color="auto"/>
      </w:divBdr>
    </w:div>
    <w:div w:id="1275752244">
      <w:bodyDiv w:val="1"/>
      <w:marLeft w:val="0"/>
      <w:marRight w:val="0"/>
      <w:marTop w:val="0"/>
      <w:marBottom w:val="0"/>
      <w:divBdr>
        <w:top w:val="none" w:sz="0" w:space="0" w:color="auto"/>
        <w:left w:val="none" w:sz="0" w:space="0" w:color="auto"/>
        <w:bottom w:val="none" w:sz="0" w:space="0" w:color="auto"/>
        <w:right w:val="none" w:sz="0" w:space="0" w:color="auto"/>
      </w:divBdr>
    </w:div>
    <w:div w:id="1278877999">
      <w:bodyDiv w:val="1"/>
      <w:marLeft w:val="0"/>
      <w:marRight w:val="0"/>
      <w:marTop w:val="0"/>
      <w:marBottom w:val="0"/>
      <w:divBdr>
        <w:top w:val="none" w:sz="0" w:space="0" w:color="auto"/>
        <w:left w:val="none" w:sz="0" w:space="0" w:color="auto"/>
        <w:bottom w:val="none" w:sz="0" w:space="0" w:color="auto"/>
        <w:right w:val="none" w:sz="0" w:space="0" w:color="auto"/>
      </w:divBdr>
    </w:div>
    <w:div w:id="1282760976">
      <w:bodyDiv w:val="1"/>
      <w:marLeft w:val="0"/>
      <w:marRight w:val="0"/>
      <w:marTop w:val="0"/>
      <w:marBottom w:val="0"/>
      <w:divBdr>
        <w:top w:val="none" w:sz="0" w:space="0" w:color="auto"/>
        <w:left w:val="none" w:sz="0" w:space="0" w:color="auto"/>
        <w:bottom w:val="none" w:sz="0" w:space="0" w:color="auto"/>
        <w:right w:val="none" w:sz="0" w:space="0" w:color="auto"/>
      </w:divBdr>
    </w:div>
    <w:div w:id="1286960803">
      <w:bodyDiv w:val="1"/>
      <w:marLeft w:val="0"/>
      <w:marRight w:val="0"/>
      <w:marTop w:val="0"/>
      <w:marBottom w:val="0"/>
      <w:divBdr>
        <w:top w:val="none" w:sz="0" w:space="0" w:color="auto"/>
        <w:left w:val="none" w:sz="0" w:space="0" w:color="auto"/>
        <w:bottom w:val="none" w:sz="0" w:space="0" w:color="auto"/>
        <w:right w:val="none" w:sz="0" w:space="0" w:color="auto"/>
      </w:divBdr>
    </w:div>
    <w:div w:id="1335759802">
      <w:bodyDiv w:val="1"/>
      <w:marLeft w:val="0"/>
      <w:marRight w:val="0"/>
      <w:marTop w:val="0"/>
      <w:marBottom w:val="0"/>
      <w:divBdr>
        <w:top w:val="none" w:sz="0" w:space="0" w:color="auto"/>
        <w:left w:val="none" w:sz="0" w:space="0" w:color="auto"/>
        <w:bottom w:val="none" w:sz="0" w:space="0" w:color="auto"/>
        <w:right w:val="none" w:sz="0" w:space="0" w:color="auto"/>
      </w:divBdr>
    </w:div>
    <w:div w:id="1340040415">
      <w:bodyDiv w:val="1"/>
      <w:marLeft w:val="0"/>
      <w:marRight w:val="0"/>
      <w:marTop w:val="0"/>
      <w:marBottom w:val="0"/>
      <w:divBdr>
        <w:top w:val="none" w:sz="0" w:space="0" w:color="auto"/>
        <w:left w:val="none" w:sz="0" w:space="0" w:color="auto"/>
        <w:bottom w:val="none" w:sz="0" w:space="0" w:color="auto"/>
        <w:right w:val="none" w:sz="0" w:space="0" w:color="auto"/>
      </w:divBdr>
    </w:div>
    <w:div w:id="1350990295">
      <w:bodyDiv w:val="1"/>
      <w:marLeft w:val="0"/>
      <w:marRight w:val="0"/>
      <w:marTop w:val="0"/>
      <w:marBottom w:val="0"/>
      <w:divBdr>
        <w:top w:val="none" w:sz="0" w:space="0" w:color="auto"/>
        <w:left w:val="none" w:sz="0" w:space="0" w:color="auto"/>
        <w:bottom w:val="none" w:sz="0" w:space="0" w:color="auto"/>
        <w:right w:val="none" w:sz="0" w:space="0" w:color="auto"/>
      </w:divBdr>
    </w:div>
    <w:div w:id="1352025404">
      <w:bodyDiv w:val="1"/>
      <w:marLeft w:val="0"/>
      <w:marRight w:val="0"/>
      <w:marTop w:val="0"/>
      <w:marBottom w:val="0"/>
      <w:divBdr>
        <w:top w:val="none" w:sz="0" w:space="0" w:color="auto"/>
        <w:left w:val="none" w:sz="0" w:space="0" w:color="auto"/>
        <w:bottom w:val="none" w:sz="0" w:space="0" w:color="auto"/>
        <w:right w:val="none" w:sz="0" w:space="0" w:color="auto"/>
      </w:divBdr>
    </w:div>
    <w:div w:id="1355888873">
      <w:bodyDiv w:val="1"/>
      <w:marLeft w:val="0"/>
      <w:marRight w:val="0"/>
      <w:marTop w:val="0"/>
      <w:marBottom w:val="0"/>
      <w:divBdr>
        <w:top w:val="none" w:sz="0" w:space="0" w:color="auto"/>
        <w:left w:val="none" w:sz="0" w:space="0" w:color="auto"/>
        <w:bottom w:val="none" w:sz="0" w:space="0" w:color="auto"/>
        <w:right w:val="none" w:sz="0" w:space="0" w:color="auto"/>
      </w:divBdr>
    </w:div>
    <w:div w:id="1377074472">
      <w:bodyDiv w:val="1"/>
      <w:marLeft w:val="0"/>
      <w:marRight w:val="0"/>
      <w:marTop w:val="0"/>
      <w:marBottom w:val="0"/>
      <w:divBdr>
        <w:top w:val="none" w:sz="0" w:space="0" w:color="auto"/>
        <w:left w:val="none" w:sz="0" w:space="0" w:color="auto"/>
        <w:bottom w:val="none" w:sz="0" w:space="0" w:color="auto"/>
        <w:right w:val="none" w:sz="0" w:space="0" w:color="auto"/>
      </w:divBdr>
    </w:div>
    <w:div w:id="1399749404">
      <w:bodyDiv w:val="1"/>
      <w:marLeft w:val="0"/>
      <w:marRight w:val="0"/>
      <w:marTop w:val="0"/>
      <w:marBottom w:val="0"/>
      <w:divBdr>
        <w:top w:val="none" w:sz="0" w:space="0" w:color="auto"/>
        <w:left w:val="none" w:sz="0" w:space="0" w:color="auto"/>
        <w:bottom w:val="none" w:sz="0" w:space="0" w:color="auto"/>
        <w:right w:val="none" w:sz="0" w:space="0" w:color="auto"/>
      </w:divBdr>
    </w:div>
    <w:div w:id="1415123040">
      <w:bodyDiv w:val="1"/>
      <w:marLeft w:val="0"/>
      <w:marRight w:val="0"/>
      <w:marTop w:val="0"/>
      <w:marBottom w:val="0"/>
      <w:divBdr>
        <w:top w:val="none" w:sz="0" w:space="0" w:color="auto"/>
        <w:left w:val="none" w:sz="0" w:space="0" w:color="auto"/>
        <w:bottom w:val="none" w:sz="0" w:space="0" w:color="auto"/>
        <w:right w:val="none" w:sz="0" w:space="0" w:color="auto"/>
      </w:divBdr>
    </w:div>
    <w:div w:id="1419521430">
      <w:bodyDiv w:val="1"/>
      <w:marLeft w:val="0"/>
      <w:marRight w:val="0"/>
      <w:marTop w:val="0"/>
      <w:marBottom w:val="0"/>
      <w:divBdr>
        <w:top w:val="none" w:sz="0" w:space="0" w:color="auto"/>
        <w:left w:val="none" w:sz="0" w:space="0" w:color="auto"/>
        <w:bottom w:val="none" w:sz="0" w:space="0" w:color="auto"/>
        <w:right w:val="none" w:sz="0" w:space="0" w:color="auto"/>
      </w:divBdr>
    </w:div>
    <w:div w:id="1452896399">
      <w:bodyDiv w:val="1"/>
      <w:marLeft w:val="0"/>
      <w:marRight w:val="0"/>
      <w:marTop w:val="0"/>
      <w:marBottom w:val="0"/>
      <w:divBdr>
        <w:top w:val="none" w:sz="0" w:space="0" w:color="auto"/>
        <w:left w:val="none" w:sz="0" w:space="0" w:color="auto"/>
        <w:bottom w:val="none" w:sz="0" w:space="0" w:color="auto"/>
        <w:right w:val="none" w:sz="0" w:space="0" w:color="auto"/>
      </w:divBdr>
    </w:div>
    <w:div w:id="1478842778">
      <w:bodyDiv w:val="1"/>
      <w:marLeft w:val="0"/>
      <w:marRight w:val="0"/>
      <w:marTop w:val="0"/>
      <w:marBottom w:val="0"/>
      <w:divBdr>
        <w:top w:val="none" w:sz="0" w:space="0" w:color="auto"/>
        <w:left w:val="none" w:sz="0" w:space="0" w:color="auto"/>
        <w:bottom w:val="none" w:sz="0" w:space="0" w:color="auto"/>
        <w:right w:val="none" w:sz="0" w:space="0" w:color="auto"/>
      </w:divBdr>
    </w:div>
    <w:div w:id="1535997579">
      <w:bodyDiv w:val="1"/>
      <w:marLeft w:val="0"/>
      <w:marRight w:val="0"/>
      <w:marTop w:val="0"/>
      <w:marBottom w:val="0"/>
      <w:divBdr>
        <w:top w:val="none" w:sz="0" w:space="0" w:color="auto"/>
        <w:left w:val="none" w:sz="0" w:space="0" w:color="auto"/>
        <w:bottom w:val="none" w:sz="0" w:space="0" w:color="auto"/>
        <w:right w:val="none" w:sz="0" w:space="0" w:color="auto"/>
      </w:divBdr>
    </w:div>
    <w:div w:id="1549536806">
      <w:bodyDiv w:val="1"/>
      <w:marLeft w:val="0"/>
      <w:marRight w:val="0"/>
      <w:marTop w:val="0"/>
      <w:marBottom w:val="0"/>
      <w:divBdr>
        <w:top w:val="none" w:sz="0" w:space="0" w:color="auto"/>
        <w:left w:val="none" w:sz="0" w:space="0" w:color="auto"/>
        <w:bottom w:val="none" w:sz="0" w:space="0" w:color="auto"/>
        <w:right w:val="none" w:sz="0" w:space="0" w:color="auto"/>
      </w:divBdr>
    </w:div>
    <w:div w:id="1564876226">
      <w:bodyDiv w:val="1"/>
      <w:marLeft w:val="0"/>
      <w:marRight w:val="0"/>
      <w:marTop w:val="0"/>
      <w:marBottom w:val="0"/>
      <w:divBdr>
        <w:top w:val="none" w:sz="0" w:space="0" w:color="auto"/>
        <w:left w:val="none" w:sz="0" w:space="0" w:color="auto"/>
        <w:bottom w:val="none" w:sz="0" w:space="0" w:color="auto"/>
        <w:right w:val="none" w:sz="0" w:space="0" w:color="auto"/>
      </w:divBdr>
    </w:div>
    <w:div w:id="1599094642">
      <w:bodyDiv w:val="1"/>
      <w:marLeft w:val="0"/>
      <w:marRight w:val="0"/>
      <w:marTop w:val="0"/>
      <w:marBottom w:val="0"/>
      <w:divBdr>
        <w:top w:val="none" w:sz="0" w:space="0" w:color="auto"/>
        <w:left w:val="none" w:sz="0" w:space="0" w:color="auto"/>
        <w:bottom w:val="none" w:sz="0" w:space="0" w:color="auto"/>
        <w:right w:val="none" w:sz="0" w:space="0" w:color="auto"/>
      </w:divBdr>
    </w:div>
    <w:div w:id="1611665728">
      <w:bodyDiv w:val="1"/>
      <w:marLeft w:val="0"/>
      <w:marRight w:val="0"/>
      <w:marTop w:val="0"/>
      <w:marBottom w:val="0"/>
      <w:divBdr>
        <w:top w:val="none" w:sz="0" w:space="0" w:color="auto"/>
        <w:left w:val="none" w:sz="0" w:space="0" w:color="auto"/>
        <w:bottom w:val="none" w:sz="0" w:space="0" w:color="auto"/>
        <w:right w:val="none" w:sz="0" w:space="0" w:color="auto"/>
      </w:divBdr>
    </w:div>
    <w:div w:id="1613782273">
      <w:bodyDiv w:val="1"/>
      <w:marLeft w:val="0"/>
      <w:marRight w:val="0"/>
      <w:marTop w:val="0"/>
      <w:marBottom w:val="0"/>
      <w:divBdr>
        <w:top w:val="none" w:sz="0" w:space="0" w:color="auto"/>
        <w:left w:val="none" w:sz="0" w:space="0" w:color="auto"/>
        <w:bottom w:val="none" w:sz="0" w:space="0" w:color="auto"/>
        <w:right w:val="none" w:sz="0" w:space="0" w:color="auto"/>
      </w:divBdr>
    </w:div>
    <w:div w:id="1619212806">
      <w:bodyDiv w:val="1"/>
      <w:marLeft w:val="0"/>
      <w:marRight w:val="0"/>
      <w:marTop w:val="0"/>
      <w:marBottom w:val="0"/>
      <w:divBdr>
        <w:top w:val="none" w:sz="0" w:space="0" w:color="auto"/>
        <w:left w:val="none" w:sz="0" w:space="0" w:color="auto"/>
        <w:bottom w:val="none" w:sz="0" w:space="0" w:color="auto"/>
        <w:right w:val="none" w:sz="0" w:space="0" w:color="auto"/>
      </w:divBdr>
    </w:div>
    <w:div w:id="1639528355">
      <w:bodyDiv w:val="1"/>
      <w:marLeft w:val="0"/>
      <w:marRight w:val="0"/>
      <w:marTop w:val="0"/>
      <w:marBottom w:val="0"/>
      <w:divBdr>
        <w:top w:val="none" w:sz="0" w:space="0" w:color="auto"/>
        <w:left w:val="none" w:sz="0" w:space="0" w:color="auto"/>
        <w:bottom w:val="none" w:sz="0" w:space="0" w:color="auto"/>
        <w:right w:val="none" w:sz="0" w:space="0" w:color="auto"/>
      </w:divBdr>
    </w:div>
    <w:div w:id="1645430795">
      <w:bodyDiv w:val="1"/>
      <w:marLeft w:val="0"/>
      <w:marRight w:val="0"/>
      <w:marTop w:val="0"/>
      <w:marBottom w:val="0"/>
      <w:divBdr>
        <w:top w:val="none" w:sz="0" w:space="0" w:color="auto"/>
        <w:left w:val="none" w:sz="0" w:space="0" w:color="auto"/>
        <w:bottom w:val="none" w:sz="0" w:space="0" w:color="auto"/>
        <w:right w:val="none" w:sz="0" w:space="0" w:color="auto"/>
      </w:divBdr>
    </w:div>
    <w:div w:id="1676230225">
      <w:bodyDiv w:val="1"/>
      <w:marLeft w:val="0"/>
      <w:marRight w:val="0"/>
      <w:marTop w:val="0"/>
      <w:marBottom w:val="0"/>
      <w:divBdr>
        <w:top w:val="none" w:sz="0" w:space="0" w:color="auto"/>
        <w:left w:val="none" w:sz="0" w:space="0" w:color="auto"/>
        <w:bottom w:val="none" w:sz="0" w:space="0" w:color="auto"/>
        <w:right w:val="none" w:sz="0" w:space="0" w:color="auto"/>
      </w:divBdr>
    </w:div>
    <w:div w:id="1689139067">
      <w:bodyDiv w:val="1"/>
      <w:marLeft w:val="0"/>
      <w:marRight w:val="0"/>
      <w:marTop w:val="0"/>
      <w:marBottom w:val="0"/>
      <w:divBdr>
        <w:top w:val="none" w:sz="0" w:space="0" w:color="auto"/>
        <w:left w:val="none" w:sz="0" w:space="0" w:color="auto"/>
        <w:bottom w:val="none" w:sz="0" w:space="0" w:color="auto"/>
        <w:right w:val="none" w:sz="0" w:space="0" w:color="auto"/>
      </w:divBdr>
    </w:div>
    <w:div w:id="1691025677">
      <w:bodyDiv w:val="1"/>
      <w:marLeft w:val="0"/>
      <w:marRight w:val="0"/>
      <w:marTop w:val="0"/>
      <w:marBottom w:val="0"/>
      <w:divBdr>
        <w:top w:val="none" w:sz="0" w:space="0" w:color="auto"/>
        <w:left w:val="none" w:sz="0" w:space="0" w:color="auto"/>
        <w:bottom w:val="none" w:sz="0" w:space="0" w:color="auto"/>
        <w:right w:val="none" w:sz="0" w:space="0" w:color="auto"/>
      </w:divBdr>
    </w:div>
    <w:div w:id="1698922337">
      <w:bodyDiv w:val="1"/>
      <w:marLeft w:val="0"/>
      <w:marRight w:val="0"/>
      <w:marTop w:val="0"/>
      <w:marBottom w:val="0"/>
      <w:divBdr>
        <w:top w:val="none" w:sz="0" w:space="0" w:color="auto"/>
        <w:left w:val="none" w:sz="0" w:space="0" w:color="auto"/>
        <w:bottom w:val="none" w:sz="0" w:space="0" w:color="auto"/>
        <w:right w:val="none" w:sz="0" w:space="0" w:color="auto"/>
      </w:divBdr>
    </w:div>
    <w:div w:id="1700626265">
      <w:bodyDiv w:val="1"/>
      <w:marLeft w:val="0"/>
      <w:marRight w:val="0"/>
      <w:marTop w:val="0"/>
      <w:marBottom w:val="0"/>
      <w:divBdr>
        <w:top w:val="none" w:sz="0" w:space="0" w:color="auto"/>
        <w:left w:val="none" w:sz="0" w:space="0" w:color="auto"/>
        <w:bottom w:val="none" w:sz="0" w:space="0" w:color="auto"/>
        <w:right w:val="none" w:sz="0" w:space="0" w:color="auto"/>
      </w:divBdr>
    </w:div>
    <w:div w:id="1703094733">
      <w:bodyDiv w:val="1"/>
      <w:marLeft w:val="0"/>
      <w:marRight w:val="0"/>
      <w:marTop w:val="0"/>
      <w:marBottom w:val="0"/>
      <w:divBdr>
        <w:top w:val="none" w:sz="0" w:space="0" w:color="auto"/>
        <w:left w:val="none" w:sz="0" w:space="0" w:color="auto"/>
        <w:bottom w:val="none" w:sz="0" w:space="0" w:color="auto"/>
        <w:right w:val="none" w:sz="0" w:space="0" w:color="auto"/>
      </w:divBdr>
    </w:div>
    <w:div w:id="1710648460">
      <w:bodyDiv w:val="1"/>
      <w:marLeft w:val="0"/>
      <w:marRight w:val="0"/>
      <w:marTop w:val="0"/>
      <w:marBottom w:val="0"/>
      <w:divBdr>
        <w:top w:val="none" w:sz="0" w:space="0" w:color="auto"/>
        <w:left w:val="none" w:sz="0" w:space="0" w:color="auto"/>
        <w:bottom w:val="none" w:sz="0" w:space="0" w:color="auto"/>
        <w:right w:val="none" w:sz="0" w:space="0" w:color="auto"/>
      </w:divBdr>
    </w:div>
    <w:div w:id="1718696897">
      <w:bodyDiv w:val="1"/>
      <w:marLeft w:val="0"/>
      <w:marRight w:val="0"/>
      <w:marTop w:val="0"/>
      <w:marBottom w:val="0"/>
      <w:divBdr>
        <w:top w:val="none" w:sz="0" w:space="0" w:color="auto"/>
        <w:left w:val="none" w:sz="0" w:space="0" w:color="auto"/>
        <w:bottom w:val="none" w:sz="0" w:space="0" w:color="auto"/>
        <w:right w:val="none" w:sz="0" w:space="0" w:color="auto"/>
      </w:divBdr>
    </w:div>
    <w:div w:id="1720014488">
      <w:bodyDiv w:val="1"/>
      <w:marLeft w:val="0"/>
      <w:marRight w:val="0"/>
      <w:marTop w:val="0"/>
      <w:marBottom w:val="0"/>
      <w:divBdr>
        <w:top w:val="none" w:sz="0" w:space="0" w:color="auto"/>
        <w:left w:val="none" w:sz="0" w:space="0" w:color="auto"/>
        <w:bottom w:val="none" w:sz="0" w:space="0" w:color="auto"/>
        <w:right w:val="none" w:sz="0" w:space="0" w:color="auto"/>
      </w:divBdr>
    </w:div>
    <w:div w:id="1723283183">
      <w:bodyDiv w:val="1"/>
      <w:marLeft w:val="0"/>
      <w:marRight w:val="0"/>
      <w:marTop w:val="0"/>
      <w:marBottom w:val="0"/>
      <w:divBdr>
        <w:top w:val="none" w:sz="0" w:space="0" w:color="auto"/>
        <w:left w:val="none" w:sz="0" w:space="0" w:color="auto"/>
        <w:bottom w:val="none" w:sz="0" w:space="0" w:color="auto"/>
        <w:right w:val="none" w:sz="0" w:space="0" w:color="auto"/>
      </w:divBdr>
    </w:div>
    <w:div w:id="1727491391">
      <w:bodyDiv w:val="1"/>
      <w:marLeft w:val="0"/>
      <w:marRight w:val="0"/>
      <w:marTop w:val="0"/>
      <w:marBottom w:val="0"/>
      <w:divBdr>
        <w:top w:val="none" w:sz="0" w:space="0" w:color="auto"/>
        <w:left w:val="none" w:sz="0" w:space="0" w:color="auto"/>
        <w:bottom w:val="none" w:sz="0" w:space="0" w:color="auto"/>
        <w:right w:val="none" w:sz="0" w:space="0" w:color="auto"/>
      </w:divBdr>
    </w:div>
    <w:div w:id="17278784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6071783">
      <w:bodyDiv w:val="1"/>
      <w:marLeft w:val="0"/>
      <w:marRight w:val="0"/>
      <w:marTop w:val="0"/>
      <w:marBottom w:val="0"/>
      <w:divBdr>
        <w:top w:val="none" w:sz="0" w:space="0" w:color="auto"/>
        <w:left w:val="none" w:sz="0" w:space="0" w:color="auto"/>
        <w:bottom w:val="none" w:sz="0" w:space="0" w:color="auto"/>
        <w:right w:val="none" w:sz="0" w:space="0" w:color="auto"/>
      </w:divBdr>
    </w:div>
    <w:div w:id="1780299730">
      <w:bodyDiv w:val="1"/>
      <w:marLeft w:val="0"/>
      <w:marRight w:val="0"/>
      <w:marTop w:val="0"/>
      <w:marBottom w:val="0"/>
      <w:divBdr>
        <w:top w:val="none" w:sz="0" w:space="0" w:color="auto"/>
        <w:left w:val="none" w:sz="0" w:space="0" w:color="auto"/>
        <w:bottom w:val="none" w:sz="0" w:space="0" w:color="auto"/>
        <w:right w:val="none" w:sz="0" w:space="0" w:color="auto"/>
      </w:divBdr>
    </w:div>
    <w:div w:id="1795367543">
      <w:bodyDiv w:val="1"/>
      <w:marLeft w:val="0"/>
      <w:marRight w:val="0"/>
      <w:marTop w:val="0"/>
      <w:marBottom w:val="0"/>
      <w:divBdr>
        <w:top w:val="none" w:sz="0" w:space="0" w:color="auto"/>
        <w:left w:val="none" w:sz="0" w:space="0" w:color="auto"/>
        <w:bottom w:val="none" w:sz="0" w:space="0" w:color="auto"/>
        <w:right w:val="none" w:sz="0" w:space="0" w:color="auto"/>
      </w:divBdr>
    </w:div>
    <w:div w:id="1802961020">
      <w:bodyDiv w:val="1"/>
      <w:marLeft w:val="0"/>
      <w:marRight w:val="0"/>
      <w:marTop w:val="0"/>
      <w:marBottom w:val="0"/>
      <w:divBdr>
        <w:top w:val="none" w:sz="0" w:space="0" w:color="auto"/>
        <w:left w:val="none" w:sz="0" w:space="0" w:color="auto"/>
        <w:bottom w:val="none" w:sz="0" w:space="0" w:color="auto"/>
        <w:right w:val="none" w:sz="0" w:space="0" w:color="auto"/>
      </w:divBdr>
    </w:div>
    <w:div w:id="1832211833">
      <w:bodyDiv w:val="1"/>
      <w:marLeft w:val="0"/>
      <w:marRight w:val="0"/>
      <w:marTop w:val="0"/>
      <w:marBottom w:val="0"/>
      <w:divBdr>
        <w:top w:val="none" w:sz="0" w:space="0" w:color="auto"/>
        <w:left w:val="none" w:sz="0" w:space="0" w:color="auto"/>
        <w:bottom w:val="none" w:sz="0" w:space="0" w:color="auto"/>
        <w:right w:val="none" w:sz="0" w:space="0" w:color="auto"/>
      </w:divBdr>
    </w:div>
    <w:div w:id="1850828683">
      <w:bodyDiv w:val="1"/>
      <w:marLeft w:val="0"/>
      <w:marRight w:val="0"/>
      <w:marTop w:val="0"/>
      <w:marBottom w:val="0"/>
      <w:divBdr>
        <w:top w:val="none" w:sz="0" w:space="0" w:color="auto"/>
        <w:left w:val="none" w:sz="0" w:space="0" w:color="auto"/>
        <w:bottom w:val="none" w:sz="0" w:space="0" w:color="auto"/>
        <w:right w:val="none" w:sz="0" w:space="0" w:color="auto"/>
      </w:divBdr>
    </w:div>
    <w:div w:id="1857965474">
      <w:bodyDiv w:val="1"/>
      <w:marLeft w:val="0"/>
      <w:marRight w:val="0"/>
      <w:marTop w:val="0"/>
      <w:marBottom w:val="0"/>
      <w:divBdr>
        <w:top w:val="none" w:sz="0" w:space="0" w:color="auto"/>
        <w:left w:val="none" w:sz="0" w:space="0" w:color="auto"/>
        <w:bottom w:val="none" w:sz="0" w:space="0" w:color="auto"/>
        <w:right w:val="none" w:sz="0" w:space="0" w:color="auto"/>
      </w:divBdr>
    </w:div>
    <w:div w:id="1865244127">
      <w:bodyDiv w:val="1"/>
      <w:marLeft w:val="0"/>
      <w:marRight w:val="0"/>
      <w:marTop w:val="0"/>
      <w:marBottom w:val="0"/>
      <w:divBdr>
        <w:top w:val="none" w:sz="0" w:space="0" w:color="auto"/>
        <w:left w:val="none" w:sz="0" w:space="0" w:color="auto"/>
        <w:bottom w:val="none" w:sz="0" w:space="0" w:color="auto"/>
        <w:right w:val="none" w:sz="0" w:space="0" w:color="auto"/>
      </w:divBdr>
    </w:div>
    <w:div w:id="1870491831">
      <w:bodyDiv w:val="1"/>
      <w:marLeft w:val="0"/>
      <w:marRight w:val="0"/>
      <w:marTop w:val="0"/>
      <w:marBottom w:val="0"/>
      <w:divBdr>
        <w:top w:val="none" w:sz="0" w:space="0" w:color="auto"/>
        <w:left w:val="none" w:sz="0" w:space="0" w:color="auto"/>
        <w:bottom w:val="none" w:sz="0" w:space="0" w:color="auto"/>
        <w:right w:val="none" w:sz="0" w:space="0" w:color="auto"/>
      </w:divBdr>
    </w:div>
    <w:div w:id="1879973380">
      <w:bodyDiv w:val="1"/>
      <w:marLeft w:val="0"/>
      <w:marRight w:val="0"/>
      <w:marTop w:val="0"/>
      <w:marBottom w:val="0"/>
      <w:divBdr>
        <w:top w:val="none" w:sz="0" w:space="0" w:color="auto"/>
        <w:left w:val="none" w:sz="0" w:space="0" w:color="auto"/>
        <w:bottom w:val="none" w:sz="0" w:space="0" w:color="auto"/>
        <w:right w:val="none" w:sz="0" w:space="0" w:color="auto"/>
      </w:divBdr>
    </w:div>
    <w:div w:id="1887839418">
      <w:bodyDiv w:val="1"/>
      <w:marLeft w:val="0"/>
      <w:marRight w:val="0"/>
      <w:marTop w:val="0"/>
      <w:marBottom w:val="0"/>
      <w:divBdr>
        <w:top w:val="none" w:sz="0" w:space="0" w:color="auto"/>
        <w:left w:val="none" w:sz="0" w:space="0" w:color="auto"/>
        <w:bottom w:val="none" w:sz="0" w:space="0" w:color="auto"/>
        <w:right w:val="none" w:sz="0" w:space="0" w:color="auto"/>
      </w:divBdr>
    </w:div>
    <w:div w:id="1903175015">
      <w:bodyDiv w:val="1"/>
      <w:marLeft w:val="0"/>
      <w:marRight w:val="0"/>
      <w:marTop w:val="0"/>
      <w:marBottom w:val="0"/>
      <w:divBdr>
        <w:top w:val="none" w:sz="0" w:space="0" w:color="auto"/>
        <w:left w:val="none" w:sz="0" w:space="0" w:color="auto"/>
        <w:bottom w:val="none" w:sz="0" w:space="0" w:color="auto"/>
        <w:right w:val="none" w:sz="0" w:space="0" w:color="auto"/>
      </w:divBdr>
    </w:div>
    <w:div w:id="1952318280">
      <w:bodyDiv w:val="1"/>
      <w:marLeft w:val="0"/>
      <w:marRight w:val="0"/>
      <w:marTop w:val="0"/>
      <w:marBottom w:val="0"/>
      <w:divBdr>
        <w:top w:val="none" w:sz="0" w:space="0" w:color="auto"/>
        <w:left w:val="none" w:sz="0" w:space="0" w:color="auto"/>
        <w:bottom w:val="none" w:sz="0" w:space="0" w:color="auto"/>
        <w:right w:val="none" w:sz="0" w:space="0" w:color="auto"/>
      </w:divBdr>
    </w:div>
    <w:div w:id="1956592335">
      <w:bodyDiv w:val="1"/>
      <w:marLeft w:val="0"/>
      <w:marRight w:val="0"/>
      <w:marTop w:val="0"/>
      <w:marBottom w:val="0"/>
      <w:divBdr>
        <w:top w:val="none" w:sz="0" w:space="0" w:color="auto"/>
        <w:left w:val="none" w:sz="0" w:space="0" w:color="auto"/>
        <w:bottom w:val="none" w:sz="0" w:space="0" w:color="auto"/>
        <w:right w:val="none" w:sz="0" w:space="0" w:color="auto"/>
      </w:divBdr>
    </w:div>
    <w:div w:id="1960338785">
      <w:bodyDiv w:val="1"/>
      <w:marLeft w:val="0"/>
      <w:marRight w:val="0"/>
      <w:marTop w:val="0"/>
      <w:marBottom w:val="0"/>
      <w:divBdr>
        <w:top w:val="none" w:sz="0" w:space="0" w:color="auto"/>
        <w:left w:val="none" w:sz="0" w:space="0" w:color="auto"/>
        <w:bottom w:val="none" w:sz="0" w:space="0" w:color="auto"/>
        <w:right w:val="none" w:sz="0" w:space="0" w:color="auto"/>
      </w:divBdr>
    </w:div>
    <w:div w:id="196824401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9619520">
      <w:bodyDiv w:val="1"/>
      <w:marLeft w:val="0"/>
      <w:marRight w:val="0"/>
      <w:marTop w:val="0"/>
      <w:marBottom w:val="0"/>
      <w:divBdr>
        <w:top w:val="none" w:sz="0" w:space="0" w:color="auto"/>
        <w:left w:val="none" w:sz="0" w:space="0" w:color="auto"/>
        <w:bottom w:val="none" w:sz="0" w:space="0" w:color="auto"/>
        <w:right w:val="none" w:sz="0" w:space="0" w:color="auto"/>
      </w:divBdr>
    </w:div>
    <w:div w:id="2060591073">
      <w:bodyDiv w:val="1"/>
      <w:marLeft w:val="0"/>
      <w:marRight w:val="0"/>
      <w:marTop w:val="0"/>
      <w:marBottom w:val="0"/>
      <w:divBdr>
        <w:top w:val="none" w:sz="0" w:space="0" w:color="auto"/>
        <w:left w:val="none" w:sz="0" w:space="0" w:color="auto"/>
        <w:bottom w:val="none" w:sz="0" w:space="0" w:color="auto"/>
        <w:right w:val="none" w:sz="0" w:space="0" w:color="auto"/>
      </w:divBdr>
    </w:div>
    <w:div w:id="2072194564">
      <w:bodyDiv w:val="1"/>
      <w:marLeft w:val="0"/>
      <w:marRight w:val="0"/>
      <w:marTop w:val="0"/>
      <w:marBottom w:val="0"/>
      <w:divBdr>
        <w:top w:val="none" w:sz="0" w:space="0" w:color="auto"/>
        <w:left w:val="none" w:sz="0" w:space="0" w:color="auto"/>
        <w:bottom w:val="none" w:sz="0" w:space="0" w:color="auto"/>
        <w:right w:val="none" w:sz="0" w:space="0" w:color="auto"/>
      </w:divBdr>
    </w:div>
    <w:div w:id="2095978990">
      <w:bodyDiv w:val="1"/>
      <w:marLeft w:val="0"/>
      <w:marRight w:val="0"/>
      <w:marTop w:val="0"/>
      <w:marBottom w:val="0"/>
      <w:divBdr>
        <w:top w:val="none" w:sz="0" w:space="0" w:color="auto"/>
        <w:left w:val="none" w:sz="0" w:space="0" w:color="auto"/>
        <w:bottom w:val="none" w:sz="0" w:space="0" w:color="auto"/>
        <w:right w:val="none" w:sz="0" w:space="0" w:color="auto"/>
      </w:divBdr>
    </w:div>
    <w:div w:id="2097633472">
      <w:bodyDiv w:val="1"/>
      <w:marLeft w:val="0"/>
      <w:marRight w:val="0"/>
      <w:marTop w:val="0"/>
      <w:marBottom w:val="0"/>
      <w:divBdr>
        <w:top w:val="none" w:sz="0" w:space="0" w:color="auto"/>
        <w:left w:val="none" w:sz="0" w:space="0" w:color="auto"/>
        <w:bottom w:val="none" w:sz="0" w:space="0" w:color="auto"/>
        <w:right w:val="none" w:sz="0" w:space="0" w:color="auto"/>
      </w:divBdr>
    </w:div>
    <w:div w:id="2103646969">
      <w:bodyDiv w:val="1"/>
      <w:marLeft w:val="0"/>
      <w:marRight w:val="0"/>
      <w:marTop w:val="0"/>
      <w:marBottom w:val="0"/>
      <w:divBdr>
        <w:top w:val="none" w:sz="0" w:space="0" w:color="auto"/>
        <w:left w:val="none" w:sz="0" w:space="0" w:color="auto"/>
        <w:bottom w:val="none" w:sz="0" w:space="0" w:color="auto"/>
        <w:right w:val="none" w:sz="0" w:space="0" w:color="auto"/>
      </w:divBdr>
    </w:div>
    <w:div w:id="2111273524">
      <w:bodyDiv w:val="1"/>
      <w:marLeft w:val="0"/>
      <w:marRight w:val="0"/>
      <w:marTop w:val="0"/>
      <w:marBottom w:val="0"/>
      <w:divBdr>
        <w:top w:val="none" w:sz="0" w:space="0" w:color="auto"/>
        <w:left w:val="none" w:sz="0" w:space="0" w:color="auto"/>
        <w:bottom w:val="none" w:sz="0" w:space="0" w:color="auto"/>
        <w:right w:val="none" w:sz="0" w:space="0" w:color="auto"/>
      </w:divBdr>
    </w:div>
    <w:div w:id="2111462437">
      <w:bodyDiv w:val="1"/>
      <w:marLeft w:val="0"/>
      <w:marRight w:val="0"/>
      <w:marTop w:val="0"/>
      <w:marBottom w:val="0"/>
      <w:divBdr>
        <w:top w:val="none" w:sz="0" w:space="0" w:color="auto"/>
        <w:left w:val="none" w:sz="0" w:space="0" w:color="auto"/>
        <w:bottom w:val="none" w:sz="0" w:space="0" w:color="auto"/>
        <w:right w:val="none" w:sz="0" w:space="0" w:color="auto"/>
      </w:divBdr>
    </w:div>
    <w:div w:id="2124181946">
      <w:bodyDiv w:val="1"/>
      <w:marLeft w:val="0"/>
      <w:marRight w:val="0"/>
      <w:marTop w:val="0"/>
      <w:marBottom w:val="0"/>
      <w:divBdr>
        <w:top w:val="none" w:sz="0" w:space="0" w:color="auto"/>
        <w:left w:val="none" w:sz="0" w:space="0" w:color="auto"/>
        <w:bottom w:val="none" w:sz="0" w:space="0" w:color="auto"/>
        <w:right w:val="none" w:sz="0" w:space="0" w:color="auto"/>
      </w:divBdr>
    </w:div>
    <w:div w:id="2125532583">
      <w:bodyDiv w:val="1"/>
      <w:marLeft w:val="0"/>
      <w:marRight w:val="0"/>
      <w:marTop w:val="0"/>
      <w:marBottom w:val="0"/>
      <w:divBdr>
        <w:top w:val="none" w:sz="0" w:space="0" w:color="auto"/>
        <w:left w:val="none" w:sz="0" w:space="0" w:color="auto"/>
        <w:bottom w:val="none" w:sz="0" w:space="0" w:color="auto"/>
        <w:right w:val="none" w:sz="0" w:space="0" w:color="auto"/>
      </w:divBdr>
    </w:div>
    <w:div w:id="21290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Sha22</b:Tag>
    <b:SourceType>JournalArticle</b:SourceType>
    <b:Guid>{788A7873-223B-42BF-ABF5-BEBC7C23ECDD}</b:Guid>
    <b:Title>Assessment of forest cover changes using multi‑temporal observation</b:Title>
    <b:Year>2022</b:Year>
    <b:Author>
      <b:Author>
        <b:NameList>
          <b:Person>
            <b:Last>Sharifi</b:Last>
            <b:First>Alireza</b:First>
          </b:Person>
          <b:Person>
            <b:Last>Moradi</b:Last>
            <b:First>Elahe</b:First>
          </b:Person>
        </b:NameList>
      </b:Author>
    </b:Author>
    <b:JournalName>Environment Development and Sustainability</b:JournalName>
    <b:Pages>1351–1360</b:Pages>
    <b:DOI>https://doi.org/10.1007/s10668-021-02097-2</b:DOI>
    <b:RefOrder>1</b:RefOrder>
  </b:Source>
  <b:Source>
    <b:Tag>MŨS18</b:Tag>
    <b:SourceType>Report</b:SourceType>
    <b:Guid>{FFFE9803-6AF8-46E6-AC26-E5311A88707E}</b:Guid>
    <b:Title>Policy Makers’ Perspective on Impacts of Decentralizing Forest Management in Kenya on Forestry Conservation and Community Livelihoods</b:Title>
    <b:Year>2020</b:Year>
    <b:Author>
      <b:Author>
        <b:NameList>
          <b:Person>
            <b:Last>Mbuvi</b:Last>
            <b:First>Musingo</b:First>
            <b:Middle>T.E</b:Middle>
          </b:Person>
        </b:NameList>
      </b:Author>
    </b:Author>
    <b:City>Nairobi</b:City>
    <b:JournalName>international intitute for science, technology and education</b:JournalName>
    <b:Volume>8</b:Volume>
    <b:Issue>10</b:Issue>
    <b:Publisher>Kenyatta University</b:Publisher>
    <b:RefOrder>9</b:RefOrder>
  </b:Source>
  <b:Source>
    <b:Tag>Sus23</b:Tag>
    <b:SourceType>JournalArticle</b:SourceType>
    <b:Guid>{D76B246A-4CA8-4881-897E-DF695CD6B821}</b:Guid>
    <b:Author>
      <b:Author>
        <b:NameList>
          <b:Person>
            <b:Last>Sengupta</b:Last>
            <b:First>Susmita</b:First>
          </b:Person>
          <b:Person>
            <b:Last>Saha</b:Last>
            <b:First>Manika</b:First>
          </b:Person>
        </b:NameList>
      </b:Author>
    </b:Author>
    <b:Title>Dependence on Forest products to Sustain Rural Livelihood: An Expirience from Bankura Forest, West Bengal</b:Title>
    <b:JournalName>Environmental Management and Sustainability</b:JournalName>
    <b:Year>2023</b:Year>
    <b:Pages>447-477</b:Pages>
    <b:RefOrder>15</b:RefOrder>
  </b:Source>
  <b:Source>
    <b:Tag>Gif191</b:Tag>
    <b:SourceType>JournalArticle</b:SourceType>
    <b:Guid>{CCF8141E-C65D-4258-98AE-921EF923D9D1}</b:Guid>
    <b:Title>Deforestation and Forest Degradation in the Amazon - Status and trends up to year 2020</b:Title>
    <b:Year>2019</b:Year>
    <b:JournalName>International Journal of Sustainable and Green Energy</b:JournalName>
    <b:Pages>1-11</b:Pages>
    <b:DOI>DOI:10.2760/61682</b:DOI>
    <b:Author>
      <b:Author>
        <b:NameList>
          <b:Person>
            <b:Last>Beuchle</b:Last>
            <b:First>Achard</b:First>
          </b:Person>
          <b:Person>
            <b:Last>Bourgoin</b:Last>
            <b:First>C.,</b:First>
          </b:Person>
        </b:NameList>
      </b:Author>
    </b:Author>
    <b:RefOrder>16</b:RefOrder>
  </b:Source>
  <b:Source>
    <b:Tag>Ruu22</b:Tag>
    <b:SourceType>JournalArticle</b:SourceType>
    <b:Guid>{92E18C6C-868E-419A-B0AC-C614FBEA23AF}</b:Guid>
    <b:Author>
      <b:Author>
        <b:NameList>
          <b:Person>
            <b:Last>David</b:Last>
            <b:First>Ruusa</b:First>
            <b:Middle>M</b:Middle>
          </b:Person>
          <b:Person>
            <b:Last>Rosser</b:Last>
            <b:First>Nick</b:First>
            <b:Middle>J</b:Middle>
          </b:Person>
          <b:Person>
            <b:Last>Donoghue</b:Last>
            <b:First>Daniel</b:First>
            <b:Middle>N M</b:Middle>
          </b:Person>
        </b:NameList>
      </b:Author>
    </b:Author>
    <b:Title>Remote sensing for monitoring tropical dryland forests: a review of current research, knowledge gaps and future directions for Southern Africa</b:Title>
    <b:JournalName>Environmental Research Communication</b:JournalName>
    <b:Year>2022</b:Year>
    <b:Pages>4</b:Pages>
    <b:RefOrder>7</b:RefOrder>
  </b:Source>
  <b:Source>
    <b:Tag>Glo23</b:Tag>
    <b:SourceType>InternetSite</b:SourceType>
    <b:Guid>{A8B7A723-886E-4C0A-9DFE-368ED302380C}</b:Guid>
    <b:Title>Location of deforestation alerts in Kitui, Kenya</b:Title>
    <b:InternetSiteTitle>Globalforestwatch.org</b:InternetSiteTitle>
    <b:Year>2023</b:Year>
    <b:Month>September</b:Month>
    <b:Day>2</b:Day>
    <b:URL>https//www.Globalforestwatch.org</b:URL>
    <b:Author>
      <b:Author>
        <b:Corporate>Global Forest Watch</b:Corporate>
      </b:Author>
    </b:Author>
    <b:RefOrder>17</b:RefOrder>
  </b:Source>
  <b:Source>
    <b:Tag>Git21</b:Tag>
    <b:SourceType>JournalArticle</b:SourceType>
    <b:Guid>{DA8315CC-DAC9-4BA7-BC1C-6FC5B867CD31}</b:Guid>
    <b:Author>
      <b:Author>
        <b:NameList>
          <b:Person>
            <b:Last>Githae</b:Last>
            <b:First>E.</b:First>
            <b:Middle>W.</b:Middle>
          </b:Person>
          <b:Person>
            <b:Last>Mutiga</b:Last>
            <b:First>I.</b:First>
            <b:Middle>M.</b:Middle>
          </b:Person>
        </b:NameList>
      </b:Author>
    </b:Author>
    <b:Title>Ecological restoration of pastoral landscapes in the drylands of East Africa</b:Title>
    <b:JournalName>Journal of Dryland Agriculture</b:JournalName>
    <b:Year>2021</b:Year>
    <b:RefOrder>12</b:RefOrder>
  </b:Source>
  <b:Source>
    <b:Tag>Wor14</b:Tag>
    <b:SourceType>JournalArticle</b:SourceType>
    <b:Guid>{9EECCE36-1E67-4B2D-A61D-1BE75CF72A18}</b:Guid>
    <b:Title>The significance of dry forest income for livelihood resilience: the case of pastrolist ànd agro-pastrolist in dryland of southern Ethiopia</b:Title>
    <b:Year>2014</b:Year>
    <b:Author>
      <b:Author>
        <b:NameList>
          <b:Person>
            <b:Last>Worku</b:Last>
            <b:First>Adefires</b:First>
          </b:Person>
          <b:Person>
            <b:Last>Auch</b:Last>
            <b:First>Eckhard</b:First>
          </b:Person>
          <b:Person>
            <b:Last>Pretzsch</b:Last>
            <b:First>Jurgen</b:First>
          </b:Person>
          <b:Person>
            <b:Last>Kassa</b:Last>
            <b:First>Habtemariam</b:First>
          </b:Person>
        </b:NameList>
      </b:Author>
    </b:Author>
    <b:JournalName>Forest policy and economics</b:JournalName>
    <b:Pages>51-59</b:Pages>
    <b:Volume>41</b:Volume>
    <b:YearAccessed>2018</b:YearAccessed>
    <b:MonthAccessed>11</b:MonthAccessed>
    <b:DayAccessed>28</b:DayAccessed>
    <b:DOI>https//doi,org/10.1016/j.forpol.2014.01.001</b:DOI>
    <b:RefOrder>13</b:RefOrder>
  </b:Source>
  <b:Source>
    <b:Tag>HDJ15</b:Tag>
    <b:SourceType>JournalArticle</b:SourceType>
    <b:Guid>{E372469D-C652-4634-889E-8E5C9A386E50}</b:Guid>
    <b:Title>Dryland forests, livelihoods and poverty alleviation: understanding current trends</b:Title>
    <b:JournalName>International Forestry Review</b:JournalName>
    <b:Year>2015</b:Year>
    <b:Pages>55-69</b:Pages>
    <b:Volume>17</b:Volume>
    <b:Issue>2</b:Issue>
    <b:Author>
      <b:Author>
        <b:NameList>
          <b:Person>
            <b:Last>Djoudi</b:Last>
            <b:First>H.</b:First>
          </b:Person>
          <b:Person>
            <b:Last>Vergles</b:Last>
            <b:First>E.</b:First>
          </b:Person>
          <b:Person>
            <b:Last>Blackie</b:Last>
            <b:First>R.</b:First>
            <b:Middle>R.</b:Middle>
          </b:Person>
          <b:Person>
            <b:Last>Koame</b:Last>
            <b:First>C.</b:First>
            <b:Middle>Koffi</b:Middle>
          </b:Person>
          <b:Person>
            <b:Last>Gautier</b:Last>
            <b:First>D.</b:First>
          </b:Person>
        </b:NameList>
      </b:Author>
    </b:Author>
    <b:RefOrder>14</b:RefOrder>
  </b:Source>
  <b:Source>
    <b:Tag>Placeholder1</b:Tag>
    <b:SourceType>JournalArticle</b:SourceType>
    <b:Guid>{F5845188-A4DF-45D2-9C55-DBB5CCA14931}</b:Guid>
    <b:Author>
      <b:Author>
        <b:NameList>
          <b:Person>
            <b:Last>Creswell</b:Last>
          </b:Person>
          <b:Person>
            <b:Last>Plano</b:Last>
            <b:First>C.</b:First>
          </b:Person>
        </b:NameList>
      </b:Author>
    </b:Author>
    <b:Title>Research Design: Qualitative, Quantitative and Mixed Methods Approaches (4th ed.)</b:Title>
    <b:Year>2014</b:Year>
    <b:JournalName>Canadian Center of Science and Education</b:JournalName>
    <b:Pages>5</b:Pages>
    <b:DOI>10.5539/elt.v12n5p40</b:DOI>
    <b:RefOrder>10</b:RefOrder>
  </b:Source>
  <b:Source>
    <b:Tag>Dan16</b:Tag>
    <b:SourceType>Book</b:SourceType>
    <b:Guid>{F700354F-AACE-46D7-AE59-A55867FDEF8C}</b:Guid>
    <b:Author>
      <b:Author>
        <b:NameList>
          <b:Person>
            <b:Last>Kombo</b:Last>
            <b:First>Danald</b:First>
          </b:Person>
          <b:Person>
            <b:Last>Tromp</b:Last>
            <b:First>Delno</b:First>
          </b:Person>
        </b:NameList>
      </b:Author>
    </b:Author>
    <b:Title>Proposal and Thesis Writing</b:Title>
    <b:Year>2016</b:Year>
    <b:City>Nairobi</b:City>
    <b:Publisher>Paulines Publications Africa</b:Publisher>
    <b:RefOrder>11</b:RefOrder>
  </b:Source>
  <b:Source>
    <b:Tag>FAO20</b:Tag>
    <b:SourceType>Report</b:SourceType>
    <b:Guid>{CF843CCD-AE1B-40E8-9373-F6EBBD69AEE2}</b:Guid>
    <b:Author>
      <b:Author>
        <b:Corporate>FAO</b:Corporate>
      </b:Author>
    </b:Author>
    <b:Title>Global Forest Resources Assessment 2020: Main report</b:Title>
    <b:Year>2020</b:Year>
    <b:Publisher>Food and Agriculture Organization of the United Nations</b:Publisher>
    <b:City>Rome</b:City>
    <b:DOI>https://doi.org/10.4060/ca9825en</b:DOI>
    <b:RefOrder>3</b:RefOrder>
  </b:Source>
  <b:Source>
    <b:Tag>FAO19</b:Tag>
    <b:SourceType>Report</b:SourceType>
    <b:Guid>{3AF673D2-306B-48B4-ADEB-8B650ED7D730}</b:Guid>
    <b:Author>
      <b:Author>
        <b:Corporate>FAO</b:Corporate>
      </b:Author>
    </b:Author>
    <b:Title>Trees, forests and land use in drylands: the first global assessment-Full report</b:Title>
    <b:Year>2019</b:Year>
    <b:Publisher>FAO Forestry</b:Publisher>
    <b:City> Rome</b:City>
    <b:RefOrder>4</b:RefOrder>
  </b:Source>
  <b:Source>
    <b:Tag>Hui23</b:Tag>
    <b:SourceType>JournalArticle</b:SourceType>
    <b:Guid>{2B988005-E492-4AE6-AA78-12226AE3F4E6}</b:Guid>
    <b:Title>Land cover change in global drylands: A review</b:Title>
    <b:Year>2023</b:Year>
    <b:Author>
      <b:Author>
        <b:NameList>
          <b:Person>
            <b:Last>Wang</b:Last>
            <b:First>Hui</b:First>
          </b:Person>
          <b:Person>
            <b:Last>Liu</b:Last>
            <b:First>Yanxu</b:First>
          </b:Person>
          <b:Person>
            <b:Last>Wang</b:Last>
            <b:First>Yijia</b:First>
          </b:Person>
          <b:Person>
            <b:Last>Yao</b:Last>
            <b:First>Ying</b:First>
          </b:Person>
          <b:Person>
            <b:Last>Wang</b:Last>
            <b:First>Chenxu</b:First>
          </b:Person>
        </b:NameList>
      </b:Author>
    </b:Author>
    <b:JournalName>Science of The Total Environment</b:JournalName>
    <b:Pages>1</b:Pages>
    <b:RefOrder>2</b:RefOrder>
  </b:Source>
  <b:Source>
    <b:Tag>Uni19</b:Tag>
    <b:SourceType>Report</b:SourceType>
    <b:Guid>{85C4CB2A-1750-4B0A-A74F-754FAE99B1D9}</b:Guid>
    <b:Title>Climate Change Impacts on Africa’s Economic Growth</b:Title>
    <b:Year>2019</b:Year>
    <b:Author>
      <b:Author>
        <b:NameList>
          <b:Person>
            <b:Last>Programme</b:Last>
            <b:First>United</b:First>
            <b:Middle>Nations Environment</b:Middle>
          </b:Person>
        </b:NameList>
      </b:Author>
    </b:Author>
    <b:Publisher>African Development Bank</b:Publisher>
    <b:City>Nairobi</b:City>
    <b:RefOrder>5</b:RefOrder>
  </b:Source>
  <b:Source>
    <b:Tag>Moh17</b:Tag>
    <b:SourceType>JournalArticle</b:SourceType>
    <b:Guid>{4A330B1D-9377-4BC9-88CF-7C3BF963B885}</b:Guid>
    <b:Author>
      <b:Author>
        <b:NameList>
          <b:Person>
            <b:Last>Mohammed</b:Last>
            <b:First>Jamal</b:First>
          </b:Person>
          <b:Person>
            <b:Last>Kofi</b:Last>
            <b:First>Osei-Fosu,</b:First>
            <b:Middle>Anthony</b:Middle>
          </b:Person>
          <b:Person>
            <b:Last>Yusif</b:Last>
            <b:First>Hadrat</b:First>
          </b:Person>
        </b:NameList>
      </b:Author>
    </b:Author>
    <b:Title>Factors influencing households’ participation in forest management in the northern region of Ghana</b:Title>
    <b:JournalName>Independent Journal of Management &amp; Production</b:JournalName>
    <b:Year>2017</b:Year>
    <b:Pages>1324-1340</b:Pages>
    <b:RefOrder>6</b:RefOrder>
  </b:Source>
  <b:Source>
    <b:Tag>Win191</b:Tag>
    <b:SourceType>JournalArticle</b:SourceType>
    <b:Guid>{A1841AAA-4321-4525-82E1-A1873EAD8B3C}</b:Guid>
    <b:Title>Historical Causes of Farmer-Herder Conflict in Kitui East Sub-County, Kenya, 1895-1963</b:Title>
    <b:Year>2019</b:Year>
    <b:Author>
      <b:Author>
        <b:NameList>
          <b:Person>
            <b:Last>Mwikali</b:Last>
            <b:First>Winnifred</b:First>
          </b:Person>
        </b:NameList>
      </b:Author>
    </b:Author>
    <b:JournalName>International Journal of Humanities Social Sciences and Education</b:JournalName>
    <b:Pages> 55-64</b:Pages>
    <b:RefOrder>8</b:RefOrder>
  </b:Source>
</b:Sources>
</file>

<file path=customXml/itemProps1.xml><?xml version="1.0" encoding="utf-8"?>
<ds:datastoreItem xmlns:ds="http://schemas.openxmlformats.org/officeDocument/2006/customXml" ds:itemID="{A76B8925-0895-F748-A01B-4A735A89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133</TotalTime>
  <Pages>6</Pages>
  <Words>3602</Words>
  <Characters>20536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24090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Microsoft Office User</cp:lastModifiedBy>
  <cp:revision>12</cp:revision>
  <cp:lastPrinted>1999-07-06T11:00:00Z</cp:lastPrinted>
  <dcterms:created xsi:type="dcterms:W3CDTF">2025-07-05T09:33:00Z</dcterms:created>
  <dcterms:modified xsi:type="dcterms:W3CDTF">2025-07-11T13:53:00Z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762b9a08-bdcd-489c-982d-42ad7f49d6b5</vt:lpwstr>
  </property>
</Properties>
</file>