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446D2" w14:paraId="29B97FC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509882A" w14:textId="77777777" w:rsidR="00602F7D" w:rsidRPr="003446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446D2" w14:paraId="4993C0FF" w14:textId="77777777" w:rsidTr="002643B3">
        <w:trPr>
          <w:trHeight w:val="290"/>
        </w:trPr>
        <w:tc>
          <w:tcPr>
            <w:tcW w:w="1234" w:type="pct"/>
          </w:tcPr>
          <w:p w14:paraId="4C6720C6" w14:textId="77777777" w:rsidR="0000007A" w:rsidRPr="003446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29F7" w14:textId="77777777" w:rsidR="0000007A" w:rsidRPr="003446D2" w:rsidRDefault="0047686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B49FB" w:rsidRPr="003446D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Food Research and Nutrition</w:t>
              </w:r>
            </w:hyperlink>
          </w:p>
        </w:tc>
      </w:tr>
      <w:tr w:rsidR="0000007A" w:rsidRPr="003446D2" w14:paraId="27258432" w14:textId="77777777" w:rsidTr="002643B3">
        <w:trPr>
          <w:trHeight w:val="290"/>
        </w:trPr>
        <w:tc>
          <w:tcPr>
            <w:tcW w:w="1234" w:type="pct"/>
          </w:tcPr>
          <w:p w14:paraId="445FCF6D" w14:textId="77777777" w:rsidR="0000007A" w:rsidRPr="003446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6BCE" w14:textId="77777777" w:rsidR="0000007A" w:rsidRPr="003446D2" w:rsidRDefault="0027157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Ms_AJFRN_140504</w:t>
            </w:r>
          </w:p>
        </w:tc>
      </w:tr>
      <w:tr w:rsidR="0000007A" w:rsidRPr="003446D2" w14:paraId="3E7DE543" w14:textId="77777777" w:rsidTr="002643B3">
        <w:trPr>
          <w:trHeight w:val="650"/>
        </w:trPr>
        <w:tc>
          <w:tcPr>
            <w:tcW w:w="1234" w:type="pct"/>
          </w:tcPr>
          <w:p w14:paraId="654D3B24" w14:textId="77777777" w:rsidR="0000007A" w:rsidRPr="003446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D122" w14:textId="77777777" w:rsidR="0000007A" w:rsidRPr="003446D2" w:rsidRDefault="00271579" w:rsidP="00CC5400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sz w:val="20"/>
                <w:szCs w:val="20"/>
                <w:lang w:val="en-GB"/>
              </w:rPr>
              <w:t>From Waste to Wellness: Unlocking the Nutraceutical Potential of Agri-Food Waste for Sustainable Functional Food Innovation</w:t>
            </w:r>
          </w:p>
        </w:tc>
      </w:tr>
      <w:tr w:rsidR="00CF0BBB" w:rsidRPr="003446D2" w14:paraId="31894022" w14:textId="77777777" w:rsidTr="002643B3">
        <w:trPr>
          <w:trHeight w:val="332"/>
        </w:trPr>
        <w:tc>
          <w:tcPr>
            <w:tcW w:w="1234" w:type="pct"/>
          </w:tcPr>
          <w:p w14:paraId="7ED101FE" w14:textId="77777777" w:rsidR="00CF0BBB" w:rsidRPr="003446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787E" w14:textId="77777777" w:rsidR="00CF0BBB" w:rsidRPr="003446D2" w:rsidRDefault="00AA733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796E2154" w14:textId="77777777" w:rsidR="00037D52" w:rsidRPr="003446D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11288"/>
        <w:gridCol w:w="3835"/>
      </w:tblGrid>
      <w:tr w:rsidR="00673E69" w:rsidRPr="003446D2" w14:paraId="216D3A23" w14:textId="77777777" w:rsidTr="002149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2FBF858E" w14:textId="77777777" w:rsidR="00673E69" w:rsidRPr="003446D2" w:rsidRDefault="00673E6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3446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46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1735ABF" w14:textId="77777777" w:rsidR="00673E69" w:rsidRPr="003446D2" w:rsidRDefault="00673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3E69" w:rsidRPr="003446D2" w14:paraId="086DEABC" w14:textId="77777777" w:rsidTr="003446D2">
        <w:tc>
          <w:tcPr>
            <w:tcW w:w="1388" w:type="pct"/>
            <w:noWrap/>
            <w:vAlign w:val="center"/>
          </w:tcPr>
          <w:p w14:paraId="765C2801" w14:textId="77777777" w:rsidR="00673E69" w:rsidRPr="003446D2" w:rsidRDefault="00673E6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696" w:type="pct"/>
            <w:vAlign w:val="center"/>
          </w:tcPr>
          <w:p w14:paraId="48779FA8" w14:textId="77777777" w:rsidR="00673E69" w:rsidRPr="003446D2" w:rsidRDefault="00673E6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46D2">
              <w:rPr>
                <w:rFonts w:ascii="Arial" w:hAnsi="Arial" w:cs="Arial"/>
                <w:lang w:val="en-GB"/>
              </w:rPr>
              <w:t>Reviewer’s comment</w:t>
            </w:r>
          </w:p>
          <w:p w14:paraId="7220597A" w14:textId="09588C26" w:rsidR="00BD5F91" w:rsidRPr="003446D2" w:rsidRDefault="00F43030" w:rsidP="00214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6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916" w:type="pct"/>
            <w:vAlign w:val="center"/>
          </w:tcPr>
          <w:p w14:paraId="7CDEBFB8" w14:textId="17D60A5F" w:rsidR="00673E69" w:rsidRPr="003446D2" w:rsidRDefault="00E174B0" w:rsidP="007464F3">
            <w:pPr>
              <w:spacing w:line="257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446D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446D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</w:tc>
      </w:tr>
      <w:tr w:rsidR="004A5B43" w:rsidRPr="003446D2" w14:paraId="5C3CEB05" w14:textId="77777777" w:rsidTr="003446D2">
        <w:trPr>
          <w:trHeight w:val="285"/>
        </w:trPr>
        <w:tc>
          <w:tcPr>
            <w:tcW w:w="1388" w:type="pct"/>
            <w:noWrap/>
            <w:vAlign w:val="center"/>
          </w:tcPr>
          <w:p w14:paraId="663D22CE" w14:textId="4FC25114" w:rsidR="004A5B43" w:rsidRPr="003446D2" w:rsidRDefault="004A5B43" w:rsidP="008D38D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696" w:type="pct"/>
            <w:vAlign w:val="center"/>
          </w:tcPr>
          <w:p w14:paraId="526D1B5E" w14:textId="595393B5" w:rsidR="004A5B43" w:rsidRPr="003446D2" w:rsidRDefault="004A5B43" w:rsidP="008C640C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Yes,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overall,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it is a fascinating and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useful article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r w:rsidRPr="00344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In the following, I will give my opinion on the different sections.</w:t>
            </w:r>
          </w:p>
        </w:tc>
        <w:tc>
          <w:tcPr>
            <w:tcW w:w="916" w:type="pct"/>
            <w:vAlign w:val="center"/>
          </w:tcPr>
          <w:p w14:paraId="3EBFB985" w14:textId="77777777" w:rsidR="004A5B43" w:rsidRPr="003446D2" w:rsidRDefault="004A5B43" w:rsidP="004A5B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A5B43" w:rsidRPr="003446D2" w14:paraId="47A29BC6" w14:textId="77777777" w:rsidTr="003446D2">
        <w:trPr>
          <w:trHeight w:val="70"/>
        </w:trPr>
        <w:tc>
          <w:tcPr>
            <w:tcW w:w="1388" w:type="pct"/>
            <w:noWrap/>
            <w:vAlign w:val="center"/>
          </w:tcPr>
          <w:p w14:paraId="28111880" w14:textId="77777777" w:rsidR="004A5B43" w:rsidRPr="003446D2" w:rsidRDefault="004A5B43" w:rsidP="004A5B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2F99C50" w14:textId="5FCC9E91" w:rsidR="004A5B43" w:rsidRPr="003446D2" w:rsidRDefault="004A5B43" w:rsidP="002330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696" w:type="pct"/>
            <w:vAlign w:val="center"/>
          </w:tcPr>
          <w:p w14:paraId="2CEE7D0F" w14:textId="29028CEC" w:rsidR="004A5B43" w:rsidRPr="003446D2" w:rsidRDefault="006C03FC" w:rsidP="00EE616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It would be better </w:t>
            </w:r>
            <w:r w:rsidR="00E91712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if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the title</w:t>
            </w:r>
            <w:r w:rsidR="00E91712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were changed.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For </w:t>
            </w:r>
            <w:r w:rsidR="003226CF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instance,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  <w:r w:rsidR="003226CF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the word </w:t>
            </w:r>
            <w:r w:rsidR="003226CF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“</w:t>
            </w:r>
            <w:r w:rsidR="003226CF"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Unlocking”</w:t>
            </w:r>
            <w:r w:rsidR="003226CF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can be changed. </w:t>
            </w:r>
            <w:r w:rsidR="00EE6167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             </w:t>
            </w:r>
            <w:r w:rsidR="00E91712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Of course, It is better to change the title of the article by the author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,</w:t>
            </w:r>
            <w:r w:rsidR="00E91712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b</w:t>
            </w:r>
            <w:r w:rsidR="00E91712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ecause the idea is from her/him, and the related articles that he has reviewed can help him/her.</w:t>
            </w:r>
          </w:p>
        </w:tc>
        <w:tc>
          <w:tcPr>
            <w:tcW w:w="916" w:type="pct"/>
            <w:vAlign w:val="center"/>
          </w:tcPr>
          <w:p w14:paraId="544073AD" w14:textId="77777777" w:rsidR="004A5B43" w:rsidRPr="003446D2" w:rsidRDefault="004A5B43" w:rsidP="004A5B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A5B43" w:rsidRPr="003446D2" w14:paraId="379F835B" w14:textId="77777777" w:rsidTr="003446D2">
        <w:trPr>
          <w:trHeight w:val="868"/>
        </w:trPr>
        <w:tc>
          <w:tcPr>
            <w:tcW w:w="1388" w:type="pct"/>
            <w:noWrap/>
            <w:vAlign w:val="center"/>
          </w:tcPr>
          <w:p w14:paraId="39167F82" w14:textId="650EF512" w:rsidR="004A5B43" w:rsidRPr="003446D2" w:rsidRDefault="004A5B43" w:rsidP="0023307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46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696" w:type="pct"/>
            <w:vAlign w:val="center"/>
          </w:tcPr>
          <w:p w14:paraId="2F266629" w14:textId="2BB36848" w:rsidR="004A5B43" w:rsidRPr="003446D2" w:rsidRDefault="004A5B43" w:rsidP="008C64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The</w:t>
            </w: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865AA" w:rsidRPr="003446D2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>"</w:t>
            </w: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</w:t>
            </w:r>
            <w:r w:rsidR="007865AA" w:rsidRPr="003446D2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>"</w:t>
            </w: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is more like an </w:t>
            </w: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.</w:t>
            </w:r>
            <w:r w:rsidR="00233073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/>
              </w:rPr>
              <w:t xml:space="preserve">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I think it's better to explain more about your work after a brief introduction.</w:t>
            </w:r>
            <w:r w:rsidR="00233073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/>
              </w:rPr>
              <w:t xml:space="preserve">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That is, what your goal was and what results it led to.</w:t>
            </w:r>
            <w:r w:rsidR="00233073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/>
              </w:rPr>
              <w:t xml:space="preserve">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Also state how this work differs from other similar works.</w:t>
            </w:r>
          </w:p>
        </w:tc>
        <w:tc>
          <w:tcPr>
            <w:tcW w:w="916" w:type="pct"/>
            <w:vAlign w:val="center"/>
          </w:tcPr>
          <w:p w14:paraId="6F29F4C1" w14:textId="77777777" w:rsidR="004A5B43" w:rsidRPr="003446D2" w:rsidRDefault="004A5B43" w:rsidP="004A5B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A5B43" w:rsidRPr="003446D2" w14:paraId="13368D24" w14:textId="77777777" w:rsidTr="003446D2">
        <w:trPr>
          <w:trHeight w:val="704"/>
        </w:trPr>
        <w:tc>
          <w:tcPr>
            <w:tcW w:w="1388" w:type="pct"/>
            <w:noWrap/>
            <w:vAlign w:val="center"/>
          </w:tcPr>
          <w:p w14:paraId="7D7EFB9E" w14:textId="77777777" w:rsidR="004A5B43" w:rsidRPr="003446D2" w:rsidRDefault="004A5B43" w:rsidP="004A5B4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446D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696" w:type="pct"/>
            <w:vAlign w:val="center"/>
          </w:tcPr>
          <w:p w14:paraId="5068CD29" w14:textId="77777777" w:rsidR="004A5B43" w:rsidRPr="003446D2" w:rsidRDefault="004A5B43" w:rsidP="004A5B43">
            <w:pPr>
              <w:contextualSpacing/>
              <w:jc w:val="both"/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lang w:val="en-MY" w:bidi="ta-IN"/>
              </w:rPr>
            </w:pP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lang w:val="en-MY" w:bidi="ta-IN"/>
              </w:rPr>
              <w:t xml:space="preserve">The research background is not used in the </w:t>
            </w:r>
            <w:r w:rsidRPr="003446D2">
              <w:rPr>
                <w:rFonts w:ascii="Arial" w:eastAsia="Aptos" w:hAnsi="Arial" w:cs="Arial"/>
                <w:b/>
                <w:bCs/>
                <w:kern w:val="2"/>
                <w:sz w:val="20"/>
                <w:szCs w:val="20"/>
                <w:lang w:val="en-MY" w:bidi="ta-IN"/>
              </w:rPr>
              <w:t>"Introduction".</w:t>
            </w: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rtl/>
                <w:lang w:val="en-MY" w:bidi="fa-IR"/>
              </w:rPr>
              <w:t xml:space="preserve"> </w:t>
            </w: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lang w:val="en-MY" w:bidi="ta-IN"/>
              </w:rPr>
              <w:t>Certainly, many studies and researches have been conducted and each of them have obtained results, none of which have been mentioned here.</w:t>
            </w: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rtl/>
                <w:lang w:val="en-MY" w:bidi="fa-IR"/>
              </w:rPr>
              <w:t xml:space="preserve"> </w:t>
            </w: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lang w:val="en-MY" w:bidi="ta-IN"/>
              </w:rPr>
              <w:t>I suggest you use the studies and experiences of other researchers and bring them here.</w:t>
            </w: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rtl/>
                <w:lang w:val="en-MY" w:bidi="fa-IR"/>
              </w:rPr>
              <w:t xml:space="preserve"> </w:t>
            </w: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lang w:val="en-MY" w:bidi="ta-IN"/>
              </w:rPr>
              <w:t>Then tell about your work and mention the difference between your work and other researches and explain the importance of your work.</w:t>
            </w:r>
          </w:p>
          <w:p w14:paraId="5F936F7D" w14:textId="77777777" w:rsidR="004A5B43" w:rsidRPr="003446D2" w:rsidRDefault="004A5B43" w:rsidP="004A5B43">
            <w:pPr>
              <w:bidi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 w:bidi="fa-IR"/>
              </w:rPr>
            </w:pPr>
          </w:p>
          <w:p w14:paraId="668D442C" w14:textId="09DDDEEA" w:rsidR="004A5B43" w:rsidRPr="003446D2" w:rsidRDefault="004A5B43" w:rsidP="004A5B43">
            <w:pPr>
              <w:contextualSpacing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cs/>
                <w:lang w:val="en-GB" w:bidi="ta-IN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 w:bidi="fa-IR"/>
              </w:rPr>
              <w:t xml:space="preserve">The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 w:bidi="fa-IR"/>
              </w:rPr>
              <w:t>"</w:t>
            </w: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 w:bidi="fa-IR"/>
              </w:rPr>
              <w:t>Conclusion</w:t>
            </w:r>
            <w:r w:rsidRPr="003446D2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fa-IR"/>
              </w:rPr>
              <w:t>"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 w:bidi="fa-IR"/>
              </w:rPr>
              <w:t xml:space="preserve"> is very brief. Although it has been said about the limitations, but the writing should be changed.</w:t>
            </w:r>
          </w:p>
          <w:p w14:paraId="0B87DA22" w14:textId="54EBBA4D" w:rsidR="004A5B43" w:rsidRPr="003446D2" w:rsidRDefault="004A5B43" w:rsidP="00335AB9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Altogether, the sentences are appropriate and scientifically a good work has been done.</w:t>
            </w:r>
            <w:r w:rsidR="00335AB9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/>
              </w:rPr>
              <w:t xml:space="preserve"> </w:t>
            </w:r>
          </w:p>
        </w:tc>
        <w:tc>
          <w:tcPr>
            <w:tcW w:w="916" w:type="pct"/>
            <w:vAlign w:val="center"/>
          </w:tcPr>
          <w:p w14:paraId="75C7F608" w14:textId="77777777" w:rsidR="004A5B43" w:rsidRPr="003446D2" w:rsidRDefault="004A5B43" w:rsidP="004A5B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A5B43" w:rsidRPr="003446D2" w14:paraId="3D0F1468" w14:textId="77777777" w:rsidTr="003446D2">
        <w:trPr>
          <w:trHeight w:val="703"/>
        </w:trPr>
        <w:tc>
          <w:tcPr>
            <w:tcW w:w="1388" w:type="pct"/>
            <w:noWrap/>
            <w:vAlign w:val="center"/>
          </w:tcPr>
          <w:p w14:paraId="2ED157D9" w14:textId="77777777" w:rsidR="004A5B43" w:rsidRPr="003446D2" w:rsidRDefault="004A5B43" w:rsidP="004A5B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696" w:type="pct"/>
            <w:vAlign w:val="center"/>
          </w:tcPr>
          <w:p w14:paraId="05DAB7F0" w14:textId="7FA66CE9" w:rsidR="004859BC" w:rsidRPr="003446D2" w:rsidRDefault="004859BC" w:rsidP="00004FEF">
            <w:pPr>
              <w:contextualSpacing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 xml:space="preserve">The references are relatively new. That is, </w:t>
            </w:r>
            <w:r w:rsidR="001F765C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 xml:space="preserve">that the number of </w:t>
            </w:r>
            <w:r w:rsidR="00F250AE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>references</w:t>
            </w:r>
            <w:r w:rsidR="001F765C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 xml:space="preserve"> after 2020 is low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 xml:space="preserve">. Also, given the importance and breadth of the topic, the number of </w:t>
            </w:r>
            <w:r w:rsidR="002B0E54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>references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 xml:space="preserve"> is limited.</w:t>
            </w:r>
          </w:p>
          <w:p w14:paraId="4B2C9DCC" w14:textId="772C675D" w:rsidR="004A5B43" w:rsidRPr="003446D2" w:rsidRDefault="004A5B43" w:rsidP="00004FE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In addition, as mentioned in the previous section, it is better to add </w:t>
            </w:r>
            <w:r w:rsidR="00F250AE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references </w:t>
            </w: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related to research background.</w:t>
            </w:r>
          </w:p>
          <w:p w14:paraId="6D512552" w14:textId="7822508F" w:rsidR="002B0E54" w:rsidRPr="003446D2" w:rsidRDefault="002B0E54" w:rsidP="00004FE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/>
              </w:rPr>
            </w:pPr>
            <w:r w:rsidRPr="003446D2">
              <w:rPr>
                <w:rFonts w:ascii="Arial" w:eastAsia="Aptos" w:hAnsi="Arial" w:cs="Arial"/>
                <w:b/>
                <w:bCs/>
                <w:color w:val="002060"/>
                <w:kern w:val="2"/>
                <w:sz w:val="20"/>
                <w:szCs w:val="20"/>
                <w:lang w:val="en-MY" w:bidi="ta-IN"/>
              </w:rPr>
              <w:t>I suggest you also use the studies and experiences of other researchers.</w:t>
            </w:r>
          </w:p>
          <w:p w14:paraId="79202091" w14:textId="77777777" w:rsidR="002B0E54" w:rsidRPr="003446D2" w:rsidRDefault="002B0E54" w:rsidP="004A5B43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  <w:lang w:val="en-GB"/>
              </w:rPr>
            </w:pPr>
          </w:p>
          <w:p w14:paraId="3023FB65" w14:textId="03900E0D" w:rsidR="004A5B43" w:rsidRPr="003446D2" w:rsidRDefault="004A5B43" w:rsidP="00004FE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color w:val="7030A0"/>
                <w:sz w:val="20"/>
                <w:szCs w:val="20"/>
                <w:lang w:val="en-GB"/>
              </w:rPr>
              <w:t>Green synthesis of agricultural waste biomass-assisted metal and metal oxide nanostructures and their applications: A review</w:t>
            </w:r>
          </w:p>
        </w:tc>
        <w:tc>
          <w:tcPr>
            <w:tcW w:w="916" w:type="pct"/>
            <w:vAlign w:val="center"/>
          </w:tcPr>
          <w:p w14:paraId="6F702A2E" w14:textId="77777777" w:rsidR="004A5B43" w:rsidRPr="003446D2" w:rsidRDefault="004A5B43" w:rsidP="004A5B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A5B43" w:rsidRPr="003446D2" w14:paraId="075845C0" w14:textId="77777777" w:rsidTr="003446D2">
        <w:trPr>
          <w:trHeight w:val="386"/>
        </w:trPr>
        <w:tc>
          <w:tcPr>
            <w:tcW w:w="1388" w:type="pct"/>
            <w:noWrap/>
            <w:vAlign w:val="center"/>
          </w:tcPr>
          <w:p w14:paraId="2B1AB19C" w14:textId="66D8F0C1" w:rsidR="004A5B43" w:rsidRPr="003446D2" w:rsidRDefault="004A5B43" w:rsidP="00F070D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46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696" w:type="pct"/>
            <w:vAlign w:val="center"/>
          </w:tcPr>
          <w:p w14:paraId="3A1C6C16" w14:textId="32BE363F" w:rsidR="004A5B43" w:rsidRPr="003446D2" w:rsidRDefault="004A5B43" w:rsidP="00004F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Yes, overall, the sentences are appropriate. But it is better to change the type of writing.</w:t>
            </w:r>
          </w:p>
        </w:tc>
        <w:tc>
          <w:tcPr>
            <w:tcW w:w="916" w:type="pct"/>
            <w:vAlign w:val="center"/>
          </w:tcPr>
          <w:p w14:paraId="6F6B6D98" w14:textId="77777777" w:rsidR="004A5B43" w:rsidRPr="003446D2" w:rsidRDefault="004A5B43" w:rsidP="004A5B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A5B43" w:rsidRPr="003446D2" w14:paraId="5ED055AA" w14:textId="77777777" w:rsidTr="003446D2">
        <w:trPr>
          <w:trHeight w:val="592"/>
        </w:trPr>
        <w:tc>
          <w:tcPr>
            <w:tcW w:w="1388" w:type="pct"/>
            <w:noWrap/>
            <w:vAlign w:val="center"/>
          </w:tcPr>
          <w:p w14:paraId="60788F05" w14:textId="77777777" w:rsidR="004A5B43" w:rsidRPr="003446D2" w:rsidRDefault="004A5B43" w:rsidP="004A5B4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46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46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46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C139C78" w14:textId="77777777" w:rsidR="004A5B43" w:rsidRPr="003446D2" w:rsidRDefault="004A5B43" w:rsidP="004A5B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696" w:type="pct"/>
            <w:vAlign w:val="center"/>
          </w:tcPr>
          <w:p w14:paraId="67665F6A" w14:textId="0E12CBB8" w:rsidR="00422002" w:rsidRPr="003446D2" w:rsidRDefault="00D308A6" w:rsidP="002B0E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</w:pPr>
            <w:r w:rsidRPr="003446D2">
              <w:rPr>
                <w:rFonts w:ascii="Arial" w:hAnsi="Arial" w:cs="Arial"/>
                <w:b/>
                <w:color w:val="002060"/>
                <w:sz w:val="20"/>
                <w:szCs w:val="20"/>
              </w:rPr>
              <w:t>T</w:t>
            </w:r>
            <w:r w:rsidR="001B2789" w:rsidRPr="003446D2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he number of</w:t>
            </w:r>
            <w:r w:rsidR="001B2789" w:rsidRPr="00344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789" w:rsidRPr="003446D2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the figures and tables</w:t>
            </w:r>
            <w:r w:rsidR="001B2789" w:rsidRPr="00344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789" w:rsidRPr="003446D2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is low</w:t>
            </w:r>
            <w:r w:rsidR="001B2789" w:rsidRPr="003446D2">
              <w:rPr>
                <w:rFonts w:ascii="Arial" w:hAnsi="Arial" w:cs="Arial"/>
                <w:b/>
                <w:color w:val="002060"/>
                <w:sz w:val="20"/>
                <w:szCs w:val="20"/>
                <w:rtl/>
                <w:lang w:val="en-GB"/>
              </w:rPr>
              <w:t>.</w:t>
            </w:r>
            <w:r w:rsidR="004A5B43" w:rsidRPr="003446D2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The quality of the figures and tables is not good.</w:t>
            </w:r>
            <w:r w:rsidR="004A5B43" w:rsidRPr="003446D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bidi="fa-IR"/>
              </w:rPr>
              <w:t xml:space="preserve"> There are better figures or diagrams that can be used.</w:t>
            </w:r>
          </w:p>
        </w:tc>
        <w:tc>
          <w:tcPr>
            <w:tcW w:w="916" w:type="pct"/>
            <w:vAlign w:val="center"/>
          </w:tcPr>
          <w:p w14:paraId="5D674BB5" w14:textId="77777777" w:rsidR="004A5B43" w:rsidRPr="003446D2" w:rsidRDefault="004A5B43" w:rsidP="004A5B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733EB5" w14:textId="77777777" w:rsidR="00673E69" w:rsidRPr="003446D2" w:rsidRDefault="00673E69" w:rsidP="00673E6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07899" w:rsidRPr="003446D2" w14:paraId="43C5556E" w14:textId="77777777" w:rsidTr="006871D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9830" w14:textId="77777777" w:rsidR="00207899" w:rsidRPr="003446D2" w:rsidRDefault="00207899" w:rsidP="002078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446D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46D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1975B4" w14:textId="77777777" w:rsidR="00207899" w:rsidRPr="003446D2" w:rsidRDefault="00207899" w:rsidP="002078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07899" w:rsidRPr="003446D2" w14:paraId="703F45C4" w14:textId="77777777" w:rsidTr="006871D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2B0A" w14:textId="77777777" w:rsidR="00207899" w:rsidRPr="003446D2" w:rsidRDefault="00207899" w:rsidP="002078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C73" w14:textId="77777777" w:rsidR="00207899" w:rsidRPr="003446D2" w:rsidRDefault="00207899" w:rsidP="0020789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83BFBFF" w14:textId="77777777" w:rsidR="00207899" w:rsidRPr="003446D2" w:rsidRDefault="00207899" w:rsidP="0020789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46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46D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46D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07899" w:rsidRPr="003446D2" w14:paraId="64AD3506" w14:textId="77777777" w:rsidTr="006871D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7221" w14:textId="77777777" w:rsidR="00207899" w:rsidRPr="003446D2" w:rsidRDefault="00207899" w:rsidP="0020789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46D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67B34A2" w14:textId="77777777" w:rsidR="00207899" w:rsidRPr="003446D2" w:rsidRDefault="00207899" w:rsidP="002078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D9C3" w14:textId="77777777" w:rsidR="00207899" w:rsidRPr="003446D2" w:rsidRDefault="00207899" w:rsidP="0020789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46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46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46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C14B613" w14:textId="77777777" w:rsidR="00207899" w:rsidRPr="003446D2" w:rsidRDefault="00207899" w:rsidP="002078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99E580" w14:textId="77777777" w:rsidR="00207899" w:rsidRPr="003446D2" w:rsidRDefault="00207899" w:rsidP="002078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80616E0" w14:textId="77777777" w:rsidR="00207899" w:rsidRPr="003446D2" w:rsidRDefault="00207899" w:rsidP="002078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A84BC5" w14:textId="77777777" w:rsidR="00207899" w:rsidRPr="003446D2" w:rsidRDefault="00207899" w:rsidP="002078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6F877B" w14:textId="77777777" w:rsidR="00207899" w:rsidRPr="003446D2" w:rsidRDefault="00207899" w:rsidP="002078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3D821FC" w14:textId="1FBD7A39" w:rsidR="00207899" w:rsidRPr="003446D2" w:rsidRDefault="00207899" w:rsidP="00207899">
      <w:pPr>
        <w:rPr>
          <w:rFonts w:ascii="Arial" w:hAnsi="Arial" w:cs="Arial"/>
          <w:sz w:val="20"/>
          <w:szCs w:val="20"/>
        </w:rPr>
      </w:pPr>
    </w:p>
    <w:p w14:paraId="21D5A293" w14:textId="54F410BF" w:rsidR="003446D2" w:rsidRDefault="003446D2" w:rsidP="003446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446D2">
        <w:rPr>
          <w:rFonts w:ascii="Arial" w:hAnsi="Arial" w:cs="Arial"/>
          <w:b/>
          <w:u w:val="single"/>
        </w:rPr>
        <w:t>Reviewer details:</w:t>
      </w:r>
    </w:p>
    <w:p w14:paraId="32334747" w14:textId="77777777" w:rsidR="003446D2" w:rsidRPr="003446D2" w:rsidRDefault="003446D2" w:rsidP="003446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EB22872" w14:textId="3EA14A93" w:rsidR="00207899" w:rsidRPr="003446D2" w:rsidRDefault="003446D2" w:rsidP="003446D2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Hlk203564888"/>
      <w:proofErr w:type="spellStart"/>
      <w:r w:rsidRPr="003446D2">
        <w:rPr>
          <w:rFonts w:ascii="Arial" w:hAnsi="Arial" w:cs="Arial"/>
          <w:b/>
          <w:bCs/>
          <w:color w:val="000000"/>
          <w:sz w:val="20"/>
          <w:szCs w:val="20"/>
        </w:rPr>
        <w:t>Saeideh</w:t>
      </w:r>
      <w:proofErr w:type="spellEnd"/>
      <w:r w:rsidRPr="003446D2">
        <w:rPr>
          <w:rFonts w:ascii="Arial" w:hAnsi="Arial" w:cs="Arial"/>
          <w:b/>
          <w:bCs/>
          <w:color w:val="000000"/>
          <w:sz w:val="20"/>
          <w:szCs w:val="20"/>
        </w:rPr>
        <w:t xml:space="preserve"> Hosseini</w:t>
      </w:r>
      <w:r w:rsidRPr="003446D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446D2">
        <w:rPr>
          <w:rFonts w:ascii="Arial" w:hAnsi="Arial" w:cs="Arial"/>
          <w:b/>
          <w:bCs/>
          <w:color w:val="000000"/>
          <w:sz w:val="20"/>
          <w:szCs w:val="20"/>
        </w:rPr>
        <w:t>Iran</w:t>
      </w:r>
      <w:bookmarkStart w:id="5" w:name="_GoBack"/>
      <w:bookmarkEnd w:id="0"/>
      <w:bookmarkEnd w:id="1"/>
      <w:bookmarkEnd w:id="3"/>
      <w:bookmarkEnd w:id="4"/>
      <w:bookmarkEnd w:id="5"/>
    </w:p>
    <w:sectPr w:rsidR="00207899" w:rsidRPr="003446D2" w:rsidSect="00D5386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AD51" w14:textId="77777777" w:rsidR="00476862" w:rsidRPr="0000007A" w:rsidRDefault="00476862" w:rsidP="0099583E">
      <w:r>
        <w:separator/>
      </w:r>
    </w:p>
  </w:endnote>
  <w:endnote w:type="continuationSeparator" w:id="0">
    <w:p w14:paraId="4D163FDB" w14:textId="77777777" w:rsidR="00476862" w:rsidRPr="0000007A" w:rsidRDefault="004768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A14C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EF5A6B">
      <w:rPr>
        <w:sz w:val="16"/>
      </w:rPr>
      <w:t>3</w:t>
    </w:r>
    <w:r w:rsidR="009B20EF">
      <w:rPr>
        <w:sz w:val="16"/>
      </w:rPr>
      <w:t xml:space="preserve"> (0</w:t>
    </w:r>
    <w:r w:rsidR="00EF5A6B">
      <w:rPr>
        <w:sz w:val="16"/>
      </w:rPr>
      <w:t>7</w:t>
    </w:r>
    <w:r w:rsidR="009B20EF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D3B7" w14:textId="77777777" w:rsidR="00476862" w:rsidRPr="0000007A" w:rsidRDefault="00476862" w:rsidP="0099583E">
      <w:r>
        <w:separator/>
      </w:r>
    </w:p>
  </w:footnote>
  <w:footnote w:type="continuationSeparator" w:id="0">
    <w:p w14:paraId="0A535DD9" w14:textId="77777777" w:rsidR="00476862" w:rsidRPr="0000007A" w:rsidRDefault="004768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624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7C840D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F5A6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MY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4FEF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08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687B"/>
    <w:rsid w:val="00100577"/>
    <w:rsid w:val="00101322"/>
    <w:rsid w:val="00136984"/>
    <w:rsid w:val="001417D0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2789"/>
    <w:rsid w:val="001B49FB"/>
    <w:rsid w:val="001C66E8"/>
    <w:rsid w:val="001C78DC"/>
    <w:rsid w:val="001D16BD"/>
    <w:rsid w:val="001D3A1D"/>
    <w:rsid w:val="001E4B3D"/>
    <w:rsid w:val="001F24FF"/>
    <w:rsid w:val="001F2913"/>
    <w:rsid w:val="001F707F"/>
    <w:rsid w:val="001F765C"/>
    <w:rsid w:val="002011F3"/>
    <w:rsid w:val="00201B85"/>
    <w:rsid w:val="00202E80"/>
    <w:rsid w:val="00206369"/>
    <w:rsid w:val="00207899"/>
    <w:rsid w:val="002105F7"/>
    <w:rsid w:val="0021492A"/>
    <w:rsid w:val="00220111"/>
    <w:rsid w:val="0022369C"/>
    <w:rsid w:val="002320EB"/>
    <w:rsid w:val="00233073"/>
    <w:rsid w:val="0023696A"/>
    <w:rsid w:val="002422CB"/>
    <w:rsid w:val="00245E23"/>
    <w:rsid w:val="0025366D"/>
    <w:rsid w:val="00254F80"/>
    <w:rsid w:val="00262634"/>
    <w:rsid w:val="002643B3"/>
    <w:rsid w:val="00271579"/>
    <w:rsid w:val="00275984"/>
    <w:rsid w:val="00280EC9"/>
    <w:rsid w:val="002910B6"/>
    <w:rsid w:val="00291D08"/>
    <w:rsid w:val="00293482"/>
    <w:rsid w:val="002B0E54"/>
    <w:rsid w:val="002B4B36"/>
    <w:rsid w:val="002C374D"/>
    <w:rsid w:val="002D7EA9"/>
    <w:rsid w:val="002E1211"/>
    <w:rsid w:val="002E2339"/>
    <w:rsid w:val="002E6D86"/>
    <w:rsid w:val="002F6935"/>
    <w:rsid w:val="00312559"/>
    <w:rsid w:val="003204B8"/>
    <w:rsid w:val="003226CF"/>
    <w:rsid w:val="00335AB9"/>
    <w:rsid w:val="0033692F"/>
    <w:rsid w:val="003446D2"/>
    <w:rsid w:val="00346223"/>
    <w:rsid w:val="0035342C"/>
    <w:rsid w:val="0036432C"/>
    <w:rsid w:val="00391CE6"/>
    <w:rsid w:val="003A04E7"/>
    <w:rsid w:val="003A4991"/>
    <w:rsid w:val="003A6E1A"/>
    <w:rsid w:val="003B2172"/>
    <w:rsid w:val="003E6A55"/>
    <w:rsid w:val="003E746A"/>
    <w:rsid w:val="003F0649"/>
    <w:rsid w:val="00405773"/>
    <w:rsid w:val="00422002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34F9"/>
    <w:rsid w:val="00476862"/>
    <w:rsid w:val="004859BC"/>
    <w:rsid w:val="00497935"/>
    <w:rsid w:val="004A5B43"/>
    <w:rsid w:val="004B4CAD"/>
    <w:rsid w:val="004B4FDC"/>
    <w:rsid w:val="004C3DF1"/>
    <w:rsid w:val="004D0C0A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08E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1935"/>
    <w:rsid w:val="00645A56"/>
    <w:rsid w:val="006532DF"/>
    <w:rsid w:val="0065579D"/>
    <w:rsid w:val="00663792"/>
    <w:rsid w:val="0067046C"/>
    <w:rsid w:val="00673E69"/>
    <w:rsid w:val="00676845"/>
    <w:rsid w:val="00680547"/>
    <w:rsid w:val="0068446F"/>
    <w:rsid w:val="0069428E"/>
    <w:rsid w:val="00696CAD"/>
    <w:rsid w:val="006A5E0B"/>
    <w:rsid w:val="006C03FC"/>
    <w:rsid w:val="006C3797"/>
    <w:rsid w:val="006E01E3"/>
    <w:rsid w:val="006E7D6E"/>
    <w:rsid w:val="006F6F2F"/>
    <w:rsid w:val="00701186"/>
    <w:rsid w:val="00707BE1"/>
    <w:rsid w:val="007238EB"/>
    <w:rsid w:val="0072581C"/>
    <w:rsid w:val="0072789A"/>
    <w:rsid w:val="007317C3"/>
    <w:rsid w:val="00734756"/>
    <w:rsid w:val="0073538B"/>
    <w:rsid w:val="00741BD0"/>
    <w:rsid w:val="007426E6"/>
    <w:rsid w:val="00746370"/>
    <w:rsid w:val="007464F3"/>
    <w:rsid w:val="00766889"/>
    <w:rsid w:val="00766A0D"/>
    <w:rsid w:val="00767F8C"/>
    <w:rsid w:val="00780B67"/>
    <w:rsid w:val="007865AA"/>
    <w:rsid w:val="007B1099"/>
    <w:rsid w:val="007B6E18"/>
    <w:rsid w:val="007D0246"/>
    <w:rsid w:val="007F5873"/>
    <w:rsid w:val="00806382"/>
    <w:rsid w:val="00815F94"/>
    <w:rsid w:val="0082130C"/>
    <w:rsid w:val="00821C70"/>
    <w:rsid w:val="008224E2"/>
    <w:rsid w:val="00825DC9"/>
    <w:rsid w:val="0082676D"/>
    <w:rsid w:val="00831055"/>
    <w:rsid w:val="00840ECA"/>
    <w:rsid w:val="008423BB"/>
    <w:rsid w:val="00846F1F"/>
    <w:rsid w:val="0087201B"/>
    <w:rsid w:val="00877F10"/>
    <w:rsid w:val="008802CB"/>
    <w:rsid w:val="00882091"/>
    <w:rsid w:val="008913D5"/>
    <w:rsid w:val="00893E75"/>
    <w:rsid w:val="008C2778"/>
    <w:rsid w:val="008C2F62"/>
    <w:rsid w:val="008C358B"/>
    <w:rsid w:val="008C640C"/>
    <w:rsid w:val="008D020E"/>
    <w:rsid w:val="008D1117"/>
    <w:rsid w:val="008D15A4"/>
    <w:rsid w:val="008D38D6"/>
    <w:rsid w:val="008E70DC"/>
    <w:rsid w:val="008F36E4"/>
    <w:rsid w:val="00933C8B"/>
    <w:rsid w:val="009553EC"/>
    <w:rsid w:val="00971E72"/>
    <w:rsid w:val="0097330E"/>
    <w:rsid w:val="00974330"/>
    <w:rsid w:val="0097498C"/>
    <w:rsid w:val="00982766"/>
    <w:rsid w:val="009852C4"/>
    <w:rsid w:val="00985F26"/>
    <w:rsid w:val="0099583E"/>
    <w:rsid w:val="009A0242"/>
    <w:rsid w:val="009A2592"/>
    <w:rsid w:val="009A59ED"/>
    <w:rsid w:val="009B20EF"/>
    <w:rsid w:val="009B5AA8"/>
    <w:rsid w:val="009C45A0"/>
    <w:rsid w:val="009C5642"/>
    <w:rsid w:val="009D66D8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1A1D"/>
    <w:rsid w:val="00A519D1"/>
    <w:rsid w:val="00A6343B"/>
    <w:rsid w:val="00A64FA1"/>
    <w:rsid w:val="00A65C50"/>
    <w:rsid w:val="00A667EF"/>
    <w:rsid w:val="00A66DD2"/>
    <w:rsid w:val="00A87E87"/>
    <w:rsid w:val="00AA41B3"/>
    <w:rsid w:val="00AA6670"/>
    <w:rsid w:val="00AA7330"/>
    <w:rsid w:val="00AB056B"/>
    <w:rsid w:val="00AB1ED6"/>
    <w:rsid w:val="00AB397D"/>
    <w:rsid w:val="00AB638A"/>
    <w:rsid w:val="00AB6E43"/>
    <w:rsid w:val="00AC1349"/>
    <w:rsid w:val="00AD6C51"/>
    <w:rsid w:val="00AE7621"/>
    <w:rsid w:val="00AF3016"/>
    <w:rsid w:val="00B03A45"/>
    <w:rsid w:val="00B20808"/>
    <w:rsid w:val="00B2236C"/>
    <w:rsid w:val="00B22FE6"/>
    <w:rsid w:val="00B261D7"/>
    <w:rsid w:val="00B3033D"/>
    <w:rsid w:val="00B34527"/>
    <w:rsid w:val="00B356AF"/>
    <w:rsid w:val="00B6013D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5F91"/>
    <w:rsid w:val="00BE13EF"/>
    <w:rsid w:val="00BE40A5"/>
    <w:rsid w:val="00BE5B63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3EC6"/>
    <w:rsid w:val="00C84097"/>
    <w:rsid w:val="00CA0B44"/>
    <w:rsid w:val="00CB0106"/>
    <w:rsid w:val="00CB429B"/>
    <w:rsid w:val="00CC2753"/>
    <w:rsid w:val="00CC5400"/>
    <w:rsid w:val="00CC6262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08A6"/>
    <w:rsid w:val="00D3257B"/>
    <w:rsid w:val="00D40416"/>
    <w:rsid w:val="00D45CF7"/>
    <w:rsid w:val="00D4782A"/>
    <w:rsid w:val="00D53861"/>
    <w:rsid w:val="00D7603E"/>
    <w:rsid w:val="00D8579C"/>
    <w:rsid w:val="00D90124"/>
    <w:rsid w:val="00D9392F"/>
    <w:rsid w:val="00DA41F5"/>
    <w:rsid w:val="00DB16D7"/>
    <w:rsid w:val="00DB5B54"/>
    <w:rsid w:val="00DB7E1B"/>
    <w:rsid w:val="00DC1D81"/>
    <w:rsid w:val="00DD171C"/>
    <w:rsid w:val="00DF31D6"/>
    <w:rsid w:val="00E174B0"/>
    <w:rsid w:val="00E451EA"/>
    <w:rsid w:val="00E53E52"/>
    <w:rsid w:val="00E57F4B"/>
    <w:rsid w:val="00E63889"/>
    <w:rsid w:val="00E65EB7"/>
    <w:rsid w:val="00E71C8D"/>
    <w:rsid w:val="00E72360"/>
    <w:rsid w:val="00E91712"/>
    <w:rsid w:val="00E972A7"/>
    <w:rsid w:val="00EA06E1"/>
    <w:rsid w:val="00EA2839"/>
    <w:rsid w:val="00EB3E91"/>
    <w:rsid w:val="00EC6894"/>
    <w:rsid w:val="00ED6B12"/>
    <w:rsid w:val="00EE0D3E"/>
    <w:rsid w:val="00EE6167"/>
    <w:rsid w:val="00EF326D"/>
    <w:rsid w:val="00EF53FE"/>
    <w:rsid w:val="00EF5A6B"/>
    <w:rsid w:val="00F070D2"/>
    <w:rsid w:val="00F245A7"/>
    <w:rsid w:val="00F250AE"/>
    <w:rsid w:val="00F2515B"/>
    <w:rsid w:val="00F2643C"/>
    <w:rsid w:val="00F3295A"/>
    <w:rsid w:val="00F34D8E"/>
    <w:rsid w:val="00F3669D"/>
    <w:rsid w:val="00F405F8"/>
    <w:rsid w:val="00F41154"/>
    <w:rsid w:val="00F43030"/>
    <w:rsid w:val="00F4700F"/>
    <w:rsid w:val="00F51F7F"/>
    <w:rsid w:val="00F573EA"/>
    <w:rsid w:val="00F57E9D"/>
    <w:rsid w:val="00FA6528"/>
    <w:rsid w:val="00FC2E17"/>
    <w:rsid w:val="00FC6387"/>
    <w:rsid w:val="00FC6802"/>
    <w:rsid w:val="00FD1BC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2B36"/>
  <w15:chartTrackingRefBased/>
  <w15:docId w15:val="{7577A390-A498-4C1A-BBE8-6E35672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1C78D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446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frn.com/index.php/AJF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CE2B-C81E-41C8-9F5C-A55379DD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https://journalajfrn.com/index.php/AJFRN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52</cp:revision>
  <dcterms:created xsi:type="dcterms:W3CDTF">2025-07-13T21:04:00Z</dcterms:created>
  <dcterms:modified xsi:type="dcterms:W3CDTF">2025-07-16T07:57:00Z</dcterms:modified>
</cp:coreProperties>
</file>