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E08F" w14:textId="77777777" w:rsidR="00604C7C" w:rsidRDefault="00604C7C">
      <w:pPr>
        <w:pStyle w:val="Title"/>
        <w:spacing w:after="0"/>
        <w:jc w:val="both"/>
        <w:rPr>
          <w:rFonts w:ascii="Arial" w:hAnsi="Arial" w:cs="Arial"/>
        </w:rPr>
      </w:pPr>
    </w:p>
    <w:p w14:paraId="4ADF8193" w14:textId="77777777" w:rsidR="00604C7C" w:rsidRDefault="003F5CB5">
      <w:pPr>
        <w:pStyle w:val="Author"/>
        <w:spacing w:line="240" w:lineRule="auto"/>
        <w:rPr>
          <w:rFonts w:ascii="Arial" w:hAnsi="Arial" w:cs="Arial"/>
          <w:bCs/>
          <w:iCs/>
          <w:kern w:val="28"/>
          <w:sz w:val="36"/>
        </w:rPr>
      </w:pPr>
      <w:commentRangeStart w:id="0"/>
      <w:r>
        <w:rPr>
          <w:rFonts w:ascii="Arial" w:hAnsi="Arial" w:cs="Arial"/>
          <w:bCs/>
          <w:iCs/>
          <w:kern w:val="28"/>
          <w:sz w:val="36"/>
        </w:rPr>
        <w:t xml:space="preserve">Effectiveness Of Total Physical Response (TPR) Method in Enhancing Vocabulary Among Grade 1 Learners </w:t>
      </w:r>
      <w:commentRangeEnd w:id="0"/>
      <w:r w:rsidR="00BE056E">
        <w:rPr>
          <w:rStyle w:val="CommentReference"/>
          <w:rFonts w:ascii="Times New Roman" w:hAnsi="Times New Roman"/>
          <w:b w:val="0"/>
          <w:lang w:val="nb-NO" w:eastAsia="nb-NO"/>
        </w:rPr>
        <w:commentReference w:id="0"/>
      </w:r>
    </w:p>
    <w:p w14:paraId="7B7AC402" w14:textId="77777777" w:rsidR="00604C7C" w:rsidRDefault="00604C7C">
      <w:pPr>
        <w:pStyle w:val="Author"/>
        <w:spacing w:line="240" w:lineRule="auto"/>
        <w:jc w:val="both"/>
        <w:rPr>
          <w:rFonts w:ascii="Arial" w:hAnsi="Arial" w:cs="Arial"/>
          <w:sz w:val="36"/>
        </w:rPr>
      </w:pPr>
    </w:p>
    <w:p w14:paraId="2FBE783D" w14:textId="77777777" w:rsidR="00604C7C" w:rsidRDefault="00604C7C">
      <w:pPr>
        <w:pStyle w:val="Affiliation"/>
        <w:spacing w:after="0" w:line="240" w:lineRule="auto"/>
        <w:jc w:val="both"/>
        <w:rPr>
          <w:rFonts w:ascii="Arial" w:hAnsi="Arial" w:cs="Arial"/>
        </w:rPr>
      </w:pPr>
    </w:p>
    <w:p w14:paraId="39178B36" w14:textId="035E0D40" w:rsidR="00604C7C" w:rsidRDefault="00A378FC">
      <w:pPr>
        <w:pStyle w:val="Copyright"/>
        <w:spacing w:after="0" w:line="240" w:lineRule="auto"/>
        <w:jc w:val="both"/>
        <w:rPr>
          <w:rFonts w:ascii="Arial" w:hAnsi="Arial" w:cs="Arial"/>
        </w:rPr>
        <w:sectPr w:rsidR="00604C7C">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11610B8" wp14:editId="1E88DB9E">
                <wp:extent cx="5303520" cy="635"/>
                <wp:effectExtent l="17145" t="15875" r="13335" b="127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4D499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3F5CB5">
        <w:rPr>
          <w:rFonts w:ascii="Arial" w:hAnsi="Arial" w:cs="Arial"/>
        </w:rPr>
        <w:t>.</w:t>
      </w:r>
    </w:p>
    <w:p w14:paraId="5744624B" w14:textId="77777777" w:rsidR="00604C7C" w:rsidRDefault="003F5CB5">
      <w:pPr>
        <w:pStyle w:val="AbstHead"/>
        <w:spacing w:after="0"/>
        <w:jc w:val="both"/>
        <w:rPr>
          <w:rFonts w:ascii="Arial" w:hAnsi="Arial" w:cs="Arial"/>
        </w:rPr>
      </w:pPr>
      <w:r>
        <w:rPr>
          <w:rFonts w:ascii="Arial" w:hAnsi="Arial" w:cs="Arial"/>
        </w:rPr>
        <w:t xml:space="preserve">ABSTRACT </w:t>
      </w:r>
    </w:p>
    <w:p w14:paraId="757BC29E" w14:textId="77777777" w:rsidR="00604C7C" w:rsidRDefault="00604C7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04C7C" w14:paraId="3F769F90" w14:textId="77777777">
        <w:tc>
          <w:tcPr>
            <w:tcW w:w="9576" w:type="dxa"/>
            <w:shd w:val="clear" w:color="auto" w:fill="F2F2F2"/>
          </w:tcPr>
          <w:p w14:paraId="27E60C67" w14:textId="77777777" w:rsidR="00604C7C" w:rsidRDefault="003F5CB5">
            <w:pPr>
              <w:pStyle w:val="Body"/>
              <w:spacing w:after="0"/>
              <w:rPr>
                <w:rFonts w:ascii="Arial" w:eastAsia="Calibri" w:hAnsi="Arial" w:cs="Arial"/>
                <w:szCs w:val="22"/>
              </w:rPr>
            </w:pPr>
            <w:commentRangeStart w:id="1"/>
            <w:r>
              <w:rPr>
                <w:rFonts w:ascii="Arial" w:eastAsia="Calibri" w:hAnsi="Arial" w:cs="Arial"/>
                <w:szCs w:val="22"/>
              </w:rPr>
              <w:t>Persistent vocabulary difficul</w:t>
            </w:r>
            <w:r>
              <w:rPr>
                <w:rFonts w:ascii="Arial" w:eastAsia="Calibri" w:hAnsi="Arial" w:cs="Arial"/>
                <w:szCs w:val="22"/>
              </w:rPr>
              <w:t xml:space="preserve">ties among Grade 1 learners have contributed to language learning delays and limited comprehension abilities. This study aimed to examine the effectiveness of the Total Physical Response (TPR) method in enhancing vocabulary among first-grade learners. The </w:t>
            </w:r>
            <w:r>
              <w:rPr>
                <w:rFonts w:ascii="Arial" w:eastAsia="Calibri" w:hAnsi="Arial" w:cs="Arial"/>
                <w:szCs w:val="22"/>
              </w:rPr>
              <w:t xml:space="preserve">research employed a one-group pre-test–post-test experimental design conducted through tutorial sessions. A total of 15 learners from Judge Ernesto </w:t>
            </w:r>
            <w:proofErr w:type="spellStart"/>
            <w:r>
              <w:rPr>
                <w:rFonts w:ascii="Arial" w:eastAsia="Calibri" w:hAnsi="Arial" w:cs="Arial"/>
                <w:szCs w:val="22"/>
              </w:rPr>
              <w:t>Nombrado</w:t>
            </w:r>
            <w:proofErr w:type="spellEnd"/>
            <w:r>
              <w:rPr>
                <w:rFonts w:ascii="Arial" w:eastAsia="Calibri" w:hAnsi="Arial" w:cs="Arial"/>
                <w:szCs w:val="22"/>
              </w:rPr>
              <w:t xml:space="preserve"> Memorial School participated in the intervention. Aiken’s V coefficient method and Cronbach’s alpha</w:t>
            </w:r>
            <w:r>
              <w:rPr>
                <w:rFonts w:ascii="Arial" w:eastAsia="Calibri" w:hAnsi="Arial" w:cs="Arial"/>
                <w:szCs w:val="22"/>
              </w:rPr>
              <w:t xml:space="preserve"> were utilized to establish the validity and reliability of the researcher-made test. The instrument achieved a validity score of 0.91 and a reliability index of 0.776, indicating that the tool was both valid and reliable for vocabulary assessment. The pre</w:t>
            </w:r>
            <w:r>
              <w:rPr>
                <w:rFonts w:ascii="Arial" w:eastAsia="Calibri" w:hAnsi="Arial" w:cs="Arial"/>
                <w:szCs w:val="22"/>
              </w:rPr>
              <w:t xml:space="preserve">-test results showed a mean score of 6.87, with a transmuted grade of 71, interpreted as “Did Not Meet Expectations.” After the implementation of the TPR intervention, the post-test mean score increased to 12.53, with a transmuted grade of 89, categorized </w:t>
            </w:r>
            <w:r>
              <w:rPr>
                <w:rFonts w:ascii="Arial" w:eastAsia="Calibri" w:hAnsi="Arial" w:cs="Arial"/>
                <w:szCs w:val="22"/>
              </w:rPr>
              <w:t>as “Very Satisfactory.” A t-value of 9.338 and a p-value of 0.001 indicated a statistically significant improvement. The Cohen’s d coefficient of 2.411 further confirmed a large effect size. These outcomes affirm the effectiveness of the TPR method in enha</w:t>
            </w:r>
            <w:r>
              <w:rPr>
                <w:rFonts w:ascii="Arial" w:eastAsia="Calibri" w:hAnsi="Arial" w:cs="Arial"/>
                <w:szCs w:val="22"/>
              </w:rPr>
              <w:t>ncing vocabulary among Grade 1 learners. Therefore, it is recommended that educators integrate Total Physical Response into early-grade instruction to support kinesthetic and participatory learning. The strategy aligns with young learners’ developmental ne</w:t>
            </w:r>
            <w:r>
              <w:rPr>
                <w:rFonts w:ascii="Arial" w:eastAsia="Calibri" w:hAnsi="Arial" w:cs="Arial"/>
                <w:szCs w:val="22"/>
              </w:rPr>
              <w:t>eds and has demonstrated strong potential for improving vocabulary performance in primary education.</w:t>
            </w:r>
            <w:commentRangeEnd w:id="1"/>
            <w:r w:rsidR="00551D57">
              <w:rPr>
                <w:rStyle w:val="CommentReference"/>
                <w:rFonts w:ascii="Times New Roman" w:hAnsi="Times New Roman"/>
                <w:lang w:val="nb-NO" w:eastAsia="nb-NO"/>
              </w:rPr>
              <w:commentReference w:id="1"/>
            </w:r>
          </w:p>
        </w:tc>
      </w:tr>
    </w:tbl>
    <w:p w14:paraId="44D4307A" w14:textId="77777777" w:rsidR="00604C7C" w:rsidRDefault="00604C7C">
      <w:pPr>
        <w:pStyle w:val="Body"/>
        <w:spacing w:after="0"/>
        <w:rPr>
          <w:rFonts w:ascii="Arial" w:hAnsi="Arial" w:cs="Arial"/>
          <w:i/>
        </w:rPr>
      </w:pPr>
    </w:p>
    <w:p w14:paraId="1B549802" w14:textId="77777777" w:rsidR="00604C7C" w:rsidRDefault="003F5CB5">
      <w:pPr>
        <w:pStyle w:val="Body"/>
        <w:spacing w:after="0"/>
        <w:rPr>
          <w:rFonts w:ascii="Arial" w:hAnsi="Arial" w:cs="Arial"/>
          <w:i/>
        </w:rPr>
      </w:pPr>
      <w:r>
        <w:rPr>
          <w:rFonts w:ascii="Arial" w:hAnsi="Arial" w:cs="Arial"/>
          <w:i/>
        </w:rPr>
        <w:t xml:space="preserve">Keywords: </w:t>
      </w:r>
      <w:r>
        <w:rPr>
          <w:rFonts w:ascii="Arial" w:eastAsia="Arial" w:hAnsi="Arial" w:cs="Arial"/>
          <w:i/>
          <w:color w:val="000000"/>
        </w:rPr>
        <w:t xml:space="preserve">Total Physical Response, vocabulary development, kinesthetic learning, Grade 1 learners, language acquisition </w:t>
      </w:r>
    </w:p>
    <w:p w14:paraId="1758367B" w14:textId="77777777" w:rsidR="00604C7C" w:rsidRDefault="00604C7C">
      <w:pPr>
        <w:pStyle w:val="Body"/>
        <w:spacing w:after="0"/>
        <w:rPr>
          <w:rFonts w:ascii="Arial" w:hAnsi="Arial" w:cs="Arial"/>
          <w:i/>
          <w:sz w:val="18"/>
        </w:rPr>
      </w:pPr>
    </w:p>
    <w:p w14:paraId="2E2ED78A" w14:textId="77777777" w:rsidR="00604C7C" w:rsidRDefault="00604C7C">
      <w:pPr>
        <w:pStyle w:val="Body"/>
        <w:spacing w:after="0"/>
        <w:rPr>
          <w:rFonts w:ascii="Arial" w:hAnsi="Arial" w:cs="Arial"/>
          <w:i/>
        </w:rPr>
      </w:pPr>
    </w:p>
    <w:p w14:paraId="560F8E37" w14:textId="77777777" w:rsidR="00604C7C" w:rsidRDefault="003F5CB5">
      <w:pPr>
        <w:pStyle w:val="AbstHead"/>
        <w:spacing w:after="0"/>
        <w:jc w:val="both"/>
        <w:rPr>
          <w:rFonts w:ascii="Arial" w:hAnsi="Arial" w:cs="Arial"/>
        </w:rPr>
      </w:pPr>
      <w:r>
        <w:rPr>
          <w:rFonts w:ascii="Arial" w:hAnsi="Arial" w:cs="Arial"/>
        </w:rPr>
        <w:t>1. INTRODUCTION</w:t>
      </w:r>
    </w:p>
    <w:p w14:paraId="2DCFBFF4" w14:textId="77777777" w:rsidR="00604C7C" w:rsidRDefault="00604C7C">
      <w:pPr>
        <w:pStyle w:val="AbstHead"/>
        <w:spacing w:after="0"/>
        <w:jc w:val="both"/>
        <w:rPr>
          <w:rFonts w:ascii="Arial" w:hAnsi="Arial" w:cs="Arial"/>
        </w:rPr>
      </w:pPr>
    </w:p>
    <w:p w14:paraId="1603C3AB" w14:textId="77777777" w:rsidR="00604C7C" w:rsidRDefault="003F5CB5">
      <w:pPr>
        <w:ind w:firstLine="720"/>
        <w:jc w:val="both"/>
        <w:rPr>
          <w:rFonts w:ascii="Arial" w:eastAsia="Arial" w:hAnsi="Arial" w:cs="Arial"/>
        </w:rPr>
      </w:pPr>
      <w:r>
        <w:rPr>
          <w:rFonts w:ascii="Arial" w:eastAsia="Arial" w:hAnsi="Arial" w:cs="Arial"/>
        </w:rPr>
        <w:t xml:space="preserve">Vocabulary is the set of words known and used by a person in communication (Susanto, 2017). It plays a crucial role in </w:t>
      </w:r>
      <w:r>
        <w:rPr>
          <w:rFonts w:ascii="Arial" w:eastAsia="Arial" w:hAnsi="Arial" w:cs="Arial"/>
        </w:rPr>
        <w:t>literacy development, as vocabulary knowledge influences reading comprehension, writing, and the ability to express thoughts effectively (Majeed, 2023). However, many learners struggle to fully understand the meaning, context, and proper usage of words (Be</w:t>
      </w:r>
      <w:r>
        <w:rPr>
          <w:rFonts w:ascii="Arial" w:eastAsia="Arial" w:hAnsi="Arial" w:cs="Arial"/>
        </w:rPr>
        <w:t>hrens, 2018). This gap in vocabulary knowledge hinders their academic success and cognitive development, particularly in the early years of schooling (Green &amp; McLachlan, 2024).</w:t>
      </w:r>
    </w:p>
    <w:p w14:paraId="29762A4C" w14:textId="77777777" w:rsidR="00604C7C" w:rsidRDefault="003F5CB5">
      <w:pPr>
        <w:ind w:firstLine="720"/>
        <w:jc w:val="both"/>
        <w:rPr>
          <w:rFonts w:ascii="Arial" w:eastAsia="Arial" w:hAnsi="Arial" w:cs="Arial"/>
        </w:rPr>
      </w:pPr>
      <w:r>
        <w:rPr>
          <w:rFonts w:ascii="Arial" w:eastAsia="Arial" w:hAnsi="Arial" w:cs="Arial"/>
        </w:rPr>
        <w:t>Global studies consistently point to significant challenges in vocabulary among</w:t>
      </w:r>
      <w:r>
        <w:rPr>
          <w:rFonts w:ascii="Arial" w:eastAsia="Arial" w:hAnsi="Arial" w:cs="Arial"/>
        </w:rPr>
        <w:t xml:space="preserve"> primary-grade learners (OECD, 2019). A study by the National Center for Education Statistics (2022) in the United States results showed that the fourth and eighth graders tested were able to recognize the correct meaning of only around half the words sele</w:t>
      </w:r>
      <w:r>
        <w:rPr>
          <w:rFonts w:ascii="Arial" w:eastAsia="Arial" w:hAnsi="Arial" w:cs="Arial"/>
        </w:rPr>
        <w:t xml:space="preserve">cted from the test's reading comprehension passages, students' performance on vocabulary questions closely tracked their performance in reading comprehension. In India, nearly 50% of Grade 1 students are </w:t>
      </w:r>
      <w:r>
        <w:rPr>
          <w:rFonts w:ascii="Arial" w:eastAsia="Arial" w:hAnsi="Arial" w:cs="Arial"/>
        </w:rPr>
        <w:lastRenderedPageBreak/>
        <w:t>unable to read a simple paragraph, highlighting a si</w:t>
      </w:r>
      <w:r>
        <w:rPr>
          <w:rFonts w:ascii="Arial" w:eastAsia="Arial" w:hAnsi="Arial" w:cs="Arial"/>
        </w:rPr>
        <w:t>gnificant gap in early literacy (</w:t>
      </w:r>
      <w:proofErr w:type="spellStart"/>
      <w:r>
        <w:rPr>
          <w:rFonts w:ascii="Arial" w:eastAsia="Arial" w:hAnsi="Arial" w:cs="Arial"/>
        </w:rPr>
        <w:t>Chiplunkar</w:t>
      </w:r>
      <w:proofErr w:type="spellEnd"/>
      <w:r>
        <w:rPr>
          <w:rFonts w:ascii="Arial" w:eastAsia="Arial" w:hAnsi="Arial" w:cs="Arial"/>
        </w:rPr>
        <w:t xml:space="preserve"> et al., 2023).   These findings underscore the critical need for effective vocabulary instruction to address the significant learning gaps that hinder academic success across diverse contexts (Moody et al., 2018)</w:t>
      </w:r>
      <w:r>
        <w:rPr>
          <w:rFonts w:ascii="Arial" w:eastAsia="Arial" w:hAnsi="Arial" w:cs="Arial"/>
        </w:rPr>
        <w:t>.</w:t>
      </w:r>
    </w:p>
    <w:p w14:paraId="354181C6" w14:textId="77777777" w:rsidR="00604C7C" w:rsidRDefault="003F5CB5">
      <w:pPr>
        <w:ind w:firstLine="720"/>
        <w:jc w:val="both"/>
        <w:rPr>
          <w:rFonts w:ascii="Arial" w:eastAsia="Arial" w:hAnsi="Arial" w:cs="Arial"/>
        </w:rPr>
      </w:pPr>
      <w:r>
        <w:rPr>
          <w:rFonts w:ascii="Arial" w:eastAsia="Arial" w:hAnsi="Arial" w:cs="Arial"/>
        </w:rPr>
        <w:t>In the 2022 PISA rankings, the Philippines ranked low in reading, mathematics, and science, with the reading score increasing from 340 in 2018 to 347 but still below the global average of 476. Several studies also support the claim that Filipino learners</w:t>
      </w:r>
      <w:r>
        <w:rPr>
          <w:rFonts w:ascii="Arial" w:eastAsia="Arial" w:hAnsi="Arial" w:cs="Arial"/>
        </w:rPr>
        <w:t xml:space="preserve"> have poor English proficiency, with most students performing at the instructional level in literal taxonomy (</w:t>
      </w:r>
      <w:proofErr w:type="spellStart"/>
      <w:r>
        <w:rPr>
          <w:rFonts w:ascii="Arial" w:eastAsia="Arial" w:hAnsi="Arial" w:cs="Arial"/>
        </w:rPr>
        <w:t>Larioque</w:t>
      </w:r>
      <w:proofErr w:type="spellEnd"/>
      <w:r>
        <w:rPr>
          <w:rFonts w:ascii="Arial" w:eastAsia="Arial" w:hAnsi="Arial" w:cs="Arial"/>
        </w:rPr>
        <w:t xml:space="preserve">, 2019). This issue was evident at </w:t>
      </w:r>
      <w:proofErr w:type="spellStart"/>
      <w:r>
        <w:rPr>
          <w:rFonts w:ascii="Arial" w:eastAsia="Arial" w:hAnsi="Arial" w:cs="Arial"/>
        </w:rPr>
        <w:t>Paaralang</w:t>
      </w:r>
      <w:proofErr w:type="spellEnd"/>
      <w:r>
        <w:rPr>
          <w:rFonts w:ascii="Arial" w:eastAsia="Arial" w:hAnsi="Arial" w:cs="Arial"/>
        </w:rPr>
        <w:t xml:space="preserve"> </w:t>
      </w:r>
      <w:proofErr w:type="spellStart"/>
      <w:r>
        <w:rPr>
          <w:rFonts w:ascii="Arial" w:eastAsia="Arial" w:hAnsi="Arial" w:cs="Arial"/>
        </w:rPr>
        <w:t>Elementarya</w:t>
      </w:r>
      <w:proofErr w:type="spellEnd"/>
      <w:r>
        <w:rPr>
          <w:rFonts w:ascii="Arial" w:eastAsia="Arial" w:hAnsi="Arial" w:cs="Arial"/>
        </w:rPr>
        <w:t xml:space="preserve"> ng </w:t>
      </w:r>
      <w:proofErr w:type="spellStart"/>
      <w:r>
        <w:rPr>
          <w:rFonts w:ascii="Arial" w:eastAsia="Arial" w:hAnsi="Arial" w:cs="Arial"/>
        </w:rPr>
        <w:t>Tipas</w:t>
      </w:r>
      <w:proofErr w:type="spellEnd"/>
      <w:r>
        <w:rPr>
          <w:rFonts w:ascii="Arial" w:eastAsia="Arial" w:hAnsi="Arial" w:cs="Arial"/>
        </w:rPr>
        <w:t>, where the DepEd's Philippine Informal Reading Inventory (PHIL-IRI) show</w:t>
      </w:r>
      <w:r>
        <w:rPr>
          <w:rFonts w:ascii="Arial" w:eastAsia="Arial" w:hAnsi="Arial" w:cs="Arial"/>
        </w:rPr>
        <w:t xml:space="preserve">ed that Grade Five pupils struggled with vocabulary, frequently mispronounced and repeated English words, and fell into the "frustration" category. Similarly, in our observations at Judge Ernesto </w:t>
      </w:r>
      <w:proofErr w:type="spellStart"/>
      <w:r>
        <w:rPr>
          <w:rFonts w:ascii="Arial" w:eastAsia="Arial" w:hAnsi="Arial" w:cs="Arial"/>
        </w:rPr>
        <w:t>Nombrado</w:t>
      </w:r>
      <w:proofErr w:type="spellEnd"/>
      <w:r>
        <w:rPr>
          <w:rFonts w:ascii="Arial" w:eastAsia="Arial" w:hAnsi="Arial" w:cs="Arial"/>
        </w:rPr>
        <w:t xml:space="preserve"> School, Grade 1 learners struggled to understand an</w:t>
      </w:r>
      <w:r>
        <w:rPr>
          <w:rFonts w:ascii="Arial" w:eastAsia="Arial" w:hAnsi="Arial" w:cs="Arial"/>
        </w:rPr>
        <w:t>d use new vocabulary, further highlighting the communication gap between teachers and learners that hinders the teaching and learning process.</w:t>
      </w:r>
    </w:p>
    <w:p w14:paraId="2D1C4C71" w14:textId="77777777" w:rsidR="00604C7C" w:rsidRDefault="003F5CB5">
      <w:pPr>
        <w:ind w:firstLine="720"/>
        <w:jc w:val="both"/>
        <w:rPr>
          <w:rFonts w:ascii="Arial" w:eastAsia="Arial" w:hAnsi="Arial" w:cs="Arial"/>
        </w:rPr>
      </w:pPr>
      <w:proofErr w:type="spellStart"/>
      <w:r>
        <w:rPr>
          <w:rFonts w:ascii="Arial" w:eastAsia="Arial" w:hAnsi="Arial" w:cs="Arial"/>
        </w:rPr>
        <w:t>Inciman</w:t>
      </w:r>
      <w:proofErr w:type="spellEnd"/>
      <w:r>
        <w:rPr>
          <w:rFonts w:ascii="Arial" w:eastAsia="Arial" w:hAnsi="Arial" w:cs="Arial"/>
        </w:rPr>
        <w:t xml:space="preserve"> </w:t>
      </w:r>
      <w:proofErr w:type="spellStart"/>
      <w:r>
        <w:rPr>
          <w:rFonts w:ascii="Arial" w:eastAsia="Arial" w:hAnsi="Arial" w:cs="Arial"/>
        </w:rPr>
        <w:t>Celik</w:t>
      </w:r>
      <w:proofErr w:type="spellEnd"/>
      <w:r>
        <w:rPr>
          <w:rFonts w:ascii="Arial" w:eastAsia="Arial" w:hAnsi="Arial" w:cs="Arial"/>
        </w:rPr>
        <w:t xml:space="preserve"> et al. (2018) highlight that while several vocabulary teaching strategies have been explored in the</w:t>
      </w:r>
      <w:r>
        <w:rPr>
          <w:rFonts w:ascii="Arial" w:eastAsia="Arial" w:hAnsi="Arial" w:cs="Arial"/>
        </w:rPr>
        <w:t xml:space="preserve"> literature, few studies have specifically examined the effectiveness of Total Physical Response (TPR) in enhancing vocabulary among Grade 1 learners. TPR, developed by James Asher, is a method that combines physical movement with language learning (Cheng,</w:t>
      </w:r>
      <w:r>
        <w:rPr>
          <w:rFonts w:ascii="Arial" w:eastAsia="Arial" w:hAnsi="Arial" w:cs="Arial"/>
        </w:rPr>
        <w:t xml:space="preserve"> 2019). By associating words with corresponding actions, TPR helps students retain and understand vocabulary more effectively (</w:t>
      </w:r>
      <w:proofErr w:type="spellStart"/>
      <w:r>
        <w:rPr>
          <w:rFonts w:ascii="Arial" w:eastAsia="Arial" w:hAnsi="Arial" w:cs="Arial"/>
        </w:rPr>
        <w:t>Sumarni</w:t>
      </w:r>
      <w:proofErr w:type="spellEnd"/>
      <w:r>
        <w:rPr>
          <w:rFonts w:ascii="Arial" w:eastAsia="Arial" w:hAnsi="Arial" w:cs="Arial"/>
        </w:rPr>
        <w:t xml:space="preserve"> et al., 2022). This approach has been demonstrated to support the language development of young learners (</w:t>
      </w:r>
      <w:proofErr w:type="spellStart"/>
      <w:r>
        <w:rPr>
          <w:rFonts w:ascii="Arial" w:eastAsia="Arial" w:hAnsi="Arial" w:cs="Arial"/>
        </w:rPr>
        <w:t>Xie</w:t>
      </w:r>
      <w:proofErr w:type="spellEnd"/>
      <w:r>
        <w:rPr>
          <w:rFonts w:ascii="Arial" w:eastAsia="Arial" w:hAnsi="Arial" w:cs="Arial"/>
        </w:rPr>
        <w:t>, 2021).</w:t>
      </w:r>
    </w:p>
    <w:p w14:paraId="31AD57C7" w14:textId="77777777" w:rsidR="00604C7C" w:rsidRDefault="003F5CB5">
      <w:pPr>
        <w:pStyle w:val="Body"/>
        <w:spacing w:after="0"/>
        <w:rPr>
          <w:rFonts w:ascii="Arial" w:hAnsi="Arial" w:cs="Arial"/>
        </w:rPr>
      </w:pPr>
      <w:r>
        <w:rPr>
          <w:rFonts w:ascii="Arial" w:eastAsia="Arial" w:hAnsi="Arial" w:cs="Arial"/>
        </w:rPr>
        <w:t>Giv</w:t>
      </w:r>
      <w:r>
        <w:rPr>
          <w:rFonts w:ascii="Arial" w:eastAsia="Arial" w:hAnsi="Arial" w:cs="Arial"/>
        </w:rPr>
        <w:t>en the challenges students face with traditional vocabulary teaching methods, our role as researchers is to investigate the potential of TPR as an intervention to improve vocabulary among Grade 1 learners. We aim to explore how TPR can enhance students' ab</w:t>
      </w:r>
      <w:r>
        <w:rPr>
          <w:rFonts w:ascii="Arial" w:eastAsia="Arial" w:hAnsi="Arial" w:cs="Arial"/>
        </w:rPr>
        <w:t>ility to learn and retain new words. Our research will contribute to the growing body of knowledge on the effectiveness of TPR as a dynamic and engaging tool for early education.</w:t>
      </w:r>
    </w:p>
    <w:p w14:paraId="620D4721" w14:textId="77777777" w:rsidR="00604C7C" w:rsidRDefault="00604C7C">
      <w:pPr>
        <w:pStyle w:val="Body"/>
        <w:spacing w:after="0"/>
        <w:rPr>
          <w:rFonts w:ascii="Arial" w:hAnsi="Arial" w:cs="Arial"/>
        </w:rPr>
      </w:pPr>
    </w:p>
    <w:p w14:paraId="326EB506" w14:textId="77777777" w:rsidR="00604C7C" w:rsidRDefault="003F5CB5">
      <w:pPr>
        <w:pStyle w:val="AbstHead"/>
        <w:spacing w:after="0"/>
        <w:jc w:val="both"/>
        <w:rPr>
          <w:rFonts w:ascii="Arial" w:hAnsi="Arial" w:cs="Arial"/>
        </w:rPr>
      </w:pPr>
      <w:r>
        <w:rPr>
          <w:rFonts w:ascii="Arial" w:hAnsi="Arial" w:cs="Arial"/>
        </w:rPr>
        <w:t>2. OBJECTIVES</w:t>
      </w:r>
    </w:p>
    <w:p w14:paraId="5C238091" w14:textId="77777777" w:rsidR="00604C7C" w:rsidRDefault="00604C7C">
      <w:pPr>
        <w:pStyle w:val="AbstHead"/>
        <w:spacing w:after="0"/>
        <w:jc w:val="both"/>
        <w:rPr>
          <w:rFonts w:ascii="Arial" w:hAnsi="Arial" w:cs="Arial"/>
        </w:rPr>
      </w:pPr>
    </w:p>
    <w:p w14:paraId="59082F43" w14:textId="77777777" w:rsidR="00604C7C" w:rsidRDefault="003F5CB5">
      <w:pPr>
        <w:pBdr>
          <w:top w:val="nil"/>
          <w:left w:val="nil"/>
          <w:bottom w:val="nil"/>
          <w:right w:val="nil"/>
          <w:between w:val="nil"/>
        </w:pBdr>
        <w:ind w:firstLine="360"/>
        <w:jc w:val="both"/>
        <w:rPr>
          <w:rFonts w:ascii="Arial" w:eastAsia="Arial" w:hAnsi="Arial" w:cs="Arial"/>
          <w:color w:val="000000"/>
        </w:rPr>
      </w:pPr>
      <w:r>
        <w:rPr>
          <w:rFonts w:ascii="Arial" w:eastAsia="Arial" w:hAnsi="Arial" w:cs="Arial"/>
          <w:color w:val="000000"/>
        </w:rPr>
        <w:t xml:space="preserve">This study aimed to attain the following </w:t>
      </w:r>
      <w:r>
        <w:rPr>
          <w:rFonts w:ascii="Arial" w:eastAsia="Arial" w:hAnsi="Arial" w:cs="Arial"/>
          <w:color w:val="000000"/>
        </w:rPr>
        <w:t>objectives:</w:t>
      </w:r>
    </w:p>
    <w:p w14:paraId="2A0A0F75" w14:textId="77777777" w:rsidR="00604C7C" w:rsidRDefault="00604C7C">
      <w:pPr>
        <w:pBdr>
          <w:top w:val="nil"/>
          <w:left w:val="nil"/>
          <w:bottom w:val="nil"/>
          <w:right w:val="nil"/>
          <w:between w:val="nil"/>
        </w:pBdr>
        <w:jc w:val="both"/>
        <w:rPr>
          <w:rFonts w:ascii="Arial" w:eastAsia="Arial" w:hAnsi="Arial" w:cs="Arial"/>
          <w:color w:val="000000"/>
          <w:highlight w:val="white"/>
        </w:rPr>
      </w:pPr>
    </w:p>
    <w:p w14:paraId="5EFFC77B" w14:textId="77777777" w:rsidR="00604C7C" w:rsidRDefault="003F5CB5">
      <w:pPr>
        <w:numPr>
          <w:ilvl w:val="0"/>
          <w:numId w:val="3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highlight w:val="white"/>
        </w:rPr>
        <w:t xml:space="preserve">Determine </w:t>
      </w:r>
      <w:r>
        <w:rPr>
          <w:rFonts w:ascii="Arial" w:eastAsia="Arial" w:hAnsi="Arial" w:cs="Arial"/>
          <w:color w:val="000000"/>
        </w:rPr>
        <w:t xml:space="preserve">the level of pre-test scores in terms of vocabulary development among Grade 1 learners in Judge Ernesto </w:t>
      </w:r>
      <w:proofErr w:type="spellStart"/>
      <w:r>
        <w:rPr>
          <w:rFonts w:ascii="Arial" w:eastAsia="Arial" w:hAnsi="Arial" w:cs="Arial"/>
          <w:color w:val="000000"/>
        </w:rPr>
        <w:t>Nombrado</w:t>
      </w:r>
      <w:proofErr w:type="spellEnd"/>
      <w:r>
        <w:rPr>
          <w:rFonts w:ascii="Arial" w:eastAsia="Arial" w:hAnsi="Arial" w:cs="Arial"/>
          <w:color w:val="000000"/>
        </w:rPr>
        <w:t xml:space="preserve"> Memorial School.</w:t>
      </w:r>
      <w:commentRangeStart w:id="2"/>
      <w:commentRangeEnd w:id="2"/>
      <w:r w:rsidR="008F752B">
        <w:rPr>
          <w:rStyle w:val="CommentReference"/>
          <w:rFonts w:ascii="Times New Roman" w:hAnsi="Times New Roman"/>
          <w:lang w:val="nb-NO" w:eastAsia="nb-NO"/>
        </w:rPr>
        <w:commentReference w:id="2"/>
      </w:r>
    </w:p>
    <w:p w14:paraId="15949A92" w14:textId="77777777" w:rsidR="00604C7C" w:rsidRDefault="003F5CB5">
      <w:pPr>
        <w:pStyle w:val="ListParagraph"/>
        <w:numPr>
          <w:ilvl w:val="0"/>
          <w:numId w:val="31"/>
        </w:numPr>
        <w:jc w:val="both"/>
        <w:rPr>
          <w:rFonts w:ascii="Arial" w:eastAsia="Arial" w:hAnsi="Arial" w:cs="Arial"/>
          <w:color w:val="000000"/>
        </w:rPr>
      </w:pPr>
      <w:r>
        <w:rPr>
          <w:rFonts w:ascii="Arial" w:eastAsia="Arial" w:hAnsi="Arial" w:cs="Arial"/>
          <w:color w:val="000000"/>
        </w:rPr>
        <w:t>Determine the level of the post-test scores in terms of vocabulary development among Grade 1 learners i</w:t>
      </w:r>
      <w:r>
        <w:rPr>
          <w:rFonts w:ascii="Arial" w:eastAsia="Arial" w:hAnsi="Arial" w:cs="Arial"/>
          <w:color w:val="000000"/>
        </w:rPr>
        <w:t xml:space="preserve">n Judge Ernesto </w:t>
      </w:r>
      <w:proofErr w:type="spellStart"/>
      <w:r>
        <w:rPr>
          <w:rFonts w:ascii="Arial" w:eastAsia="Arial" w:hAnsi="Arial" w:cs="Arial"/>
          <w:color w:val="000000"/>
        </w:rPr>
        <w:t>Nombrado</w:t>
      </w:r>
      <w:proofErr w:type="spellEnd"/>
      <w:r>
        <w:rPr>
          <w:rFonts w:ascii="Arial" w:eastAsia="Arial" w:hAnsi="Arial" w:cs="Arial"/>
          <w:color w:val="000000"/>
        </w:rPr>
        <w:t xml:space="preserve"> Memorial </w:t>
      </w:r>
      <w:r>
        <w:rPr>
          <w:rFonts w:ascii="Arial" w:eastAsia="Arial" w:hAnsi="Arial" w:cs="Arial"/>
          <w:color w:val="000000"/>
        </w:rPr>
        <w:t>School</w:t>
      </w:r>
      <w:r>
        <w:rPr>
          <w:rFonts w:ascii="Arial" w:eastAsia="Arial" w:hAnsi="Arial" w:cs="Arial"/>
          <w:color w:val="000000"/>
        </w:rPr>
        <w:t>.</w:t>
      </w:r>
      <w:commentRangeStart w:id="3"/>
      <w:commentRangeEnd w:id="3"/>
      <w:r w:rsidR="00106859">
        <w:rPr>
          <w:rStyle w:val="CommentReference"/>
          <w:rFonts w:ascii="Times New Roman" w:eastAsia="Times New Roman" w:hAnsi="Times New Roman" w:cs="Times New Roman"/>
          <w:lang w:val="nb-NO" w:eastAsia="nb-NO"/>
        </w:rPr>
        <w:commentReference w:id="3"/>
      </w:r>
    </w:p>
    <w:p w14:paraId="00FA8133" w14:textId="77777777" w:rsidR="00604C7C" w:rsidRDefault="003F5CB5">
      <w:pPr>
        <w:pStyle w:val="ListParagraph"/>
        <w:numPr>
          <w:ilvl w:val="0"/>
          <w:numId w:val="31"/>
        </w:numPr>
        <w:jc w:val="both"/>
        <w:rPr>
          <w:rFonts w:ascii="Arial" w:eastAsia="Arial" w:hAnsi="Arial" w:cs="Arial"/>
          <w:color w:val="000000"/>
        </w:rPr>
      </w:pPr>
      <w:r>
        <w:rPr>
          <w:rFonts w:ascii="Arial" w:eastAsia="Arial" w:hAnsi="Arial" w:cs="Arial"/>
          <w:color w:val="000000"/>
        </w:rPr>
        <w:t xml:space="preserve">Determine the significant difference between the pre-test and post-test results of the Grade 1 learners in Judge Ernesto </w:t>
      </w:r>
      <w:proofErr w:type="spellStart"/>
      <w:r>
        <w:rPr>
          <w:rFonts w:ascii="Arial" w:eastAsia="Arial" w:hAnsi="Arial" w:cs="Arial"/>
          <w:color w:val="000000"/>
        </w:rPr>
        <w:t>Nombrado</w:t>
      </w:r>
      <w:proofErr w:type="spellEnd"/>
      <w:r>
        <w:rPr>
          <w:rFonts w:ascii="Arial" w:eastAsia="Arial" w:hAnsi="Arial" w:cs="Arial"/>
          <w:color w:val="000000"/>
        </w:rPr>
        <w:t xml:space="preserve"> Memorial School.</w:t>
      </w:r>
      <w:commentRangeStart w:id="4"/>
      <w:commentRangeEnd w:id="4"/>
      <w:r w:rsidR="00106859">
        <w:rPr>
          <w:rStyle w:val="CommentReference"/>
          <w:rFonts w:ascii="Times New Roman" w:eastAsia="Times New Roman" w:hAnsi="Times New Roman" w:cs="Times New Roman"/>
          <w:lang w:val="nb-NO" w:eastAsia="nb-NO"/>
        </w:rPr>
        <w:commentReference w:id="4"/>
      </w:r>
    </w:p>
    <w:p w14:paraId="253B30CF" w14:textId="77777777" w:rsidR="00604C7C" w:rsidRDefault="00604C7C">
      <w:pPr>
        <w:pStyle w:val="Body"/>
        <w:spacing w:after="0"/>
        <w:rPr>
          <w:rFonts w:ascii="Arial" w:hAnsi="Arial" w:cs="Arial"/>
        </w:rPr>
      </w:pPr>
    </w:p>
    <w:p w14:paraId="6ACC4047" w14:textId="77777777" w:rsidR="00604C7C" w:rsidRDefault="00604C7C">
      <w:pPr>
        <w:pStyle w:val="Body"/>
        <w:spacing w:after="0"/>
        <w:rPr>
          <w:rFonts w:ascii="Arial" w:hAnsi="Arial" w:cs="Arial"/>
        </w:rPr>
      </w:pPr>
    </w:p>
    <w:p w14:paraId="38CAC949" w14:textId="77777777" w:rsidR="00604C7C" w:rsidRDefault="003F5CB5">
      <w:pPr>
        <w:pStyle w:val="Head1"/>
        <w:spacing w:after="0"/>
        <w:jc w:val="both"/>
        <w:rPr>
          <w:rFonts w:ascii="Arial" w:hAnsi="Arial" w:cs="Arial"/>
        </w:rPr>
      </w:pPr>
      <w:r>
        <w:rPr>
          <w:rFonts w:ascii="Arial" w:hAnsi="Arial" w:cs="Arial"/>
        </w:rPr>
        <w:t>3. MATERIALS AND METHODS</w:t>
      </w:r>
    </w:p>
    <w:p w14:paraId="5698BD86" w14:textId="77777777" w:rsidR="00604C7C" w:rsidRDefault="00604C7C">
      <w:pPr>
        <w:pStyle w:val="Head1"/>
        <w:spacing w:after="0"/>
        <w:jc w:val="both"/>
        <w:rPr>
          <w:rFonts w:ascii="Arial" w:hAnsi="Arial" w:cs="Arial"/>
        </w:rPr>
      </w:pPr>
    </w:p>
    <w:p w14:paraId="3CABACE0" w14:textId="77777777" w:rsidR="00604C7C" w:rsidRDefault="003F5CB5">
      <w:pPr>
        <w:pStyle w:val="Head1"/>
        <w:spacing w:after="0"/>
        <w:jc w:val="both"/>
        <w:rPr>
          <w:rFonts w:ascii="Arial" w:hAnsi="Arial" w:cs="Arial"/>
          <w:caps w:val="0"/>
          <w:sz w:val="20"/>
        </w:rPr>
      </w:pPr>
      <w:r>
        <w:rPr>
          <w:rFonts w:ascii="Arial" w:hAnsi="Arial" w:cs="Arial"/>
          <w:caps w:val="0"/>
          <w:sz w:val="20"/>
        </w:rPr>
        <w:t>Research Design</w:t>
      </w:r>
    </w:p>
    <w:p w14:paraId="2113D622" w14:textId="77777777" w:rsidR="00604C7C" w:rsidRDefault="00604C7C">
      <w:pPr>
        <w:pStyle w:val="Head1"/>
        <w:spacing w:after="0"/>
        <w:jc w:val="both"/>
        <w:rPr>
          <w:rFonts w:ascii="Arial" w:hAnsi="Arial" w:cs="Arial"/>
          <w:sz w:val="20"/>
        </w:rPr>
      </w:pPr>
    </w:p>
    <w:p w14:paraId="110A9824" w14:textId="77777777" w:rsidR="00604C7C" w:rsidRDefault="003F5CB5">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This study employed an experimental research design, specifically a one-group pre-test–post-test model, which is commonly used to evaluate the effect of an intervention on a single group without a control group (Cohen, Manion, &amp; Morrison, 2018). This desig</w:t>
      </w:r>
      <w:r>
        <w:rPr>
          <w:rFonts w:ascii="Arial" w:eastAsia="Arial" w:hAnsi="Arial" w:cs="Arial"/>
          <w:color w:val="000000"/>
        </w:rPr>
        <w:t>n was employed to evaluate the effectiveness of the Total Physical Response (TPR) method in improving vocabulary among Grade 1 learners by comparing their vocabulary scores before and after the intervention. This study is appropriate as it enables research</w:t>
      </w:r>
      <w:r>
        <w:rPr>
          <w:rFonts w:ascii="Arial" w:eastAsia="Arial" w:hAnsi="Arial" w:cs="Arial"/>
          <w:color w:val="000000"/>
        </w:rPr>
        <w:t>ers to measure learners' improvement over time and determine the instructional impact of TPR within a real classroom setting. The pre-test provided baseline data, while the post-test measured learning gains after the TPR-based instruction. This design is b</w:t>
      </w:r>
      <w:r>
        <w:rPr>
          <w:rFonts w:ascii="Arial" w:eastAsia="Arial" w:hAnsi="Arial" w:cs="Arial"/>
          <w:color w:val="000000"/>
        </w:rPr>
        <w:t xml:space="preserve">oth practical and ethically suitable for </w:t>
      </w:r>
      <w:r>
        <w:rPr>
          <w:rFonts w:ascii="Arial" w:eastAsia="Arial" w:hAnsi="Arial" w:cs="Arial"/>
          <w:color w:val="000000"/>
        </w:rPr>
        <w:lastRenderedPageBreak/>
        <w:t>educational settings involving young children, as it ensures that all participants receive the intended learning experience while allowing researchers to objectively evaluate the outcome.</w:t>
      </w:r>
    </w:p>
    <w:p w14:paraId="5E7B62FC" w14:textId="77777777" w:rsidR="00604C7C" w:rsidRDefault="00604C7C">
      <w:pPr>
        <w:pBdr>
          <w:top w:val="nil"/>
          <w:left w:val="nil"/>
          <w:bottom w:val="nil"/>
          <w:right w:val="nil"/>
          <w:between w:val="nil"/>
        </w:pBdr>
        <w:jc w:val="both"/>
        <w:rPr>
          <w:rFonts w:ascii="Arial" w:eastAsia="Arial" w:hAnsi="Arial" w:cs="Arial"/>
          <w:color w:val="000000"/>
          <w:highlight w:val="white"/>
        </w:rPr>
      </w:pPr>
    </w:p>
    <w:p w14:paraId="3E914972" w14:textId="77777777" w:rsidR="00604C7C" w:rsidRDefault="003F5CB5">
      <w:pPr>
        <w:pBdr>
          <w:top w:val="nil"/>
          <w:left w:val="nil"/>
          <w:bottom w:val="nil"/>
          <w:right w:val="nil"/>
          <w:between w:val="nil"/>
        </w:pBdr>
        <w:jc w:val="both"/>
        <w:rPr>
          <w:rFonts w:ascii="Arial" w:eastAsia="Arial" w:hAnsi="Arial" w:cs="Arial"/>
          <w:b/>
          <w:color w:val="000000"/>
          <w:highlight w:val="white"/>
        </w:rPr>
      </w:pPr>
      <w:r>
        <w:rPr>
          <w:rFonts w:ascii="Arial" w:eastAsia="Arial" w:hAnsi="Arial" w:cs="Arial"/>
          <w:b/>
          <w:color w:val="000000"/>
          <w:highlight w:val="white"/>
        </w:rPr>
        <w:t>Research Instrument</w:t>
      </w:r>
    </w:p>
    <w:p w14:paraId="66BB6378" w14:textId="77777777" w:rsidR="00604C7C" w:rsidRDefault="003F5CB5">
      <w:pPr>
        <w:pBdr>
          <w:top w:val="nil"/>
          <w:left w:val="nil"/>
          <w:bottom w:val="nil"/>
          <w:right w:val="nil"/>
          <w:between w:val="nil"/>
        </w:pBdr>
        <w:ind w:firstLine="720"/>
        <w:jc w:val="both"/>
        <w:rPr>
          <w:rFonts w:ascii="Arial" w:eastAsia="Arial" w:hAnsi="Arial" w:cs="Arial"/>
          <w:color w:val="000000"/>
          <w:lang w:val="en-PH"/>
        </w:rPr>
      </w:pPr>
      <w:r>
        <w:rPr>
          <w:rFonts w:ascii="Arial" w:eastAsia="Arial" w:hAnsi="Arial" w:cs="Arial"/>
          <w:color w:val="000000"/>
        </w:rPr>
        <w:t xml:space="preserve">The </w:t>
      </w:r>
      <w:r>
        <w:rPr>
          <w:rFonts w:ascii="Arial" w:eastAsia="Arial" w:hAnsi="Arial" w:cs="Arial"/>
          <w:color w:val="000000"/>
          <w:lang w:val="en-PH"/>
        </w:rPr>
        <w:t>The primary research instrument used in this study was a researcher-designed vocabulary test developed to assess the effectiveness of the Total Physical Response (TPR) method in enhancing vocabulary among Grade 1 learners. The test was specifically dev</w:t>
      </w:r>
      <w:r>
        <w:rPr>
          <w:rFonts w:ascii="Arial" w:eastAsia="Arial" w:hAnsi="Arial" w:cs="Arial"/>
          <w:color w:val="000000"/>
          <w:lang w:val="en-PH"/>
        </w:rPr>
        <w:t>eloped to align with the learning competency "give the meaning of words through clues", as outlined in the curriculum standards.</w:t>
      </w:r>
    </w:p>
    <w:p w14:paraId="3DE3D041" w14:textId="77777777" w:rsidR="00604C7C" w:rsidRDefault="003F5CB5">
      <w:pPr>
        <w:pBdr>
          <w:top w:val="nil"/>
          <w:left w:val="nil"/>
          <w:bottom w:val="nil"/>
          <w:right w:val="nil"/>
          <w:between w:val="nil"/>
        </w:pBdr>
        <w:ind w:firstLine="720"/>
        <w:jc w:val="both"/>
        <w:rPr>
          <w:rFonts w:ascii="Arial" w:eastAsia="Arial" w:hAnsi="Arial" w:cs="Arial"/>
          <w:color w:val="000000"/>
          <w:lang w:val="en-PH"/>
        </w:rPr>
      </w:pPr>
      <w:r>
        <w:rPr>
          <w:rFonts w:ascii="Arial" w:eastAsia="Arial" w:hAnsi="Arial" w:cs="Arial"/>
          <w:color w:val="000000"/>
          <w:lang w:val="en-PH"/>
        </w:rPr>
        <w:t>Initially, the instrument consisted of 20 test items. However, after aligning the assessment with the actual competencies cover</w:t>
      </w:r>
      <w:r>
        <w:rPr>
          <w:rFonts w:ascii="Arial" w:eastAsia="Arial" w:hAnsi="Arial" w:cs="Arial"/>
          <w:color w:val="000000"/>
          <w:lang w:val="en-PH"/>
        </w:rPr>
        <w:t>ed per lesson, the number of items was reduced to 15. This adjustment ensured that each item matched the specific vocabulary content and instructional scope delivered during the intervention, improving the instrument's curricular alignment and construct va</w:t>
      </w:r>
      <w:r>
        <w:rPr>
          <w:rFonts w:ascii="Arial" w:eastAsia="Arial" w:hAnsi="Arial" w:cs="Arial"/>
          <w:color w:val="000000"/>
          <w:lang w:val="en-PH"/>
        </w:rPr>
        <w:t>lidity.</w:t>
      </w:r>
    </w:p>
    <w:p w14:paraId="67B92966" w14:textId="77777777" w:rsidR="00604C7C" w:rsidRDefault="003F5CB5">
      <w:pPr>
        <w:pBdr>
          <w:top w:val="nil"/>
          <w:left w:val="nil"/>
          <w:bottom w:val="nil"/>
          <w:right w:val="nil"/>
          <w:between w:val="nil"/>
        </w:pBdr>
        <w:ind w:firstLine="720"/>
        <w:jc w:val="both"/>
        <w:rPr>
          <w:rFonts w:ascii="Arial" w:eastAsia="Arial" w:hAnsi="Arial" w:cs="Arial"/>
          <w:color w:val="000000"/>
          <w:lang w:val="en-PH"/>
        </w:rPr>
      </w:pPr>
      <w:r>
        <w:rPr>
          <w:rFonts w:ascii="Arial" w:eastAsia="Arial" w:hAnsi="Arial" w:cs="Arial"/>
          <w:color w:val="000000"/>
          <w:lang w:val="en-PH"/>
        </w:rPr>
        <w:t>The test underwent a rigorous content validation process involving three education experts who evaluated its relevance, clarity, and alignment with intended learning outcomes. The validation process yielded an Aiken V coefficient of 0.91, indicatin</w:t>
      </w:r>
      <w:r>
        <w:rPr>
          <w:rFonts w:ascii="Arial" w:eastAsia="Arial" w:hAnsi="Arial" w:cs="Arial"/>
          <w:color w:val="000000"/>
          <w:lang w:val="en-PH"/>
        </w:rPr>
        <w:t>g excellent content validity. Furthermore, a pilot test was conducted at Sta. Filomena Elementary School yielded a Cronbach's alpha coefficient of 0.776, indicating a high level of internal consistency and overall reliability.</w:t>
      </w:r>
    </w:p>
    <w:p w14:paraId="45761B73" w14:textId="77777777" w:rsidR="00604C7C" w:rsidRDefault="00604C7C">
      <w:pPr>
        <w:pBdr>
          <w:top w:val="nil"/>
          <w:left w:val="nil"/>
          <w:bottom w:val="nil"/>
          <w:right w:val="nil"/>
          <w:between w:val="nil"/>
        </w:pBdr>
        <w:jc w:val="both"/>
        <w:rPr>
          <w:rFonts w:ascii="Arial" w:eastAsia="Arial" w:hAnsi="Arial" w:cs="Arial"/>
          <w:color w:val="000000"/>
          <w:highlight w:val="white"/>
        </w:rPr>
      </w:pPr>
    </w:p>
    <w:p w14:paraId="5F07EC1C" w14:textId="77777777" w:rsidR="00604C7C" w:rsidRDefault="003F5CB5">
      <w:pPr>
        <w:pBdr>
          <w:top w:val="nil"/>
          <w:left w:val="nil"/>
          <w:bottom w:val="nil"/>
          <w:right w:val="nil"/>
          <w:between w:val="nil"/>
        </w:pBdr>
        <w:jc w:val="both"/>
        <w:rPr>
          <w:rFonts w:ascii="Arial" w:eastAsia="Arial" w:hAnsi="Arial" w:cs="Arial"/>
          <w:b/>
          <w:color w:val="000000"/>
          <w:highlight w:val="white"/>
        </w:rPr>
      </w:pPr>
      <w:r>
        <w:rPr>
          <w:rFonts w:ascii="Arial" w:eastAsia="Arial" w:hAnsi="Arial" w:cs="Arial"/>
          <w:b/>
          <w:color w:val="000000"/>
          <w:highlight w:val="white"/>
        </w:rPr>
        <w:t>Respondents of the Study</w:t>
      </w:r>
    </w:p>
    <w:p w14:paraId="4DF9C623" w14:textId="77777777" w:rsidR="00604C7C" w:rsidRDefault="003F5CB5">
      <w:pPr>
        <w:pBdr>
          <w:top w:val="nil"/>
          <w:left w:val="nil"/>
          <w:bottom w:val="nil"/>
          <w:right w:val="nil"/>
          <w:between w:val="nil"/>
        </w:pBdr>
        <w:jc w:val="both"/>
        <w:rPr>
          <w:rFonts w:ascii="Arial" w:eastAsia="Arial" w:hAnsi="Arial" w:cs="Arial"/>
          <w:color w:val="000000"/>
        </w:rPr>
      </w:pPr>
      <w:r>
        <w:rPr>
          <w:rFonts w:ascii="Arial" w:eastAsia="Arial" w:hAnsi="Arial" w:cs="Arial"/>
          <w:color w:val="000000"/>
          <w:highlight w:val="white"/>
        </w:rPr>
        <w:tab/>
      </w:r>
      <w:r>
        <w:rPr>
          <w:rFonts w:ascii="Arial" w:eastAsia="Arial" w:hAnsi="Arial" w:cs="Arial"/>
          <w:color w:val="000000"/>
          <w:lang w:val="en-PH"/>
        </w:rPr>
        <w:t>Th</w:t>
      </w:r>
      <w:r>
        <w:rPr>
          <w:rFonts w:ascii="Arial" w:eastAsia="Arial" w:hAnsi="Arial" w:cs="Arial"/>
          <w:color w:val="000000"/>
          <w:lang w:val="en-PH"/>
        </w:rPr>
        <w:t xml:space="preserve">is investigated the effectiveness of the Total Physical Response (TPR) method in enhancing vocabulary among Grade 1 learners through a one-group pre-test–post-test experimental design. A total of fifteen (15) Grade 1 learners from Judge Ernesto </w:t>
      </w:r>
      <w:proofErr w:type="spellStart"/>
      <w:r>
        <w:rPr>
          <w:rFonts w:ascii="Arial" w:eastAsia="Arial" w:hAnsi="Arial" w:cs="Arial"/>
          <w:color w:val="000000"/>
          <w:lang w:val="en-PH"/>
        </w:rPr>
        <w:t>Nombrado</w:t>
      </w:r>
      <w:proofErr w:type="spellEnd"/>
      <w:r>
        <w:rPr>
          <w:rFonts w:ascii="Arial" w:eastAsia="Arial" w:hAnsi="Arial" w:cs="Arial"/>
          <w:color w:val="000000"/>
          <w:lang w:val="en-PH"/>
        </w:rPr>
        <w:t xml:space="preserve"> Me</w:t>
      </w:r>
      <w:r>
        <w:rPr>
          <w:rFonts w:ascii="Arial" w:eastAsia="Arial" w:hAnsi="Arial" w:cs="Arial"/>
          <w:color w:val="000000"/>
          <w:lang w:val="en-PH"/>
        </w:rPr>
        <w:t>morial School served as the research respondents. The respondents were selected based on their enrollment status, developmental appropriateness for TPR activities, and availability throughout the study duration. Only students who completed both the pre-tes</w:t>
      </w:r>
      <w:r>
        <w:rPr>
          <w:rFonts w:ascii="Arial" w:eastAsia="Arial" w:hAnsi="Arial" w:cs="Arial"/>
          <w:color w:val="000000"/>
          <w:lang w:val="en-PH"/>
        </w:rPr>
        <w:t>t and post-test were included in the final analysis. To maintain the reliability of the results, those who were absent during the post-test were excluded. Parental or guardian consent was obtained for all participants in adherence with ethical research sta</w:t>
      </w:r>
      <w:r>
        <w:rPr>
          <w:rFonts w:ascii="Arial" w:eastAsia="Arial" w:hAnsi="Arial" w:cs="Arial"/>
          <w:color w:val="000000"/>
          <w:lang w:val="en-PH"/>
        </w:rPr>
        <w:t>ndards for studies involving minors.</w:t>
      </w:r>
      <w:r>
        <w:rPr>
          <w:rFonts w:ascii="Arial" w:eastAsia="Arial" w:hAnsi="Arial" w:cs="Arial"/>
          <w:color w:val="000000"/>
        </w:rPr>
        <w:t xml:space="preserve"> </w:t>
      </w:r>
    </w:p>
    <w:p w14:paraId="02331000" w14:textId="77777777" w:rsidR="00604C7C" w:rsidRDefault="00604C7C">
      <w:pPr>
        <w:pBdr>
          <w:top w:val="nil"/>
          <w:left w:val="nil"/>
          <w:bottom w:val="nil"/>
          <w:right w:val="nil"/>
          <w:between w:val="nil"/>
        </w:pBdr>
        <w:jc w:val="both"/>
        <w:rPr>
          <w:rFonts w:ascii="Arial" w:eastAsia="Arial" w:hAnsi="Arial" w:cs="Arial"/>
          <w:b/>
          <w:color w:val="000000"/>
          <w:highlight w:val="white"/>
        </w:rPr>
      </w:pPr>
    </w:p>
    <w:p w14:paraId="7BF976F6" w14:textId="77777777" w:rsidR="00604C7C" w:rsidRDefault="003F5CB5">
      <w:pPr>
        <w:pBdr>
          <w:top w:val="nil"/>
          <w:left w:val="nil"/>
          <w:bottom w:val="nil"/>
          <w:right w:val="nil"/>
          <w:between w:val="nil"/>
        </w:pBdr>
        <w:jc w:val="both"/>
        <w:rPr>
          <w:rFonts w:ascii="Arial" w:eastAsia="Arial" w:hAnsi="Arial" w:cs="Arial"/>
          <w:b/>
          <w:color w:val="000000"/>
          <w:highlight w:val="white"/>
        </w:rPr>
      </w:pPr>
      <w:r>
        <w:rPr>
          <w:rFonts w:ascii="Arial" w:eastAsia="Arial" w:hAnsi="Arial" w:cs="Arial"/>
          <w:b/>
          <w:color w:val="000000"/>
          <w:highlight w:val="white"/>
        </w:rPr>
        <w:t>Data Gathering</w:t>
      </w:r>
    </w:p>
    <w:p w14:paraId="2C55A698" w14:textId="77777777" w:rsidR="00604C7C" w:rsidRDefault="00604C7C">
      <w:pPr>
        <w:pBdr>
          <w:top w:val="nil"/>
          <w:left w:val="nil"/>
          <w:bottom w:val="nil"/>
          <w:right w:val="nil"/>
          <w:between w:val="nil"/>
        </w:pBdr>
        <w:jc w:val="both"/>
        <w:rPr>
          <w:rFonts w:ascii="Arial" w:eastAsia="Arial" w:hAnsi="Arial" w:cs="Arial"/>
          <w:color w:val="000000"/>
          <w:highlight w:val="white"/>
        </w:rPr>
      </w:pPr>
    </w:p>
    <w:p w14:paraId="6CE4DCEC" w14:textId="77777777" w:rsidR="00604C7C" w:rsidRDefault="003F5CB5">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researchers followed the following procedures in conducting the research action:</w:t>
      </w:r>
    </w:p>
    <w:p w14:paraId="22FC436C" w14:textId="77777777" w:rsidR="00604C7C" w:rsidRDefault="003F5CB5">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Obtaining Research Ethical Clearance.</w:t>
      </w:r>
      <w:r>
        <w:rPr>
          <w:rFonts w:ascii="Arial" w:eastAsia="Arial" w:hAnsi="Arial" w:cs="Arial"/>
          <w:color w:val="000000"/>
        </w:rPr>
        <w:t xml:space="preserve"> The first step in the data-gathering process was to secure ethical clearance from the UREB. This involved submitting a research proposal that outlined the study's goals, methods, and how participant confidentiality would be protected. The UREB reviewed th</w:t>
      </w:r>
      <w:r>
        <w:rPr>
          <w:rFonts w:ascii="Arial" w:eastAsia="Arial" w:hAnsi="Arial" w:cs="Arial"/>
          <w:color w:val="000000"/>
        </w:rPr>
        <w:t>e proposal to ensure it met ethical standards. Once approved, any feedback was addressed, allowing the research to proceed with the necessary ethical safeguards in place.</w:t>
      </w:r>
    </w:p>
    <w:p w14:paraId="42B3391C" w14:textId="77777777" w:rsidR="00604C7C" w:rsidRDefault="003F5CB5">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Content Validity of Questionnaires.</w:t>
      </w:r>
      <w:r>
        <w:rPr>
          <w:rFonts w:ascii="Arial" w:eastAsia="Arial" w:hAnsi="Arial" w:cs="Arial"/>
          <w:color w:val="000000"/>
          <w:lang w:val="en-PH"/>
        </w:rPr>
        <w:t xml:space="preserve"> The vocabulary test underwent expert review by th</w:t>
      </w:r>
      <w:r>
        <w:rPr>
          <w:rFonts w:ascii="Arial" w:eastAsia="Arial" w:hAnsi="Arial" w:cs="Arial"/>
          <w:color w:val="000000"/>
          <w:lang w:val="en-PH"/>
        </w:rPr>
        <w:t>ree specialists in early childhood education using a standardized evaluation tool. Their assessments yielded an Aiken’s V coefficient of 0.91, which signifies excellent content validity, confirming that the test was clear, relevant, and well-aligned with t</w:t>
      </w:r>
      <w:r>
        <w:rPr>
          <w:rFonts w:ascii="Arial" w:eastAsia="Arial" w:hAnsi="Arial" w:cs="Arial"/>
          <w:color w:val="000000"/>
          <w:lang w:val="en-PH"/>
        </w:rPr>
        <w:t>he DepEd learning competency: “Give the meaning of words through clues.”</w:t>
      </w:r>
    </w:p>
    <w:p w14:paraId="70A2CDD2" w14:textId="77777777" w:rsidR="00604C7C" w:rsidRDefault="003F5CB5">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Pilot Testing to Test Reliability. </w:t>
      </w:r>
      <w:r>
        <w:rPr>
          <w:rFonts w:ascii="Arial" w:eastAsia="Arial" w:hAnsi="Arial" w:cs="Arial"/>
          <w:color w:val="000000"/>
          <w:lang w:val="en-PH"/>
        </w:rPr>
        <w:t>To ensure the reliability of the vocabulary test, a pilot test was conducted at Sta. Filomena Elementary School with a comparable group of Grade 1 l</w:t>
      </w:r>
      <w:r>
        <w:rPr>
          <w:rFonts w:ascii="Arial" w:eastAsia="Arial" w:hAnsi="Arial" w:cs="Arial"/>
          <w:color w:val="000000"/>
          <w:lang w:val="en-PH"/>
        </w:rPr>
        <w:t>earners. The analysis of learners’ responses produced a Cronbach’s alpha of 0.776, indicating an acceptable level of internal consistency for an instrument used with early primary-level students.</w:t>
      </w:r>
    </w:p>
    <w:p w14:paraId="30BEEBA6" w14:textId="77777777" w:rsidR="00604C7C" w:rsidRDefault="003F5CB5">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Asking Permission from the Parents.</w:t>
      </w:r>
      <w:r>
        <w:rPr>
          <w:rFonts w:ascii="Arial" w:eastAsia="Arial" w:hAnsi="Arial" w:cs="Arial"/>
          <w:color w:val="000000"/>
        </w:rPr>
        <w:t xml:space="preserve"> Recognizing the ethical </w:t>
      </w:r>
      <w:r>
        <w:rPr>
          <w:rFonts w:ascii="Arial" w:eastAsia="Arial" w:hAnsi="Arial" w:cs="Arial"/>
          <w:color w:val="000000"/>
        </w:rPr>
        <w:t xml:space="preserve">considerations involved in research with minors, the researchers obtained informed consent from the </w:t>
      </w:r>
      <w:r>
        <w:rPr>
          <w:rFonts w:ascii="Arial" w:eastAsia="Arial" w:hAnsi="Arial" w:cs="Arial"/>
          <w:color w:val="000000"/>
        </w:rPr>
        <w:lastRenderedPageBreak/>
        <w:t>parents or legal guardians of all participants. The purpose, procedures, and voluntary nature of the study were communicated, along with assurances of confi</w:t>
      </w:r>
      <w:r>
        <w:rPr>
          <w:rFonts w:ascii="Arial" w:eastAsia="Arial" w:hAnsi="Arial" w:cs="Arial"/>
          <w:color w:val="000000"/>
        </w:rPr>
        <w:t>dentiality and the participant's right to withdraw at any time.</w:t>
      </w:r>
    </w:p>
    <w:p w14:paraId="27630A9C" w14:textId="77777777" w:rsidR="00604C7C" w:rsidRDefault="003F5CB5">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Administering of Pre-test Questionnaires.</w:t>
      </w:r>
      <w:r>
        <w:rPr>
          <w:rFonts w:ascii="Arial" w:eastAsia="Arial" w:hAnsi="Arial" w:cs="Arial"/>
          <w:color w:val="000000"/>
          <w:lang w:val="en-PH"/>
        </w:rPr>
        <w:t xml:space="preserve"> The researchers administered the pre-test questionnaires to the students to assess their baseline vocabulary knowledge related to the stated objective</w:t>
      </w:r>
      <w:r>
        <w:rPr>
          <w:rFonts w:ascii="Arial" w:eastAsia="Arial" w:hAnsi="Arial" w:cs="Arial"/>
          <w:color w:val="000000"/>
          <w:lang w:val="en-PH"/>
        </w:rPr>
        <w:t>s. This pre-test served as an initial evaluation to preview the upcoming activities and identify areas where the students needed to focus their learning.</w:t>
      </w:r>
    </w:p>
    <w:p w14:paraId="1D9ACB34" w14:textId="77777777" w:rsidR="00604C7C" w:rsidRDefault="003F5CB5">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Retrieving the Pre-test Questionnaire. </w:t>
      </w:r>
      <w:r>
        <w:rPr>
          <w:rFonts w:ascii="Arial" w:eastAsia="Arial" w:hAnsi="Arial" w:cs="Arial"/>
          <w:color w:val="000000"/>
          <w:lang w:val="en-PH"/>
        </w:rPr>
        <w:t xml:space="preserve">After the learners completed the pre-test </w:t>
      </w:r>
      <w:r>
        <w:rPr>
          <w:rFonts w:ascii="Arial" w:eastAsia="Arial" w:hAnsi="Arial" w:cs="Arial"/>
          <w:color w:val="000000"/>
          <w:lang w:val="en-PH"/>
        </w:rPr>
        <w:t>administered by the researchers, the questionnaires were collected. The data gathered from the pre-test were then tallied, encoded, analyzed, and interpreted.</w:t>
      </w:r>
    </w:p>
    <w:p w14:paraId="56725D23" w14:textId="77777777" w:rsidR="00604C7C" w:rsidRDefault="003F5CB5">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Conducting the Intervention. </w:t>
      </w:r>
      <w:r>
        <w:rPr>
          <w:rFonts w:ascii="Arial" w:eastAsia="Arial" w:hAnsi="Arial" w:cs="Arial"/>
          <w:color w:val="000000"/>
          <w:lang w:val="en-PH"/>
        </w:rPr>
        <w:t>The research was conducted personally, and the respondents were able</w:t>
      </w:r>
      <w:r>
        <w:rPr>
          <w:rFonts w:ascii="Arial" w:eastAsia="Arial" w:hAnsi="Arial" w:cs="Arial"/>
          <w:color w:val="000000"/>
          <w:lang w:val="en-PH"/>
        </w:rPr>
        <w:t xml:space="preserve"> to participate in the activities. Before the proper course of action, the researchers first introduced themselves and explained the rationale of the activity, which included vocabulary activities using the TPR method. This explanation ensured that the par</w:t>
      </w:r>
      <w:r>
        <w:rPr>
          <w:rFonts w:ascii="Arial" w:eastAsia="Arial" w:hAnsi="Arial" w:cs="Arial"/>
          <w:color w:val="000000"/>
          <w:lang w:val="en-PH"/>
        </w:rPr>
        <w:t>ticipants could follow through smoothly.</w:t>
      </w:r>
    </w:p>
    <w:p w14:paraId="7C6BD9FC" w14:textId="77777777" w:rsidR="00604C7C" w:rsidRDefault="003F5CB5">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Administering of Post-test questionnaire.  </w:t>
      </w:r>
      <w:r>
        <w:rPr>
          <w:rFonts w:ascii="Arial" w:eastAsia="Arial" w:hAnsi="Arial" w:cs="Arial"/>
          <w:color w:val="000000"/>
          <w:lang w:val="en-PH"/>
        </w:rPr>
        <w:t>After completing the series of TPR-based instructional sessions, a post-test was administered using the same validated vocabulary instrument. This post-intervention assessm</w:t>
      </w:r>
      <w:r>
        <w:rPr>
          <w:rFonts w:ascii="Arial" w:eastAsia="Arial" w:hAnsi="Arial" w:cs="Arial"/>
          <w:color w:val="000000"/>
          <w:lang w:val="en-PH"/>
        </w:rPr>
        <w:t>ent measured any improvement in learners' vocabulary performance, allowing the researcher to evaluate the effectiveness of the TPR method. Only learners who completed both the pre-test and post-test were included in the final analysis to ensure data integr</w:t>
      </w:r>
      <w:r>
        <w:rPr>
          <w:rFonts w:ascii="Arial" w:eastAsia="Arial" w:hAnsi="Arial" w:cs="Arial"/>
          <w:color w:val="000000"/>
          <w:lang w:val="en-PH"/>
        </w:rPr>
        <w:t>ity and accuracy.</w:t>
      </w:r>
    </w:p>
    <w:p w14:paraId="50968352" w14:textId="77777777" w:rsidR="00604C7C" w:rsidRDefault="003F5CB5">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Retrieving Post-test Questionnaire.</w:t>
      </w:r>
      <w:r>
        <w:rPr>
          <w:rFonts w:ascii="Arial" w:eastAsia="Arial" w:hAnsi="Arial" w:cs="Arial"/>
          <w:color w:val="000000"/>
          <w:lang w:val="en-PH"/>
        </w:rPr>
        <w:t xml:space="preserve"> After the learners completed the post-test, the questionnaires were collected. The post-test data were tallied, encoded, analyzed, and interpreted. As for the administration of the pre-test and post-tes</w:t>
      </w:r>
      <w:r>
        <w:rPr>
          <w:rFonts w:ascii="Arial" w:eastAsia="Arial" w:hAnsi="Arial" w:cs="Arial"/>
          <w:color w:val="000000"/>
          <w:lang w:val="en-PH"/>
        </w:rPr>
        <w:t>t, they were conducted for at least forty-five (45) minutes to one (1) hour and were administered during the allocated time for their reading habit.</w:t>
      </w:r>
    </w:p>
    <w:p w14:paraId="3938B47C" w14:textId="77777777" w:rsidR="00604C7C" w:rsidRDefault="00604C7C">
      <w:pPr>
        <w:keepNext/>
        <w:pBdr>
          <w:top w:val="nil"/>
          <w:left w:val="nil"/>
          <w:bottom w:val="nil"/>
          <w:right w:val="nil"/>
          <w:between w:val="nil"/>
        </w:pBdr>
        <w:ind w:left="720"/>
        <w:jc w:val="both"/>
        <w:rPr>
          <w:rFonts w:ascii="Arial" w:eastAsia="Arial" w:hAnsi="Arial" w:cs="Arial"/>
          <w:b/>
          <w:bCs/>
          <w:color w:val="000000"/>
          <w:lang w:val="en-PH"/>
        </w:rPr>
      </w:pPr>
    </w:p>
    <w:p w14:paraId="4F70CEC4" w14:textId="77777777" w:rsidR="00604C7C" w:rsidRDefault="003F5CB5">
      <w:pPr>
        <w:pStyle w:val="ListParagraph"/>
        <w:keepNext/>
        <w:numPr>
          <w:ilvl w:val="0"/>
          <w:numId w:val="40"/>
        </w:numPr>
        <w:pBdr>
          <w:top w:val="nil"/>
          <w:left w:val="nil"/>
          <w:bottom w:val="nil"/>
          <w:right w:val="nil"/>
          <w:between w:val="nil"/>
        </w:pBdr>
        <w:ind w:left="360"/>
        <w:jc w:val="both"/>
        <w:rPr>
          <w:rFonts w:ascii="Arial" w:eastAsia="Arial" w:hAnsi="Arial" w:cs="Arial"/>
          <w:b/>
          <w:bCs/>
          <w:color w:val="000000"/>
          <w:sz w:val="22"/>
          <w:szCs w:val="22"/>
        </w:rPr>
      </w:pPr>
      <w:r>
        <w:rPr>
          <w:rFonts w:ascii="Arial" w:eastAsia="Arial" w:hAnsi="Arial" w:cs="Arial"/>
          <w:b/>
          <w:bCs/>
          <w:color w:val="000000"/>
          <w:sz w:val="22"/>
          <w:szCs w:val="22"/>
        </w:rPr>
        <w:t>RESULTS AND DISCUSSION</w:t>
      </w:r>
    </w:p>
    <w:p w14:paraId="35B90740" w14:textId="77777777" w:rsidR="00604C7C" w:rsidRDefault="00604C7C">
      <w:pPr>
        <w:pStyle w:val="ListParagraph"/>
        <w:keepNext/>
        <w:pBdr>
          <w:top w:val="nil"/>
          <w:left w:val="nil"/>
          <w:bottom w:val="nil"/>
          <w:right w:val="nil"/>
          <w:between w:val="nil"/>
        </w:pBdr>
        <w:ind w:left="360"/>
        <w:jc w:val="both"/>
        <w:rPr>
          <w:rFonts w:ascii="Arial" w:eastAsia="Arial" w:hAnsi="Arial" w:cs="Arial"/>
          <w:b/>
          <w:bCs/>
          <w:color w:val="000000"/>
          <w:sz w:val="22"/>
          <w:szCs w:val="22"/>
        </w:rPr>
      </w:pPr>
    </w:p>
    <w:p w14:paraId="1657F81F" w14:textId="77777777" w:rsidR="00604C7C" w:rsidRDefault="003F5CB5">
      <w:pPr>
        <w:pStyle w:val="ListParagraph"/>
        <w:keepNext/>
        <w:pBdr>
          <w:top w:val="nil"/>
          <w:left w:val="nil"/>
          <w:bottom w:val="nil"/>
          <w:right w:val="nil"/>
          <w:between w:val="nil"/>
        </w:pBdr>
        <w:ind w:left="0"/>
        <w:rPr>
          <w:rFonts w:ascii="Arial" w:eastAsia="Arial" w:hAnsi="Arial" w:cs="Arial"/>
          <w:b/>
          <w:bCs/>
          <w:color w:val="000000"/>
        </w:rPr>
      </w:pPr>
      <w:r>
        <w:rPr>
          <w:rFonts w:ascii="Arial" w:eastAsia="Arial" w:hAnsi="Arial" w:cs="Arial"/>
          <w:b/>
          <w:bCs/>
          <w:color w:val="000000"/>
        </w:rPr>
        <w:t>Level Of Pre-Test Scores</w:t>
      </w:r>
    </w:p>
    <w:p w14:paraId="47D676E2" w14:textId="77777777" w:rsidR="00604C7C" w:rsidRDefault="003F5CB5">
      <w:pPr>
        <w:pStyle w:val="Body"/>
        <w:spacing w:after="0"/>
        <w:ind w:firstLine="720"/>
        <w:rPr>
          <w:rFonts w:ascii="Arial" w:hAnsi="Arial" w:cs="Arial"/>
        </w:rPr>
      </w:pPr>
      <w:r>
        <w:rPr>
          <w:rFonts w:ascii="Arial" w:hAnsi="Arial" w:cs="Arial"/>
        </w:rPr>
        <w:t xml:space="preserve">Table 1 presents the results of the pre-test </w:t>
      </w:r>
      <w:r>
        <w:rPr>
          <w:rFonts w:ascii="Arial" w:hAnsi="Arial" w:cs="Arial"/>
        </w:rPr>
        <w:t>scores. The learners obtained a mean score of 6.87 out of a total possible score of 15, with a standard deviation of 1.77. Based on the Department of Education's K to 12 transmutation guidelines, this score corresponds to a transmuted grade of 71, which fa</w:t>
      </w:r>
      <w:r>
        <w:rPr>
          <w:rFonts w:ascii="Arial" w:hAnsi="Arial" w:cs="Arial"/>
        </w:rPr>
        <w:t>lls under the interpretation "Did Not Meet Expectations." This outcome suggests that, prior to the intervention, the learners exhibited limited vocabulary proficiency, indicating difficulty in identifying word meanings.</w:t>
      </w:r>
    </w:p>
    <w:p w14:paraId="099B89BB" w14:textId="77777777" w:rsidR="00604C7C" w:rsidRDefault="003F5CB5">
      <w:pPr>
        <w:pStyle w:val="Body"/>
        <w:spacing w:after="0"/>
        <w:ind w:firstLine="720"/>
        <w:rPr>
          <w:rFonts w:ascii="Arial" w:hAnsi="Arial" w:cs="Arial"/>
        </w:rPr>
      </w:pPr>
      <w:r>
        <w:rPr>
          <w:rFonts w:ascii="Arial" w:hAnsi="Arial" w:cs="Arial"/>
        </w:rPr>
        <w:t xml:space="preserve">This observation is supported by </w:t>
      </w:r>
      <w:proofErr w:type="spellStart"/>
      <w:r>
        <w:rPr>
          <w:rFonts w:ascii="Arial" w:hAnsi="Arial" w:cs="Arial"/>
        </w:rPr>
        <w:t>Moh</w:t>
      </w:r>
      <w:r>
        <w:rPr>
          <w:rFonts w:ascii="Arial" w:hAnsi="Arial" w:cs="Arial"/>
        </w:rPr>
        <w:t>d</w:t>
      </w:r>
      <w:proofErr w:type="spellEnd"/>
      <w:r>
        <w:rPr>
          <w:rFonts w:ascii="Arial" w:hAnsi="Arial" w:cs="Arial"/>
        </w:rPr>
        <w:t xml:space="preserve"> Tahir et al. (2020), who emphasized that such challenges often arise when learners are not equipped with strategies that facilitate deep vocabulary processing, making it harder for them to internalize and recall word meanings. Furthermore, Palermo (2024)</w:t>
      </w:r>
      <w:r>
        <w:rPr>
          <w:rFonts w:ascii="Arial" w:hAnsi="Arial" w:cs="Arial"/>
        </w:rPr>
        <w:t xml:space="preserve"> emphasized that limited exposure to vocabulary, both in and out of the classroom, hinders learners from fully grasping the use and meaning of new words. Supporting this, </w:t>
      </w:r>
      <w:proofErr w:type="spellStart"/>
      <w:r>
        <w:rPr>
          <w:rFonts w:ascii="Arial" w:hAnsi="Arial" w:cs="Arial"/>
        </w:rPr>
        <w:t>Hibatullah</w:t>
      </w:r>
      <w:proofErr w:type="spellEnd"/>
      <w:r>
        <w:rPr>
          <w:rFonts w:ascii="Arial" w:hAnsi="Arial" w:cs="Arial"/>
        </w:rPr>
        <w:t xml:space="preserve"> (2019) noted that insufficient language exposure in early educational envi</w:t>
      </w:r>
      <w:r>
        <w:rPr>
          <w:rFonts w:ascii="Arial" w:hAnsi="Arial" w:cs="Arial"/>
        </w:rPr>
        <w:t>ronments significantly contributes to young learners' difficulties in recognizing and understanding vocabulary. These observations confirm the pre-test results and underscore the importance of adopting methods that foster meaningful engagement with languag</w:t>
      </w:r>
      <w:r>
        <w:rPr>
          <w:rFonts w:ascii="Arial" w:hAnsi="Arial" w:cs="Arial"/>
        </w:rPr>
        <w:t>e.</w:t>
      </w:r>
    </w:p>
    <w:p w14:paraId="2EFF854E" w14:textId="77777777" w:rsidR="00604C7C" w:rsidRDefault="003F5CB5">
      <w:pPr>
        <w:pStyle w:val="Body"/>
        <w:spacing w:after="0"/>
        <w:ind w:firstLine="720"/>
        <w:rPr>
          <w:rFonts w:ascii="Arial" w:hAnsi="Arial" w:cs="Arial"/>
        </w:rPr>
      </w:pPr>
      <w:r>
        <w:rPr>
          <w:rFonts w:ascii="Arial" w:hAnsi="Arial" w:cs="Arial"/>
        </w:rPr>
        <w:t xml:space="preserve">Moreover, these findings are consistent with Palermo’s (2024) assertion that early-grade learners require rich and meaningful exposure to vocabulary for successful acquisition. The limited pre-test performance may reflect the continued reliance on rote </w:t>
      </w:r>
      <w:r>
        <w:rPr>
          <w:rFonts w:ascii="Arial" w:hAnsi="Arial" w:cs="Arial"/>
        </w:rPr>
        <w:t xml:space="preserve">memorization and passive instructional approaches, which </w:t>
      </w:r>
      <w:proofErr w:type="spellStart"/>
      <w:r>
        <w:rPr>
          <w:rFonts w:ascii="Arial" w:hAnsi="Arial" w:cs="Arial"/>
        </w:rPr>
        <w:t>Zoch</w:t>
      </w:r>
      <w:proofErr w:type="spellEnd"/>
      <w:r>
        <w:rPr>
          <w:rFonts w:ascii="Arial" w:hAnsi="Arial" w:cs="Arial"/>
        </w:rPr>
        <w:t xml:space="preserve"> (2017) criticized for failing to support students in retaining or applying new vocabulary in a meaningful </w:t>
      </w:r>
      <w:proofErr w:type="spellStart"/>
      <w:r>
        <w:rPr>
          <w:rFonts w:ascii="Arial" w:hAnsi="Arial" w:cs="Arial"/>
        </w:rPr>
        <w:t>way.d</w:t>
      </w:r>
      <w:proofErr w:type="spellEnd"/>
      <w:r>
        <w:rPr>
          <w:rFonts w:ascii="Arial" w:hAnsi="Arial" w:cs="Arial"/>
        </w:rPr>
        <w:t xml:space="preserve"> be placed below the table with superscript lowercase letters. Sample table format </w:t>
      </w:r>
      <w:r>
        <w:rPr>
          <w:rFonts w:ascii="Arial" w:hAnsi="Arial" w:cs="Arial"/>
        </w:rPr>
        <w:t xml:space="preserve">is given below. </w:t>
      </w:r>
    </w:p>
    <w:p w14:paraId="1BA9C7EC" w14:textId="77777777" w:rsidR="00604C7C" w:rsidRDefault="00604C7C">
      <w:pPr>
        <w:pStyle w:val="Body"/>
        <w:spacing w:after="0"/>
        <w:rPr>
          <w:rFonts w:ascii="Arial" w:hAnsi="Arial" w:cs="Arial"/>
        </w:rPr>
      </w:pPr>
    </w:p>
    <w:p w14:paraId="5B676041" w14:textId="77777777" w:rsidR="00604C7C" w:rsidRDefault="003F5CB5">
      <w:pPr>
        <w:tabs>
          <w:tab w:val="left" w:pos="1080"/>
        </w:tabs>
        <w:jc w:val="both"/>
        <w:rPr>
          <w:rFonts w:ascii="Arial" w:hAnsi="Arial"/>
          <w:bCs/>
        </w:rPr>
      </w:pPr>
      <w:r>
        <w:rPr>
          <w:rFonts w:ascii="Arial" w:hAnsi="Arial"/>
          <w:bCs/>
        </w:rPr>
        <w:t>Table 1. Level of Pre-test Scores</w:t>
      </w:r>
    </w:p>
    <w:tbl>
      <w:tblPr>
        <w:tblW w:w="7905" w:type="dxa"/>
        <w:tblInd w:w="311" w:type="dxa"/>
        <w:tblBorders>
          <w:top w:val="nil"/>
          <w:left w:val="nil"/>
          <w:bottom w:val="nil"/>
          <w:right w:val="nil"/>
          <w:insideH w:val="nil"/>
          <w:insideV w:val="nil"/>
        </w:tblBorders>
        <w:tblLayout w:type="fixed"/>
        <w:tblLook w:val="0400" w:firstRow="0" w:lastRow="0" w:firstColumn="0" w:lastColumn="0" w:noHBand="0" w:noVBand="1"/>
      </w:tblPr>
      <w:tblGrid>
        <w:gridCol w:w="1278"/>
        <w:gridCol w:w="780"/>
        <w:gridCol w:w="771"/>
        <w:gridCol w:w="1132"/>
        <w:gridCol w:w="1457"/>
        <w:gridCol w:w="2487"/>
      </w:tblGrid>
      <w:tr w:rsidR="00604C7C" w14:paraId="552DE1AF" w14:textId="77777777">
        <w:trPr>
          <w:trHeight w:val="348"/>
        </w:trPr>
        <w:tc>
          <w:tcPr>
            <w:tcW w:w="1278" w:type="dxa"/>
            <w:tcBorders>
              <w:top w:val="single" w:sz="18" w:space="0" w:color="000000"/>
              <w:bottom w:val="single" w:sz="4" w:space="0" w:color="000000"/>
            </w:tcBorders>
          </w:tcPr>
          <w:p w14:paraId="27E48E4F" w14:textId="77777777" w:rsidR="00604C7C" w:rsidRDefault="003F5CB5">
            <w:pPr>
              <w:jc w:val="center"/>
              <w:rPr>
                <w:rFonts w:ascii="Arial" w:eastAsia="Arial" w:hAnsi="Arial" w:cs="Arial"/>
                <w:b/>
              </w:rPr>
            </w:pPr>
            <w:r>
              <w:rPr>
                <w:rFonts w:ascii="Arial" w:eastAsia="Arial" w:hAnsi="Arial" w:cs="Arial"/>
                <w:b/>
              </w:rPr>
              <w:t>Variable</w:t>
            </w:r>
          </w:p>
        </w:tc>
        <w:tc>
          <w:tcPr>
            <w:tcW w:w="780" w:type="dxa"/>
            <w:tcBorders>
              <w:top w:val="single" w:sz="18" w:space="0" w:color="000000"/>
              <w:bottom w:val="single" w:sz="4" w:space="0" w:color="000000"/>
            </w:tcBorders>
          </w:tcPr>
          <w:p w14:paraId="0634275F" w14:textId="77777777" w:rsidR="00604C7C" w:rsidRDefault="003F5CB5">
            <w:pPr>
              <w:jc w:val="center"/>
              <w:rPr>
                <w:rFonts w:ascii="Arial" w:eastAsia="Arial" w:hAnsi="Arial" w:cs="Arial"/>
                <w:b/>
              </w:rPr>
            </w:pPr>
            <w:r>
              <w:rPr>
                <w:rFonts w:ascii="Arial" w:eastAsia="Arial" w:hAnsi="Arial" w:cs="Arial"/>
                <w:b/>
              </w:rPr>
              <w:t>Total Score</w:t>
            </w:r>
          </w:p>
        </w:tc>
        <w:tc>
          <w:tcPr>
            <w:tcW w:w="771" w:type="dxa"/>
            <w:tcBorders>
              <w:top w:val="single" w:sz="18" w:space="0" w:color="000000"/>
              <w:bottom w:val="single" w:sz="4" w:space="0" w:color="000000"/>
            </w:tcBorders>
          </w:tcPr>
          <w:p w14:paraId="19D7239B" w14:textId="77777777" w:rsidR="00604C7C" w:rsidRDefault="003F5CB5">
            <w:pPr>
              <w:jc w:val="center"/>
              <w:rPr>
                <w:rFonts w:ascii="Arial" w:eastAsia="Arial" w:hAnsi="Arial" w:cs="Arial"/>
                <w:b/>
              </w:rPr>
            </w:pPr>
            <w:r>
              <w:rPr>
                <w:rFonts w:ascii="Arial" w:eastAsia="Arial" w:hAnsi="Arial" w:cs="Arial"/>
                <w:b/>
              </w:rPr>
              <w:t>Mean</w:t>
            </w:r>
          </w:p>
        </w:tc>
        <w:tc>
          <w:tcPr>
            <w:tcW w:w="1132" w:type="dxa"/>
            <w:tcBorders>
              <w:top w:val="single" w:sz="18" w:space="0" w:color="000000"/>
              <w:bottom w:val="single" w:sz="4" w:space="0" w:color="000000"/>
            </w:tcBorders>
          </w:tcPr>
          <w:p w14:paraId="6D7DBEB5" w14:textId="77777777" w:rsidR="00604C7C" w:rsidRDefault="003F5CB5">
            <w:pPr>
              <w:jc w:val="center"/>
              <w:rPr>
                <w:rFonts w:ascii="Arial" w:eastAsia="Arial" w:hAnsi="Arial" w:cs="Arial"/>
                <w:b/>
              </w:rPr>
            </w:pPr>
            <w:r>
              <w:rPr>
                <w:rFonts w:ascii="Arial" w:eastAsia="Arial" w:hAnsi="Arial" w:cs="Arial"/>
                <w:b/>
              </w:rPr>
              <w:t>Std. Deviation</w:t>
            </w:r>
          </w:p>
        </w:tc>
        <w:tc>
          <w:tcPr>
            <w:tcW w:w="1457" w:type="dxa"/>
            <w:tcBorders>
              <w:top w:val="single" w:sz="18" w:space="0" w:color="000000"/>
              <w:bottom w:val="single" w:sz="4" w:space="0" w:color="000000"/>
            </w:tcBorders>
          </w:tcPr>
          <w:p w14:paraId="0C0A17F3" w14:textId="77777777" w:rsidR="00604C7C" w:rsidRDefault="003F5CB5">
            <w:pPr>
              <w:jc w:val="center"/>
              <w:rPr>
                <w:rFonts w:ascii="Arial" w:eastAsia="Arial" w:hAnsi="Arial" w:cs="Arial"/>
                <w:b/>
              </w:rPr>
            </w:pPr>
            <w:r>
              <w:rPr>
                <w:rFonts w:ascii="Arial" w:eastAsia="Arial" w:hAnsi="Arial" w:cs="Arial"/>
                <w:b/>
              </w:rPr>
              <w:t>Transmuted Grade</w:t>
            </w:r>
          </w:p>
        </w:tc>
        <w:tc>
          <w:tcPr>
            <w:tcW w:w="2487" w:type="dxa"/>
            <w:tcBorders>
              <w:top w:val="single" w:sz="18" w:space="0" w:color="000000"/>
              <w:bottom w:val="single" w:sz="4" w:space="0" w:color="000000"/>
            </w:tcBorders>
          </w:tcPr>
          <w:p w14:paraId="7A4571DB" w14:textId="77777777" w:rsidR="00604C7C" w:rsidRDefault="003F5CB5">
            <w:pPr>
              <w:jc w:val="center"/>
              <w:rPr>
                <w:rFonts w:ascii="Arial" w:eastAsia="Arial" w:hAnsi="Arial" w:cs="Arial"/>
                <w:b/>
              </w:rPr>
            </w:pPr>
            <w:r>
              <w:rPr>
                <w:rFonts w:ascii="Arial" w:eastAsia="Arial" w:hAnsi="Arial" w:cs="Arial"/>
                <w:b/>
              </w:rPr>
              <w:t>Interpretation</w:t>
            </w:r>
          </w:p>
        </w:tc>
      </w:tr>
      <w:tr w:rsidR="00604C7C" w14:paraId="007E78B7" w14:textId="77777777">
        <w:trPr>
          <w:trHeight w:val="348"/>
        </w:trPr>
        <w:tc>
          <w:tcPr>
            <w:tcW w:w="1278" w:type="dxa"/>
            <w:tcBorders>
              <w:top w:val="single" w:sz="4" w:space="0" w:color="000000"/>
              <w:bottom w:val="single" w:sz="18" w:space="0" w:color="000000"/>
            </w:tcBorders>
          </w:tcPr>
          <w:p w14:paraId="5C37CB9E" w14:textId="77777777" w:rsidR="00604C7C" w:rsidRDefault="003F5CB5">
            <w:pPr>
              <w:jc w:val="center"/>
              <w:rPr>
                <w:rFonts w:ascii="Arial" w:eastAsia="Arial" w:hAnsi="Arial" w:cs="Arial"/>
                <w:bCs/>
              </w:rPr>
            </w:pPr>
            <w:r>
              <w:rPr>
                <w:rFonts w:ascii="Arial" w:eastAsia="Arial" w:hAnsi="Arial" w:cs="Arial"/>
                <w:bCs/>
              </w:rPr>
              <w:t>Pre-test</w:t>
            </w:r>
          </w:p>
        </w:tc>
        <w:tc>
          <w:tcPr>
            <w:tcW w:w="780" w:type="dxa"/>
            <w:tcBorders>
              <w:top w:val="single" w:sz="4" w:space="0" w:color="000000"/>
              <w:bottom w:val="single" w:sz="18" w:space="0" w:color="000000"/>
            </w:tcBorders>
          </w:tcPr>
          <w:p w14:paraId="638B4C74" w14:textId="77777777" w:rsidR="00604C7C" w:rsidRDefault="003F5CB5">
            <w:pPr>
              <w:jc w:val="center"/>
              <w:rPr>
                <w:rFonts w:ascii="Arial" w:eastAsia="Arial" w:hAnsi="Arial" w:cs="Arial"/>
                <w:bCs/>
              </w:rPr>
            </w:pPr>
            <w:r>
              <w:rPr>
                <w:rFonts w:ascii="Arial" w:eastAsia="Arial" w:hAnsi="Arial" w:cs="Arial"/>
                <w:bCs/>
              </w:rPr>
              <w:t>15</w:t>
            </w:r>
          </w:p>
        </w:tc>
        <w:tc>
          <w:tcPr>
            <w:tcW w:w="771" w:type="dxa"/>
            <w:tcBorders>
              <w:top w:val="single" w:sz="4" w:space="0" w:color="000000"/>
              <w:bottom w:val="single" w:sz="18" w:space="0" w:color="000000"/>
            </w:tcBorders>
          </w:tcPr>
          <w:p w14:paraId="7200F918" w14:textId="77777777" w:rsidR="00604C7C" w:rsidRDefault="003F5CB5">
            <w:pPr>
              <w:jc w:val="center"/>
              <w:rPr>
                <w:rFonts w:ascii="Arial" w:eastAsia="Arial" w:hAnsi="Arial" w:cs="Arial"/>
                <w:bCs/>
              </w:rPr>
            </w:pPr>
            <w:r>
              <w:rPr>
                <w:rFonts w:ascii="Arial" w:eastAsia="Arial" w:hAnsi="Arial" w:cs="Arial"/>
                <w:bCs/>
              </w:rPr>
              <w:t>6.87</w:t>
            </w:r>
          </w:p>
        </w:tc>
        <w:tc>
          <w:tcPr>
            <w:tcW w:w="1132" w:type="dxa"/>
            <w:tcBorders>
              <w:top w:val="single" w:sz="4" w:space="0" w:color="000000"/>
              <w:bottom w:val="single" w:sz="18" w:space="0" w:color="000000"/>
            </w:tcBorders>
          </w:tcPr>
          <w:p w14:paraId="2A6110B2" w14:textId="77777777" w:rsidR="00604C7C" w:rsidRDefault="003F5CB5">
            <w:pPr>
              <w:jc w:val="center"/>
              <w:rPr>
                <w:rFonts w:ascii="Arial" w:eastAsia="Arial" w:hAnsi="Arial" w:cs="Arial"/>
                <w:bCs/>
              </w:rPr>
            </w:pPr>
            <w:r>
              <w:rPr>
                <w:rFonts w:ascii="Arial" w:eastAsia="Arial" w:hAnsi="Arial" w:cs="Arial"/>
                <w:bCs/>
              </w:rPr>
              <w:t>1.77</w:t>
            </w:r>
          </w:p>
        </w:tc>
        <w:tc>
          <w:tcPr>
            <w:tcW w:w="1457" w:type="dxa"/>
            <w:tcBorders>
              <w:top w:val="single" w:sz="4" w:space="0" w:color="000000"/>
              <w:bottom w:val="single" w:sz="18" w:space="0" w:color="000000"/>
            </w:tcBorders>
          </w:tcPr>
          <w:p w14:paraId="68CA439E" w14:textId="77777777" w:rsidR="00604C7C" w:rsidRDefault="003F5CB5">
            <w:pPr>
              <w:jc w:val="center"/>
              <w:rPr>
                <w:rFonts w:ascii="Arial" w:eastAsia="Arial" w:hAnsi="Arial" w:cs="Arial"/>
                <w:bCs/>
              </w:rPr>
            </w:pPr>
            <w:r>
              <w:rPr>
                <w:rFonts w:ascii="Arial" w:eastAsia="Arial" w:hAnsi="Arial" w:cs="Arial"/>
                <w:bCs/>
              </w:rPr>
              <w:t>71</w:t>
            </w:r>
          </w:p>
        </w:tc>
        <w:tc>
          <w:tcPr>
            <w:tcW w:w="2487" w:type="dxa"/>
            <w:tcBorders>
              <w:top w:val="single" w:sz="4" w:space="0" w:color="000000"/>
              <w:bottom w:val="single" w:sz="18" w:space="0" w:color="000000"/>
            </w:tcBorders>
          </w:tcPr>
          <w:p w14:paraId="32910520" w14:textId="77777777" w:rsidR="00604C7C" w:rsidRDefault="003F5CB5">
            <w:pPr>
              <w:jc w:val="center"/>
              <w:rPr>
                <w:rFonts w:ascii="Arial" w:eastAsia="Arial" w:hAnsi="Arial" w:cs="Arial"/>
                <w:bCs/>
              </w:rPr>
            </w:pPr>
            <w:r>
              <w:rPr>
                <w:rFonts w:ascii="Arial" w:eastAsia="Arial" w:hAnsi="Arial" w:cs="Arial"/>
                <w:bCs/>
              </w:rPr>
              <w:t>Did Not Meet Expectation</w:t>
            </w:r>
          </w:p>
        </w:tc>
      </w:tr>
    </w:tbl>
    <w:p w14:paraId="0EE9C107" w14:textId="77777777" w:rsidR="00604C7C" w:rsidRDefault="00604C7C">
      <w:pPr>
        <w:rPr>
          <w:rFonts w:ascii="Arial" w:hAnsi="Arial" w:cs="Arial"/>
          <w:b/>
          <w:bCs/>
          <w:sz w:val="24"/>
          <w:szCs w:val="24"/>
        </w:rPr>
      </w:pPr>
    </w:p>
    <w:p w14:paraId="389ED407" w14:textId="77777777" w:rsidR="00604C7C" w:rsidRDefault="003F5CB5">
      <w:pPr>
        <w:rPr>
          <w:rFonts w:ascii="Arial" w:hAnsi="Arial" w:cs="Arial"/>
          <w:b/>
          <w:bCs/>
        </w:rPr>
      </w:pPr>
      <w:r>
        <w:rPr>
          <w:rFonts w:ascii="Arial" w:hAnsi="Arial" w:cs="Arial"/>
          <w:b/>
          <w:bCs/>
        </w:rPr>
        <w:t>Levels of Post-test Scores</w:t>
      </w:r>
    </w:p>
    <w:p w14:paraId="4038F582" w14:textId="77777777" w:rsidR="00604C7C" w:rsidRDefault="003F5CB5">
      <w:pPr>
        <w:pStyle w:val="Body"/>
        <w:spacing w:after="0"/>
        <w:ind w:firstLine="720"/>
        <w:rPr>
          <w:rFonts w:ascii="Arial" w:hAnsi="Arial" w:cs="Arial"/>
          <w:lang w:val="en-PH"/>
        </w:rPr>
      </w:pPr>
      <w:r>
        <w:rPr>
          <w:rFonts w:ascii="Arial" w:hAnsi="Arial" w:cs="Arial"/>
          <w:lang w:val="en-PH"/>
        </w:rPr>
        <w:t xml:space="preserve">Table 2 presents the results of the </w:t>
      </w:r>
      <w:r>
        <w:rPr>
          <w:rFonts w:ascii="Arial" w:hAnsi="Arial" w:cs="Arial"/>
          <w:lang w:val="en-PH"/>
        </w:rPr>
        <w:t>post-test scores. The learners achieved a mean score of 12.53 out of 15 in the post-test, with a standard deviation of 2.00. When transmuted to the Department of Education’s K to 12 grading scale, this score corresponds to an 89, classified as “Very Satisf</w:t>
      </w:r>
      <w:r>
        <w:rPr>
          <w:rFonts w:ascii="Arial" w:hAnsi="Arial" w:cs="Arial"/>
          <w:lang w:val="en-PH"/>
        </w:rPr>
        <w:t>actory.” This result indicates a significant improvement in vocabulary acquisition following the implementation of the Total Physical Response (TPR) method.</w:t>
      </w:r>
    </w:p>
    <w:p w14:paraId="642F6007" w14:textId="77777777" w:rsidR="00604C7C" w:rsidRDefault="003F5CB5">
      <w:pPr>
        <w:pStyle w:val="Body"/>
        <w:spacing w:after="0"/>
        <w:ind w:firstLine="720"/>
        <w:rPr>
          <w:rFonts w:ascii="Arial" w:hAnsi="Arial" w:cs="Arial"/>
          <w:lang w:val="en-PH"/>
        </w:rPr>
      </w:pPr>
      <w:r>
        <w:rPr>
          <w:rFonts w:ascii="Arial" w:hAnsi="Arial" w:cs="Arial"/>
          <w:lang w:val="en-PH"/>
        </w:rPr>
        <w:t>This outcome is supported by numerous studies highlighting the effectiveness of TPR in fostering vo</w:t>
      </w:r>
      <w:r>
        <w:rPr>
          <w:rFonts w:ascii="Arial" w:hAnsi="Arial" w:cs="Arial"/>
          <w:lang w:val="en-PH"/>
        </w:rPr>
        <w:t xml:space="preserve">cabulary development through movement and multisensory engagement. Amalia Putri (2024) and Crandall (2022) emphasized that TPR is particularly suitable for young learners due to their strong kinesthetic learning preferences. When children physically enact </w:t>
      </w:r>
      <w:r>
        <w:rPr>
          <w:rFonts w:ascii="Arial" w:hAnsi="Arial" w:cs="Arial"/>
          <w:lang w:val="en-PH"/>
        </w:rPr>
        <w:t xml:space="preserve">the meaning of words, they build stronger memory associations, as demonstrated by </w:t>
      </w:r>
      <w:proofErr w:type="spellStart"/>
      <w:r>
        <w:rPr>
          <w:rFonts w:ascii="Arial" w:hAnsi="Arial" w:cs="Arial"/>
          <w:lang w:val="en-PH"/>
        </w:rPr>
        <w:t>Rambe</w:t>
      </w:r>
      <w:proofErr w:type="spellEnd"/>
      <w:r>
        <w:rPr>
          <w:rFonts w:ascii="Arial" w:hAnsi="Arial" w:cs="Arial"/>
          <w:lang w:val="en-PH"/>
        </w:rPr>
        <w:t xml:space="preserve"> (2019) and </w:t>
      </w:r>
      <w:proofErr w:type="spellStart"/>
      <w:r>
        <w:rPr>
          <w:rFonts w:ascii="Arial" w:hAnsi="Arial" w:cs="Arial"/>
          <w:lang w:val="en-PH"/>
        </w:rPr>
        <w:t>Dongsanniwas</w:t>
      </w:r>
      <w:proofErr w:type="spellEnd"/>
      <w:r>
        <w:rPr>
          <w:rFonts w:ascii="Arial" w:hAnsi="Arial" w:cs="Arial"/>
          <w:lang w:val="en-PH"/>
        </w:rPr>
        <w:t xml:space="preserve"> and </w:t>
      </w:r>
      <w:proofErr w:type="spellStart"/>
      <w:r>
        <w:rPr>
          <w:rFonts w:ascii="Arial" w:hAnsi="Arial" w:cs="Arial"/>
          <w:lang w:val="en-PH"/>
        </w:rPr>
        <w:t>Sukying</w:t>
      </w:r>
      <w:proofErr w:type="spellEnd"/>
      <w:r>
        <w:rPr>
          <w:rFonts w:ascii="Arial" w:hAnsi="Arial" w:cs="Arial"/>
          <w:lang w:val="en-PH"/>
        </w:rPr>
        <w:t xml:space="preserve"> (2024). These multisensory connections make vocabulary not only easier to understand but also more likely to be retained over time.</w:t>
      </w:r>
    </w:p>
    <w:p w14:paraId="0883EAA7" w14:textId="77777777" w:rsidR="00604C7C" w:rsidRDefault="003F5CB5">
      <w:pPr>
        <w:pStyle w:val="Body"/>
        <w:spacing w:after="0"/>
        <w:rPr>
          <w:rFonts w:ascii="Arial" w:hAnsi="Arial" w:cs="Arial"/>
          <w:lang w:val="en-PH"/>
        </w:rPr>
      </w:pPr>
      <w:r>
        <w:rPr>
          <w:rFonts w:ascii="Arial" w:hAnsi="Arial" w:cs="Arial"/>
          <w:lang w:val="en-PH"/>
        </w:rPr>
        <w:t xml:space="preserve">Moreover, the high post-test performance aligns with the findings by Kara and </w:t>
      </w:r>
      <w:proofErr w:type="spellStart"/>
      <w:r>
        <w:rPr>
          <w:rFonts w:ascii="Arial" w:hAnsi="Arial" w:cs="Arial"/>
          <w:lang w:val="en-PH"/>
        </w:rPr>
        <w:t>Eveyik-Aydın</w:t>
      </w:r>
      <w:proofErr w:type="spellEnd"/>
      <w:r>
        <w:rPr>
          <w:rFonts w:ascii="Arial" w:hAnsi="Arial" w:cs="Arial"/>
          <w:lang w:val="en-PH"/>
        </w:rPr>
        <w:t xml:space="preserve"> (2019), who noted that TPR enhances both receptive and expressive language skills by linking motor activity with linguistic input. </w:t>
      </w:r>
      <w:proofErr w:type="spellStart"/>
      <w:r>
        <w:rPr>
          <w:rFonts w:ascii="Arial" w:hAnsi="Arial" w:cs="Arial"/>
          <w:lang w:val="en-PH"/>
        </w:rPr>
        <w:t>Rahmadani</w:t>
      </w:r>
      <w:proofErr w:type="spellEnd"/>
      <w:r>
        <w:rPr>
          <w:rFonts w:ascii="Arial" w:hAnsi="Arial" w:cs="Arial"/>
          <w:lang w:val="en-PH"/>
        </w:rPr>
        <w:t xml:space="preserve"> (2019) further observed </w:t>
      </w:r>
      <w:r>
        <w:rPr>
          <w:rFonts w:ascii="Arial" w:hAnsi="Arial" w:cs="Arial"/>
          <w:lang w:val="en-PH"/>
        </w:rPr>
        <w:t>that this method reduces cognitive load, helping young learners absorb new words more efficiently. The learners’ improved scores in this study reflect these cognitive benefits, showing that TPR not only engages students but also scaffolds their language pr</w:t>
      </w:r>
      <w:r>
        <w:rPr>
          <w:rFonts w:ascii="Arial" w:hAnsi="Arial" w:cs="Arial"/>
          <w:lang w:val="en-PH"/>
        </w:rPr>
        <w:t>ocessing.</w:t>
      </w:r>
    </w:p>
    <w:p w14:paraId="47CDB0AE" w14:textId="77777777" w:rsidR="00604C7C" w:rsidRDefault="003F5CB5">
      <w:pPr>
        <w:pStyle w:val="Body"/>
        <w:spacing w:after="0"/>
        <w:ind w:firstLine="720"/>
        <w:rPr>
          <w:rFonts w:ascii="Arial" w:hAnsi="Arial" w:cs="Arial"/>
          <w:lang w:val="en-PH"/>
        </w:rPr>
      </w:pPr>
      <w:r>
        <w:rPr>
          <w:rFonts w:ascii="Arial" w:hAnsi="Arial" w:cs="Arial"/>
          <w:lang w:val="en-PH"/>
        </w:rPr>
        <w:t xml:space="preserve">Additionally, researchers such as </w:t>
      </w:r>
      <w:proofErr w:type="spellStart"/>
      <w:r>
        <w:rPr>
          <w:rFonts w:ascii="Arial" w:hAnsi="Arial" w:cs="Arial"/>
          <w:lang w:val="en-PH"/>
        </w:rPr>
        <w:t>Yuquilema</w:t>
      </w:r>
      <w:proofErr w:type="spellEnd"/>
      <w:r>
        <w:rPr>
          <w:rFonts w:ascii="Arial" w:hAnsi="Arial" w:cs="Arial"/>
          <w:lang w:val="en-PH"/>
        </w:rPr>
        <w:t xml:space="preserve"> </w:t>
      </w:r>
      <w:proofErr w:type="spellStart"/>
      <w:r>
        <w:rPr>
          <w:rFonts w:ascii="Arial" w:hAnsi="Arial" w:cs="Arial"/>
          <w:lang w:val="en-PH"/>
        </w:rPr>
        <w:t>Mullo</w:t>
      </w:r>
      <w:proofErr w:type="spellEnd"/>
      <w:r>
        <w:rPr>
          <w:rFonts w:ascii="Arial" w:hAnsi="Arial" w:cs="Arial"/>
          <w:lang w:val="en-PH"/>
        </w:rPr>
        <w:t xml:space="preserve"> (2024) and Magnussen &amp; </w:t>
      </w:r>
      <w:proofErr w:type="spellStart"/>
      <w:r>
        <w:rPr>
          <w:rFonts w:ascii="Arial" w:hAnsi="Arial" w:cs="Arial"/>
          <w:lang w:val="en-PH"/>
        </w:rPr>
        <w:t>Sukying</w:t>
      </w:r>
      <w:proofErr w:type="spellEnd"/>
      <w:r>
        <w:rPr>
          <w:rFonts w:ascii="Arial" w:hAnsi="Arial" w:cs="Arial"/>
          <w:lang w:val="en-PH"/>
        </w:rPr>
        <w:t xml:space="preserve"> (2021) emphasized that TPR facilitates meaningful use of vocabulary by embedding words in contextually relevant, physical scenarios. This was especially evident in t</w:t>
      </w:r>
      <w:r>
        <w:rPr>
          <w:rFonts w:ascii="Arial" w:hAnsi="Arial" w:cs="Arial"/>
          <w:lang w:val="en-PH"/>
        </w:rPr>
        <w:t>he present findings, where learners demonstrated the ability to understand and use vocabulary with greater accuracy and fluency after repeated TPR activities.</w:t>
      </w:r>
    </w:p>
    <w:p w14:paraId="38FFDCE7" w14:textId="77777777" w:rsidR="00604C7C" w:rsidRDefault="003F5CB5">
      <w:pPr>
        <w:pStyle w:val="Body"/>
        <w:ind w:firstLine="720"/>
        <w:rPr>
          <w:rFonts w:ascii="Arial" w:hAnsi="Arial" w:cs="Arial"/>
          <w:lang w:val="en-PH"/>
        </w:rPr>
      </w:pPr>
      <w:r>
        <w:rPr>
          <w:rFonts w:ascii="Arial" w:hAnsi="Arial" w:cs="Arial"/>
          <w:lang w:val="en-PH"/>
        </w:rPr>
        <w:t xml:space="preserve">In conclusion, the substantial increase in post-test scores confirms the effectiveness of TPR in </w:t>
      </w:r>
      <w:r>
        <w:rPr>
          <w:rFonts w:ascii="Arial" w:hAnsi="Arial" w:cs="Arial"/>
          <w:lang w:val="en-PH"/>
        </w:rPr>
        <w:t>improving vocabulary performance among Grade 1 learners. The approach’s interactive, sensory-rich, and developmentally aligned nature created an engaging learning environment that significantly supported students’ language growth.</w:t>
      </w:r>
    </w:p>
    <w:p w14:paraId="4ACA4DA7" w14:textId="77777777" w:rsidR="00604C7C" w:rsidRDefault="003F5CB5">
      <w:pPr>
        <w:tabs>
          <w:tab w:val="left" w:pos="1080"/>
        </w:tabs>
        <w:jc w:val="both"/>
        <w:rPr>
          <w:rFonts w:ascii="Arial" w:hAnsi="Arial"/>
          <w:bCs/>
        </w:rPr>
      </w:pPr>
      <w:r>
        <w:rPr>
          <w:rFonts w:ascii="Arial" w:hAnsi="Arial"/>
          <w:bCs/>
        </w:rPr>
        <w:t>Table 2. Level of Post-te</w:t>
      </w:r>
      <w:r>
        <w:rPr>
          <w:rFonts w:ascii="Arial" w:hAnsi="Arial"/>
          <w:bCs/>
        </w:rPr>
        <w:t>st Scores</w:t>
      </w:r>
    </w:p>
    <w:tbl>
      <w:tblPr>
        <w:tblW w:w="7707" w:type="dxa"/>
        <w:tblInd w:w="258" w:type="dxa"/>
        <w:tblBorders>
          <w:top w:val="nil"/>
          <w:left w:val="nil"/>
          <w:bottom w:val="nil"/>
          <w:right w:val="nil"/>
          <w:insideH w:val="nil"/>
          <w:insideV w:val="nil"/>
        </w:tblBorders>
        <w:tblLayout w:type="fixed"/>
        <w:tblLook w:val="0400" w:firstRow="0" w:lastRow="0" w:firstColumn="0" w:lastColumn="0" w:noHBand="0" w:noVBand="1"/>
      </w:tblPr>
      <w:tblGrid>
        <w:gridCol w:w="1080"/>
        <w:gridCol w:w="780"/>
        <w:gridCol w:w="771"/>
        <w:gridCol w:w="1132"/>
        <w:gridCol w:w="1457"/>
        <w:gridCol w:w="2487"/>
      </w:tblGrid>
      <w:tr w:rsidR="00604C7C" w14:paraId="6542F601" w14:textId="77777777">
        <w:trPr>
          <w:trHeight w:val="348"/>
        </w:trPr>
        <w:tc>
          <w:tcPr>
            <w:tcW w:w="1080" w:type="dxa"/>
            <w:tcBorders>
              <w:top w:val="single" w:sz="18" w:space="0" w:color="000000"/>
              <w:bottom w:val="single" w:sz="4" w:space="0" w:color="000000"/>
            </w:tcBorders>
          </w:tcPr>
          <w:p w14:paraId="4E11E14D" w14:textId="77777777" w:rsidR="00604C7C" w:rsidRDefault="003F5CB5">
            <w:pPr>
              <w:jc w:val="center"/>
              <w:rPr>
                <w:rFonts w:ascii="Arial" w:eastAsia="Arial" w:hAnsi="Arial" w:cs="Arial"/>
                <w:b/>
              </w:rPr>
            </w:pPr>
            <w:r>
              <w:rPr>
                <w:rFonts w:ascii="Arial" w:eastAsia="Arial" w:hAnsi="Arial" w:cs="Arial"/>
                <w:b/>
              </w:rPr>
              <w:t>Variable</w:t>
            </w:r>
          </w:p>
        </w:tc>
        <w:tc>
          <w:tcPr>
            <w:tcW w:w="780" w:type="dxa"/>
            <w:tcBorders>
              <w:top w:val="single" w:sz="18" w:space="0" w:color="000000"/>
              <w:bottom w:val="single" w:sz="4" w:space="0" w:color="000000"/>
            </w:tcBorders>
          </w:tcPr>
          <w:p w14:paraId="1EFD1473" w14:textId="77777777" w:rsidR="00604C7C" w:rsidRDefault="003F5CB5">
            <w:pPr>
              <w:jc w:val="center"/>
              <w:rPr>
                <w:rFonts w:ascii="Arial" w:eastAsia="Arial" w:hAnsi="Arial" w:cs="Arial"/>
                <w:b/>
              </w:rPr>
            </w:pPr>
            <w:r>
              <w:rPr>
                <w:rFonts w:ascii="Arial" w:eastAsia="Arial" w:hAnsi="Arial" w:cs="Arial"/>
                <w:b/>
              </w:rPr>
              <w:t>Total Score</w:t>
            </w:r>
          </w:p>
        </w:tc>
        <w:tc>
          <w:tcPr>
            <w:tcW w:w="771" w:type="dxa"/>
            <w:tcBorders>
              <w:top w:val="single" w:sz="18" w:space="0" w:color="000000"/>
              <w:bottom w:val="single" w:sz="4" w:space="0" w:color="000000"/>
            </w:tcBorders>
          </w:tcPr>
          <w:p w14:paraId="6E065292" w14:textId="77777777" w:rsidR="00604C7C" w:rsidRDefault="003F5CB5">
            <w:pPr>
              <w:jc w:val="center"/>
              <w:rPr>
                <w:rFonts w:ascii="Arial" w:eastAsia="Arial" w:hAnsi="Arial" w:cs="Arial"/>
                <w:b/>
              </w:rPr>
            </w:pPr>
            <w:r>
              <w:rPr>
                <w:rFonts w:ascii="Arial" w:eastAsia="Arial" w:hAnsi="Arial" w:cs="Arial"/>
                <w:b/>
              </w:rPr>
              <w:t>Mean</w:t>
            </w:r>
          </w:p>
        </w:tc>
        <w:tc>
          <w:tcPr>
            <w:tcW w:w="1132" w:type="dxa"/>
            <w:tcBorders>
              <w:top w:val="single" w:sz="18" w:space="0" w:color="000000"/>
              <w:bottom w:val="single" w:sz="4" w:space="0" w:color="000000"/>
            </w:tcBorders>
          </w:tcPr>
          <w:p w14:paraId="039AA03B" w14:textId="77777777" w:rsidR="00604C7C" w:rsidRDefault="003F5CB5">
            <w:pPr>
              <w:jc w:val="center"/>
              <w:rPr>
                <w:rFonts w:ascii="Arial" w:eastAsia="Arial" w:hAnsi="Arial" w:cs="Arial"/>
                <w:b/>
              </w:rPr>
            </w:pPr>
            <w:r>
              <w:rPr>
                <w:rFonts w:ascii="Arial" w:eastAsia="Arial" w:hAnsi="Arial" w:cs="Arial"/>
                <w:b/>
              </w:rPr>
              <w:t>Std. Deviation</w:t>
            </w:r>
          </w:p>
        </w:tc>
        <w:tc>
          <w:tcPr>
            <w:tcW w:w="1457" w:type="dxa"/>
            <w:tcBorders>
              <w:top w:val="single" w:sz="18" w:space="0" w:color="000000"/>
              <w:bottom w:val="single" w:sz="4" w:space="0" w:color="000000"/>
            </w:tcBorders>
          </w:tcPr>
          <w:p w14:paraId="5E01AE34" w14:textId="77777777" w:rsidR="00604C7C" w:rsidRDefault="003F5CB5">
            <w:pPr>
              <w:jc w:val="center"/>
              <w:rPr>
                <w:rFonts w:ascii="Arial" w:eastAsia="Arial" w:hAnsi="Arial" w:cs="Arial"/>
                <w:b/>
              </w:rPr>
            </w:pPr>
            <w:r>
              <w:rPr>
                <w:rFonts w:ascii="Arial" w:eastAsia="Arial" w:hAnsi="Arial" w:cs="Arial"/>
                <w:b/>
              </w:rPr>
              <w:t>Transmuted Grade</w:t>
            </w:r>
          </w:p>
        </w:tc>
        <w:tc>
          <w:tcPr>
            <w:tcW w:w="2487" w:type="dxa"/>
            <w:tcBorders>
              <w:top w:val="single" w:sz="18" w:space="0" w:color="000000"/>
              <w:bottom w:val="single" w:sz="4" w:space="0" w:color="000000"/>
            </w:tcBorders>
          </w:tcPr>
          <w:p w14:paraId="0184F8A1" w14:textId="77777777" w:rsidR="00604C7C" w:rsidRDefault="003F5CB5">
            <w:pPr>
              <w:jc w:val="center"/>
              <w:rPr>
                <w:rFonts w:ascii="Arial" w:eastAsia="Arial" w:hAnsi="Arial" w:cs="Arial"/>
                <w:b/>
              </w:rPr>
            </w:pPr>
            <w:r>
              <w:rPr>
                <w:rFonts w:ascii="Arial" w:eastAsia="Arial" w:hAnsi="Arial" w:cs="Arial"/>
                <w:b/>
              </w:rPr>
              <w:t>Interpretation</w:t>
            </w:r>
          </w:p>
        </w:tc>
      </w:tr>
      <w:tr w:rsidR="00604C7C" w14:paraId="6911420C" w14:textId="77777777">
        <w:trPr>
          <w:trHeight w:val="348"/>
        </w:trPr>
        <w:tc>
          <w:tcPr>
            <w:tcW w:w="1080" w:type="dxa"/>
            <w:tcBorders>
              <w:top w:val="single" w:sz="4" w:space="0" w:color="000000"/>
              <w:bottom w:val="single" w:sz="18" w:space="0" w:color="000000"/>
            </w:tcBorders>
          </w:tcPr>
          <w:p w14:paraId="54E46313" w14:textId="77777777" w:rsidR="00604C7C" w:rsidRDefault="003F5CB5">
            <w:pPr>
              <w:jc w:val="center"/>
              <w:rPr>
                <w:rFonts w:ascii="Arial" w:eastAsia="Arial" w:hAnsi="Arial" w:cs="Arial"/>
                <w:bCs/>
              </w:rPr>
            </w:pPr>
            <w:r>
              <w:rPr>
                <w:rFonts w:ascii="Arial" w:eastAsia="Arial" w:hAnsi="Arial" w:cs="Arial"/>
                <w:bCs/>
              </w:rPr>
              <w:t>Post-test</w:t>
            </w:r>
          </w:p>
        </w:tc>
        <w:tc>
          <w:tcPr>
            <w:tcW w:w="780" w:type="dxa"/>
            <w:tcBorders>
              <w:top w:val="single" w:sz="4" w:space="0" w:color="000000"/>
              <w:bottom w:val="single" w:sz="18" w:space="0" w:color="000000"/>
            </w:tcBorders>
          </w:tcPr>
          <w:p w14:paraId="58B9A59E" w14:textId="77777777" w:rsidR="00604C7C" w:rsidRDefault="003F5CB5">
            <w:pPr>
              <w:jc w:val="center"/>
              <w:rPr>
                <w:rFonts w:ascii="Arial" w:eastAsia="Arial" w:hAnsi="Arial" w:cs="Arial"/>
                <w:bCs/>
              </w:rPr>
            </w:pPr>
            <w:r>
              <w:rPr>
                <w:rFonts w:ascii="Arial" w:eastAsia="Arial" w:hAnsi="Arial" w:cs="Arial"/>
                <w:bCs/>
              </w:rPr>
              <w:t>15</w:t>
            </w:r>
          </w:p>
        </w:tc>
        <w:tc>
          <w:tcPr>
            <w:tcW w:w="771" w:type="dxa"/>
            <w:tcBorders>
              <w:top w:val="single" w:sz="4" w:space="0" w:color="000000"/>
              <w:bottom w:val="single" w:sz="18" w:space="0" w:color="000000"/>
            </w:tcBorders>
          </w:tcPr>
          <w:p w14:paraId="651396CE" w14:textId="77777777" w:rsidR="00604C7C" w:rsidRDefault="003F5CB5">
            <w:pPr>
              <w:jc w:val="center"/>
              <w:rPr>
                <w:rFonts w:ascii="Arial" w:eastAsia="Arial" w:hAnsi="Arial" w:cs="Arial"/>
                <w:bCs/>
              </w:rPr>
            </w:pPr>
            <w:r>
              <w:rPr>
                <w:rFonts w:ascii="Arial" w:eastAsia="Arial" w:hAnsi="Arial" w:cs="Arial"/>
                <w:bCs/>
              </w:rPr>
              <w:t>12.53</w:t>
            </w:r>
          </w:p>
        </w:tc>
        <w:tc>
          <w:tcPr>
            <w:tcW w:w="1132" w:type="dxa"/>
            <w:tcBorders>
              <w:top w:val="single" w:sz="4" w:space="0" w:color="000000"/>
              <w:bottom w:val="single" w:sz="18" w:space="0" w:color="000000"/>
            </w:tcBorders>
          </w:tcPr>
          <w:p w14:paraId="3B8D5911" w14:textId="77777777" w:rsidR="00604C7C" w:rsidRDefault="003F5CB5">
            <w:pPr>
              <w:jc w:val="center"/>
              <w:rPr>
                <w:rFonts w:ascii="Arial" w:eastAsia="Arial" w:hAnsi="Arial" w:cs="Arial"/>
                <w:bCs/>
              </w:rPr>
            </w:pPr>
            <w:r>
              <w:rPr>
                <w:rFonts w:ascii="Arial" w:eastAsia="Arial" w:hAnsi="Arial" w:cs="Arial"/>
                <w:bCs/>
              </w:rPr>
              <w:t>2.00</w:t>
            </w:r>
          </w:p>
        </w:tc>
        <w:tc>
          <w:tcPr>
            <w:tcW w:w="1457" w:type="dxa"/>
            <w:tcBorders>
              <w:top w:val="single" w:sz="4" w:space="0" w:color="000000"/>
              <w:bottom w:val="single" w:sz="18" w:space="0" w:color="000000"/>
            </w:tcBorders>
          </w:tcPr>
          <w:p w14:paraId="389EC129" w14:textId="77777777" w:rsidR="00604C7C" w:rsidRDefault="003F5CB5">
            <w:pPr>
              <w:jc w:val="center"/>
              <w:rPr>
                <w:rFonts w:ascii="Arial" w:eastAsia="Arial" w:hAnsi="Arial" w:cs="Arial"/>
                <w:bCs/>
              </w:rPr>
            </w:pPr>
            <w:r>
              <w:rPr>
                <w:rFonts w:ascii="Arial" w:eastAsia="Arial" w:hAnsi="Arial" w:cs="Arial"/>
                <w:bCs/>
              </w:rPr>
              <w:t>89</w:t>
            </w:r>
          </w:p>
        </w:tc>
        <w:tc>
          <w:tcPr>
            <w:tcW w:w="2487" w:type="dxa"/>
            <w:tcBorders>
              <w:top w:val="single" w:sz="4" w:space="0" w:color="000000"/>
              <w:bottom w:val="single" w:sz="18" w:space="0" w:color="000000"/>
            </w:tcBorders>
          </w:tcPr>
          <w:p w14:paraId="3D650F85" w14:textId="77777777" w:rsidR="00604C7C" w:rsidRDefault="003F5CB5">
            <w:pPr>
              <w:jc w:val="center"/>
              <w:rPr>
                <w:rFonts w:ascii="Arial" w:eastAsia="Arial" w:hAnsi="Arial" w:cs="Arial"/>
                <w:bCs/>
              </w:rPr>
            </w:pPr>
            <w:r>
              <w:rPr>
                <w:rFonts w:ascii="Arial" w:eastAsia="Arial" w:hAnsi="Arial" w:cs="Arial"/>
                <w:bCs/>
              </w:rPr>
              <w:t>Very Satisfactory</w:t>
            </w:r>
          </w:p>
        </w:tc>
      </w:tr>
    </w:tbl>
    <w:p w14:paraId="561FB34E" w14:textId="77777777" w:rsidR="00604C7C" w:rsidRDefault="00604C7C">
      <w:pPr>
        <w:pStyle w:val="Body"/>
        <w:ind w:firstLine="720"/>
        <w:rPr>
          <w:rFonts w:ascii="Arial" w:hAnsi="Arial" w:cs="Arial"/>
          <w:lang w:val="en-PH"/>
        </w:rPr>
      </w:pPr>
    </w:p>
    <w:p w14:paraId="192E9539" w14:textId="77777777" w:rsidR="00604C7C" w:rsidRDefault="003F5CB5">
      <w:pPr>
        <w:spacing w:line="480" w:lineRule="auto"/>
        <w:jc w:val="both"/>
        <w:rPr>
          <w:rFonts w:ascii="Arial" w:hAnsi="Arial" w:cs="Arial"/>
          <w:b/>
          <w:bCs/>
        </w:rPr>
      </w:pPr>
      <w:r>
        <w:rPr>
          <w:rFonts w:ascii="Arial" w:eastAsia="SimSun" w:hAnsi="Arial" w:cs="Arial"/>
          <w:b/>
          <w:bCs/>
          <w:lang w:val="en-PH" w:eastAsia="zh-CN"/>
        </w:rPr>
        <w:t xml:space="preserve">Difference Between the Pre-test Scores and </w:t>
      </w:r>
      <w:r>
        <w:rPr>
          <w:rFonts w:ascii="Arial" w:hAnsi="Arial" w:cs="Arial"/>
          <w:b/>
          <w:bCs/>
        </w:rPr>
        <w:t xml:space="preserve">Post-test Scores </w:t>
      </w:r>
    </w:p>
    <w:p w14:paraId="2B1F760A" w14:textId="77777777" w:rsidR="00604C7C" w:rsidRDefault="003F5CB5">
      <w:pPr>
        <w:pStyle w:val="Body"/>
        <w:spacing w:after="0"/>
        <w:ind w:firstLine="720"/>
        <w:rPr>
          <w:rFonts w:ascii="Arial" w:hAnsi="Arial" w:cs="Arial"/>
          <w:lang w:val="en-PH"/>
        </w:rPr>
      </w:pPr>
      <w:r>
        <w:rPr>
          <w:rFonts w:ascii="Arial" w:eastAsia="Arial" w:hAnsi="Arial" w:cs="Arial"/>
          <w:color w:val="000000"/>
        </w:rPr>
        <w:t xml:space="preserve">The results in Table 3 show the difference between the pre-test scores and the post-test scores. </w:t>
      </w:r>
      <w:r>
        <w:rPr>
          <w:rFonts w:ascii="Arial" w:hAnsi="Arial" w:cs="Arial"/>
          <w:lang w:val="en-PH"/>
        </w:rPr>
        <w:t>It reveals a statistically significant improvement in the vocabulary scores of Grade 1 learners following the Total Physical Response (TPR) intervention. Speci</w:t>
      </w:r>
      <w:r>
        <w:rPr>
          <w:rFonts w:ascii="Arial" w:hAnsi="Arial" w:cs="Arial"/>
          <w:lang w:val="en-PH"/>
        </w:rPr>
        <w:t xml:space="preserve">fically, mean scores increased from 6.87 (pre-test) to 12.53 (post-test), with a t-value of 9.338 and a p-value of 0.001, which is well below the standard 0.05 threshold for significance. Consequently, this strong statistical result implies that the gains </w:t>
      </w:r>
      <w:r>
        <w:rPr>
          <w:rFonts w:ascii="Arial" w:hAnsi="Arial" w:cs="Arial"/>
          <w:lang w:val="en-PH"/>
        </w:rPr>
        <w:t>in vocabulary were not due to chance but were meaningfully linked to the instructional strategy used.</w:t>
      </w:r>
    </w:p>
    <w:p w14:paraId="7100184D" w14:textId="77777777" w:rsidR="00604C7C" w:rsidRDefault="003F5CB5">
      <w:pPr>
        <w:pStyle w:val="Body"/>
        <w:spacing w:after="0"/>
        <w:ind w:firstLine="720"/>
        <w:rPr>
          <w:rFonts w:ascii="Arial" w:hAnsi="Arial" w:cs="Arial"/>
          <w:lang w:val="en-PH"/>
        </w:rPr>
      </w:pPr>
      <w:r>
        <w:rPr>
          <w:rFonts w:ascii="Arial" w:hAnsi="Arial" w:cs="Arial"/>
          <w:lang w:val="en-PH"/>
        </w:rPr>
        <w:lastRenderedPageBreak/>
        <w:t xml:space="preserve">Previous studies support this finding. For instance, </w:t>
      </w:r>
      <w:proofErr w:type="spellStart"/>
      <w:r>
        <w:rPr>
          <w:rFonts w:ascii="Arial" w:hAnsi="Arial" w:cs="Arial"/>
          <w:lang w:val="en-PH"/>
        </w:rPr>
        <w:t>Sholikha</w:t>
      </w:r>
      <w:proofErr w:type="spellEnd"/>
      <w:r>
        <w:rPr>
          <w:rFonts w:ascii="Arial" w:hAnsi="Arial" w:cs="Arial"/>
          <w:lang w:val="en-PH"/>
        </w:rPr>
        <w:t xml:space="preserve"> (2018) reported an increase in vocabulary scores from 81.07 to 96.05, accompanied by a signi</w:t>
      </w:r>
      <w:r>
        <w:rPr>
          <w:rFonts w:ascii="Arial" w:hAnsi="Arial" w:cs="Arial"/>
          <w:lang w:val="en-PH"/>
        </w:rPr>
        <w:t xml:space="preserve">ficant t-value. Similarly, </w:t>
      </w:r>
      <w:proofErr w:type="spellStart"/>
      <w:r>
        <w:rPr>
          <w:rFonts w:ascii="Arial" w:hAnsi="Arial" w:cs="Arial"/>
          <w:lang w:val="en-PH"/>
        </w:rPr>
        <w:t>Sabban</w:t>
      </w:r>
      <w:proofErr w:type="spellEnd"/>
      <w:r>
        <w:rPr>
          <w:rFonts w:ascii="Arial" w:hAnsi="Arial" w:cs="Arial"/>
          <w:lang w:val="en-PH"/>
        </w:rPr>
        <w:t xml:space="preserve"> and Wahid (2021) found that learners exposed to TPR exhibited enhanced vocabulary retention and greater engagement. These results, supported by Putri (2024), align with the core premise of kinesthetic learning, where physi</w:t>
      </w:r>
      <w:r>
        <w:rPr>
          <w:rFonts w:ascii="Arial" w:hAnsi="Arial" w:cs="Arial"/>
          <w:lang w:val="en-PH"/>
        </w:rPr>
        <w:t>cally acting out vocabulary terms reinforces both comprehension and memory. Thus, the present study's findings are consistent with a broader body of evidence demonstrating the effectiveness of TPR in vocabulary acquisition.</w:t>
      </w:r>
    </w:p>
    <w:p w14:paraId="2BB1246E" w14:textId="77777777" w:rsidR="00604C7C" w:rsidRDefault="003F5CB5">
      <w:pPr>
        <w:pStyle w:val="Body"/>
        <w:spacing w:after="0"/>
        <w:ind w:firstLine="720"/>
        <w:rPr>
          <w:rFonts w:ascii="Arial" w:hAnsi="Arial" w:cs="Arial"/>
          <w:lang w:val="en-PH"/>
        </w:rPr>
      </w:pPr>
      <w:r>
        <w:rPr>
          <w:rFonts w:ascii="Arial" w:hAnsi="Arial" w:cs="Arial"/>
          <w:lang w:val="en-PH"/>
        </w:rPr>
        <w:t xml:space="preserve">Moreover, </w:t>
      </w:r>
      <w:proofErr w:type="spellStart"/>
      <w:r>
        <w:rPr>
          <w:rFonts w:ascii="Arial" w:hAnsi="Arial" w:cs="Arial"/>
          <w:lang w:val="en-PH"/>
        </w:rPr>
        <w:t>Dongsanniwas</w:t>
      </w:r>
      <w:proofErr w:type="spellEnd"/>
      <w:r>
        <w:rPr>
          <w:rFonts w:ascii="Arial" w:hAnsi="Arial" w:cs="Arial"/>
          <w:lang w:val="en-PH"/>
        </w:rPr>
        <w:t xml:space="preserve"> and </w:t>
      </w:r>
      <w:proofErr w:type="spellStart"/>
      <w:r>
        <w:rPr>
          <w:rFonts w:ascii="Arial" w:hAnsi="Arial" w:cs="Arial"/>
          <w:lang w:val="en-PH"/>
        </w:rPr>
        <w:t>Sukyi</w:t>
      </w:r>
      <w:r>
        <w:rPr>
          <w:rFonts w:ascii="Arial" w:hAnsi="Arial" w:cs="Arial"/>
          <w:lang w:val="en-PH"/>
        </w:rPr>
        <w:t>ng</w:t>
      </w:r>
      <w:proofErr w:type="spellEnd"/>
      <w:r>
        <w:rPr>
          <w:rFonts w:ascii="Arial" w:hAnsi="Arial" w:cs="Arial"/>
          <w:lang w:val="en-PH"/>
        </w:rPr>
        <w:t xml:space="preserve"> (2024) emphasized that physical movement significantly enhances multisensory engagement, thereby improving vocabulary retention. In a similar vein, </w:t>
      </w:r>
      <w:proofErr w:type="spellStart"/>
      <w:r>
        <w:rPr>
          <w:rFonts w:ascii="Arial" w:hAnsi="Arial" w:cs="Arial"/>
          <w:lang w:val="en-PH"/>
        </w:rPr>
        <w:t>Rambe</w:t>
      </w:r>
      <w:proofErr w:type="spellEnd"/>
      <w:r>
        <w:rPr>
          <w:rFonts w:ascii="Arial" w:hAnsi="Arial" w:cs="Arial"/>
          <w:lang w:val="en-PH"/>
        </w:rPr>
        <w:t xml:space="preserve"> (2019) noted that students who physically enact vocabulary develop stronger semantic connections, w</w:t>
      </w:r>
      <w:r>
        <w:rPr>
          <w:rFonts w:ascii="Arial" w:hAnsi="Arial" w:cs="Arial"/>
          <w:lang w:val="en-PH"/>
        </w:rPr>
        <w:t>hich aid both immediate comprehension and long-term memory. Furthermore, Crandall (2022) highlighted that kinesthetic strategies are particularly effective for young learners whose cognitive development is driven by sensory and experiential input.</w:t>
      </w:r>
    </w:p>
    <w:p w14:paraId="45CF5D83" w14:textId="77777777" w:rsidR="00604C7C" w:rsidRDefault="003F5CB5">
      <w:pPr>
        <w:pStyle w:val="Body"/>
        <w:spacing w:after="0"/>
        <w:ind w:firstLine="720"/>
        <w:rPr>
          <w:rFonts w:ascii="Arial" w:hAnsi="Arial" w:cs="Arial"/>
          <w:lang w:val="en-PH"/>
        </w:rPr>
      </w:pPr>
      <w:r>
        <w:rPr>
          <w:rFonts w:ascii="Arial" w:hAnsi="Arial" w:cs="Arial"/>
          <w:lang w:val="en-PH"/>
        </w:rPr>
        <w:t xml:space="preserve">Further </w:t>
      </w:r>
      <w:r>
        <w:rPr>
          <w:rFonts w:ascii="Arial" w:hAnsi="Arial" w:cs="Arial"/>
          <w:lang w:val="en-PH"/>
        </w:rPr>
        <w:t>reinforcing the effectiveness of TPR is Cohen's d value of 2.411, representing a very large effect size. According to Cohen (1988), a value above 0.8 already indicates a large effect, making this result particularly noteworthy. Supported by comparative fin</w:t>
      </w:r>
      <w:r>
        <w:rPr>
          <w:rFonts w:ascii="Arial" w:hAnsi="Arial" w:cs="Arial"/>
          <w:lang w:val="en-PH"/>
        </w:rPr>
        <w:t xml:space="preserve">dings, Al Firdaus and </w:t>
      </w:r>
      <w:proofErr w:type="spellStart"/>
      <w:r>
        <w:rPr>
          <w:rFonts w:ascii="Arial" w:hAnsi="Arial" w:cs="Arial"/>
          <w:lang w:val="en-PH"/>
        </w:rPr>
        <w:t>Rahmawati</w:t>
      </w:r>
      <w:proofErr w:type="spellEnd"/>
      <w:r>
        <w:rPr>
          <w:rFonts w:ascii="Arial" w:hAnsi="Arial" w:cs="Arial"/>
          <w:lang w:val="en-PH"/>
        </w:rPr>
        <w:t xml:space="preserve"> (2024) also observed a Cohen’s d of 2.197 in a study that utilized kinesthetic digital tools to support vocabulary learning.</w:t>
      </w:r>
    </w:p>
    <w:p w14:paraId="3F43445B" w14:textId="77777777" w:rsidR="00604C7C" w:rsidRDefault="003F5CB5">
      <w:pPr>
        <w:pStyle w:val="Body"/>
        <w:spacing w:after="0"/>
        <w:ind w:firstLine="720"/>
        <w:rPr>
          <w:rFonts w:ascii="Arial" w:hAnsi="Arial" w:cs="Arial"/>
          <w:lang w:val="en-PH"/>
        </w:rPr>
      </w:pPr>
      <w:r>
        <w:rPr>
          <w:rFonts w:ascii="Arial" w:hAnsi="Arial" w:cs="Arial"/>
          <w:lang w:val="en-PH"/>
        </w:rPr>
        <w:t>Correspondingly, the study's findings align with Piaget's Cognitive Development Theory, particularl</w:t>
      </w:r>
      <w:r>
        <w:rPr>
          <w:rFonts w:ascii="Arial" w:hAnsi="Arial" w:cs="Arial"/>
          <w:lang w:val="en-PH"/>
        </w:rPr>
        <w:t>y the pre-operational stage (ages 2–7), which emphasizes learning through symbolic play, sensory experiences, and physical interaction. As McLeod (2024) posits, children in this developmental phase construct knowledge through active engagement with their e</w:t>
      </w:r>
      <w:r>
        <w:rPr>
          <w:rFonts w:ascii="Arial" w:hAnsi="Arial" w:cs="Arial"/>
          <w:lang w:val="en-PH"/>
        </w:rPr>
        <w:t>nvironment. TPR supports this process by linking language learning with motor actions, thereby making abstract vocabulary concepts more concrete and tangible. Therefore, the use of TPR not only enhances vocabulary learning but also aligns developmentally w</w:t>
      </w:r>
      <w:r>
        <w:rPr>
          <w:rFonts w:ascii="Arial" w:hAnsi="Arial" w:cs="Arial"/>
          <w:lang w:val="en-PH"/>
        </w:rPr>
        <w:t>ith how young learners naturally acquire and process new information.</w:t>
      </w:r>
    </w:p>
    <w:p w14:paraId="12A221C4" w14:textId="77777777" w:rsidR="00604C7C" w:rsidRDefault="00604C7C">
      <w:pPr>
        <w:pStyle w:val="Body"/>
        <w:spacing w:after="0"/>
        <w:ind w:firstLine="720"/>
        <w:rPr>
          <w:rFonts w:ascii="Arial" w:hAnsi="Arial" w:cs="Arial"/>
          <w:lang w:val="en-PH"/>
        </w:rPr>
      </w:pPr>
    </w:p>
    <w:p w14:paraId="70F61359" w14:textId="77777777" w:rsidR="00604C7C" w:rsidRDefault="003F5CB5">
      <w:pPr>
        <w:tabs>
          <w:tab w:val="left" w:pos="1080"/>
        </w:tabs>
        <w:jc w:val="both"/>
        <w:rPr>
          <w:rFonts w:ascii="Arial" w:hAnsi="Arial"/>
          <w:bCs/>
        </w:rPr>
      </w:pPr>
      <w:r>
        <w:rPr>
          <w:rFonts w:ascii="Arial" w:hAnsi="Arial"/>
          <w:bCs/>
        </w:rPr>
        <w:t>Table 3. Mean Comparison Between Pre-test and Post-test Scores</w:t>
      </w:r>
    </w:p>
    <w:tbl>
      <w:tblPr>
        <w:tblW w:w="732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80"/>
        <w:gridCol w:w="771"/>
        <w:gridCol w:w="1132"/>
        <w:gridCol w:w="827"/>
        <w:gridCol w:w="1440"/>
        <w:gridCol w:w="810"/>
        <w:gridCol w:w="1260"/>
      </w:tblGrid>
      <w:tr w:rsidR="00604C7C" w14:paraId="43AC7D4E" w14:textId="77777777">
        <w:trPr>
          <w:trHeight w:val="348"/>
        </w:trPr>
        <w:tc>
          <w:tcPr>
            <w:tcW w:w="1080" w:type="dxa"/>
            <w:tcBorders>
              <w:top w:val="single" w:sz="18" w:space="0" w:color="000000"/>
              <w:bottom w:val="single" w:sz="4" w:space="0" w:color="000000"/>
            </w:tcBorders>
          </w:tcPr>
          <w:p w14:paraId="2B51318C" w14:textId="77777777" w:rsidR="00604C7C" w:rsidRDefault="003F5CB5">
            <w:pPr>
              <w:jc w:val="center"/>
              <w:rPr>
                <w:rFonts w:ascii="Arial" w:eastAsia="Arial" w:hAnsi="Arial" w:cs="Arial"/>
                <w:b/>
              </w:rPr>
            </w:pPr>
            <w:r>
              <w:rPr>
                <w:rFonts w:ascii="Arial" w:eastAsia="Arial" w:hAnsi="Arial" w:cs="Arial"/>
                <w:b/>
              </w:rPr>
              <w:t>Variable</w:t>
            </w:r>
          </w:p>
        </w:tc>
        <w:tc>
          <w:tcPr>
            <w:tcW w:w="771" w:type="dxa"/>
            <w:tcBorders>
              <w:top w:val="single" w:sz="18" w:space="0" w:color="000000"/>
              <w:bottom w:val="single" w:sz="4" w:space="0" w:color="000000"/>
            </w:tcBorders>
          </w:tcPr>
          <w:p w14:paraId="64E69735" w14:textId="77777777" w:rsidR="00604C7C" w:rsidRDefault="003F5CB5">
            <w:pPr>
              <w:jc w:val="center"/>
              <w:rPr>
                <w:rFonts w:ascii="Arial" w:eastAsia="Arial" w:hAnsi="Arial" w:cs="Arial"/>
                <w:b/>
              </w:rPr>
            </w:pPr>
            <w:r>
              <w:rPr>
                <w:rFonts w:ascii="Arial" w:eastAsia="Arial" w:hAnsi="Arial" w:cs="Arial"/>
                <w:b/>
              </w:rPr>
              <w:t>Mean</w:t>
            </w:r>
          </w:p>
        </w:tc>
        <w:tc>
          <w:tcPr>
            <w:tcW w:w="1132" w:type="dxa"/>
            <w:tcBorders>
              <w:top w:val="single" w:sz="18" w:space="0" w:color="000000"/>
              <w:bottom w:val="single" w:sz="4" w:space="0" w:color="000000"/>
            </w:tcBorders>
          </w:tcPr>
          <w:p w14:paraId="7D43B3CD" w14:textId="77777777" w:rsidR="00604C7C" w:rsidRDefault="003F5CB5">
            <w:pPr>
              <w:jc w:val="center"/>
              <w:rPr>
                <w:rFonts w:ascii="Arial" w:eastAsia="Arial" w:hAnsi="Arial" w:cs="Arial"/>
                <w:b/>
              </w:rPr>
            </w:pPr>
            <w:r>
              <w:rPr>
                <w:rFonts w:ascii="Arial" w:eastAsia="Arial" w:hAnsi="Arial" w:cs="Arial"/>
                <w:b/>
              </w:rPr>
              <w:t>Std. Deviation</w:t>
            </w:r>
          </w:p>
        </w:tc>
        <w:tc>
          <w:tcPr>
            <w:tcW w:w="827" w:type="dxa"/>
            <w:tcBorders>
              <w:top w:val="single" w:sz="18" w:space="0" w:color="000000"/>
              <w:bottom w:val="single" w:sz="4" w:space="0" w:color="000000"/>
            </w:tcBorders>
          </w:tcPr>
          <w:p w14:paraId="2955C0BA" w14:textId="77777777" w:rsidR="00604C7C" w:rsidRDefault="003F5CB5">
            <w:pPr>
              <w:jc w:val="center"/>
              <w:rPr>
                <w:rFonts w:ascii="Arial" w:eastAsia="Arial" w:hAnsi="Arial" w:cs="Arial"/>
                <w:b/>
              </w:rPr>
            </w:pPr>
            <w:r>
              <w:rPr>
                <w:rFonts w:ascii="Arial" w:eastAsia="Arial" w:hAnsi="Arial" w:cs="Arial"/>
                <w:b/>
              </w:rPr>
              <w:t>t-value</w:t>
            </w:r>
          </w:p>
        </w:tc>
        <w:tc>
          <w:tcPr>
            <w:tcW w:w="1440" w:type="dxa"/>
            <w:tcBorders>
              <w:top w:val="single" w:sz="18" w:space="0" w:color="000000"/>
              <w:bottom w:val="single" w:sz="4" w:space="0" w:color="000000"/>
            </w:tcBorders>
          </w:tcPr>
          <w:p w14:paraId="59CF5FC8" w14:textId="77777777" w:rsidR="00604C7C" w:rsidRDefault="003F5CB5">
            <w:pPr>
              <w:jc w:val="center"/>
              <w:rPr>
                <w:rFonts w:ascii="Arial" w:eastAsia="Arial" w:hAnsi="Arial" w:cs="Arial"/>
                <w:b/>
              </w:rPr>
            </w:pPr>
            <w:r>
              <w:rPr>
                <w:rFonts w:ascii="Arial" w:eastAsia="Arial" w:hAnsi="Arial" w:cs="Arial"/>
                <w:b/>
              </w:rPr>
              <w:t>Degrees of freedom (df)</w:t>
            </w:r>
          </w:p>
        </w:tc>
        <w:tc>
          <w:tcPr>
            <w:tcW w:w="810" w:type="dxa"/>
            <w:tcBorders>
              <w:top w:val="single" w:sz="18" w:space="0" w:color="000000"/>
              <w:bottom w:val="single" w:sz="4" w:space="0" w:color="000000"/>
            </w:tcBorders>
          </w:tcPr>
          <w:p w14:paraId="039A6F0D" w14:textId="77777777" w:rsidR="00604C7C" w:rsidRDefault="003F5CB5">
            <w:pPr>
              <w:jc w:val="center"/>
              <w:rPr>
                <w:rFonts w:ascii="Arial" w:eastAsia="Arial" w:hAnsi="Arial" w:cs="Arial"/>
                <w:b/>
              </w:rPr>
            </w:pPr>
            <w:r>
              <w:rPr>
                <w:rFonts w:ascii="Arial" w:eastAsia="Arial" w:hAnsi="Arial" w:cs="Arial"/>
                <w:b/>
              </w:rPr>
              <w:t>p-value</w:t>
            </w:r>
          </w:p>
        </w:tc>
        <w:tc>
          <w:tcPr>
            <w:tcW w:w="1260" w:type="dxa"/>
            <w:tcBorders>
              <w:top w:val="single" w:sz="18" w:space="0" w:color="000000"/>
              <w:bottom w:val="single" w:sz="4" w:space="0" w:color="000000"/>
            </w:tcBorders>
          </w:tcPr>
          <w:p w14:paraId="56A2EEB5" w14:textId="77777777" w:rsidR="00604C7C" w:rsidRDefault="003F5CB5">
            <w:pPr>
              <w:jc w:val="center"/>
              <w:rPr>
                <w:rFonts w:ascii="Arial" w:eastAsia="Arial" w:hAnsi="Arial" w:cs="Arial"/>
                <w:b/>
              </w:rPr>
            </w:pPr>
            <w:r>
              <w:rPr>
                <w:rFonts w:ascii="Arial" w:eastAsia="Arial" w:hAnsi="Arial" w:cs="Arial"/>
                <w:b/>
              </w:rPr>
              <w:t>Cohen’s d coefficient</w:t>
            </w:r>
          </w:p>
        </w:tc>
      </w:tr>
      <w:tr w:rsidR="00604C7C" w14:paraId="645F3273" w14:textId="77777777">
        <w:trPr>
          <w:trHeight w:val="348"/>
        </w:trPr>
        <w:tc>
          <w:tcPr>
            <w:tcW w:w="1080" w:type="dxa"/>
            <w:tcBorders>
              <w:top w:val="single" w:sz="4" w:space="0" w:color="000000"/>
              <w:bottom w:val="single" w:sz="4" w:space="0" w:color="000000"/>
            </w:tcBorders>
          </w:tcPr>
          <w:p w14:paraId="4B4FF439" w14:textId="77777777" w:rsidR="00604C7C" w:rsidRDefault="003F5CB5">
            <w:pPr>
              <w:jc w:val="center"/>
              <w:rPr>
                <w:rFonts w:ascii="Arial" w:eastAsia="Arial" w:hAnsi="Arial" w:cs="Arial"/>
                <w:bCs/>
              </w:rPr>
            </w:pPr>
            <w:r>
              <w:rPr>
                <w:rFonts w:ascii="Arial" w:eastAsia="Arial" w:hAnsi="Arial" w:cs="Arial"/>
                <w:bCs/>
              </w:rPr>
              <w:t>Pretest</w:t>
            </w:r>
          </w:p>
        </w:tc>
        <w:tc>
          <w:tcPr>
            <w:tcW w:w="771" w:type="dxa"/>
            <w:tcBorders>
              <w:top w:val="single" w:sz="4" w:space="0" w:color="000000"/>
              <w:bottom w:val="single" w:sz="4" w:space="0" w:color="000000"/>
            </w:tcBorders>
          </w:tcPr>
          <w:p w14:paraId="55591535" w14:textId="77777777" w:rsidR="00604C7C" w:rsidRDefault="003F5CB5">
            <w:pPr>
              <w:jc w:val="center"/>
              <w:rPr>
                <w:rFonts w:ascii="Arial" w:eastAsia="Arial" w:hAnsi="Arial" w:cs="Arial"/>
                <w:bCs/>
              </w:rPr>
            </w:pPr>
            <w:r>
              <w:rPr>
                <w:rFonts w:ascii="Arial" w:eastAsia="Arial" w:hAnsi="Arial" w:cs="Arial"/>
                <w:bCs/>
              </w:rPr>
              <w:t>6.87</w:t>
            </w:r>
          </w:p>
        </w:tc>
        <w:tc>
          <w:tcPr>
            <w:tcW w:w="1132" w:type="dxa"/>
            <w:tcBorders>
              <w:top w:val="single" w:sz="4" w:space="0" w:color="000000"/>
              <w:bottom w:val="single" w:sz="4" w:space="0" w:color="000000"/>
            </w:tcBorders>
          </w:tcPr>
          <w:p w14:paraId="558F7EAD" w14:textId="77777777" w:rsidR="00604C7C" w:rsidRDefault="003F5CB5">
            <w:pPr>
              <w:jc w:val="center"/>
              <w:rPr>
                <w:rFonts w:ascii="Arial" w:eastAsia="Arial" w:hAnsi="Arial" w:cs="Arial"/>
                <w:bCs/>
              </w:rPr>
            </w:pPr>
            <w:r>
              <w:rPr>
                <w:rFonts w:ascii="Arial" w:eastAsia="Arial" w:hAnsi="Arial" w:cs="Arial"/>
                <w:bCs/>
              </w:rPr>
              <w:t>1.77</w:t>
            </w:r>
          </w:p>
        </w:tc>
        <w:tc>
          <w:tcPr>
            <w:tcW w:w="827" w:type="dxa"/>
            <w:vMerge w:val="restart"/>
            <w:tcBorders>
              <w:top w:val="single" w:sz="4" w:space="0" w:color="000000"/>
            </w:tcBorders>
          </w:tcPr>
          <w:p w14:paraId="7CFB8650" w14:textId="77777777" w:rsidR="00604C7C" w:rsidRDefault="00604C7C">
            <w:pPr>
              <w:jc w:val="center"/>
              <w:rPr>
                <w:rFonts w:ascii="Arial" w:eastAsia="Arial" w:hAnsi="Arial" w:cs="Arial"/>
                <w:bCs/>
              </w:rPr>
            </w:pPr>
          </w:p>
          <w:p w14:paraId="585CB89A" w14:textId="77777777" w:rsidR="00604C7C" w:rsidRDefault="003F5CB5">
            <w:pPr>
              <w:jc w:val="center"/>
              <w:rPr>
                <w:rFonts w:ascii="Arial" w:eastAsia="Arial" w:hAnsi="Arial" w:cs="Arial"/>
                <w:bCs/>
              </w:rPr>
            </w:pPr>
            <w:r>
              <w:rPr>
                <w:rFonts w:ascii="Arial" w:eastAsia="Arial" w:hAnsi="Arial" w:cs="Arial"/>
                <w:bCs/>
              </w:rPr>
              <w:t>9.338</w:t>
            </w:r>
          </w:p>
        </w:tc>
        <w:tc>
          <w:tcPr>
            <w:tcW w:w="1440" w:type="dxa"/>
            <w:vMerge w:val="restart"/>
            <w:tcBorders>
              <w:top w:val="single" w:sz="4" w:space="0" w:color="000000"/>
            </w:tcBorders>
          </w:tcPr>
          <w:p w14:paraId="7822CA6D" w14:textId="77777777" w:rsidR="00604C7C" w:rsidRDefault="00604C7C">
            <w:pPr>
              <w:jc w:val="center"/>
              <w:rPr>
                <w:rFonts w:ascii="Arial" w:eastAsia="Arial" w:hAnsi="Arial" w:cs="Arial"/>
                <w:bCs/>
              </w:rPr>
            </w:pPr>
          </w:p>
          <w:p w14:paraId="69BCB9AC" w14:textId="77777777" w:rsidR="00604C7C" w:rsidRDefault="003F5CB5">
            <w:pPr>
              <w:jc w:val="center"/>
              <w:rPr>
                <w:rFonts w:ascii="Arial" w:eastAsia="Arial" w:hAnsi="Arial" w:cs="Arial"/>
                <w:bCs/>
              </w:rPr>
            </w:pPr>
            <w:r>
              <w:rPr>
                <w:rFonts w:ascii="Arial" w:eastAsia="Arial" w:hAnsi="Arial" w:cs="Arial"/>
                <w:bCs/>
              </w:rPr>
              <w:t>14</w:t>
            </w:r>
          </w:p>
        </w:tc>
        <w:tc>
          <w:tcPr>
            <w:tcW w:w="810" w:type="dxa"/>
            <w:vMerge w:val="restart"/>
            <w:tcBorders>
              <w:top w:val="single" w:sz="4" w:space="0" w:color="000000"/>
            </w:tcBorders>
          </w:tcPr>
          <w:p w14:paraId="082BE1EA" w14:textId="77777777" w:rsidR="00604C7C" w:rsidRDefault="00604C7C">
            <w:pPr>
              <w:jc w:val="center"/>
              <w:rPr>
                <w:rFonts w:ascii="Arial" w:eastAsia="Arial" w:hAnsi="Arial" w:cs="Arial"/>
                <w:bCs/>
              </w:rPr>
            </w:pPr>
          </w:p>
          <w:p w14:paraId="16868D1A" w14:textId="77777777" w:rsidR="00604C7C" w:rsidRDefault="003F5CB5">
            <w:pPr>
              <w:jc w:val="center"/>
              <w:rPr>
                <w:rFonts w:ascii="Arial" w:eastAsia="Arial" w:hAnsi="Arial" w:cs="Arial"/>
                <w:bCs/>
              </w:rPr>
            </w:pPr>
            <w:r>
              <w:rPr>
                <w:rFonts w:ascii="Arial" w:eastAsia="Arial" w:hAnsi="Arial" w:cs="Arial"/>
                <w:bCs/>
              </w:rPr>
              <w:t>0.001</w:t>
            </w:r>
          </w:p>
        </w:tc>
        <w:tc>
          <w:tcPr>
            <w:tcW w:w="1260" w:type="dxa"/>
            <w:vMerge w:val="restart"/>
            <w:tcBorders>
              <w:top w:val="single" w:sz="4" w:space="0" w:color="000000"/>
            </w:tcBorders>
          </w:tcPr>
          <w:p w14:paraId="42DFCFAC" w14:textId="77777777" w:rsidR="00604C7C" w:rsidRDefault="00604C7C">
            <w:pPr>
              <w:jc w:val="center"/>
              <w:rPr>
                <w:rFonts w:ascii="Arial" w:eastAsia="Arial" w:hAnsi="Arial" w:cs="Arial"/>
                <w:bCs/>
              </w:rPr>
            </w:pPr>
          </w:p>
          <w:p w14:paraId="1F2EE04A" w14:textId="77777777" w:rsidR="00604C7C" w:rsidRDefault="003F5CB5">
            <w:pPr>
              <w:jc w:val="center"/>
              <w:rPr>
                <w:rFonts w:ascii="Arial" w:eastAsia="Arial" w:hAnsi="Arial" w:cs="Arial"/>
                <w:bCs/>
              </w:rPr>
            </w:pPr>
            <w:r>
              <w:rPr>
                <w:rFonts w:ascii="Arial" w:eastAsia="Arial" w:hAnsi="Arial" w:cs="Arial"/>
                <w:bCs/>
              </w:rPr>
              <w:t>2.411</w:t>
            </w:r>
          </w:p>
        </w:tc>
      </w:tr>
      <w:tr w:rsidR="00604C7C" w14:paraId="7ECEFA72" w14:textId="77777777">
        <w:trPr>
          <w:trHeight w:val="348"/>
        </w:trPr>
        <w:tc>
          <w:tcPr>
            <w:tcW w:w="1080" w:type="dxa"/>
            <w:tcBorders>
              <w:top w:val="single" w:sz="4" w:space="0" w:color="000000"/>
              <w:bottom w:val="single" w:sz="18" w:space="0" w:color="000000"/>
            </w:tcBorders>
          </w:tcPr>
          <w:p w14:paraId="331F4F21" w14:textId="77777777" w:rsidR="00604C7C" w:rsidRDefault="003F5CB5">
            <w:pPr>
              <w:jc w:val="center"/>
              <w:rPr>
                <w:rFonts w:ascii="Arial" w:eastAsia="Arial" w:hAnsi="Arial" w:cs="Arial"/>
                <w:bCs/>
              </w:rPr>
            </w:pPr>
            <w:r>
              <w:rPr>
                <w:rFonts w:ascii="Arial" w:eastAsia="Arial" w:hAnsi="Arial" w:cs="Arial"/>
                <w:bCs/>
              </w:rPr>
              <w:t>Posttest</w:t>
            </w:r>
          </w:p>
        </w:tc>
        <w:tc>
          <w:tcPr>
            <w:tcW w:w="771" w:type="dxa"/>
            <w:tcBorders>
              <w:top w:val="single" w:sz="4" w:space="0" w:color="000000"/>
              <w:bottom w:val="single" w:sz="18" w:space="0" w:color="000000"/>
            </w:tcBorders>
          </w:tcPr>
          <w:p w14:paraId="532B674D" w14:textId="77777777" w:rsidR="00604C7C" w:rsidRDefault="003F5CB5">
            <w:pPr>
              <w:jc w:val="center"/>
              <w:rPr>
                <w:rFonts w:ascii="Arial" w:eastAsia="Arial" w:hAnsi="Arial" w:cs="Arial"/>
                <w:bCs/>
              </w:rPr>
            </w:pPr>
            <w:r>
              <w:rPr>
                <w:rFonts w:ascii="Arial" w:eastAsia="Arial" w:hAnsi="Arial" w:cs="Arial"/>
                <w:bCs/>
              </w:rPr>
              <w:t>12.53</w:t>
            </w:r>
          </w:p>
        </w:tc>
        <w:tc>
          <w:tcPr>
            <w:tcW w:w="1132" w:type="dxa"/>
            <w:tcBorders>
              <w:top w:val="single" w:sz="4" w:space="0" w:color="000000"/>
              <w:bottom w:val="single" w:sz="18" w:space="0" w:color="000000"/>
            </w:tcBorders>
          </w:tcPr>
          <w:p w14:paraId="4326C54C" w14:textId="77777777" w:rsidR="00604C7C" w:rsidRDefault="003F5CB5">
            <w:pPr>
              <w:jc w:val="center"/>
              <w:rPr>
                <w:rFonts w:ascii="Arial" w:eastAsia="Arial" w:hAnsi="Arial" w:cs="Arial"/>
                <w:bCs/>
              </w:rPr>
            </w:pPr>
            <w:r>
              <w:rPr>
                <w:rFonts w:ascii="Arial" w:eastAsia="Arial" w:hAnsi="Arial" w:cs="Arial"/>
                <w:bCs/>
              </w:rPr>
              <w:t>2.00</w:t>
            </w:r>
          </w:p>
        </w:tc>
        <w:tc>
          <w:tcPr>
            <w:tcW w:w="827" w:type="dxa"/>
            <w:vMerge/>
            <w:tcBorders>
              <w:bottom w:val="single" w:sz="18" w:space="0" w:color="000000"/>
            </w:tcBorders>
          </w:tcPr>
          <w:p w14:paraId="416BC3A9" w14:textId="77777777" w:rsidR="00604C7C" w:rsidRDefault="00604C7C">
            <w:pPr>
              <w:jc w:val="center"/>
              <w:rPr>
                <w:rFonts w:ascii="Arial" w:eastAsia="Arial" w:hAnsi="Arial" w:cs="Arial"/>
                <w:bCs/>
              </w:rPr>
            </w:pPr>
          </w:p>
        </w:tc>
        <w:tc>
          <w:tcPr>
            <w:tcW w:w="1440" w:type="dxa"/>
            <w:vMerge/>
            <w:tcBorders>
              <w:bottom w:val="single" w:sz="18" w:space="0" w:color="000000"/>
            </w:tcBorders>
          </w:tcPr>
          <w:p w14:paraId="5E3DF612" w14:textId="77777777" w:rsidR="00604C7C" w:rsidRDefault="00604C7C">
            <w:pPr>
              <w:jc w:val="center"/>
              <w:rPr>
                <w:rFonts w:ascii="Arial" w:eastAsia="Arial" w:hAnsi="Arial" w:cs="Arial"/>
                <w:bCs/>
              </w:rPr>
            </w:pPr>
          </w:p>
        </w:tc>
        <w:tc>
          <w:tcPr>
            <w:tcW w:w="810" w:type="dxa"/>
            <w:vMerge/>
            <w:tcBorders>
              <w:bottom w:val="single" w:sz="18" w:space="0" w:color="000000"/>
            </w:tcBorders>
          </w:tcPr>
          <w:p w14:paraId="0A15FBEA" w14:textId="77777777" w:rsidR="00604C7C" w:rsidRDefault="00604C7C">
            <w:pPr>
              <w:jc w:val="center"/>
              <w:rPr>
                <w:rFonts w:ascii="Arial" w:eastAsia="Arial" w:hAnsi="Arial" w:cs="Arial"/>
                <w:bCs/>
              </w:rPr>
            </w:pPr>
          </w:p>
        </w:tc>
        <w:tc>
          <w:tcPr>
            <w:tcW w:w="1260" w:type="dxa"/>
            <w:vMerge/>
            <w:tcBorders>
              <w:bottom w:val="single" w:sz="18" w:space="0" w:color="000000"/>
            </w:tcBorders>
          </w:tcPr>
          <w:p w14:paraId="086DFEA7" w14:textId="77777777" w:rsidR="00604C7C" w:rsidRDefault="00604C7C">
            <w:pPr>
              <w:jc w:val="center"/>
              <w:rPr>
                <w:rFonts w:ascii="Arial" w:eastAsia="Arial" w:hAnsi="Arial" w:cs="Arial"/>
                <w:bCs/>
              </w:rPr>
            </w:pPr>
          </w:p>
        </w:tc>
      </w:tr>
    </w:tbl>
    <w:p w14:paraId="656AE6F1" w14:textId="77777777" w:rsidR="00604C7C" w:rsidRDefault="00604C7C">
      <w:pPr>
        <w:pStyle w:val="Body"/>
        <w:spacing w:after="0"/>
        <w:ind w:firstLine="720"/>
        <w:rPr>
          <w:rFonts w:ascii="Arial" w:hAnsi="Arial" w:cs="Arial"/>
          <w:lang w:val="en-PH"/>
        </w:rPr>
      </w:pPr>
    </w:p>
    <w:p w14:paraId="512A8B62" w14:textId="77777777" w:rsidR="00604C7C" w:rsidRDefault="00604C7C">
      <w:pPr>
        <w:pStyle w:val="Body"/>
        <w:spacing w:after="0"/>
        <w:rPr>
          <w:rFonts w:ascii="Arial" w:hAnsi="Arial" w:cs="Arial"/>
          <w:lang w:val="en-PH"/>
        </w:rPr>
      </w:pPr>
    </w:p>
    <w:p w14:paraId="683214A7" w14:textId="77777777" w:rsidR="00604C7C" w:rsidRDefault="003F5CB5">
      <w:pPr>
        <w:jc w:val="both"/>
        <w:rPr>
          <w:rFonts w:ascii="Arial" w:hAnsi="Arial" w:cs="Arial"/>
          <w:b/>
          <w:bCs/>
        </w:rPr>
      </w:pPr>
      <w:r>
        <w:rPr>
          <w:rFonts w:ascii="Arial" w:hAnsi="Arial" w:cs="Arial"/>
          <w:b/>
          <w:bCs/>
        </w:rPr>
        <w:t>Implications for Vocabulary Development</w:t>
      </w:r>
    </w:p>
    <w:p w14:paraId="644F33A4" w14:textId="77777777" w:rsidR="00604C7C" w:rsidRDefault="00604C7C">
      <w:pPr>
        <w:jc w:val="both"/>
        <w:rPr>
          <w:rFonts w:ascii="Arial" w:hAnsi="Arial" w:cs="Arial"/>
          <w:b/>
          <w:bCs/>
        </w:rPr>
      </w:pPr>
    </w:p>
    <w:p w14:paraId="4D7D06C6" w14:textId="77777777" w:rsidR="00604C7C" w:rsidRDefault="003F5CB5">
      <w:pPr>
        <w:ind w:firstLine="720"/>
        <w:jc w:val="both"/>
        <w:rPr>
          <w:rFonts w:ascii="Arial" w:hAnsi="Arial" w:cs="Arial"/>
        </w:rPr>
      </w:pPr>
      <w:r>
        <w:rPr>
          <w:rFonts w:ascii="Arial" w:hAnsi="Arial" w:cs="Arial"/>
        </w:rPr>
        <w:t xml:space="preserve">This study demonstrated that Total Physical Response (TPR) is a powerful strategy for enhancing vocabulary learning among Grade 1 learners. Through physical movement and </w:t>
      </w:r>
      <w:r>
        <w:rPr>
          <w:rFonts w:ascii="Arial" w:hAnsi="Arial" w:cs="Arial"/>
        </w:rPr>
        <w:t>active participation, learners were able to connect new words with concrete actions, making it easier to understand and remember meanings. Instead of relying on memorization or passive drills, TPR transforms vocabulary instruction into an engaging and play</w:t>
      </w:r>
      <w:r>
        <w:rPr>
          <w:rFonts w:ascii="Arial" w:hAnsi="Arial" w:cs="Arial"/>
        </w:rPr>
        <w:t>ful experience that keeps young learners motivated and involved.</w:t>
      </w:r>
    </w:p>
    <w:p w14:paraId="5079BEDB" w14:textId="77777777" w:rsidR="00604C7C" w:rsidRDefault="003F5CB5">
      <w:pPr>
        <w:ind w:firstLine="720"/>
        <w:jc w:val="both"/>
        <w:rPr>
          <w:rFonts w:ascii="Arial" w:hAnsi="Arial" w:cs="Arial"/>
        </w:rPr>
      </w:pPr>
      <w:r>
        <w:rPr>
          <w:rFonts w:ascii="Arial" w:hAnsi="Arial" w:cs="Arial"/>
        </w:rPr>
        <w:t>The use of gestures, routines, and repetition helped reinforce word associations and improved students’ confidence in using language. Many students who typically struggle with attention or ve</w:t>
      </w:r>
      <w:r>
        <w:rPr>
          <w:rFonts w:ascii="Arial" w:hAnsi="Arial" w:cs="Arial"/>
        </w:rPr>
        <w:t>rbal participation were more responsive during lessons when movement was included. TPR also proved to be an inclusive approach, benefiting learners with different styles, whether they learn best by seeing, hearing, or doing. The positive outcomes suggest t</w:t>
      </w:r>
      <w:r>
        <w:rPr>
          <w:rFonts w:ascii="Arial" w:hAnsi="Arial" w:cs="Arial"/>
        </w:rPr>
        <w:t>hat vocabulary instruction in the early grades can be significantly improved by integrating physical activity and interactive strategies.</w:t>
      </w:r>
    </w:p>
    <w:p w14:paraId="699BCB19" w14:textId="77777777" w:rsidR="00604C7C" w:rsidRDefault="003F5CB5">
      <w:pPr>
        <w:ind w:firstLine="720"/>
        <w:jc w:val="both"/>
        <w:rPr>
          <w:rFonts w:ascii="Arial" w:hAnsi="Arial" w:cs="Arial"/>
        </w:rPr>
      </w:pPr>
      <w:r>
        <w:rPr>
          <w:rFonts w:ascii="Arial" w:hAnsi="Arial" w:cs="Arial"/>
        </w:rPr>
        <w:lastRenderedPageBreak/>
        <w:t xml:space="preserve">Teachers can apply TPR with little to no technology, making it an accessible and cost-effective method, especially in </w:t>
      </w:r>
      <w:r>
        <w:rPr>
          <w:rFonts w:ascii="Arial" w:hAnsi="Arial" w:cs="Arial"/>
        </w:rPr>
        <w:t>schools with limited resources. Overall, this approach offers a straightforward yet impactful way to enhance early vocabulary development, making it more meaningful, enjoyable, and effective in any classroom setting.</w:t>
      </w:r>
    </w:p>
    <w:p w14:paraId="18CB5B5F" w14:textId="77777777" w:rsidR="00604C7C" w:rsidRDefault="00604C7C">
      <w:pPr>
        <w:spacing w:line="480" w:lineRule="auto"/>
        <w:jc w:val="both"/>
        <w:rPr>
          <w:rFonts w:ascii="Arial" w:hAnsi="Arial" w:cs="Arial"/>
        </w:rPr>
      </w:pPr>
    </w:p>
    <w:p w14:paraId="4C7D0475" w14:textId="77777777" w:rsidR="00604C7C" w:rsidRDefault="003F5CB5">
      <w:pPr>
        <w:pStyle w:val="ConcHead"/>
        <w:spacing w:after="0"/>
        <w:jc w:val="both"/>
        <w:rPr>
          <w:rFonts w:ascii="Arial" w:hAnsi="Arial" w:cs="Arial"/>
        </w:rPr>
      </w:pPr>
      <w:r>
        <w:rPr>
          <w:rFonts w:ascii="Arial" w:hAnsi="Arial" w:cs="Arial"/>
        </w:rPr>
        <w:t>5. Conclusion</w:t>
      </w:r>
    </w:p>
    <w:p w14:paraId="7320D823" w14:textId="77777777" w:rsidR="00604C7C" w:rsidRDefault="00604C7C">
      <w:pPr>
        <w:pStyle w:val="ConcHead"/>
        <w:spacing w:after="0"/>
        <w:jc w:val="both"/>
        <w:rPr>
          <w:rFonts w:ascii="Arial" w:hAnsi="Arial" w:cs="Arial"/>
        </w:rPr>
      </w:pPr>
    </w:p>
    <w:p w14:paraId="4E10BC89" w14:textId="77777777" w:rsidR="00604C7C" w:rsidRDefault="003F5CB5">
      <w:pPr>
        <w:pStyle w:val="ConcHead"/>
        <w:spacing w:after="0"/>
        <w:jc w:val="both"/>
        <w:rPr>
          <w:rFonts w:ascii="Arial" w:hAnsi="Arial" w:cs="Arial"/>
          <w:sz w:val="20"/>
        </w:rPr>
      </w:pPr>
      <w:r>
        <w:rPr>
          <w:rFonts w:ascii="Arial" w:hAnsi="Arial" w:cs="Arial"/>
          <w:caps w:val="0"/>
          <w:sz w:val="20"/>
        </w:rPr>
        <w:t>Conclusion</w:t>
      </w:r>
    </w:p>
    <w:p w14:paraId="731DBD7E" w14:textId="77777777" w:rsidR="00604C7C" w:rsidRDefault="00604C7C">
      <w:pPr>
        <w:pStyle w:val="ConcHead"/>
        <w:spacing w:after="0"/>
        <w:jc w:val="both"/>
        <w:rPr>
          <w:rFonts w:ascii="Arial" w:hAnsi="Arial" w:cs="Arial"/>
        </w:rPr>
      </w:pPr>
    </w:p>
    <w:p w14:paraId="56FB6FED" w14:textId="77777777" w:rsidR="00604C7C" w:rsidRDefault="003F5CB5">
      <w:pPr>
        <w:pStyle w:val="Body"/>
        <w:numPr>
          <w:ilvl w:val="0"/>
          <w:numId w:val="37"/>
        </w:numPr>
        <w:spacing w:after="0"/>
        <w:rPr>
          <w:rFonts w:ascii="Arial" w:hAnsi="Arial" w:cs="Arial"/>
          <w:lang w:val="en-PH"/>
        </w:rPr>
      </w:pPr>
      <w:r>
        <w:rPr>
          <w:rFonts w:ascii="Arial" w:hAnsi="Arial" w:cs="Arial"/>
          <w:lang w:val="en-PH"/>
        </w:rPr>
        <w:t xml:space="preserve">The </w:t>
      </w:r>
      <w:r>
        <w:rPr>
          <w:rFonts w:ascii="Arial" w:hAnsi="Arial" w:cs="Arial"/>
          <w:lang w:val="en-PH"/>
        </w:rPr>
        <w:t>Grade 1 learners' pre-test performance in vocabulary was below the expected level, with a mean score of 6.87, corresponding to a transmuted grade of 71, interpreted as “Did Not Meet Expectations.” This indicates that before the intervention, learners had l</w:t>
      </w:r>
      <w:r>
        <w:rPr>
          <w:rFonts w:ascii="Arial" w:hAnsi="Arial" w:cs="Arial"/>
          <w:lang w:val="en-PH"/>
        </w:rPr>
        <w:t>imited ability to determine word meanings using clues, underscoring the need for an alternative, more effective instructional strategy.</w:t>
      </w:r>
    </w:p>
    <w:p w14:paraId="0701B955" w14:textId="77777777" w:rsidR="00604C7C" w:rsidRDefault="003F5CB5">
      <w:pPr>
        <w:pStyle w:val="Body"/>
        <w:numPr>
          <w:ilvl w:val="0"/>
          <w:numId w:val="37"/>
        </w:numPr>
        <w:spacing w:after="0"/>
        <w:rPr>
          <w:rFonts w:ascii="Arial" w:hAnsi="Arial" w:cs="Arial"/>
          <w:lang w:val="en-PH"/>
        </w:rPr>
      </w:pPr>
      <w:r>
        <w:rPr>
          <w:rFonts w:ascii="Arial" w:hAnsi="Arial" w:cs="Arial"/>
          <w:lang w:val="en-PH"/>
        </w:rPr>
        <w:t>After receiving vocabulary instruction through five tutorial sessions using the Total Physical Response (TPR) method, th</w:t>
      </w:r>
      <w:r>
        <w:rPr>
          <w:rFonts w:ascii="Arial" w:hAnsi="Arial" w:cs="Arial"/>
          <w:lang w:val="en-PH"/>
        </w:rPr>
        <w:t>e learners' performance showed significant improvement. The mean post-test score rose to 12.53, with a transmuted grade of 89, falling within the "Very Satisfactory" category. This demonstrates that TPR successfully enhanced learners' ability to understand</w:t>
      </w:r>
      <w:r>
        <w:rPr>
          <w:rFonts w:ascii="Arial" w:hAnsi="Arial" w:cs="Arial"/>
          <w:lang w:val="en-PH"/>
        </w:rPr>
        <w:t xml:space="preserve"> and recall vocabulary words by associating them with physical actions, in alignment with cognitive development principles that support learning through active engagement and multisensory input.</w:t>
      </w:r>
    </w:p>
    <w:p w14:paraId="682FAA5F" w14:textId="77777777" w:rsidR="00604C7C" w:rsidRDefault="003F5CB5">
      <w:pPr>
        <w:pStyle w:val="Body"/>
        <w:numPr>
          <w:ilvl w:val="0"/>
          <w:numId w:val="37"/>
        </w:numPr>
        <w:spacing w:after="0"/>
        <w:rPr>
          <w:rFonts w:ascii="Arial" w:hAnsi="Arial" w:cs="Arial"/>
        </w:rPr>
      </w:pPr>
      <w:r>
        <w:rPr>
          <w:rFonts w:ascii="Arial" w:hAnsi="Arial" w:cs="Arial"/>
          <w:lang w:val="en-PH"/>
        </w:rPr>
        <w:t>Statistical analysis using an independent samples t-test revealed a t-value of 9.338 and a p-value of 0.001, indicating a statistically significant difference between the pre-test and post-test scores. Additionally, a Cohen’s d effect size of 2.411 reflect</w:t>
      </w:r>
      <w:r>
        <w:rPr>
          <w:rFonts w:ascii="Arial" w:hAnsi="Arial" w:cs="Arial"/>
          <w:lang w:val="en-PH"/>
        </w:rPr>
        <w:t xml:space="preserve">s a very large educational impact of the intervention. These findings confirm that the improvement in vocabulary scores was not due to random chance but a direct result of the TPR-based instruction. The method’s integration of physical movement and verbal </w:t>
      </w:r>
      <w:r>
        <w:rPr>
          <w:rFonts w:ascii="Arial" w:hAnsi="Arial" w:cs="Arial"/>
          <w:lang w:val="en-PH"/>
        </w:rPr>
        <w:t xml:space="preserve">cues created meaningful learning experiences, making it an effective strategy for vocabulary acquisition in early primary learners. </w:t>
      </w:r>
    </w:p>
    <w:p w14:paraId="07A7FD12" w14:textId="77777777" w:rsidR="00604C7C" w:rsidRDefault="00604C7C">
      <w:pPr>
        <w:pStyle w:val="Body"/>
        <w:spacing w:after="0"/>
        <w:rPr>
          <w:rFonts w:ascii="Arial" w:hAnsi="Arial" w:cs="Arial"/>
          <w:lang w:val="en-PH"/>
        </w:rPr>
      </w:pPr>
    </w:p>
    <w:p w14:paraId="52A446FF" w14:textId="77777777" w:rsidR="00604C7C" w:rsidRDefault="003F5CB5">
      <w:pPr>
        <w:pStyle w:val="Body"/>
        <w:spacing w:after="0"/>
        <w:rPr>
          <w:rFonts w:ascii="Arial" w:hAnsi="Arial" w:cs="Arial"/>
          <w:b/>
          <w:bCs/>
        </w:rPr>
      </w:pPr>
      <w:r>
        <w:rPr>
          <w:rFonts w:ascii="Arial" w:hAnsi="Arial" w:cs="Arial"/>
          <w:b/>
          <w:bCs/>
        </w:rPr>
        <w:t>RECOMMENDATIONS</w:t>
      </w:r>
    </w:p>
    <w:p w14:paraId="03448BF8" w14:textId="77777777" w:rsidR="00604C7C" w:rsidRDefault="00604C7C">
      <w:pPr>
        <w:pStyle w:val="Body"/>
        <w:spacing w:after="0"/>
        <w:rPr>
          <w:rFonts w:ascii="Arial" w:hAnsi="Arial" w:cs="Arial"/>
        </w:rPr>
      </w:pPr>
    </w:p>
    <w:p w14:paraId="77BA48B6" w14:textId="77777777" w:rsidR="00604C7C" w:rsidRDefault="003F5CB5">
      <w:pPr>
        <w:pStyle w:val="Body"/>
        <w:numPr>
          <w:ilvl w:val="0"/>
          <w:numId w:val="38"/>
        </w:numPr>
        <w:spacing w:after="0"/>
        <w:rPr>
          <w:rFonts w:ascii="Arial" w:hAnsi="Arial" w:cs="Arial"/>
        </w:rPr>
      </w:pPr>
      <w:r>
        <w:rPr>
          <w:rFonts w:ascii="Arial" w:hAnsi="Arial" w:cs="Arial"/>
        </w:rPr>
        <w:t>It is recommended that teachers conduct initial diagnostic assessments to determine the learners' baselin</w:t>
      </w:r>
      <w:r>
        <w:rPr>
          <w:rFonts w:ascii="Arial" w:hAnsi="Arial" w:cs="Arial"/>
        </w:rPr>
        <w:t>e vocabulary level at the start of each quarter. This can help identify those who are struggling and may benefit from early intervention or focused vocabulary reinforcement. Teachers may also consider limiting traditional drill-based approaches and instead</w:t>
      </w:r>
      <w:r>
        <w:rPr>
          <w:rFonts w:ascii="Arial" w:hAnsi="Arial" w:cs="Arial"/>
        </w:rPr>
        <w:t xml:space="preserve"> exploring interactive strategies that cater to the developmental needs of young learners, such as games, visual aids, and integrating verbal context.</w:t>
      </w:r>
    </w:p>
    <w:p w14:paraId="408460FC" w14:textId="77777777" w:rsidR="00604C7C" w:rsidRDefault="003F5CB5">
      <w:pPr>
        <w:pStyle w:val="Body"/>
        <w:numPr>
          <w:ilvl w:val="0"/>
          <w:numId w:val="38"/>
        </w:numPr>
        <w:spacing w:after="0"/>
        <w:rPr>
          <w:rFonts w:ascii="Arial" w:hAnsi="Arial" w:cs="Arial"/>
        </w:rPr>
      </w:pPr>
      <w:r>
        <w:rPr>
          <w:rFonts w:ascii="Arial" w:hAnsi="Arial" w:cs="Arial"/>
        </w:rPr>
        <w:t>It is recommended that the Total Physical Response method be incorporated into regular vocabulary instruc</w:t>
      </w:r>
      <w:r>
        <w:rPr>
          <w:rFonts w:ascii="Arial" w:hAnsi="Arial" w:cs="Arial"/>
        </w:rPr>
        <w:t>tion, especially for primary-grade learners. Teachers may use movement-based activities, such as acting out verbs or demonstrating word meanings through gestures, to make vocabulary learning more engaging and memorable. Schools may also offer in-service tr</w:t>
      </w:r>
      <w:r>
        <w:rPr>
          <w:rFonts w:ascii="Arial" w:hAnsi="Arial" w:cs="Arial"/>
        </w:rPr>
        <w:t>aining to equip teachers with practical ways to apply TPR techniques that align with DepEd competencies, particularly the standard "Give the meaning of words through clues."</w:t>
      </w:r>
    </w:p>
    <w:p w14:paraId="31897F7C" w14:textId="77777777" w:rsidR="00604C7C" w:rsidRDefault="003F5CB5">
      <w:pPr>
        <w:pStyle w:val="Body"/>
        <w:numPr>
          <w:ilvl w:val="0"/>
          <w:numId w:val="38"/>
        </w:numPr>
        <w:spacing w:after="0"/>
        <w:rPr>
          <w:rFonts w:ascii="Arial" w:hAnsi="Arial" w:cs="Arial"/>
        </w:rPr>
      </w:pPr>
      <w:r>
        <w:rPr>
          <w:rFonts w:ascii="Arial" w:hAnsi="Arial" w:cs="Arial"/>
        </w:rPr>
        <w:t>Given the strong statistical significance and large effect size of the interventio</w:t>
      </w:r>
      <w:r>
        <w:rPr>
          <w:rFonts w:ascii="Arial" w:hAnsi="Arial" w:cs="Arial"/>
        </w:rPr>
        <w:t>n, it is recommended that TPR be explored for wider implementation in remedial reading, vocabulary enrichment, and tutorial programs. Schools may consider designating regular slots for TPR-based instruction during reading periods or in pull-out support cla</w:t>
      </w:r>
      <w:r>
        <w:rPr>
          <w:rFonts w:ascii="Arial" w:hAnsi="Arial" w:cs="Arial"/>
        </w:rPr>
        <w:t xml:space="preserve">sses. Additionally, future researchers are encouraged to replicate this study across </w:t>
      </w:r>
      <w:r>
        <w:rPr>
          <w:rFonts w:ascii="Arial" w:hAnsi="Arial" w:cs="Arial"/>
        </w:rPr>
        <w:lastRenderedPageBreak/>
        <w:t>multiple grade levels, subjects, or school contexts to validate the effectiveness of the TPR approach further and expand its applications in early education.</w:t>
      </w:r>
    </w:p>
    <w:p w14:paraId="02EC8D05" w14:textId="77777777" w:rsidR="00604C7C" w:rsidRDefault="00604C7C">
      <w:pPr>
        <w:pBdr>
          <w:top w:val="nil"/>
          <w:left w:val="nil"/>
          <w:bottom w:val="nil"/>
          <w:right w:val="nil"/>
          <w:between w:val="nil"/>
        </w:pBdr>
        <w:ind w:firstLine="720"/>
        <w:jc w:val="both"/>
        <w:rPr>
          <w:rFonts w:ascii="Arial" w:eastAsia="Arial" w:hAnsi="Arial" w:cs="Arial"/>
          <w:color w:val="000000"/>
          <w:highlight w:val="white"/>
        </w:rPr>
      </w:pPr>
    </w:p>
    <w:p w14:paraId="47EAAB8B" w14:textId="77777777" w:rsidR="00604C7C" w:rsidRDefault="003F5CB5">
      <w:pPr>
        <w:pStyle w:val="ReferHead"/>
        <w:spacing w:after="0"/>
        <w:jc w:val="both"/>
        <w:rPr>
          <w:rFonts w:ascii="Arial" w:hAnsi="Arial" w:cs="Arial"/>
        </w:rPr>
      </w:pPr>
      <w:r>
        <w:rPr>
          <w:rFonts w:ascii="Arial" w:hAnsi="Arial" w:cs="Arial"/>
        </w:rPr>
        <w:t>References</w:t>
      </w:r>
      <w:commentRangeStart w:id="5"/>
      <w:commentRangeEnd w:id="5"/>
      <w:r w:rsidR="00551D57">
        <w:rPr>
          <w:rStyle w:val="CommentReference"/>
          <w:rFonts w:ascii="Times New Roman" w:hAnsi="Times New Roman"/>
          <w:b w:val="0"/>
          <w:caps w:val="0"/>
          <w:lang w:val="nb-NO" w:eastAsia="nb-NO"/>
        </w:rPr>
        <w:commentReference w:id="5"/>
      </w:r>
    </w:p>
    <w:p w14:paraId="10C3CC37" w14:textId="77777777" w:rsidR="00604C7C" w:rsidRDefault="00604C7C">
      <w:pPr>
        <w:pStyle w:val="ReferHead"/>
        <w:spacing w:after="0"/>
        <w:ind w:hanging="180"/>
        <w:jc w:val="both"/>
        <w:rPr>
          <w:rFonts w:ascii="Arial" w:hAnsi="Arial" w:cs="Arial"/>
        </w:rPr>
      </w:pPr>
    </w:p>
    <w:p w14:paraId="427E26DB" w14:textId="77777777" w:rsidR="00604C7C" w:rsidRDefault="003F5CB5">
      <w:pPr>
        <w:pStyle w:val="Body"/>
        <w:numPr>
          <w:ilvl w:val="0"/>
          <w:numId w:val="39"/>
        </w:numPr>
        <w:spacing w:after="0"/>
        <w:ind w:hanging="180"/>
        <w:rPr>
          <w:lang w:val="en-GB"/>
        </w:rPr>
      </w:pPr>
      <w:proofErr w:type="spellStart"/>
      <w:r>
        <w:rPr>
          <w:rFonts w:ascii="Arial" w:hAnsi="Arial" w:cs="Arial"/>
          <w:lang w:val="en-PH"/>
        </w:rPr>
        <w:t>Acurio</w:t>
      </w:r>
      <w:proofErr w:type="spellEnd"/>
      <w:r>
        <w:rPr>
          <w:rFonts w:ascii="Arial" w:hAnsi="Arial" w:cs="Arial"/>
          <w:lang w:val="en-PH"/>
        </w:rPr>
        <w:t xml:space="preserve"> </w:t>
      </w:r>
      <w:proofErr w:type="spellStart"/>
      <w:r>
        <w:rPr>
          <w:rFonts w:ascii="Arial" w:hAnsi="Arial" w:cs="Arial"/>
          <w:lang w:val="en-PH"/>
        </w:rPr>
        <w:t>Acurio</w:t>
      </w:r>
      <w:proofErr w:type="spellEnd"/>
      <w:r>
        <w:rPr>
          <w:rFonts w:ascii="Arial" w:hAnsi="Arial" w:cs="Arial"/>
          <w:lang w:val="en-PH"/>
        </w:rPr>
        <w:t xml:space="preserve">, A. B., &amp; </w:t>
      </w:r>
      <w:proofErr w:type="spellStart"/>
      <w:r>
        <w:rPr>
          <w:rFonts w:ascii="Arial" w:hAnsi="Arial" w:cs="Arial"/>
          <w:lang w:val="en-PH"/>
        </w:rPr>
        <w:t>Rivadeneira</w:t>
      </w:r>
      <w:proofErr w:type="spellEnd"/>
      <w:r>
        <w:rPr>
          <w:rFonts w:ascii="Arial" w:hAnsi="Arial" w:cs="Arial"/>
          <w:lang w:val="en-PH"/>
        </w:rPr>
        <w:t xml:space="preserve"> Cepeda, J. I. (2023). Students' perceptions on learning vocabulary through total physical response (TPR) in EFL classrooms [Bachelor's thesis, Universidad Técnica de Cotopaxi].</w:t>
      </w:r>
    </w:p>
    <w:p w14:paraId="7CA58755" w14:textId="77777777" w:rsidR="00604C7C" w:rsidRDefault="003F5CB5">
      <w:pPr>
        <w:pStyle w:val="Body"/>
        <w:numPr>
          <w:ilvl w:val="0"/>
          <w:numId w:val="39"/>
        </w:numPr>
        <w:spacing w:after="0"/>
        <w:ind w:hanging="180"/>
        <w:rPr>
          <w:lang w:val="en-GB"/>
        </w:rPr>
      </w:pPr>
      <w:r>
        <w:rPr>
          <w:lang w:val="en-GB"/>
        </w:rPr>
        <w:t xml:space="preserve">Al Firdaus, M. W. M., &amp; </w:t>
      </w:r>
      <w:proofErr w:type="spellStart"/>
      <w:r>
        <w:rPr>
          <w:lang w:val="en-GB"/>
        </w:rPr>
        <w:t>Rahmawati</w:t>
      </w:r>
      <w:proofErr w:type="spellEnd"/>
      <w:r>
        <w:rPr>
          <w:lang w:val="en-GB"/>
        </w:rPr>
        <w:t>, E. (2024</w:t>
      </w:r>
      <w:r>
        <w:rPr>
          <w:lang w:val="en-GB"/>
        </w:rPr>
        <w:t xml:space="preserve">). The impact of </w:t>
      </w:r>
      <w:proofErr w:type="spellStart"/>
      <w:r>
        <w:rPr>
          <w:lang w:val="en-GB"/>
        </w:rPr>
        <w:t>Wordwall</w:t>
      </w:r>
      <w:proofErr w:type="spellEnd"/>
      <w:r>
        <w:rPr>
          <w:lang w:val="en-GB"/>
        </w:rPr>
        <w:t xml:space="preserve"> online games on English vocabulary mastery in reading. Premise: Journal of English Education, 13(3). </w:t>
      </w:r>
      <w:r>
        <w:rPr>
          <w:color w:val="000000" w:themeColor="text1"/>
          <w:lang w:val="en-GB"/>
        </w:rPr>
        <w:t>https://doi.org/10.24127/pj.v13i3.10838</w:t>
      </w:r>
    </w:p>
    <w:p w14:paraId="7545B7AB" w14:textId="77777777" w:rsidR="00604C7C" w:rsidRDefault="003F5CB5">
      <w:pPr>
        <w:pStyle w:val="Body"/>
        <w:numPr>
          <w:ilvl w:val="0"/>
          <w:numId w:val="39"/>
        </w:numPr>
        <w:spacing w:after="0"/>
        <w:ind w:hanging="180"/>
        <w:rPr>
          <w:color w:val="000000" w:themeColor="text1"/>
          <w:lang w:val="en-GB"/>
        </w:rPr>
      </w:pPr>
      <w:proofErr w:type="spellStart"/>
      <w:r>
        <w:rPr>
          <w:lang w:val="en-GB"/>
        </w:rPr>
        <w:t>Alabsi</w:t>
      </w:r>
      <w:proofErr w:type="spellEnd"/>
      <w:r>
        <w:rPr>
          <w:lang w:val="en-GB"/>
        </w:rPr>
        <w:t xml:space="preserve">, T. A. (2016). The effectiveness of role-play strategy in teaching vocabulary. Theory and practice in language studies, 6(2), 227. </w:t>
      </w:r>
      <w:r>
        <w:rPr>
          <w:color w:val="000000" w:themeColor="text1"/>
          <w:lang w:val="en-GB"/>
        </w:rPr>
        <w:t>http://dx.doi.org/10.17507/tpls.0602.02</w:t>
      </w:r>
    </w:p>
    <w:p w14:paraId="0EA41BA0" w14:textId="77777777" w:rsidR="00604C7C" w:rsidRDefault="003F5CB5">
      <w:pPr>
        <w:pStyle w:val="Body"/>
        <w:numPr>
          <w:ilvl w:val="0"/>
          <w:numId w:val="39"/>
        </w:numPr>
        <w:spacing w:after="0"/>
        <w:ind w:hanging="180"/>
        <w:rPr>
          <w:lang w:val="en-GB"/>
        </w:rPr>
      </w:pPr>
      <w:r>
        <w:rPr>
          <w:lang w:val="en-GB"/>
        </w:rPr>
        <w:t>Al-</w:t>
      </w:r>
      <w:proofErr w:type="spellStart"/>
      <w:r>
        <w:rPr>
          <w:lang w:val="en-GB"/>
        </w:rPr>
        <w:t>Seghayer</w:t>
      </w:r>
      <w:proofErr w:type="spellEnd"/>
      <w:r>
        <w:rPr>
          <w:lang w:val="en-GB"/>
        </w:rPr>
        <w:t xml:space="preserve">, K. (2017). The central characteristics of successful ESL/EFL teachers. </w:t>
      </w:r>
      <w:r>
        <w:rPr>
          <w:lang w:val="en-GB"/>
        </w:rPr>
        <w:t xml:space="preserve">Journal of Language Teaching and Research, 8(5), 881–890. </w:t>
      </w:r>
      <w:r>
        <w:rPr>
          <w:color w:val="000000" w:themeColor="text1"/>
          <w:lang w:val="en-GB"/>
        </w:rPr>
        <w:t>http://dx.doi.org/10.17507/jltr.0805.06</w:t>
      </w:r>
    </w:p>
    <w:p w14:paraId="48C49062" w14:textId="77777777" w:rsidR="00604C7C" w:rsidRDefault="003F5CB5">
      <w:pPr>
        <w:pStyle w:val="Body"/>
        <w:numPr>
          <w:ilvl w:val="0"/>
          <w:numId w:val="39"/>
        </w:numPr>
        <w:spacing w:after="0"/>
        <w:ind w:hanging="180"/>
        <w:rPr>
          <w:lang w:val="en-GB"/>
        </w:rPr>
      </w:pPr>
      <w:proofErr w:type="spellStart"/>
      <w:r>
        <w:rPr>
          <w:lang w:val="en-GB"/>
        </w:rPr>
        <w:t>Aloizou</w:t>
      </w:r>
      <w:proofErr w:type="spellEnd"/>
      <w:r>
        <w:rPr>
          <w:lang w:val="en-GB"/>
        </w:rPr>
        <w:t xml:space="preserve">, V., </w:t>
      </w:r>
      <w:proofErr w:type="spellStart"/>
      <w:r>
        <w:rPr>
          <w:lang w:val="en-GB"/>
        </w:rPr>
        <w:t>Linardatou</w:t>
      </w:r>
      <w:proofErr w:type="spellEnd"/>
      <w:r>
        <w:rPr>
          <w:lang w:val="en-GB"/>
        </w:rPr>
        <w:t xml:space="preserve">, S., </w:t>
      </w:r>
      <w:proofErr w:type="spellStart"/>
      <w:r>
        <w:rPr>
          <w:lang w:val="en-GB"/>
        </w:rPr>
        <w:t>Boloudakis</w:t>
      </w:r>
      <w:proofErr w:type="spellEnd"/>
      <w:r>
        <w:rPr>
          <w:lang w:val="en-GB"/>
        </w:rPr>
        <w:t xml:space="preserve">, M., &amp; </w:t>
      </w:r>
      <w:proofErr w:type="spellStart"/>
      <w:r>
        <w:rPr>
          <w:lang w:val="en-GB"/>
        </w:rPr>
        <w:t>Retalis</w:t>
      </w:r>
      <w:proofErr w:type="spellEnd"/>
      <w:r>
        <w:rPr>
          <w:lang w:val="en-GB"/>
        </w:rPr>
        <w:t>, S. (2024). Integrating a movement</w:t>
      </w:r>
      <w:r>
        <w:rPr>
          <w:rFonts w:ascii="Cambria Math" w:hAnsi="Cambria Math" w:cs="Cambria Math"/>
          <w:lang w:val="en-GB"/>
        </w:rPr>
        <w:t>‐</w:t>
      </w:r>
      <w:r>
        <w:rPr>
          <w:lang w:val="en-GB"/>
        </w:rPr>
        <w:t>based learning platform as core curriculum tool in kindergarten clas</w:t>
      </w:r>
      <w:r>
        <w:rPr>
          <w:lang w:val="en-GB"/>
        </w:rPr>
        <w:t>srooms. British Journal of Educational Technology.</w:t>
      </w:r>
    </w:p>
    <w:p w14:paraId="37E3CF7A" w14:textId="77777777" w:rsidR="00604C7C" w:rsidRDefault="003F5CB5">
      <w:pPr>
        <w:pStyle w:val="Body"/>
        <w:numPr>
          <w:ilvl w:val="0"/>
          <w:numId w:val="39"/>
        </w:numPr>
        <w:spacing w:after="0"/>
        <w:ind w:hanging="180"/>
        <w:rPr>
          <w:lang w:val="en-GB"/>
        </w:rPr>
      </w:pPr>
      <w:r>
        <w:rPr>
          <w:lang w:val="en-GB"/>
        </w:rPr>
        <w:t xml:space="preserve">Amalia Putri, P. (2024). The effect of the total physical response method for teaching literacy to young </w:t>
      </w:r>
      <w:proofErr w:type="spellStart"/>
      <w:r>
        <w:rPr>
          <w:lang w:val="en-GB"/>
        </w:rPr>
        <w:t>efl</w:t>
      </w:r>
      <w:proofErr w:type="spellEnd"/>
      <w:r>
        <w:rPr>
          <w:lang w:val="en-GB"/>
        </w:rPr>
        <w:t xml:space="preserve"> learners (Doctoral dissertation, Pendidikan Bahasa </w:t>
      </w:r>
      <w:proofErr w:type="spellStart"/>
      <w:r>
        <w:rPr>
          <w:lang w:val="en-GB"/>
        </w:rPr>
        <w:t>Inggris</w:t>
      </w:r>
      <w:proofErr w:type="spellEnd"/>
      <w:r>
        <w:rPr>
          <w:lang w:val="en-GB"/>
        </w:rPr>
        <w:t xml:space="preserve">). </w:t>
      </w:r>
      <w:r>
        <w:rPr>
          <w:color w:val="000000" w:themeColor="text1"/>
          <w:lang w:val="en-GB"/>
        </w:rPr>
        <w:t>https://repository.unja.ac.id/id/ep</w:t>
      </w:r>
      <w:r>
        <w:rPr>
          <w:color w:val="000000" w:themeColor="text1"/>
          <w:lang w:val="en-GB"/>
        </w:rPr>
        <w:t>rint/60677</w:t>
      </w:r>
    </w:p>
    <w:p w14:paraId="399B46EC" w14:textId="77777777" w:rsidR="00604C7C" w:rsidRDefault="003F5CB5">
      <w:pPr>
        <w:pStyle w:val="Body"/>
        <w:numPr>
          <w:ilvl w:val="0"/>
          <w:numId w:val="39"/>
        </w:numPr>
        <w:spacing w:after="0"/>
        <w:ind w:hanging="180"/>
        <w:rPr>
          <w:lang w:val="en-GB"/>
        </w:rPr>
      </w:pPr>
      <w:proofErr w:type="spellStart"/>
      <w:r>
        <w:rPr>
          <w:lang w:val="en-GB"/>
        </w:rPr>
        <w:t>Andrä</w:t>
      </w:r>
      <w:proofErr w:type="spellEnd"/>
      <w:r>
        <w:rPr>
          <w:lang w:val="en-GB"/>
        </w:rPr>
        <w:t xml:space="preserve">, C., Mathias, B., </w:t>
      </w:r>
      <w:proofErr w:type="spellStart"/>
      <w:r>
        <w:rPr>
          <w:lang w:val="en-GB"/>
        </w:rPr>
        <w:t>Schwager</w:t>
      </w:r>
      <w:proofErr w:type="spellEnd"/>
      <w:r>
        <w:rPr>
          <w:lang w:val="en-GB"/>
        </w:rPr>
        <w:t xml:space="preserve">, A., Macedonia, M., &amp; Von </w:t>
      </w:r>
      <w:proofErr w:type="spellStart"/>
      <w:r>
        <w:rPr>
          <w:lang w:val="en-GB"/>
        </w:rPr>
        <w:t>Kriegstein</w:t>
      </w:r>
      <w:proofErr w:type="spellEnd"/>
      <w:r>
        <w:rPr>
          <w:lang w:val="en-GB"/>
        </w:rPr>
        <w:t>, K. (2020). Learning foreign language vocabulary with gestures and pictures enhances vocabulary memory for several months post-learning in eight-year-old school children. Educ</w:t>
      </w:r>
      <w:r>
        <w:rPr>
          <w:lang w:val="en-GB"/>
        </w:rPr>
        <w:t xml:space="preserve">ational Psychology Review, 32(3), 815–850. </w:t>
      </w:r>
      <w:r>
        <w:rPr>
          <w:color w:val="000000" w:themeColor="text1"/>
          <w:lang w:val="en-GB"/>
        </w:rPr>
        <w:t>https://doi.org/10.1007/s10648-020-09527-z</w:t>
      </w:r>
    </w:p>
    <w:p w14:paraId="14FCB024" w14:textId="77777777" w:rsidR="00604C7C" w:rsidRDefault="003F5CB5">
      <w:pPr>
        <w:pStyle w:val="Body"/>
        <w:numPr>
          <w:ilvl w:val="0"/>
          <w:numId w:val="39"/>
        </w:numPr>
        <w:spacing w:after="0"/>
        <w:ind w:hanging="180"/>
        <w:rPr>
          <w:lang w:val="en-GB"/>
        </w:rPr>
      </w:pPr>
      <w:proofErr w:type="spellStart"/>
      <w:r>
        <w:rPr>
          <w:lang w:val="en-GB"/>
        </w:rPr>
        <w:t>Ángel</w:t>
      </w:r>
      <w:proofErr w:type="spellEnd"/>
      <w:r>
        <w:rPr>
          <w:lang w:val="en-GB"/>
        </w:rPr>
        <w:t>, S. V. B. (2022). Promoting English vocabulary learning through the Total Physical Response (TPR) method in fifth-grade students at a public school in San Gil, Sant</w:t>
      </w:r>
      <w:r>
        <w:rPr>
          <w:lang w:val="en-GB"/>
        </w:rPr>
        <w:t xml:space="preserve">ander (Colombia). </w:t>
      </w:r>
      <w:r>
        <w:rPr>
          <w:color w:val="000000" w:themeColor="text1"/>
          <w:lang w:val="en-GB"/>
        </w:rPr>
        <w:t>https://repository.unad.edu.co/handle/10596/56857</w:t>
      </w:r>
    </w:p>
    <w:p w14:paraId="3CFE17D7" w14:textId="77777777" w:rsidR="00604C7C" w:rsidRDefault="003F5CB5">
      <w:pPr>
        <w:pStyle w:val="Body"/>
        <w:numPr>
          <w:ilvl w:val="0"/>
          <w:numId w:val="39"/>
        </w:numPr>
        <w:spacing w:after="0"/>
        <w:ind w:hanging="180"/>
        <w:rPr>
          <w:lang w:val="en-GB"/>
        </w:rPr>
      </w:pPr>
      <w:r>
        <w:rPr>
          <w:lang w:val="en-GB"/>
        </w:rPr>
        <w:t xml:space="preserve">Anh, N. T. C., &amp; Ho, P. V. P. (2018). THE EFFECT OF USING TOTAL PHYSICAL RESPONSE (TPR) ON EFL YOUNG LEARNERS’VOCABULARY AND SPEAKING FLUENCY. International Journal of </w:t>
      </w:r>
      <w:proofErr w:type="spellStart"/>
      <w:r>
        <w:rPr>
          <w:lang w:val="en-GB"/>
        </w:rPr>
        <w:t>Tesol</w:t>
      </w:r>
      <w:proofErr w:type="spellEnd"/>
      <w:r>
        <w:rPr>
          <w:lang w:val="en-GB"/>
        </w:rPr>
        <w:t xml:space="preserve"> Education, 128</w:t>
      </w:r>
      <w:r>
        <w:rPr>
          <w:lang w:val="en-GB"/>
        </w:rPr>
        <w:t>–137. https://phamho.com/wp-content/uploads/2018/09/Cam-Anh-Pham-Ho.pdf</w:t>
      </w:r>
    </w:p>
    <w:p w14:paraId="7AE566DF" w14:textId="77777777" w:rsidR="00604C7C" w:rsidRDefault="003F5CB5">
      <w:pPr>
        <w:pStyle w:val="Body"/>
        <w:numPr>
          <w:ilvl w:val="0"/>
          <w:numId w:val="39"/>
        </w:numPr>
        <w:spacing w:after="0"/>
        <w:ind w:hanging="180"/>
        <w:rPr>
          <w:lang w:val="en-GB"/>
        </w:rPr>
      </w:pPr>
      <w:proofErr w:type="spellStart"/>
      <w:r>
        <w:rPr>
          <w:lang w:val="en-GB"/>
        </w:rPr>
        <w:t>Arsyad</w:t>
      </w:r>
      <w:proofErr w:type="spellEnd"/>
      <w:r>
        <w:rPr>
          <w:lang w:val="en-GB"/>
        </w:rPr>
        <w:t xml:space="preserve">, M. (2024). Harnessing </w:t>
      </w:r>
      <w:proofErr w:type="spellStart"/>
      <w:r>
        <w:rPr>
          <w:lang w:val="en-GB"/>
        </w:rPr>
        <w:t>Wordwall</w:t>
      </w:r>
      <w:proofErr w:type="spellEnd"/>
      <w:r>
        <w:rPr>
          <w:lang w:val="en-GB"/>
        </w:rPr>
        <w:t xml:space="preserve"> for Enhanced Vocabulary Acquisition and Engagement in Non-Formal Elementary Education. Journal of Languages and Language Teaching, 12(4), 2064–20</w:t>
      </w:r>
      <w:r>
        <w:rPr>
          <w:lang w:val="en-GB"/>
        </w:rPr>
        <w:t>75. https://doi.org/10.33394/jollt.v12i4.12020</w:t>
      </w:r>
    </w:p>
    <w:p w14:paraId="4DA87C10" w14:textId="77777777" w:rsidR="00604C7C" w:rsidRDefault="003F5CB5">
      <w:pPr>
        <w:pStyle w:val="Body"/>
        <w:numPr>
          <w:ilvl w:val="0"/>
          <w:numId w:val="39"/>
        </w:numPr>
        <w:spacing w:after="0"/>
        <w:ind w:hanging="180"/>
        <w:rPr>
          <w:lang w:val="en-GB"/>
        </w:rPr>
      </w:pPr>
      <w:proofErr w:type="spellStart"/>
      <w:r>
        <w:rPr>
          <w:lang w:val="en-GB"/>
        </w:rPr>
        <w:t>Ascencio</w:t>
      </w:r>
      <w:proofErr w:type="spellEnd"/>
      <w:r>
        <w:rPr>
          <w:lang w:val="en-GB"/>
        </w:rPr>
        <w:t>, J. (2023). TPRS Strategies for First and Second Grades Teachers in ESL Classrooms in Acajutla (Master's thesis, Greensboro College). https://www.proquest.com/openview/9ecfa2623e55c68b83e9ea8773f5b054</w:t>
      </w:r>
      <w:r>
        <w:rPr>
          <w:lang w:val="en-GB"/>
        </w:rPr>
        <w:t>/1?pq-origsite=gscholar&amp;cbl=18750&amp;diss=y</w:t>
      </w:r>
    </w:p>
    <w:p w14:paraId="53AC3FD0" w14:textId="77777777" w:rsidR="00604C7C" w:rsidRDefault="003F5CB5">
      <w:pPr>
        <w:pStyle w:val="Body"/>
        <w:numPr>
          <w:ilvl w:val="0"/>
          <w:numId w:val="39"/>
        </w:numPr>
        <w:spacing w:after="0"/>
        <w:ind w:hanging="180"/>
        <w:rPr>
          <w:lang w:val="en-GB"/>
        </w:rPr>
      </w:pPr>
      <w:proofErr w:type="spellStart"/>
      <w:r>
        <w:rPr>
          <w:lang w:val="en-GB"/>
        </w:rPr>
        <w:t>Astri</w:t>
      </w:r>
      <w:proofErr w:type="spellEnd"/>
      <w:r>
        <w:rPr>
          <w:lang w:val="en-GB"/>
        </w:rPr>
        <w:t xml:space="preserve">, Z. (2018). The Use of Total Physical Response Method for Different Learning Styles in English Vocabulary Development. </w:t>
      </w:r>
      <w:proofErr w:type="spellStart"/>
      <w:r>
        <w:rPr>
          <w:lang w:val="en-GB"/>
        </w:rPr>
        <w:t>Seltics</w:t>
      </w:r>
      <w:proofErr w:type="spellEnd"/>
      <w:r>
        <w:rPr>
          <w:lang w:val="en-GB"/>
        </w:rPr>
        <w:t xml:space="preserve"> Journal: Scope of English Language Teaching Literature and Linguistics, 1(1), 25–3</w:t>
      </w:r>
      <w:r>
        <w:rPr>
          <w:lang w:val="en-GB"/>
        </w:rPr>
        <w:t>8.</w:t>
      </w:r>
    </w:p>
    <w:p w14:paraId="1218EBC7" w14:textId="77777777" w:rsidR="00604C7C" w:rsidRDefault="003F5CB5">
      <w:pPr>
        <w:pStyle w:val="Body"/>
        <w:numPr>
          <w:ilvl w:val="0"/>
          <w:numId w:val="39"/>
        </w:numPr>
        <w:spacing w:after="0"/>
        <w:ind w:hanging="180"/>
        <w:rPr>
          <w:lang w:val="en-GB"/>
        </w:rPr>
      </w:pPr>
      <w:r>
        <w:rPr>
          <w:lang w:val="en-GB"/>
        </w:rPr>
        <w:t xml:space="preserve">August, D., </w:t>
      </w:r>
      <w:proofErr w:type="spellStart"/>
      <w:r>
        <w:rPr>
          <w:lang w:val="en-GB"/>
        </w:rPr>
        <w:t>Artzi</w:t>
      </w:r>
      <w:proofErr w:type="spellEnd"/>
      <w:r>
        <w:rPr>
          <w:lang w:val="en-GB"/>
        </w:rPr>
        <w:t>, L., &amp; Barr, C. (2016). Helping ELLs meet standards in English language arts and science: An intervention focused on academic vocabulary. Reading &amp; Writing Quarterly, 32(4), 373–396. https://doi.org/10.1080/10573569.2015.1039738</w:t>
      </w:r>
    </w:p>
    <w:p w14:paraId="6119E345" w14:textId="77777777" w:rsidR="00604C7C" w:rsidRDefault="003F5CB5">
      <w:pPr>
        <w:pStyle w:val="Body"/>
        <w:numPr>
          <w:ilvl w:val="0"/>
          <w:numId w:val="39"/>
        </w:numPr>
        <w:spacing w:after="0"/>
        <w:ind w:hanging="180"/>
        <w:rPr>
          <w:lang w:val="en-GB"/>
        </w:rPr>
      </w:pPr>
      <w:r>
        <w:rPr>
          <w:lang w:val="en-GB"/>
        </w:rPr>
        <w:t>Behren</w:t>
      </w:r>
      <w:r>
        <w:rPr>
          <w:lang w:val="en-GB"/>
        </w:rPr>
        <w:t>s, S. J. (2018). Understanding language use in the classroom: Including teaching materials for college educators. Multilingual matters.</w:t>
      </w:r>
    </w:p>
    <w:p w14:paraId="3930ADD3" w14:textId="77777777" w:rsidR="00604C7C" w:rsidRDefault="003F5CB5">
      <w:pPr>
        <w:pStyle w:val="Body"/>
        <w:numPr>
          <w:ilvl w:val="0"/>
          <w:numId w:val="39"/>
        </w:numPr>
        <w:spacing w:after="0"/>
        <w:ind w:hanging="180"/>
        <w:rPr>
          <w:lang w:val="en-GB"/>
        </w:rPr>
      </w:pPr>
      <w:r>
        <w:rPr>
          <w:lang w:val="en-GB"/>
        </w:rPr>
        <w:t>BEZINI, M. (2019). THE EFFECTIVENESS OF TPR IN PROMOTING PUPILS'VOCABULARY RETENTION A Case study: first year students o</w:t>
      </w:r>
      <w:r>
        <w:rPr>
          <w:lang w:val="en-GB"/>
        </w:rPr>
        <w:t xml:space="preserve">f Ahmed </w:t>
      </w:r>
      <w:proofErr w:type="spellStart"/>
      <w:r>
        <w:rPr>
          <w:lang w:val="en-GB"/>
        </w:rPr>
        <w:t>Zeid-Biskra</w:t>
      </w:r>
      <w:proofErr w:type="spellEnd"/>
      <w:r>
        <w:rPr>
          <w:lang w:val="en-GB"/>
        </w:rPr>
        <w:t xml:space="preserve"> (Doctoral dissertation). http://archives.univ-biskra.dz/handle/123456789/14958</w:t>
      </w:r>
    </w:p>
    <w:p w14:paraId="1B8956BD" w14:textId="77777777" w:rsidR="00604C7C" w:rsidRDefault="003F5CB5">
      <w:pPr>
        <w:pStyle w:val="Body"/>
        <w:numPr>
          <w:ilvl w:val="0"/>
          <w:numId w:val="39"/>
        </w:numPr>
        <w:spacing w:after="0"/>
        <w:ind w:hanging="180"/>
        <w:rPr>
          <w:lang w:val="en-GB"/>
        </w:rPr>
      </w:pPr>
      <w:r>
        <w:rPr>
          <w:lang w:val="en-GB"/>
        </w:rPr>
        <w:t>Bjorklund, D. F. (2022). Children′s thinking: Cognitive development and individual differences. Sage publications.</w:t>
      </w:r>
    </w:p>
    <w:p w14:paraId="7ED15764" w14:textId="77777777" w:rsidR="00604C7C" w:rsidRDefault="003F5CB5">
      <w:pPr>
        <w:pStyle w:val="Body"/>
        <w:numPr>
          <w:ilvl w:val="0"/>
          <w:numId w:val="39"/>
        </w:numPr>
        <w:spacing w:after="0"/>
        <w:ind w:hanging="180"/>
        <w:rPr>
          <w:lang w:val="en-GB"/>
        </w:rPr>
      </w:pPr>
      <w:r>
        <w:rPr>
          <w:lang w:val="en-GB"/>
        </w:rPr>
        <w:lastRenderedPageBreak/>
        <w:t xml:space="preserve">Brito </w:t>
      </w:r>
      <w:proofErr w:type="spellStart"/>
      <w:r>
        <w:rPr>
          <w:lang w:val="en-GB"/>
        </w:rPr>
        <w:t>Arichábala</w:t>
      </w:r>
      <w:proofErr w:type="spellEnd"/>
      <w:r>
        <w:rPr>
          <w:lang w:val="en-GB"/>
        </w:rPr>
        <w:t xml:space="preserve">, S. P. (2022). Total physical response method to boost English speaking acquisition in primary school students (Master's thesis, Pontificia Universidad </w:t>
      </w:r>
      <w:proofErr w:type="spellStart"/>
      <w:r>
        <w:rPr>
          <w:lang w:val="en-GB"/>
        </w:rPr>
        <w:t>Católica</w:t>
      </w:r>
      <w:proofErr w:type="spellEnd"/>
      <w:r>
        <w:rPr>
          <w:lang w:val="en-GB"/>
        </w:rPr>
        <w:t xml:space="preserve"> del Ecuador). https://repositorio.puce.edu.ec/server/api/core/bitstreams/1765f986-da1c-404f-9d</w:t>
      </w:r>
      <w:r>
        <w:rPr>
          <w:lang w:val="en-GB"/>
        </w:rPr>
        <w:t>02-141582600395/content</w:t>
      </w:r>
    </w:p>
    <w:p w14:paraId="40128326" w14:textId="77777777" w:rsidR="00604C7C" w:rsidRDefault="003F5CB5">
      <w:pPr>
        <w:pStyle w:val="Body"/>
        <w:numPr>
          <w:ilvl w:val="0"/>
          <w:numId w:val="39"/>
        </w:numPr>
        <w:spacing w:after="0"/>
        <w:ind w:hanging="180"/>
        <w:rPr>
          <w:lang w:val="en-GB"/>
        </w:rPr>
      </w:pPr>
      <w:r>
        <w:rPr>
          <w:lang w:val="en-GB"/>
        </w:rPr>
        <w:t>CAFE, E. (2024). Teaching English Through Sports and Physical Activities.</w:t>
      </w:r>
    </w:p>
    <w:p w14:paraId="213E3155" w14:textId="77777777" w:rsidR="00604C7C" w:rsidRDefault="003F5CB5">
      <w:pPr>
        <w:pStyle w:val="Body"/>
        <w:numPr>
          <w:ilvl w:val="0"/>
          <w:numId w:val="39"/>
        </w:numPr>
        <w:spacing w:after="0"/>
        <w:ind w:hanging="180"/>
        <w:rPr>
          <w:lang w:val="en-GB"/>
        </w:rPr>
      </w:pPr>
      <w:r>
        <w:rPr>
          <w:lang w:val="en-GB"/>
        </w:rPr>
        <w:t>Camacho García, M. (2023). The TPR method in secondary EFL classrooms. An analysis from the teaching practice. https://uvadoc.uva.es/handle/10324/66971</w:t>
      </w:r>
    </w:p>
    <w:p w14:paraId="69F74C43" w14:textId="77777777" w:rsidR="00604C7C" w:rsidRDefault="003F5CB5">
      <w:pPr>
        <w:pStyle w:val="Body"/>
        <w:numPr>
          <w:ilvl w:val="0"/>
          <w:numId w:val="39"/>
        </w:numPr>
        <w:spacing w:after="0"/>
        <w:ind w:hanging="180"/>
        <w:rPr>
          <w:lang w:val="en-GB"/>
        </w:rPr>
      </w:pPr>
      <w:r>
        <w:rPr>
          <w:lang w:val="en-GB"/>
        </w:rPr>
        <w:t>Chang,</w:t>
      </w:r>
      <w:r>
        <w:rPr>
          <w:lang w:val="en-GB"/>
        </w:rPr>
        <w:t xml:space="preserve"> X. (2023). Early Childhood English Teaching: Theory and Practice. </w:t>
      </w:r>
      <w:proofErr w:type="spellStart"/>
      <w:r>
        <w:rPr>
          <w:rFonts w:ascii="Malgun Gothic" w:eastAsia="Malgun Gothic" w:hAnsi="Malgun Gothic" w:cs="Malgun Gothic" w:hint="eastAsia"/>
          <w:lang w:val="en-GB"/>
        </w:rPr>
        <w:t>한울미디어</w:t>
      </w:r>
      <w:proofErr w:type="spellEnd"/>
      <w:r>
        <w:rPr>
          <w:lang w:val="en-GB"/>
        </w:rPr>
        <w:t>.</w:t>
      </w:r>
    </w:p>
    <w:p w14:paraId="4F35A3FE" w14:textId="77777777" w:rsidR="00604C7C" w:rsidRDefault="003F5CB5">
      <w:pPr>
        <w:pStyle w:val="Body"/>
        <w:numPr>
          <w:ilvl w:val="0"/>
          <w:numId w:val="39"/>
        </w:numPr>
        <w:spacing w:after="0"/>
        <w:ind w:hanging="180"/>
        <w:rPr>
          <w:lang w:val="en-GB"/>
        </w:rPr>
      </w:pPr>
      <w:r>
        <w:rPr>
          <w:lang w:val="en-GB"/>
        </w:rPr>
        <w:t>Chaudhary, A. A. (2018). Enhancing academic achievement and language proficiency through bilingual education: A comprehensive study of elementary school students. Educational Adminis</w:t>
      </w:r>
      <w:r>
        <w:rPr>
          <w:lang w:val="en-GB"/>
        </w:rPr>
        <w:t>tration: Theory and Practice, 24(4), 803–812.</w:t>
      </w:r>
    </w:p>
    <w:p w14:paraId="57E13890" w14:textId="77777777" w:rsidR="00604C7C" w:rsidRDefault="003F5CB5">
      <w:pPr>
        <w:pStyle w:val="Body"/>
        <w:numPr>
          <w:ilvl w:val="0"/>
          <w:numId w:val="39"/>
        </w:numPr>
        <w:spacing w:after="0"/>
        <w:ind w:hanging="180"/>
        <w:rPr>
          <w:lang w:val="en-GB"/>
        </w:rPr>
      </w:pPr>
      <w:r>
        <w:t>Cheng, L. (2019). The Application of TPR Teaching Methods in Mandarin class of America. Frontiers in Educational Research, 2(11).</w:t>
      </w:r>
    </w:p>
    <w:p w14:paraId="7643DEBA" w14:textId="77777777" w:rsidR="00604C7C" w:rsidRDefault="003F5CB5">
      <w:pPr>
        <w:pStyle w:val="Body"/>
        <w:numPr>
          <w:ilvl w:val="0"/>
          <w:numId w:val="39"/>
        </w:numPr>
        <w:spacing w:after="0"/>
        <w:ind w:hanging="180"/>
        <w:rPr>
          <w:lang w:val="en-GB"/>
        </w:rPr>
      </w:pPr>
      <w:r>
        <w:rPr>
          <w:lang w:val="en-GB"/>
        </w:rPr>
        <w:t xml:space="preserve">Chinn, C. A., &amp; </w:t>
      </w:r>
      <w:proofErr w:type="spellStart"/>
      <w:r>
        <w:rPr>
          <w:lang w:val="en-GB"/>
        </w:rPr>
        <w:t>Iordanou</w:t>
      </w:r>
      <w:proofErr w:type="spellEnd"/>
      <w:r>
        <w:rPr>
          <w:lang w:val="en-GB"/>
        </w:rPr>
        <w:t>, K. (2023). Theories of learning. In Handbook of resear</w:t>
      </w:r>
      <w:r>
        <w:rPr>
          <w:lang w:val="en-GB"/>
        </w:rPr>
        <w:t>ch on science education (pp. 89–120). Routledge.</w:t>
      </w:r>
    </w:p>
    <w:p w14:paraId="24C46D6C" w14:textId="77777777" w:rsidR="00604C7C" w:rsidRDefault="003F5CB5">
      <w:pPr>
        <w:pStyle w:val="Body"/>
        <w:numPr>
          <w:ilvl w:val="0"/>
          <w:numId w:val="39"/>
        </w:numPr>
        <w:spacing w:after="0"/>
        <w:ind w:hanging="180"/>
        <w:rPr>
          <w:lang w:val="en-GB"/>
        </w:rPr>
      </w:pPr>
      <w:proofErr w:type="spellStart"/>
      <w:r>
        <w:rPr>
          <w:lang w:val="en-GB"/>
        </w:rPr>
        <w:t>Chiplunkar</w:t>
      </w:r>
      <w:proofErr w:type="spellEnd"/>
      <w:r>
        <w:rPr>
          <w:lang w:val="en-GB"/>
        </w:rPr>
        <w:t>, G., Dhar, D., &amp; Nagesh, R. (2023). Not too little, but too late: Improving post-primary learning outcomes in India. https://papers.ssrn.com/sol3/papers.cfm?abstract_id=3932347</w:t>
      </w:r>
    </w:p>
    <w:p w14:paraId="1EA698C9" w14:textId="77777777" w:rsidR="00604C7C" w:rsidRDefault="003F5CB5">
      <w:pPr>
        <w:pStyle w:val="Body"/>
        <w:numPr>
          <w:ilvl w:val="0"/>
          <w:numId w:val="39"/>
        </w:numPr>
        <w:spacing w:after="0"/>
        <w:ind w:hanging="180"/>
        <w:rPr>
          <w:lang w:val="en-GB"/>
        </w:rPr>
      </w:pPr>
      <w:r>
        <w:rPr>
          <w:lang w:val="en-GB"/>
        </w:rPr>
        <w:t>Chun, D., Kern, R.,</w:t>
      </w:r>
      <w:r>
        <w:rPr>
          <w:lang w:val="en-GB"/>
        </w:rPr>
        <w:t xml:space="preserve"> &amp; Smith, B. (2016). Technology in language use, language teaching, and language learning. The Modern Language Journal, 100(S1), 64–80. https://doi.org/10.1111/modl.12302</w:t>
      </w:r>
    </w:p>
    <w:p w14:paraId="7840149C" w14:textId="77777777" w:rsidR="00604C7C" w:rsidRDefault="003F5CB5">
      <w:pPr>
        <w:pStyle w:val="Body"/>
        <w:numPr>
          <w:ilvl w:val="0"/>
          <w:numId w:val="39"/>
        </w:numPr>
        <w:spacing w:after="0"/>
        <w:ind w:hanging="180"/>
        <w:rPr>
          <w:lang w:val="en-GB"/>
        </w:rPr>
      </w:pPr>
      <w:proofErr w:type="spellStart"/>
      <w:r>
        <w:rPr>
          <w:lang w:val="en-GB"/>
        </w:rPr>
        <w:t>Ciccarone</w:t>
      </w:r>
      <w:proofErr w:type="spellEnd"/>
      <w:r>
        <w:rPr>
          <w:lang w:val="en-GB"/>
        </w:rPr>
        <w:t>, S. (2019). The effects of multisensory learning on second language acquisi</w:t>
      </w:r>
      <w:r>
        <w:rPr>
          <w:lang w:val="en-GB"/>
        </w:rPr>
        <w:t>tion for students with learning disabilities. https://api.mdsoar.org/server/api/core/bitstreams/62959dfd-68a4-4664-a3ca-8b6ba8caea26/content</w:t>
      </w:r>
    </w:p>
    <w:p w14:paraId="4D638A59" w14:textId="77777777" w:rsidR="00604C7C" w:rsidRDefault="003F5CB5">
      <w:pPr>
        <w:pStyle w:val="Body"/>
        <w:numPr>
          <w:ilvl w:val="0"/>
          <w:numId w:val="39"/>
        </w:numPr>
        <w:spacing w:after="0"/>
        <w:ind w:hanging="180"/>
        <w:rPr>
          <w:lang w:val="en-GB"/>
        </w:rPr>
      </w:pPr>
      <w:r>
        <w:rPr>
          <w:lang w:val="en-GB"/>
        </w:rPr>
        <w:t>Cohen, L., Manion, L., &amp; Morrison, K. (2018). Research methods in education (8th ed.). Routledge. https://doi.org/1</w:t>
      </w:r>
      <w:r>
        <w:rPr>
          <w:lang w:val="en-GB"/>
        </w:rPr>
        <w:t>0.4324/9781315456539</w:t>
      </w:r>
    </w:p>
    <w:p w14:paraId="7EBF64E6" w14:textId="77777777" w:rsidR="00604C7C" w:rsidRDefault="003F5CB5">
      <w:pPr>
        <w:pStyle w:val="Body"/>
        <w:numPr>
          <w:ilvl w:val="0"/>
          <w:numId w:val="39"/>
        </w:numPr>
        <w:spacing w:after="0"/>
        <w:ind w:hanging="180"/>
        <w:rPr>
          <w:lang w:val="en-GB"/>
        </w:rPr>
      </w:pPr>
      <w:r>
        <w:rPr>
          <w:lang w:val="en-GB"/>
        </w:rPr>
        <w:t xml:space="preserve">Crandall, E. (2022). The importance and implementation of </w:t>
      </w:r>
      <w:proofErr w:type="spellStart"/>
      <w:r>
        <w:rPr>
          <w:lang w:val="en-GB"/>
        </w:rPr>
        <w:t>kinesthetic</w:t>
      </w:r>
      <w:proofErr w:type="spellEnd"/>
      <w:r>
        <w:rPr>
          <w:lang w:val="en-GB"/>
        </w:rPr>
        <w:t xml:space="preserve"> learning in the English classroom. https://digitalcommons.liberty.edu/honors/1250/</w:t>
      </w:r>
    </w:p>
    <w:p w14:paraId="0F8ED354" w14:textId="77777777" w:rsidR="00604C7C" w:rsidRDefault="003F5CB5">
      <w:pPr>
        <w:pStyle w:val="Body"/>
        <w:numPr>
          <w:ilvl w:val="0"/>
          <w:numId w:val="39"/>
        </w:numPr>
        <w:spacing w:after="0"/>
        <w:ind w:hanging="180"/>
        <w:rPr>
          <w:lang w:val="en-GB"/>
        </w:rPr>
      </w:pPr>
      <w:r>
        <w:rPr>
          <w:lang w:val="en-GB"/>
        </w:rPr>
        <w:t>Crotty, J. E., Martin-</w:t>
      </w:r>
      <w:proofErr w:type="spellStart"/>
      <w:r>
        <w:rPr>
          <w:lang w:val="en-GB"/>
        </w:rPr>
        <w:t>Herz</w:t>
      </w:r>
      <w:proofErr w:type="spellEnd"/>
      <w:r>
        <w:rPr>
          <w:lang w:val="en-GB"/>
        </w:rPr>
        <w:t xml:space="preserve">, S. P., &amp; Scharf, R. J. (2023). Cognitive development. </w:t>
      </w:r>
      <w:proofErr w:type="spellStart"/>
      <w:r>
        <w:rPr>
          <w:lang w:val="en-GB"/>
        </w:rPr>
        <w:t>Pediatrics</w:t>
      </w:r>
      <w:proofErr w:type="spellEnd"/>
      <w:r>
        <w:rPr>
          <w:lang w:val="en-GB"/>
        </w:rPr>
        <w:t xml:space="preserve"> in Review, 44(2), 58–67. https://doi.org/10.1542/pir.2021-005069</w:t>
      </w:r>
    </w:p>
    <w:p w14:paraId="754DF615" w14:textId="77777777" w:rsidR="00604C7C" w:rsidRDefault="003F5CB5">
      <w:pPr>
        <w:pStyle w:val="Body"/>
        <w:numPr>
          <w:ilvl w:val="0"/>
          <w:numId w:val="39"/>
        </w:numPr>
        <w:spacing w:after="0"/>
        <w:ind w:hanging="180"/>
        <w:rPr>
          <w:lang w:val="en-GB"/>
        </w:rPr>
      </w:pPr>
      <w:r>
        <w:rPr>
          <w:lang w:val="en-GB"/>
        </w:rPr>
        <w:t xml:space="preserve">da Silva, L. M. L. (2022). Using </w:t>
      </w:r>
      <w:proofErr w:type="spellStart"/>
      <w:r>
        <w:rPr>
          <w:lang w:val="en-GB"/>
        </w:rPr>
        <w:t>kinesthetic</w:t>
      </w:r>
      <w:proofErr w:type="spellEnd"/>
      <w:r>
        <w:rPr>
          <w:lang w:val="en-GB"/>
        </w:rPr>
        <w:t xml:space="preserve"> activities to increase student participation and aid understanding of English as a foreign language in the primary classroom.</w:t>
      </w:r>
    </w:p>
    <w:p w14:paraId="4AE68927" w14:textId="77777777" w:rsidR="00604C7C" w:rsidRDefault="003F5CB5">
      <w:pPr>
        <w:pStyle w:val="Body"/>
        <w:numPr>
          <w:ilvl w:val="0"/>
          <w:numId w:val="39"/>
        </w:numPr>
        <w:spacing w:after="0"/>
        <w:ind w:hanging="180"/>
        <w:rPr>
          <w:lang w:val="en-GB"/>
        </w:rPr>
      </w:pPr>
      <w:r>
        <w:rPr>
          <w:lang w:val="en-GB"/>
        </w:rPr>
        <w:t>DepEd Memo No. 14, S. 2018: Policy guidelines on the administration of the revised Philippine Informal Reading Inventory. https://www.deped.gov.ph/wp-content/uploads/2018/03/DO_s2018_014.pdf</w:t>
      </w:r>
    </w:p>
    <w:p w14:paraId="09286B06" w14:textId="77777777" w:rsidR="00604C7C" w:rsidRDefault="003F5CB5">
      <w:pPr>
        <w:pStyle w:val="Body"/>
        <w:numPr>
          <w:ilvl w:val="0"/>
          <w:numId w:val="39"/>
        </w:numPr>
        <w:spacing w:after="0"/>
        <w:ind w:hanging="180"/>
        <w:rPr>
          <w:lang w:val="en-GB"/>
        </w:rPr>
      </w:pPr>
      <w:r>
        <w:rPr>
          <w:lang w:val="en-GB"/>
        </w:rPr>
        <w:t xml:space="preserve">Diana, M. W., </w:t>
      </w:r>
      <w:proofErr w:type="spellStart"/>
      <w:r>
        <w:rPr>
          <w:lang w:val="en-GB"/>
        </w:rPr>
        <w:t>Wilupi</w:t>
      </w:r>
      <w:proofErr w:type="spellEnd"/>
      <w:r>
        <w:rPr>
          <w:lang w:val="en-GB"/>
        </w:rPr>
        <w:t xml:space="preserve">, A. Y. T., Setiawan, D., &amp; </w:t>
      </w:r>
      <w:proofErr w:type="spellStart"/>
      <w:r>
        <w:rPr>
          <w:lang w:val="en-GB"/>
        </w:rPr>
        <w:t>Nurhajati</w:t>
      </w:r>
      <w:proofErr w:type="spellEnd"/>
      <w:r>
        <w:rPr>
          <w:lang w:val="en-GB"/>
        </w:rPr>
        <w:t>, D. (20</w:t>
      </w:r>
      <w:r>
        <w:rPr>
          <w:lang w:val="en-GB"/>
        </w:rPr>
        <w:t>22). Enhancing social awareness through Total Physical Response (TPR) in teaching English at elementary school.</w:t>
      </w:r>
    </w:p>
    <w:p w14:paraId="6E9E6E17" w14:textId="77777777" w:rsidR="00604C7C" w:rsidRDefault="003F5CB5">
      <w:pPr>
        <w:pStyle w:val="Body"/>
        <w:numPr>
          <w:ilvl w:val="0"/>
          <w:numId w:val="39"/>
        </w:numPr>
        <w:spacing w:after="0"/>
        <w:ind w:hanging="180"/>
        <w:rPr>
          <w:lang w:val="en-GB"/>
        </w:rPr>
      </w:pPr>
      <w:proofErr w:type="spellStart"/>
      <w:r>
        <w:rPr>
          <w:lang w:val="en-GB"/>
        </w:rPr>
        <w:t>Dongsanniwas</w:t>
      </w:r>
      <w:proofErr w:type="spellEnd"/>
      <w:r>
        <w:rPr>
          <w:lang w:val="en-GB"/>
        </w:rPr>
        <w:t xml:space="preserve">, W., &amp; </w:t>
      </w:r>
      <w:proofErr w:type="spellStart"/>
      <w:r>
        <w:rPr>
          <w:lang w:val="en-GB"/>
        </w:rPr>
        <w:t>Sukying</w:t>
      </w:r>
      <w:proofErr w:type="spellEnd"/>
      <w:r>
        <w:rPr>
          <w:lang w:val="en-GB"/>
        </w:rPr>
        <w:t>, A. (2024). The effect of TPR tasks on word knowledge of Thai primary school learners. Journal of Education and Lear</w:t>
      </w:r>
      <w:r>
        <w:rPr>
          <w:lang w:val="en-GB"/>
        </w:rPr>
        <w:t>ning, 13(5), 208–224. https://eric.ed.gov/?id=EJ1441429</w:t>
      </w:r>
    </w:p>
    <w:p w14:paraId="4EF248F0" w14:textId="77777777" w:rsidR="00604C7C" w:rsidRDefault="003F5CB5">
      <w:pPr>
        <w:pStyle w:val="Body"/>
        <w:numPr>
          <w:ilvl w:val="0"/>
          <w:numId w:val="39"/>
        </w:numPr>
        <w:spacing w:after="0"/>
        <w:ind w:hanging="180"/>
        <w:rPr>
          <w:lang w:val="en-GB"/>
        </w:rPr>
      </w:pPr>
      <w:r>
        <w:rPr>
          <w:lang w:val="en-GB"/>
        </w:rPr>
        <w:t>Duan, Y. (2021). The application of total physical response method (TPR) in preschool children’s English teaching. Theory and Practice in Language Studies, 11(10), 1323–1333. https://doi.org/10.17507/</w:t>
      </w:r>
      <w:r>
        <w:rPr>
          <w:lang w:val="en-GB"/>
        </w:rPr>
        <w:t>tpls.1110.22</w:t>
      </w:r>
    </w:p>
    <w:p w14:paraId="3FE4FE46" w14:textId="77777777" w:rsidR="00604C7C" w:rsidRDefault="003F5CB5">
      <w:pPr>
        <w:pStyle w:val="Body"/>
        <w:numPr>
          <w:ilvl w:val="0"/>
          <w:numId w:val="39"/>
        </w:numPr>
        <w:spacing w:after="0"/>
        <w:ind w:hanging="180"/>
        <w:rPr>
          <w:lang w:val="en-GB"/>
        </w:rPr>
      </w:pPr>
      <w:proofErr w:type="spellStart"/>
      <w:r>
        <w:rPr>
          <w:lang w:val="en-GB"/>
        </w:rPr>
        <w:t>Dweikat</w:t>
      </w:r>
      <w:proofErr w:type="spellEnd"/>
      <w:r>
        <w:rPr>
          <w:lang w:val="en-GB"/>
        </w:rPr>
        <w:t xml:space="preserve">, K., </w:t>
      </w:r>
      <w:proofErr w:type="spellStart"/>
      <w:r>
        <w:rPr>
          <w:lang w:val="en-GB"/>
        </w:rPr>
        <w:t>Fayyoumi</w:t>
      </w:r>
      <w:proofErr w:type="spellEnd"/>
      <w:r>
        <w:rPr>
          <w:lang w:val="en-GB"/>
        </w:rPr>
        <w:t xml:space="preserve">, N., Shehade, A., &amp; </w:t>
      </w:r>
      <w:proofErr w:type="spellStart"/>
      <w:r>
        <w:rPr>
          <w:lang w:val="en-GB"/>
        </w:rPr>
        <w:t>Jarrar</w:t>
      </w:r>
      <w:proofErr w:type="spellEnd"/>
      <w:r>
        <w:rPr>
          <w:lang w:val="en-GB"/>
        </w:rPr>
        <w:t>, H. (2023). Impact of Total Physical Response Method (TPR) on vocabulary learning in the Palestinian school context. Journal of English Studies in Arabia Felix, 2(1), 50–59.</w:t>
      </w:r>
    </w:p>
    <w:p w14:paraId="4EFB8A29" w14:textId="77777777" w:rsidR="00604C7C" w:rsidRDefault="003F5CB5">
      <w:pPr>
        <w:pStyle w:val="Body"/>
        <w:numPr>
          <w:ilvl w:val="0"/>
          <w:numId w:val="39"/>
        </w:numPr>
        <w:spacing w:after="0"/>
        <w:ind w:hanging="180"/>
        <w:rPr>
          <w:lang w:val="en-GB"/>
        </w:rPr>
      </w:pPr>
      <w:proofErr w:type="spellStart"/>
      <w:r>
        <w:rPr>
          <w:lang w:val="en-GB"/>
        </w:rPr>
        <w:t>Dwomoh</w:t>
      </w:r>
      <w:proofErr w:type="spellEnd"/>
      <w:r>
        <w:rPr>
          <w:lang w:val="en-GB"/>
        </w:rPr>
        <w:t>, R., Osei</w:t>
      </w:r>
      <w:r>
        <w:rPr>
          <w:rFonts w:ascii="Cambria Math" w:hAnsi="Cambria Math" w:cs="Cambria Math"/>
          <w:lang w:val="en-GB"/>
        </w:rPr>
        <w:t>‐</w:t>
      </w:r>
      <w:r>
        <w:rPr>
          <w:lang w:val="en-GB"/>
        </w:rPr>
        <w:t>Tut</w:t>
      </w:r>
      <w:r>
        <w:rPr>
          <w:lang w:val="en-GB"/>
        </w:rPr>
        <w:t xml:space="preserve">u, A. A., </w:t>
      </w:r>
      <w:proofErr w:type="spellStart"/>
      <w:r>
        <w:rPr>
          <w:lang w:val="en-GB"/>
        </w:rPr>
        <w:t>Chhikara</w:t>
      </w:r>
      <w:proofErr w:type="spellEnd"/>
      <w:r>
        <w:rPr>
          <w:lang w:val="en-GB"/>
        </w:rPr>
        <w:t xml:space="preserve">, A., Zhou, L., </w:t>
      </w:r>
      <w:proofErr w:type="spellStart"/>
      <w:r>
        <w:rPr>
          <w:lang w:val="en-GB"/>
        </w:rPr>
        <w:t>Oudghiri</w:t>
      </w:r>
      <w:proofErr w:type="spellEnd"/>
      <w:r>
        <w:rPr>
          <w:lang w:val="en-GB"/>
        </w:rPr>
        <w:t>, S., &amp; Bell, T. (2023). Critical understanding of English learners: Experience and practice of educators in a professional development course. TESOL Quarterly, 57(4), 1401–1433. https://doi.org/10.1002/tesq.3200</w:t>
      </w:r>
    </w:p>
    <w:p w14:paraId="22F032B8" w14:textId="77777777" w:rsidR="00604C7C" w:rsidRDefault="003F5CB5">
      <w:pPr>
        <w:pStyle w:val="Body"/>
        <w:numPr>
          <w:ilvl w:val="0"/>
          <w:numId w:val="39"/>
        </w:numPr>
        <w:spacing w:after="0"/>
        <w:ind w:hanging="180"/>
        <w:rPr>
          <w:lang w:val="en-GB"/>
        </w:rPr>
      </w:pPr>
      <w:proofErr w:type="spellStart"/>
      <w:r>
        <w:rPr>
          <w:lang w:val="en-GB"/>
        </w:rPr>
        <w:lastRenderedPageBreak/>
        <w:t>E</w:t>
      </w:r>
      <w:r>
        <w:rPr>
          <w:lang w:val="en-GB"/>
        </w:rPr>
        <w:t>badijalal</w:t>
      </w:r>
      <w:proofErr w:type="spellEnd"/>
      <w:r>
        <w:rPr>
          <w:lang w:val="en-GB"/>
        </w:rPr>
        <w:t xml:space="preserve">, M., &amp; </w:t>
      </w:r>
      <w:proofErr w:type="spellStart"/>
      <w:r>
        <w:rPr>
          <w:lang w:val="en-GB"/>
        </w:rPr>
        <w:t>Yousofi</w:t>
      </w:r>
      <w:proofErr w:type="spellEnd"/>
      <w:r>
        <w:rPr>
          <w:lang w:val="en-GB"/>
        </w:rPr>
        <w:t>, N. (2023). The impact of mobile-assisted peer feedback on EFL learners’ speaking performance and anxiety: Does language make a difference? The Language Learning Journal, 51(1), 112–130. https://doi.org/10.1080/09571736.2021.195799</w:t>
      </w:r>
      <w:r>
        <w:rPr>
          <w:lang w:val="en-GB"/>
        </w:rPr>
        <w:t>0</w:t>
      </w:r>
    </w:p>
    <w:p w14:paraId="73D67EED" w14:textId="77777777" w:rsidR="00604C7C" w:rsidRDefault="003F5CB5">
      <w:pPr>
        <w:pStyle w:val="Body"/>
        <w:numPr>
          <w:ilvl w:val="0"/>
          <w:numId w:val="39"/>
        </w:numPr>
        <w:spacing w:after="0"/>
        <w:ind w:hanging="180"/>
        <w:rPr>
          <w:lang w:val="en-GB"/>
        </w:rPr>
      </w:pPr>
      <w:proofErr w:type="spellStart"/>
      <w:r>
        <w:rPr>
          <w:lang w:val="en-GB"/>
        </w:rPr>
        <w:t>Eshqobilova</w:t>
      </w:r>
      <w:proofErr w:type="spellEnd"/>
      <w:r>
        <w:rPr>
          <w:lang w:val="en-GB"/>
        </w:rPr>
        <w:t xml:space="preserve">, O., &amp; </w:t>
      </w:r>
      <w:proofErr w:type="spellStart"/>
      <w:r>
        <w:rPr>
          <w:lang w:val="en-GB"/>
        </w:rPr>
        <w:t>Kholikulova</w:t>
      </w:r>
      <w:proofErr w:type="spellEnd"/>
      <w:r>
        <w:rPr>
          <w:lang w:val="en-GB"/>
        </w:rPr>
        <w:t>, N. (2024). Methodology of foreign language teaching elementary grades. Western European Journal of Linguistics and Education, 2(5), 112–115.</w:t>
      </w:r>
    </w:p>
    <w:p w14:paraId="06D0523F" w14:textId="77777777" w:rsidR="00604C7C" w:rsidRDefault="003F5CB5">
      <w:pPr>
        <w:pStyle w:val="Body"/>
        <w:numPr>
          <w:ilvl w:val="0"/>
          <w:numId w:val="39"/>
        </w:numPr>
        <w:spacing w:after="0"/>
        <w:ind w:hanging="180"/>
        <w:rPr>
          <w:lang w:val="en-GB"/>
        </w:rPr>
      </w:pPr>
      <w:proofErr w:type="spellStart"/>
      <w:r>
        <w:rPr>
          <w:lang w:val="en-GB"/>
        </w:rPr>
        <w:t>Farraj</w:t>
      </w:r>
      <w:proofErr w:type="spellEnd"/>
      <w:r>
        <w:rPr>
          <w:lang w:val="en-GB"/>
        </w:rPr>
        <w:t>, D. (2018). Movement breaks: A resource for teachers.</w:t>
      </w:r>
    </w:p>
    <w:p w14:paraId="00EFF004" w14:textId="77777777" w:rsidR="00604C7C" w:rsidRDefault="003F5CB5">
      <w:pPr>
        <w:pStyle w:val="Body"/>
        <w:numPr>
          <w:ilvl w:val="0"/>
          <w:numId w:val="39"/>
        </w:numPr>
        <w:spacing w:after="0"/>
        <w:ind w:hanging="180"/>
        <w:rPr>
          <w:lang w:val="en-GB"/>
        </w:rPr>
      </w:pPr>
      <w:r>
        <w:rPr>
          <w:lang w:val="en-GB"/>
        </w:rPr>
        <w:t>Graves, M. F. (2016)</w:t>
      </w:r>
      <w:r>
        <w:rPr>
          <w:lang w:val="en-GB"/>
        </w:rPr>
        <w:t>. The vocabulary book: Learning and instruction. Teachers College Press.</w:t>
      </w:r>
    </w:p>
    <w:p w14:paraId="0FD7749D" w14:textId="77777777" w:rsidR="00604C7C" w:rsidRDefault="003F5CB5">
      <w:pPr>
        <w:pStyle w:val="Body"/>
        <w:numPr>
          <w:ilvl w:val="0"/>
          <w:numId w:val="39"/>
        </w:numPr>
        <w:spacing w:after="0"/>
        <w:ind w:hanging="180"/>
        <w:rPr>
          <w:lang w:val="en-GB"/>
        </w:rPr>
      </w:pPr>
      <w:r>
        <w:rPr>
          <w:lang w:val="en-GB"/>
        </w:rPr>
        <w:t>Green, C., &amp; McLachlan, C. (2024). Vocabulary for academic literacy. In Research Handbook on Curriculum and Education (pp. 244–260). Edward Elgar Publishing. https://doi.org/10.4337/9</w:t>
      </w:r>
      <w:r>
        <w:rPr>
          <w:lang w:val="en-GB"/>
        </w:rPr>
        <w:t>781802208542.00024</w:t>
      </w:r>
    </w:p>
    <w:p w14:paraId="57A1767D" w14:textId="77777777" w:rsidR="00604C7C" w:rsidRDefault="003F5CB5">
      <w:pPr>
        <w:pStyle w:val="Body"/>
        <w:numPr>
          <w:ilvl w:val="0"/>
          <w:numId w:val="39"/>
        </w:numPr>
        <w:spacing w:after="0"/>
        <w:ind w:hanging="180"/>
        <w:rPr>
          <w:lang w:val="en-GB"/>
        </w:rPr>
      </w:pPr>
      <w:r>
        <w:rPr>
          <w:lang w:val="en-GB"/>
        </w:rPr>
        <w:t>Haddix, M. M. (2015). Cultivating racial and linguistic diversity in literacy teacher education: Teachers like me. Routledge. https://doi.org/10.4324/9781315850665</w:t>
      </w:r>
    </w:p>
    <w:p w14:paraId="684B7B60" w14:textId="77777777" w:rsidR="00604C7C" w:rsidRDefault="003F5CB5">
      <w:pPr>
        <w:pStyle w:val="Body"/>
        <w:numPr>
          <w:ilvl w:val="0"/>
          <w:numId w:val="39"/>
        </w:numPr>
        <w:spacing w:after="0"/>
        <w:ind w:hanging="180"/>
        <w:rPr>
          <w:lang w:val="en-GB"/>
        </w:rPr>
      </w:pPr>
      <w:r>
        <w:rPr>
          <w:lang w:val="en-GB"/>
        </w:rPr>
        <w:t>Haleem, A., Javaid, M., Qadri, M. A., &amp; Suman, R. (2022). Understanding t</w:t>
      </w:r>
      <w:r>
        <w:rPr>
          <w:lang w:val="en-GB"/>
        </w:rPr>
        <w:t>he role of digital technologies in education: A review. Sustainable Operations and Computers, 3, 275–285. https://doi.org/10.1016/j.susoc.2022.05.004</w:t>
      </w:r>
    </w:p>
    <w:p w14:paraId="32C911DB" w14:textId="77777777" w:rsidR="00604C7C" w:rsidRDefault="003F5CB5">
      <w:pPr>
        <w:pStyle w:val="Body"/>
        <w:numPr>
          <w:ilvl w:val="0"/>
          <w:numId w:val="39"/>
        </w:numPr>
        <w:spacing w:after="0"/>
        <w:ind w:hanging="180"/>
        <w:rPr>
          <w:lang w:val="en-GB"/>
        </w:rPr>
      </w:pPr>
      <w:r>
        <w:rPr>
          <w:lang w:val="en-GB"/>
        </w:rPr>
        <w:t>Helmer, J. (2024). of Thesis: Cultivating Language Learning: The Effectiveness. Theory &amp; Research in Socia</w:t>
      </w:r>
      <w:r>
        <w:rPr>
          <w:lang w:val="en-GB"/>
        </w:rPr>
        <w:t>l Education, 39(1), 61–91.</w:t>
      </w:r>
    </w:p>
    <w:p w14:paraId="66BEBB53" w14:textId="77777777" w:rsidR="00604C7C" w:rsidRDefault="003F5CB5">
      <w:pPr>
        <w:pStyle w:val="Body"/>
        <w:numPr>
          <w:ilvl w:val="0"/>
          <w:numId w:val="39"/>
        </w:numPr>
        <w:spacing w:after="0"/>
        <w:ind w:hanging="180"/>
        <w:rPr>
          <w:lang w:val="en-GB"/>
        </w:rPr>
      </w:pPr>
      <w:proofErr w:type="spellStart"/>
      <w:r>
        <w:rPr>
          <w:lang w:val="en-GB"/>
        </w:rPr>
        <w:t>Hibatullah</w:t>
      </w:r>
      <w:proofErr w:type="spellEnd"/>
      <w:r>
        <w:rPr>
          <w:lang w:val="en-GB"/>
        </w:rPr>
        <w:t>, O. F. (2019). The challenges of international EFL students to learn English in a non-English speaking country. Journal of Foreign Language Teaching &amp; Learning, 4(2), 88–105. https://doi.org/10.18196/ftl.4240</w:t>
      </w:r>
    </w:p>
    <w:p w14:paraId="3E2544E8" w14:textId="77777777" w:rsidR="00604C7C" w:rsidRDefault="003F5CB5">
      <w:pPr>
        <w:pStyle w:val="Body"/>
        <w:numPr>
          <w:ilvl w:val="0"/>
          <w:numId w:val="39"/>
        </w:numPr>
        <w:spacing w:after="0"/>
        <w:ind w:hanging="180"/>
        <w:rPr>
          <w:lang w:val="en-GB"/>
        </w:rPr>
      </w:pPr>
      <w:proofErr w:type="spellStart"/>
      <w:r>
        <w:rPr>
          <w:lang w:val="en-GB"/>
        </w:rPr>
        <w:t>Hounhanou</w:t>
      </w:r>
      <w:proofErr w:type="spellEnd"/>
      <w:r>
        <w:rPr>
          <w:lang w:val="en-GB"/>
        </w:rPr>
        <w:t>, A. J. V. (2020). Promoting TPR (Total Physical Response) method in teaching vocabulary for EFL beginners in Benin secondary schools. International Journal of Applied Linguistics and English Literature, 9(6), 23–31.</w:t>
      </w:r>
    </w:p>
    <w:p w14:paraId="36D14562" w14:textId="77777777" w:rsidR="00604C7C" w:rsidRDefault="003F5CB5">
      <w:pPr>
        <w:pStyle w:val="Body"/>
        <w:numPr>
          <w:ilvl w:val="0"/>
          <w:numId w:val="39"/>
        </w:numPr>
        <w:spacing w:after="0"/>
        <w:ind w:hanging="180"/>
        <w:rPr>
          <w:lang w:val="en-GB"/>
        </w:rPr>
      </w:pPr>
      <w:proofErr w:type="spellStart"/>
      <w:r>
        <w:rPr>
          <w:lang w:val="en-GB"/>
        </w:rPr>
        <w:t>Inciman</w:t>
      </w:r>
      <w:proofErr w:type="spellEnd"/>
      <w:r>
        <w:rPr>
          <w:lang w:val="en-GB"/>
        </w:rPr>
        <w:t xml:space="preserve"> </w:t>
      </w:r>
      <w:proofErr w:type="spellStart"/>
      <w:r>
        <w:rPr>
          <w:lang w:val="en-GB"/>
        </w:rPr>
        <w:t>Celik</w:t>
      </w:r>
      <w:proofErr w:type="spellEnd"/>
      <w:r>
        <w:rPr>
          <w:lang w:val="en-GB"/>
        </w:rPr>
        <w:t xml:space="preserve">, T., Cay, T., &amp; </w:t>
      </w:r>
      <w:proofErr w:type="spellStart"/>
      <w:r>
        <w:rPr>
          <w:lang w:val="en-GB"/>
        </w:rPr>
        <w:t>Kanadli</w:t>
      </w:r>
      <w:proofErr w:type="spellEnd"/>
      <w:r>
        <w:rPr>
          <w:lang w:val="en-GB"/>
        </w:rPr>
        <w:t xml:space="preserve">, </w:t>
      </w:r>
      <w:r>
        <w:rPr>
          <w:lang w:val="en-GB"/>
        </w:rPr>
        <w:t>S. (2021). The effect of Total Physical Response method on vocabulary learning/teaching: A mixed research synthesis. English Language Teaching, 14(12), 154–170. https://eric.ed.gov/?id=EJ1324215</w:t>
      </w:r>
    </w:p>
    <w:p w14:paraId="155F96EC" w14:textId="77777777" w:rsidR="00604C7C" w:rsidRDefault="003F5CB5">
      <w:pPr>
        <w:pStyle w:val="Body"/>
        <w:numPr>
          <w:ilvl w:val="0"/>
          <w:numId w:val="39"/>
        </w:numPr>
        <w:spacing w:after="0"/>
        <w:ind w:hanging="180"/>
        <w:rPr>
          <w:lang w:val="en-GB"/>
        </w:rPr>
      </w:pPr>
      <w:proofErr w:type="spellStart"/>
      <w:r>
        <w:rPr>
          <w:lang w:val="en-GB"/>
        </w:rPr>
        <w:t>Islahuddin</w:t>
      </w:r>
      <w:proofErr w:type="spellEnd"/>
      <w:r>
        <w:rPr>
          <w:lang w:val="en-GB"/>
        </w:rPr>
        <w:t xml:space="preserve">, M. (2023). Teaching English to young learners: A </w:t>
      </w:r>
      <w:r>
        <w:rPr>
          <w:lang w:val="en-GB"/>
        </w:rPr>
        <w:t>literature review. International Journal of Multicultural and Multireligious Understanding, 10(10), 500–513. http://dx.doi.org/10.18415/ijmmu.v10i10.5127</w:t>
      </w:r>
    </w:p>
    <w:p w14:paraId="0F2D98CE" w14:textId="77777777" w:rsidR="00604C7C" w:rsidRDefault="003F5CB5">
      <w:pPr>
        <w:pStyle w:val="Body"/>
        <w:numPr>
          <w:ilvl w:val="0"/>
          <w:numId w:val="39"/>
        </w:numPr>
        <w:spacing w:after="0"/>
        <w:ind w:hanging="180"/>
        <w:rPr>
          <w:lang w:val="en-GB"/>
        </w:rPr>
      </w:pPr>
      <w:r>
        <w:rPr>
          <w:lang w:val="en-GB"/>
        </w:rPr>
        <w:t>Jiang, T. (2022). The effects of total physical response supplemented with teaching props on Thai kind</w:t>
      </w:r>
      <w:r>
        <w:rPr>
          <w:lang w:val="en-GB"/>
        </w:rPr>
        <w:t xml:space="preserve">ergarten 3 students’ Chinese vocabulary knowledge and learning </w:t>
      </w:r>
      <w:proofErr w:type="spellStart"/>
      <w:r>
        <w:rPr>
          <w:lang w:val="en-GB"/>
        </w:rPr>
        <w:t>behaviors</w:t>
      </w:r>
      <w:proofErr w:type="spellEnd"/>
      <w:r>
        <w:rPr>
          <w:lang w:val="en-GB"/>
        </w:rPr>
        <w:t xml:space="preserve"> (Doctoral dissertation, </w:t>
      </w:r>
      <w:proofErr w:type="spellStart"/>
      <w:r>
        <w:rPr>
          <w:lang w:val="en-GB"/>
        </w:rPr>
        <w:t>Rangsit</w:t>
      </w:r>
      <w:proofErr w:type="spellEnd"/>
      <w:r>
        <w:rPr>
          <w:lang w:val="en-GB"/>
        </w:rPr>
        <w:t xml:space="preserve"> University Library). https://rsuir-library.rsu.ac.th/handle/123456789/2172</w:t>
      </w:r>
    </w:p>
    <w:p w14:paraId="634BCBBC" w14:textId="77777777" w:rsidR="00604C7C" w:rsidRDefault="003F5CB5">
      <w:pPr>
        <w:pStyle w:val="Body"/>
        <w:numPr>
          <w:ilvl w:val="0"/>
          <w:numId w:val="39"/>
        </w:numPr>
        <w:spacing w:after="0"/>
        <w:ind w:hanging="180"/>
        <w:rPr>
          <w:lang w:val="en-GB"/>
        </w:rPr>
      </w:pPr>
      <w:proofErr w:type="spellStart"/>
      <w:r>
        <w:rPr>
          <w:lang w:val="en-GB"/>
        </w:rPr>
        <w:t>Jinlong</w:t>
      </w:r>
      <w:proofErr w:type="spellEnd"/>
      <w:r>
        <w:rPr>
          <w:lang w:val="en-GB"/>
        </w:rPr>
        <w:t xml:space="preserve">, L. (2024). Differentiated instruction strategies based on teaching </w:t>
      </w:r>
      <w:r>
        <w:rPr>
          <w:lang w:val="en-GB"/>
        </w:rPr>
        <w:t>difficulty analysis. Frontiers in Educational Research, 7(6). https://doi.org/10.25236/FER.2024.070603</w:t>
      </w:r>
    </w:p>
    <w:p w14:paraId="6DD3CE46" w14:textId="77777777" w:rsidR="00604C7C" w:rsidRDefault="003F5CB5">
      <w:pPr>
        <w:pStyle w:val="Body"/>
        <w:numPr>
          <w:ilvl w:val="0"/>
          <w:numId w:val="39"/>
        </w:numPr>
        <w:spacing w:after="0"/>
        <w:ind w:hanging="180"/>
        <w:rPr>
          <w:lang w:val="en-GB"/>
        </w:rPr>
      </w:pPr>
      <w:r>
        <w:rPr>
          <w:lang w:val="en-GB"/>
        </w:rPr>
        <w:t>Johnson, S. (2019). In what way.</w:t>
      </w:r>
    </w:p>
    <w:p w14:paraId="719D519B" w14:textId="77777777" w:rsidR="00604C7C" w:rsidRDefault="003F5CB5">
      <w:pPr>
        <w:pStyle w:val="Body"/>
        <w:numPr>
          <w:ilvl w:val="0"/>
          <w:numId w:val="39"/>
        </w:numPr>
        <w:spacing w:after="0"/>
        <w:ind w:hanging="180"/>
        <w:rPr>
          <w:lang w:val="en-GB"/>
        </w:rPr>
      </w:pPr>
      <w:proofErr w:type="spellStart"/>
      <w:r>
        <w:rPr>
          <w:lang w:val="en-GB"/>
        </w:rPr>
        <w:t>Jungal</w:t>
      </w:r>
      <w:proofErr w:type="spellEnd"/>
      <w:r>
        <w:rPr>
          <w:lang w:val="en-GB"/>
        </w:rPr>
        <w:t xml:space="preserve"> </w:t>
      </w:r>
      <w:proofErr w:type="spellStart"/>
      <w:r>
        <w:rPr>
          <w:lang w:val="en-GB"/>
        </w:rPr>
        <w:t>Arrobo</w:t>
      </w:r>
      <w:proofErr w:type="spellEnd"/>
      <w:r>
        <w:rPr>
          <w:lang w:val="en-GB"/>
        </w:rPr>
        <w:t xml:space="preserve">, M. M., &amp; </w:t>
      </w:r>
      <w:proofErr w:type="spellStart"/>
      <w:r>
        <w:rPr>
          <w:lang w:val="en-GB"/>
        </w:rPr>
        <w:t>Guamán</w:t>
      </w:r>
      <w:proofErr w:type="spellEnd"/>
      <w:r>
        <w:rPr>
          <w:lang w:val="en-GB"/>
        </w:rPr>
        <w:t xml:space="preserve"> Luna, M. M. (2024). A proposal to use TPR and REALIA to enhance vocabulary acquisition in</w:t>
      </w:r>
      <w:r>
        <w:rPr>
          <w:lang w:val="en-GB"/>
        </w:rPr>
        <w:t xml:space="preserve"> an EFL class. </w:t>
      </w:r>
      <w:proofErr w:type="spellStart"/>
      <w:r>
        <w:rPr>
          <w:lang w:val="en-GB"/>
        </w:rPr>
        <w:t>Religación</w:t>
      </w:r>
      <w:proofErr w:type="spellEnd"/>
      <w:r>
        <w:rPr>
          <w:lang w:val="en-GB"/>
        </w:rPr>
        <w:t xml:space="preserve">: </w:t>
      </w:r>
      <w:proofErr w:type="spellStart"/>
      <w:r>
        <w:rPr>
          <w:lang w:val="en-GB"/>
        </w:rPr>
        <w:t>Revista</w:t>
      </w:r>
      <w:proofErr w:type="spellEnd"/>
      <w:r>
        <w:rPr>
          <w:lang w:val="en-GB"/>
        </w:rPr>
        <w:t xml:space="preserve"> de </w:t>
      </w:r>
      <w:proofErr w:type="spellStart"/>
      <w:r>
        <w:rPr>
          <w:lang w:val="en-GB"/>
        </w:rPr>
        <w:t>Ciencias</w:t>
      </w:r>
      <w:proofErr w:type="spellEnd"/>
      <w:r>
        <w:rPr>
          <w:lang w:val="en-GB"/>
        </w:rPr>
        <w:t xml:space="preserve"> </w:t>
      </w:r>
      <w:proofErr w:type="spellStart"/>
      <w:r>
        <w:rPr>
          <w:lang w:val="en-GB"/>
        </w:rPr>
        <w:t>Sociales</w:t>
      </w:r>
      <w:proofErr w:type="spellEnd"/>
      <w:r>
        <w:rPr>
          <w:lang w:val="en-GB"/>
        </w:rPr>
        <w:t xml:space="preserve"> y </w:t>
      </w:r>
      <w:proofErr w:type="spellStart"/>
      <w:r>
        <w:rPr>
          <w:lang w:val="en-GB"/>
        </w:rPr>
        <w:t>Humanidades</w:t>
      </w:r>
      <w:proofErr w:type="spellEnd"/>
      <w:r>
        <w:rPr>
          <w:lang w:val="en-GB"/>
        </w:rPr>
        <w:t>, 9(40). https://doi.org/10.46652/rgn.v9i40.1207</w:t>
      </w:r>
    </w:p>
    <w:p w14:paraId="3B50A304" w14:textId="77777777" w:rsidR="00604C7C" w:rsidRDefault="003F5CB5">
      <w:pPr>
        <w:pStyle w:val="Body"/>
        <w:numPr>
          <w:ilvl w:val="0"/>
          <w:numId w:val="39"/>
        </w:numPr>
        <w:spacing w:after="0"/>
        <w:ind w:hanging="180"/>
        <w:rPr>
          <w:lang w:val="en-GB"/>
        </w:rPr>
      </w:pPr>
      <w:r>
        <w:rPr>
          <w:lang w:val="en-GB"/>
        </w:rPr>
        <w:t xml:space="preserve">Kanwal, W., Mehmood, K., &amp; </w:t>
      </w:r>
      <w:proofErr w:type="spellStart"/>
      <w:r>
        <w:rPr>
          <w:lang w:val="en-GB"/>
        </w:rPr>
        <w:t>Perveen</w:t>
      </w:r>
      <w:proofErr w:type="spellEnd"/>
      <w:r>
        <w:rPr>
          <w:lang w:val="en-GB"/>
        </w:rPr>
        <w:t>, R. (2023). Development of skills at the preoperational stage; A comparative study on cognitive develop</w:t>
      </w:r>
      <w:r>
        <w:rPr>
          <w:lang w:val="en-GB"/>
        </w:rPr>
        <w:t>ment of urban and rural children. JECCE, 7(1).</w:t>
      </w:r>
    </w:p>
    <w:p w14:paraId="1F8AA619" w14:textId="77777777" w:rsidR="00604C7C" w:rsidRDefault="003F5CB5">
      <w:pPr>
        <w:pStyle w:val="Body"/>
        <w:numPr>
          <w:ilvl w:val="0"/>
          <w:numId w:val="39"/>
        </w:numPr>
        <w:spacing w:after="0"/>
        <w:ind w:hanging="180"/>
        <w:rPr>
          <w:lang w:val="en-GB"/>
        </w:rPr>
      </w:pPr>
      <w:r>
        <w:rPr>
          <w:lang w:val="en-GB"/>
        </w:rPr>
        <w:t xml:space="preserve">Kara, K., &amp; </w:t>
      </w:r>
      <w:proofErr w:type="spellStart"/>
      <w:r>
        <w:rPr>
          <w:lang w:val="en-GB"/>
        </w:rPr>
        <w:t>Eveyik-Aydın</w:t>
      </w:r>
      <w:proofErr w:type="spellEnd"/>
      <w:r>
        <w:rPr>
          <w:lang w:val="en-GB"/>
        </w:rPr>
        <w:t>, E. (2019). Effects of TPRS on very young learners’ vocabulary acquisition. Advances in Language and Literary Studies, 10(1), 135–146. https://doi.org/10.7575/aiac.alls.v.10n.1p.135</w:t>
      </w:r>
    </w:p>
    <w:p w14:paraId="2512D82A" w14:textId="77777777" w:rsidR="00604C7C" w:rsidRDefault="003F5CB5">
      <w:pPr>
        <w:pStyle w:val="Body"/>
        <w:numPr>
          <w:ilvl w:val="0"/>
          <w:numId w:val="39"/>
        </w:numPr>
        <w:spacing w:after="0"/>
        <w:ind w:hanging="180"/>
        <w:rPr>
          <w:lang w:val="en-GB"/>
        </w:rPr>
      </w:pPr>
      <w:r>
        <w:rPr>
          <w:lang w:val="en-GB"/>
        </w:rPr>
        <w:t>Ko</w:t>
      </w:r>
      <w:r>
        <w:rPr>
          <w:lang w:val="en-GB"/>
        </w:rPr>
        <w:t xml:space="preserve">valenko, I. (2024). Psychological aspects of learning foreign languages: Strategies for overcoming communication barriers and anxiety of speaking foreign language. </w:t>
      </w:r>
      <w:proofErr w:type="spellStart"/>
      <w:r>
        <w:rPr>
          <w:lang w:val="en-GB"/>
        </w:rPr>
        <w:t>Актуальні</w:t>
      </w:r>
      <w:proofErr w:type="spellEnd"/>
      <w:r>
        <w:rPr>
          <w:lang w:val="en-GB"/>
        </w:rPr>
        <w:t xml:space="preserve"> </w:t>
      </w:r>
      <w:proofErr w:type="spellStart"/>
      <w:r>
        <w:rPr>
          <w:lang w:val="en-GB"/>
        </w:rPr>
        <w:t>питання</w:t>
      </w:r>
      <w:proofErr w:type="spellEnd"/>
      <w:r>
        <w:rPr>
          <w:lang w:val="en-GB"/>
        </w:rPr>
        <w:t xml:space="preserve"> у </w:t>
      </w:r>
      <w:proofErr w:type="spellStart"/>
      <w:r>
        <w:rPr>
          <w:lang w:val="en-GB"/>
        </w:rPr>
        <w:t>сучасній</w:t>
      </w:r>
      <w:proofErr w:type="spellEnd"/>
      <w:r>
        <w:rPr>
          <w:lang w:val="en-GB"/>
        </w:rPr>
        <w:t xml:space="preserve"> </w:t>
      </w:r>
      <w:proofErr w:type="spellStart"/>
      <w:r>
        <w:rPr>
          <w:lang w:val="en-GB"/>
        </w:rPr>
        <w:t>науці</w:t>
      </w:r>
      <w:proofErr w:type="spellEnd"/>
      <w:r>
        <w:rPr>
          <w:lang w:val="en-GB"/>
        </w:rPr>
        <w:t>, (8 (26)).</w:t>
      </w:r>
    </w:p>
    <w:p w14:paraId="5EFB76E2" w14:textId="77777777" w:rsidR="00604C7C" w:rsidRDefault="003F5CB5">
      <w:pPr>
        <w:pStyle w:val="Body"/>
        <w:numPr>
          <w:ilvl w:val="0"/>
          <w:numId w:val="39"/>
        </w:numPr>
        <w:spacing w:after="0"/>
        <w:ind w:hanging="180"/>
        <w:rPr>
          <w:lang w:val="en-GB"/>
        </w:rPr>
      </w:pPr>
      <w:proofErr w:type="spellStart"/>
      <w:r>
        <w:rPr>
          <w:lang w:val="en-GB"/>
        </w:rPr>
        <w:lastRenderedPageBreak/>
        <w:t>Kyere</w:t>
      </w:r>
      <w:proofErr w:type="spellEnd"/>
      <w:r>
        <w:rPr>
          <w:lang w:val="en-GB"/>
        </w:rPr>
        <w:t>, J. (2017). The effectiveness of hands-o</w:t>
      </w:r>
      <w:r>
        <w:rPr>
          <w:lang w:val="en-GB"/>
        </w:rPr>
        <w:t>n pedagogy in STEM education (Doctoral dissertation, Walden University).</w:t>
      </w:r>
    </w:p>
    <w:p w14:paraId="700C9BB5" w14:textId="77777777" w:rsidR="00604C7C" w:rsidRDefault="003F5CB5">
      <w:pPr>
        <w:pStyle w:val="Body"/>
        <w:numPr>
          <w:ilvl w:val="0"/>
          <w:numId w:val="39"/>
        </w:numPr>
        <w:spacing w:after="0"/>
        <w:ind w:hanging="180"/>
        <w:rPr>
          <w:lang w:val="en-GB"/>
        </w:rPr>
      </w:pPr>
      <w:proofErr w:type="spellStart"/>
      <w:r>
        <w:rPr>
          <w:lang w:val="en-GB"/>
        </w:rPr>
        <w:t>Lalaleo</w:t>
      </w:r>
      <w:proofErr w:type="spellEnd"/>
      <w:r>
        <w:rPr>
          <w:lang w:val="en-GB"/>
        </w:rPr>
        <w:t xml:space="preserve"> </w:t>
      </w:r>
      <w:proofErr w:type="spellStart"/>
      <w:r>
        <w:rPr>
          <w:lang w:val="en-GB"/>
        </w:rPr>
        <w:t>Pazmiño</w:t>
      </w:r>
      <w:proofErr w:type="spellEnd"/>
      <w:r>
        <w:rPr>
          <w:lang w:val="en-GB"/>
        </w:rPr>
        <w:t>, M. J. (2023). Total physical response (TPR) method and the listening skills (Bachelor's thesis, Universidad Técnica de Ambato-</w:t>
      </w:r>
      <w:proofErr w:type="spellStart"/>
      <w:r>
        <w:rPr>
          <w:lang w:val="en-GB"/>
        </w:rPr>
        <w:t>Facultad</w:t>
      </w:r>
      <w:proofErr w:type="spellEnd"/>
      <w:r>
        <w:rPr>
          <w:lang w:val="en-GB"/>
        </w:rPr>
        <w:t xml:space="preserve"> de </w:t>
      </w:r>
      <w:proofErr w:type="spellStart"/>
      <w:r>
        <w:rPr>
          <w:lang w:val="en-GB"/>
        </w:rPr>
        <w:t>Ciencias</w:t>
      </w:r>
      <w:proofErr w:type="spellEnd"/>
      <w:r>
        <w:rPr>
          <w:lang w:val="en-GB"/>
        </w:rPr>
        <w:t xml:space="preserve"> </w:t>
      </w:r>
      <w:proofErr w:type="spellStart"/>
      <w:r>
        <w:rPr>
          <w:lang w:val="en-GB"/>
        </w:rPr>
        <w:t>Humanas</w:t>
      </w:r>
      <w:proofErr w:type="spellEnd"/>
      <w:r>
        <w:rPr>
          <w:lang w:val="en-GB"/>
        </w:rPr>
        <w:t xml:space="preserve"> y de la </w:t>
      </w:r>
      <w:proofErr w:type="spellStart"/>
      <w:r>
        <w:rPr>
          <w:lang w:val="en-GB"/>
        </w:rPr>
        <w:t>Edu</w:t>
      </w:r>
      <w:r>
        <w:rPr>
          <w:lang w:val="en-GB"/>
        </w:rPr>
        <w:t>cación</w:t>
      </w:r>
      <w:proofErr w:type="spellEnd"/>
      <w:r>
        <w:rPr>
          <w:lang w:val="en-GB"/>
        </w:rPr>
        <w:t xml:space="preserve">-Carrera de </w:t>
      </w:r>
      <w:proofErr w:type="spellStart"/>
      <w:r>
        <w:rPr>
          <w:lang w:val="en-GB"/>
        </w:rPr>
        <w:t>Pedagogía</w:t>
      </w:r>
      <w:proofErr w:type="spellEnd"/>
      <w:r>
        <w:rPr>
          <w:lang w:val="en-GB"/>
        </w:rPr>
        <w:t xml:space="preserve"> de los </w:t>
      </w:r>
      <w:proofErr w:type="spellStart"/>
      <w:r>
        <w:rPr>
          <w:lang w:val="en-GB"/>
        </w:rPr>
        <w:t>idiomas</w:t>
      </w:r>
      <w:proofErr w:type="spellEnd"/>
      <w:r>
        <w:rPr>
          <w:lang w:val="en-GB"/>
        </w:rPr>
        <w:t xml:space="preserve"> </w:t>
      </w:r>
      <w:proofErr w:type="spellStart"/>
      <w:r>
        <w:rPr>
          <w:lang w:val="en-GB"/>
        </w:rPr>
        <w:t>Nacionales</w:t>
      </w:r>
      <w:proofErr w:type="spellEnd"/>
      <w:r>
        <w:rPr>
          <w:lang w:val="en-GB"/>
        </w:rPr>
        <w:t xml:space="preserve"> y </w:t>
      </w:r>
      <w:proofErr w:type="spellStart"/>
      <w:r>
        <w:rPr>
          <w:lang w:val="en-GB"/>
        </w:rPr>
        <w:t>extranjeros</w:t>
      </w:r>
      <w:proofErr w:type="spellEnd"/>
      <w:r>
        <w:rPr>
          <w:lang w:val="en-GB"/>
        </w:rPr>
        <w:t>). https://repositorio.uta.edu.ec/handle/123456789/37184</w:t>
      </w:r>
    </w:p>
    <w:p w14:paraId="2EBE6644" w14:textId="77777777" w:rsidR="00604C7C" w:rsidRDefault="003F5CB5">
      <w:pPr>
        <w:pStyle w:val="Body"/>
        <w:numPr>
          <w:ilvl w:val="0"/>
          <w:numId w:val="39"/>
        </w:numPr>
        <w:spacing w:after="0"/>
        <w:ind w:hanging="180"/>
        <w:rPr>
          <w:lang w:val="en-GB"/>
        </w:rPr>
      </w:pPr>
      <w:proofErr w:type="spellStart"/>
      <w:r>
        <w:rPr>
          <w:lang w:val="en-GB"/>
        </w:rPr>
        <w:t>Larab</w:t>
      </w:r>
      <w:proofErr w:type="spellEnd"/>
      <w:r>
        <w:rPr>
          <w:lang w:val="en-GB"/>
        </w:rPr>
        <w:t xml:space="preserve">, L., &amp; </w:t>
      </w:r>
      <w:proofErr w:type="spellStart"/>
      <w:r>
        <w:rPr>
          <w:lang w:val="en-GB"/>
        </w:rPr>
        <w:t>Kerkadi</w:t>
      </w:r>
      <w:proofErr w:type="spellEnd"/>
      <w:r>
        <w:rPr>
          <w:lang w:val="en-GB"/>
        </w:rPr>
        <w:t xml:space="preserve">, S. (2024). Exploring the use of Total Physical Response method in vocabulary instruction (Doctoral dissertation, Ibn </w:t>
      </w:r>
      <w:proofErr w:type="spellStart"/>
      <w:r>
        <w:rPr>
          <w:lang w:val="en-GB"/>
        </w:rPr>
        <w:t>Khaldoun</w:t>
      </w:r>
      <w:proofErr w:type="spellEnd"/>
      <w:r>
        <w:rPr>
          <w:lang w:val="en-GB"/>
        </w:rPr>
        <w:t xml:space="preserve"> University–</w:t>
      </w:r>
      <w:proofErr w:type="spellStart"/>
      <w:r>
        <w:rPr>
          <w:lang w:val="en-GB"/>
        </w:rPr>
        <w:t>Tiaret</w:t>
      </w:r>
      <w:proofErr w:type="spellEnd"/>
      <w:r>
        <w:rPr>
          <w:lang w:val="en-GB"/>
        </w:rPr>
        <w:t>). http://dspace.univ-tiaret.dz/handle/123456789/14963</w:t>
      </w:r>
    </w:p>
    <w:p w14:paraId="59660DC0" w14:textId="77777777" w:rsidR="00604C7C" w:rsidRDefault="003F5CB5">
      <w:pPr>
        <w:pStyle w:val="Body"/>
        <w:numPr>
          <w:ilvl w:val="0"/>
          <w:numId w:val="39"/>
        </w:numPr>
        <w:spacing w:after="0"/>
        <w:ind w:hanging="180"/>
        <w:rPr>
          <w:lang w:val="en-GB"/>
        </w:rPr>
      </w:pPr>
      <w:proofErr w:type="spellStart"/>
      <w:r>
        <w:rPr>
          <w:lang w:val="en-GB"/>
        </w:rPr>
        <w:t>Larioque</w:t>
      </w:r>
      <w:proofErr w:type="spellEnd"/>
      <w:r>
        <w:rPr>
          <w:lang w:val="en-GB"/>
        </w:rPr>
        <w:t xml:space="preserve">, R. R. (2019). </w:t>
      </w:r>
      <w:proofErr w:type="spellStart"/>
      <w:r>
        <w:rPr>
          <w:lang w:val="en-GB"/>
        </w:rPr>
        <w:t>Millenial's</w:t>
      </w:r>
      <w:proofErr w:type="spellEnd"/>
      <w:r>
        <w:rPr>
          <w:lang w:val="en-GB"/>
        </w:rPr>
        <w:t xml:space="preserve"> breading predicaments: How are they treated? Int'l J. Soc. Sci. Stud., 7, 22.</w:t>
      </w:r>
    </w:p>
    <w:p w14:paraId="3B2A70CB" w14:textId="77777777" w:rsidR="00604C7C" w:rsidRDefault="003F5CB5">
      <w:pPr>
        <w:pStyle w:val="Body"/>
        <w:numPr>
          <w:ilvl w:val="0"/>
          <w:numId w:val="39"/>
        </w:numPr>
        <w:spacing w:after="0"/>
        <w:ind w:hanging="180"/>
        <w:rPr>
          <w:lang w:val="en-GB"/>
        </w:rPr>
      </w:pPr>
      <w:r>
        <w:rPr>
          <w:lang w:val="en-GB"/>
        </w:rPr>
        <w:t xml:space="preserve">Lee, E., &amp; </w:t>
      </w:r>
      <w:proofErr w:type="spellStart"/>
      <w:r>
        <w:rPr>
          <w:lang w:val="en-GB"/>
        </w:rPr>
        <w:t>Hannafin</w:t>
      </w:r>
      <w:proofErr w:type="spellEnd"/>
      <w:r>
        <w:rPr>
          <w:lang w:val="en-GB"/>
        </w:rPr>
        <w:t>, M. J. (2016). A design framework for enhancing engagement in student-</w:t>
      </w:r>
      <w:proofErr w:type="spellStart"/>
      <w:r>
        <w:rPr>
          <w:lang w:val="en-GB"/>
        </w:rPr>
        <w:t>centered</w:t>
      </w:r>
      <w:proofErr w:type="spellEnd"/>
      <w:r>
        <w:rPr>
          <w:lang w:val="en-GB"/>
        </w:rPr>
        <w:t xml:space="preserve"> learning: Own it, learn it, and share it. Educational Technology Research and </w:t>
      </w:r>
      <w:r>
        <w:rPr>
          <w:lang w:val="en-GB"/>
        </w:rPr>
        <w:t>Development, 64, 707–734. https://link.springer.com/article/10.1007/s11423-015-9422-5</w:t>
      </w:r>
    </w:p>
    <w:p w14:paraId="6635E0C1" w14:textId="77777777" w:rsidR="00604C7C" w:rsidRDefault="003F5CB5">
      <w:pPr>
        <w:pStyle w:val="Body"/>
        <w:numPr>
          <w:ilvl w:val="0"/>
          <w:numId w:val="39"/>
        </w:numPr>
        <w:spacing w:after="0"/>
        <w:ind w:hanging="180"/>
        <w:rPr>
          <w:lang w:val="en-GB"/>
        </w:rPr>
      </w:pPr>
      <w:r>
        <w:rPr>
          <w:lang w:val="en-GB"/>
        </w:rPr>
        <w:t>Lin, J. J., &amp; Lin, H. (2019). Mobile-assisted ESL/EFL vocabulary learning: A systematic review and meta-analysis. Computer Assisted Language Learning, 32(8), 878–919. htt</w:t>
      </w:r>
      <w:r>
        <w:rPr>
          <w:lang w:val="en-GB"/>
        </w:rPr>
        <w:t>ps://doi.org/10.1080/09588221.2018.1541359</w:t>
      </w:r>
    </w:p>
    <w:p w14:paraId="3BFC311E" w14:textId="77777777" w:rsidR="00604C7C" w:rsidRDefault="003F5CB5">
      <w:pPr>
        <w:pStyle w:val="Body"/>
        <w:numPr>
          <w:ilvl w:val="0"/>
          <w:numId w:val="39"/>
        </w:numPr>
        <w:spacing w:after="0"/>
        <w:ind w:hanging="180"/>
        <w:rPr>
          <w:lang w:val="en-GB"/>
        </w:rPr>
      </w:pPr>
      <w:r>
        <w:rPr>
          <w:lang w:val="en-GB"/>
        </w:rPr>
        <w:t>Liu, P. L., Chen, C. J., &amp; Chen, H. C. (2024). Teaching young EFL learners new vocabulary: A comparison of the efficiency of traditional and personalized TPR strategies. SAGE Open, 14(4), 21582440241288924. https:</w:t>
      </w:r>
      <w:r>
        <w:rPr>
          <w:lang w:val="en-GB"/>
        </w:rPr>
        <w:t>//doi.org/10.1177/21582440241288924</w:t>
      </w:r>
    </w:p>
    <w:p w14:paraId="54F5200B" w14:textId="77777777" w:rsidR="00604C7C" w:rsidRDefault="003F5CB5">
      <w:pPr>
        <w:pStyle w:val="Body"/>
        <w:numPr>
          <w:ilvl w:val="0"/>
          <w:numId w:val="39"/>
        </w:numPr>
        <w:spacing w:after="0"/>
        <w:ind w:hanging="180"/>
        <w:rPr>
          <w:lang w:val="en-GB"/>
        </w:rPr>
      </w:pPr>
      <w:proofErr w:type="spellStart"/>
      <w:r>
        <w:rPr>
          <w:lang w:val="en-GB"/>
        </w:rPr>
        <w:t>Lourenço</w:t>
      </w:r>
      <w:proofErr w:type="spellEnd"/>
      <w:r>
        <w:rPr>
          <w:lang w:val="en-GB"/>
        </w:rPr>
        <w:t>, C. R. N. (2018). Teaching English through movement: An aid to develop writing (Doctoral dissertation). http://hdl.handle.net/10451/35062</w:t>
      </w:r>
    </w:p>
    <w:p w14:paraId="5ADB1F29" w14:textId="77777777" w:rsidR="00604C7C" w:rsidRDefault="003F5CB5">
      <w:pPr>
        <w:pStyle w:val="Body"/>
        <w:numPr>
          <w:ilvl w:val="0"/>
          <w:numId w:val="39"/>
        </w:numPr>
        <w:spacing w:after="0"/>
        <w:ind w:hanging="180"/>
        <w:rPr>
          <w:lang w:val="en-GB"/>
        </w:rPr>
      </w:pPr>
      <w:r>
        <w:rPr>
          <w:lang w:val="en-GB"/>
        </w:rPr>
        <w:t xml:space="preserve">Magnussen, E., &amp; </w:t>
      </w:r>
      <w:proofErr w:type="spellStart"/>
      <w:r>
        <w:rPr>
          <w:lang w:val="en-GB"/>
        </w:rPr>
        <w:t>Sukying</w:t>
      </w:r>
      <w:proofErr w:type="spellEnd"/>
      <w:r>
        <w:rPr>
          <w:lang w:val="en-GB"/>
        </w:rPr>
        <w:t xml:space="preserve">, A. (2021). The impact of songs and TPR on Thai </w:t>
      </w:r>
      <w:proofErr w:type="spellStart"/>
      <w:r>
        <w:rPr>
          <w:lang w:val="en-GB"/>
        </w:rPr>
        <w:t>preschoolers’</w:t>
      </w:r>
      <w:proofErr w:type="spellEnd"/>
      <w:r>
        <w:rPr>
          <w:lang w:val="en-GB"/>
        </w:rPr>
        <w:t xml:space="preserve"> vocabulary acquisition. </w:t>
      </w:r>
      <w:proofErr w:type="spellStart"/>
      <w:r>
        <w:rPr>
          <w:lang w:val="en-GB"/>
        </w:rPr>
        <w:t>Thaitesol</w:t>
      </w:r>
      <w:proofErr w:type="spellEnd"/>
      <w:r>
        <w:rPr>
          <w:lang w:val="en-GB"/>
        </w:rPr>
        <w:t xml:space="preserve"> Journal, 34(1), 71–95. https://so05.tci-thaijo.org/index.php/thaitesoljournal/article/view/252356</w:t>
      </w:r>
    </w:p>
    <w:p w14:paraId="23474794" w14:textId="77777777" w:rsidR="00604C7C" w:rsidRDefault="003F5CB5">
      <w:pPr>
        <w:pStyle w:val="Body"/>
        <w:numPr>
          <w:ilvl w:val="0"/>
          <w:numId w:val="39"/>
        </w:numPr>
        <w:spacing w:after="0"/>
        <w:ind w:hanging="180"/>
        <w:rPr>
          <w:lang w:val="en-GB"/>
        </w:rPr>
      </w:pPr>
      <w:r>
        <w:rPr>
          <w:lang w:val="en-GB"/>
        </w:rPr>
        <w:t>Majeed, S. A., Aqeel, M., Waqar, S., &amp; Mustafa, G. (2023). Role of morphological analysis in enhancing reading</w:t>
      </w:r>
      <w:r>
        <w:rPr>
          <w:lang w:val="en-GB"/>
        </w:rPr>
        <w:t xml:space="preserve"> comprehension and vocabulary development at elementary education. Harf-o-</w:t>
      </w:r>
      <w:proofErr w:type="spellStart"/>
      <w:r>
        <w:rPr>
          <w:lang w:val="en-GB"/>
        </w:rPr>
        <w:t>Sukhan</w:t>
      </w:r>
      <w:proofErr w:type="spellEnd"/>
      <w:r>
        <w:rPr>
          <w:lang w:val="en-GB"/>
        </w:rPr>
        <w:t>, 7(4), 139–148. https://www.harf-o-sukhan.com/index.php/Harf-o-sukhan/article/view/995</w:t>
      </w:r>
    </w:p>
    <w:p w14:paraId="0091D0E3" w14:textId="77777777" w:rsidR="00604C7C" w:rsidRDefault="003F5CB5">
      <w:pPr>
        <w:pStyle w:val="Body"/>
        <w:numPr>
          <w:ilvl w:val="0"/>
          <w:numId w:val="39"/>
        </w:numPr>
        <w:spacing w:after="0"/>
        <w:ind w:hanging="180"/>
        <w:rPr>
          <w:lang w:val="en-GB"/>
        </w:rPr>
      </w:pPr>
      <w:proofErr w:type="spellStart"/>
      <w:r>
        <w:rPr>
          <w:lang w:val="en-GB"/>
        </w:rPr>
        <w:t>Mašková</w:t>
      </w:r>
      <w:proofErr w:type="spellEnd"/>
      <w:r>
        <w:rPr>
          <w:lang w:val="en-GB"/>
        </w:rPr>
        <w:t>, M. (2024). of Thesis: A comparative study on teaching English to very.</w:t>
      </w:r>
    </w:p>
    <w:p w14:paraId="750738F4" w14:textId="77777777" w:rsidR="00604C7C" w:rsidRDefault="003F5CB5">
      <w:pPr>
        <w:pStyle w:val="Body"/>
        <w:numPr>
          <w:ilvl w:val="0"/>
          <w:numId w:val="39"/>
        </w:numPr>
        <w:spacing w:after="0"/>
        <w:ind w:hanging="180"/>
        <w:rPr>
          <w:lang w:val="en-GB"/>
        </w:rPr>
      </w:pPr>
      <w:r>
        <w:rPr>
          <w:lang w:val="en-GB"/>
        </w:rPr>
        <w:t>McCarthy</w:t>
      </w:r>
      <w:r>
        <w:rPr>
          <w:lang w:val="en-GB"/>
        </w:rPr>
        <w:t xml:space="preserve">, J. M., Bauer, T. N., Truxillo, D. M., Campion, M. C., Van </w:t>
      </w:r>
      <w:proofErr w:type="spellStart"/>
      <w:r>
        <w:rPr>
          <w:lang w:val="en-GB"/>
        </w:rPr>
        <w:t>Iddekinge</w:t>
      </w:r>
      <w:proofErr w:type="spellEnd"/>
      <w:r>
        <w:rPr>
          <w:lang w:val="en-GB"/>
        </w:rPr>
        <w:t xml:space="preserve">, C. H., &amp; Campion, M. A. (2017). Using pre-test explanations to improve test-taker reactions: Testing a set of “wise” interventions. Organizational </w:t>
      </w:r>
      <w:proofErr w:type="spellStart"/>
      <w:r>
        <w:rPr>
          <w:lang w:val="en-GB"/>
        </w:rPr>
        <w:t>Behavior</w:t>
      </w:r>
      <w:proofErr w:type="spellEnd"/>
      <w:r>
        <w:rPr>
          <w:lang w:val="en-GB"/>
        </w:rPr>
        <w:t xml:space="preserve"> and Human Decision Processes,</w:t>
      </w:r>
      <w:r>
        <w:rPr>
          <w:lang w:val="en-GB"/>
        </w:rPr>
        <w:t xml:space="preserve"> 141, 43–56. https://doi.org/10.1016/j.obhdp.2017.04.002</w:t>
      </w:r>
    </w:p>
    <w:p w14:paraId="3120D417" w14:textId="77777777" w:rsidR="00604C7C" w:rsidRDefault="003F5CB5">
      <w:pPr>
        <w:pStyle w:val="Body"/>
        <w:numPr>
          <w:ilvl w:val="0"/>
          <w:numId w:val="39"/>
        </w:numPr>
        <w:spacing w:after="0"/>
        <w:ind w:hanging="180"/>
        <w:rPr>
          <w:lang w:val="en-GB"/>
        </w:rPr>
      </w:pPr>
      <w:r>
        <w:rPr>
          <w:lang w:val="en-GB"/>
        </w:rPr>
        <w:t>McKeown, M. G. (2019). Effective vocabulary instruction fosters knowing words, using words, and understanding how words work. Language, Speech, and Hearing Services in Schools, 50(4), 466–476. https:</w:t>
      </w:r>
      <w:r>
        <w:rPr>
          <w:lang w:val="en-GB"/>
        </w:rPr>
        <w:t>//doi.org/10.1044/2019_LSHSS-VOIA-18-0126</w:t>
      </w:r>
    </w:p>
    <w:p w14:paraId="53754780" w14:textId="77777777" w:rsidR="00604C7C" w:rsidRDefault="003F5CB5">
      <w:pPr>
        <w:pStyle w:val="Body"/>
        <w:numPr>
          <w:ilvl w:val="0"/>
          <w:numId w:val="39"/>
        </w:numPr>
        <w:spacing w:after="0"/>
        <w:ind w:hanging="180"/>
        <w:rPr>
          <w:lang w:val="en-GB"/>
        </w:rPr>
      </w:pPr>
      <w:proofErr w:type="spellStart"/>
      <w:r>
        <w:rPr>
          <w:lang w:val="en-GB"/>
        </w:rPr>
        <w:t>Mcleod</w:t>
      </w:r>
      <w:proofErr w:type="spellEnd"/>
      <w:r>
        <w:rPr>
          <w:lang w:val="en-GB"/>
        </w:rPr>
        <w:t xml:space="preserve">, S. (2024). </w:t>
      </w:r>
      <w:proofErr w:type="spellStart"/>
      <w:r>
        <w:rPr>
          <w:lang w:val="en-GB"/>
        </w:rPr>
        <w:t>Behaviorism</w:t>
      </w:r>
      <w:proofErr w:type="spellEnd"/>
      <w:r>
        <w:rPr>
          <w:lang w:val="en-GB"/>
        </w:rPr>
        <w:t xml:space="preserve"> in psychology.</w:t>
      </w:r>
    </w:p>
    <w:p w14:paraId="5544EED6" w14:textId="77777777" w:rsidR="00604C7C" w:rsidRDefault="003F5CB5">
      <w:pPr>
        <w:pStyle w:val="Body"/>
        <w:numPr>
          <w:ilvl w:val="0"/>
          <w:numId w:val="39"/>
        </w:numPr>
        <w:spacing w:after="0"/>
        <w:ind w:hanging="180"/>
        <w:rPr>
          <w:lang w:val="en-GB"/>
        </w:rPr>
      </w:pPr>
      <w:r>
        <w:rPr>
          <w:lang w:val="en-GB"/>
        </w:rPr>
        <w:t>McLeod, S. (2024). Piaget’s preoperational stage (Ages 2–7). https://www.simplypsychology.org/preoperational.html?PageSpeed=noscript</w:t>
      </w:r>
    </w:p>
    <w:p w14:paraId="508B72D0" w14:textId="77777777" w:rsidR="00604C7C" w:rsidRDefault="003F5CB5">
      <w:pPr>
        <w:pStyle w:val="Body"/>
        <w:numPr>
          <w:ilvl w:val="0"/>
          <w:numId w:val="39"/>
        </w:numPr>
        <w:spacing w:after="0"/>
        <w:ind w:hanging="180"/>
        <w:rPr>
          <w:lang w:val="en-GB"/>
        </w:rPr>
      </w:pPr>
      <w:r>
        <w:rPr>
          <w:lang w:val="en-GB"/>
        </w:rPr>
        <w:t>McLeod, S. (2024). Understanding ac</w:t>
      </w:r>
      <w:r>
        <w:rPr>
          <w:lang w:val="en-GB"/>
        </w:rPr>
        <w:t>commodation and assimilation in psychology. Simply Psychology.</w:t>
      </w:r>
    </w:p>
    <w:p w14:paraId="10C0850F" w14:textId="77777777" w:rsidR="00604C7C" w:rsidRDefault="003F5CB5">
      <w:pPr>
        <w:pStyle w:val="Body"/>
        <w:numPr>
          <w:ilvl w:val="0"/>
          <w:numId w:val="39"/>
        </w:numPr>
        <w:spacing w:after="0"/>
        <w:ind w:hanging="180"/>
        <w:rPr>
          <w:lang w:val="en-GB"/>
        </w:rPr>
      </w:pPr>
      <w:proofErr w:type="spellStart"/>
      <w:r>
        <w:rPr>
          <w:lang w:val="en-GB"/>
        </w:rPr>
        <w:t>Menyuk</w:t>
      </w:r>
      <w:proofErr w:type="spellEnd"/>
      <w:r>
        <w:rPr>
          <w:lang w:val="en-GB"/>
        </w:rPr>
        <w:t>, P., &amp; Brisk, M. (2005). Language development and education: Children with varying language experiences. Springer.</w:t>
      </w:r>
    </w:p>
    <w:p w14:paraId="44BD4EB7" w14:textId="77777777" w:rsidR="00604C7C" w:rsidRDefault="003F5CB5">
      <w:pPr>
        <w:pStyle w:val="Body"/>
        <w:numPr>
          <w:ilvl w:val="0"/>
          <w:numId w:val="39"/>
        </w:numPr>
        <w:spacing w:after="0"/>
        <w:ind w:hanging="180"/>
        <w:rPr>
          <w:lang w:val="en-GB"/>
        </w:rPr>
      </w:pPr>
      <w:r>
        <w:rPr>
          <w:lang w:val="en-GB"/>
        </w:rPr>
        <w:t xml:space="preserve">Merriam-Webster. (n.d.). </w:t>
      </w:r>
      <w:proofErr w:type="spellStart"/>
      <w:r>
        <w:rPr>
          <w:lang w:val="en-GB"/>
        </w:rPr>
        <w:t>Posttest</w:t>
      </w:r>
      <w:proofErr w:type="spellEnd"/>
      <w:r>
        <w:rPr>
          <w:lang w:val="en-GB"/>
        </w:rPr>
        <w:t>. In Merriam-Webster.com dictionary. R</w:t>
      </w:r>
      <w:r>
        <w:rPr>
          <w:lang w:val="en-GB"/>
        </w:rPr>
        <w:t>etrieved December 29, 2024, from https://www.merriam-webster.com/dictionary/posttest</w:t>
      </w:r>
    </w:p>
    <w:p w14:paraId="2D819A26" w14:textId="77777777" w:rsidR="00604C7C" w:rsidRDefault="003F5CB5">
      <w:pPr>
        <w:pStyle w:val="Body"/>
        <w:numPr>
          <w:ilvl w:val="0"/>
          <w:numId w:val="39"/>
        </w:numPr>
        <w:spacing w:after="0"/>
        <w:ind w:hanging="180"/>
        <w:rPr>
          <w:lang w:val="en-GB"/>
        </w:rPr>
      </w:pPr>
      <w:proofErr w:type="spellStart"/>
      <w:r>
        <w:rPr>
          <w:lang w:val="en-GB"/>
        </w:rPr>
        <w:t>Mirzayev</w:t>
      </w:r>
      <w:proofErr w:type="spellEnd"/>
      <w:r>
        <w:rPr>
          <w:lang w:val="en-GB"/>
        </w:rPr>
        <w:t>, E. (2024). Uniting TPR and eclectic methodology to maximize pronunciation proficiency for university students. Biological Sciences, 54. https://doi.org/10.5281/z</w:t>
      </w:r>
      <w:r>
        <w:rPr>
          <w:lang w:val="en-GB"/>
        </w:rPr>
        <w:t>enodo.11358355</w:t>
      </w:r>
    </w:p>
    <w:p w14:paraId="60036B36" w14:textId="77777777" w:rsidR="00604C7C" w:rsidRDefault="003F5CB5">
      <w:pPr>
        <w:pStyle w:val="Body"/>
        <w:numPr>
          <w:ilvl w:val="0"/>
          <w:numId w:val="39"/>
        </w:numPr>
        <w:spacing w:after="0"/>
        <w:ind w:hanging="180"/>
        <w:rPr>
          <w:lang w:val="en-GB"/>
        </w:rPr>
      </w:pPr>
      <w:proofErr w:type="spellStart"/>
      <w:r>
        <w:rPr>
          <w:lang w:val="en-GB"/>
        </w:rPr>
        <w:t>Mohd</w:t>
      </w:r>
      <w:proofErr w:type="spellEnd"/>
      <w:r>
        <w:rPr>
          <w:lang w:val="en-GB"/>
        </w:rPr>
        <w:t xml:space="preserve"> Tahir, M. H., </w:t>
      </w:r>
      <w:proofErr w:type="spellStart"/>
      <w:r>
        <w:rPr>
          <w:lang w:val="en-GB"/>
        </w:rPr>
        <w:t>Safinas</w:t>
      </w:r>
      <w:proofErr w:type="spellEnd"/>
      <w:r>
        <w:rPr>
          <w:lang w:val="en-GB"/>
        </w:rPr>
        <w:t xml:space="preserve"> </w:t>
      </w:r>
      <w:proofErr w:type="spellStart"/>
      <w:r>
        <w:rPr>
          <w:lang w:val="en-GB"/>
        </w:rPr>
        <w:t>Mohd</w:t>
      </w:r>
      <w:proofErr w:type="spellEnd"/>
      <w:r>
        <w:rPr>
          <w:lang w:val="en-GB"/>
        </w:rPr>
        <w:t xml:space="preserve"> </w:t>
      </w:r>
      <w:proofErr w:type="spellStart"/>
      <w:r>
        <w:rPr>
          <w:lang w:val="en-GB"/>
        </w:rPr>
        <w:t>Ariff</w:t>
      </w:r>
      <w:proofErr w:type="spellEnd"/>
      <w:r>
        <w:rPr>
          <w:lang w:val="en-GB"/>
        </w:rPr>
        <w:t xml:space="preserve"> </w:t>
      </w:r>
      <w:proofErr w:type="spellStart"/>
      <w:r>
        <w:rPr>
          <w:lang w:val="en-GB"/>
        </w:rPr>
        <w:t>Albakri</w:t>
      </w:r>
      <w:proofErr w:type="spellEnd"/>
      <w:r>
        <w:rPr>
          <w:lang w:val="en-GB"/>
        </w:rPr>
        <w:t xml:space="preserve">, I., </w:t>
      </w:r>
      <w:proofErr w:type="spellStart"/>
      <w:r>
        <w:rPr>
          <w:lang w:val="en-GB"/>
        </w:rPr>
        <w:t>Mohd</w:t>
      </w:r>
      <w:proofErr w:type="spellEnd"/>
      <w:r>
        <w:rPr>
          <w:lang w:val="en-GB"/>
        </w:rPr>
        <w:t xml:space="preserve"> Adnan, A. H., </w:t>
      </w:r>
      <w:proofErr w:type="spellStart"/>
      <w:r>
        <w:rPr>
          <w:lang w:val="en-GB"/>
        </w:rPr>
        <w:t>Syafiq</w:t>
      </w:r>
      <w:proofErr w:type="spellEnd"/>
      <w:r>
        <w:rPr>
          <w:lang w:val="en-GB"/>
        </w:rPr>
        <w:t xml:space="preserve"> </w:t>
      </w:r>
      <w:proofErr w:type="spellStart"/>
      <w:r>
        <w:rPr>
          <w:lang w:val="en-GB"/>
        </w:rPr>
        <w:t>Ya</w:t>
      </w:r>
      <w:proofErr w:type="spellEnd"/>
      <w:r>
        <w:rPr>
          <w:lang w:val="en-GB"/>
        </w:rPr>
        <w:t xml:space="preserve"> Shak, M., &amp; Mohamad Shah, D. S. (2020). The application of Visual Vocabulary for ESL students’ </w:t>
      </w:r>
      <w:r>
        <w:rPr>
          <w:lang w:val="en-GB"/>
        </w:rPr>
        <w:lastRenderedPageBreak/>
        <w:t>vocabulary learning. Arab World English Journal (AWEJ), 11. https:</w:t>
      </w:r>
      <w:r>
        <w:rPr>
          <w:lang w:val="en-GB"/>
        </w:rPr>
        <w:t>//papers.ssrn.com/sol3/papers.cfm?abstract_id=3649330</w:t>
      </w:r>
    </w:p>
    <w:p w14:paraId="7E34D46D" w14:textId="77777777" w:rsidR="00604C7C" w:rsidRDefault="003F5CB5">
      <w:pPr>
        <w:pStyle w:val="Body"/>
        <w:numPr>
          <w:ilvl w:val="0"/>
          <w:numId w:val="39"/>
        </w:numPr>
        <w:spacing w:after="0"/>
        <w:ind w:hanging="180"/>
        <w:rPr>
          <w:lang w:val="en-GB"/>
        </w:rPr>
      </w:pPr>
      <w:r>
        <w:rPr>
          <w:lang w:val="en-GB"/>
        </w:rPr>
        <w:t xml:space="preserve">Moody, S., Hu, X., </w:t>
      </w:r>
      <w:proofErr w:type="spellStart"/>
      <w:r>
        <w:rPr>
          <w:lang w:val="en-GB"/>
        </w:rPr>
        <w:t>Kuo</w:t>
      </w:r>
      <w:proofErr w:type="spellEnd"/>
      <w:r>
        <w:rPr>
          <w:lang w:val="en-GB"/>
        </w:rPr>
        <w:t xml:space="preserve">, L. J., </w:t>
      </w:r>
      <w:proofErr w:type="spellStart"/>
      <w:r>
        <w:rPr>
          <w:lang w:val="en-GB"/>
        </w:rPr>
        <w:t>Jouhar</w:t>
      </w:r>
      <w:proofErr w:type="spellEnd"/>
      <w:r>
        <w:rPr>
          <w:lang w:val="en-GB"/>
        </w:rPr>
        <w:t>, M., Xu, Z., &amp; Lee, S. (2018). Vocabulary instruction: A critical analysis of theories, research, and practice. Education Sciences, 8(4), 180. https://doi.org/10.33</w:t>
      </w:r>
      <w:r>
        <w:rPr>
          <w:lang w:val="en-GB"/>
        </w:rPr>
        <w:t>90/educsci8040180</w:t>
      </w:r>
    </w:p>
    <w:p w14:paraId="4BC64352" w14:textId="77777777" w:rsidR="00604C7C" w:rsidRDefault="003F5CB5">
      <w:pPr>
        <w:pStyle w:val="Body"/>
        <w:numPr>
          <w:ilvl w:val="0"/>
          <w:numId w:val="39"/>
        </w:numPr>
        <w:spacing w:after="0"/>
        <w:ind w:hanging="180"/>
        <w:rPr>
          <w:lang w:val="en-GB"/>
        </w:rPr>
      </w:pPr>
      <w:proofErr w:type="spellStart"/>
      <w:r>
        <w:rPr>
          <w:lang w:val="en-GB"/>
        </w:rPr>
        <w:t>Mythiri</w:t>
      </w:r>
      <w:proofErr w:type="spellEnd"/>
      <w:r>
        <w:rPr>
          <w:lang w:val="en-GB"/>
        </w:rPr>
        <w:t xml:space="preserve">, B., &amp; </w:t>
      </w:r>
      <w:proofErr w:type="spellStart"/>
      <w:r>
        <w:rPr>
          <w:lang w:val="en-GB"/>
        </w:rPr>
        <w:t>Karthika</w:t>
      </w:r>
      <w:proofErr w:type="spellEnd"/>
      <w:r>
        <w:rPr>
          <w:lang w:val="en-GB"/>
        </w:rPr>
        <w:t>, V. K. (2024). Challenges in remote ESL learning in under-resourced language classrooms: An Indian perspective during and after the pandemic. Journal of Poverty, 28(6), 473–490. https://doi.org/10.1080/10875549.202</w:t>
      </w:r>
      <w:r>
        <w:rPr>
          <w:lang w:val="en-GB"/>
        </w:rPr>
        <w:t>3.2235341</w:t>
      </w:r>
    </w:p>
    <w:p w14:paraId="10118605" w14:textId="77777777" w:rsidR="00604C7C" w:rsidRDefault="003F5CB5">
      <w:pPr>
        <w:pStyle w:val="Body"/>
        <w:numPr>
          <w:ilvl w:val="0"/>
          <w:numId w:val="39"/>
        </w:numPr>
        <w:spacing w:after="0"/>
        <w:ind w:hanging="180"/>
        <w:rPr>
          <w:lang w:val="en-GB"/>
        </w:rPr>
      </w:pPr>
      <w:r>
        <w:rPr>
          <w:lang w:val="en-GB"/>
        </w:rPr>
        <w:t xml:space="preserve">Nair, K. A. G. (2018). Integrating English with Total Physical Response as an effective method for </w:t>
      </w:r>
      <w:proofErr w:type="spellStart"/>
      <w:r>
        <w:rPr>
          <w:lang w:val="en-GB"/>
        </w:rPr>
        <w:t>preschoolers'</w:t>
      </w:r>
      <w:proofErr w:type="spellEnd"/>
      <w:r>
        <w:rPr>
          <w:lang w:val="en-GB"/>
        </w:rPr>
        <w:t xml:space="preserve"> cognitive development.</w:t>
      </w:r>
    </w:p>
    <w:p w14:paraId="0B4F3082" w14:textId="77777777" w:rsidR="00604C7C" w:rsidRDefault="003F5CB5">
      <w:pPr>
        <w:pStyle w:val="Body"/>
        <w:numPr>
          <w:ilvl w:val="0"/>
          <w:numId w:val="39"/>
        </w:numPr>
        <w:spacing w:after="0"/>
        <w:ind w:hanging="180"/>
        <w:rPr>
          <w:lang w:val="en-GB"/>
        </w:rPr>
      </w:pPr>
      <w:r>
        <w:rPr>
          <w:lang w:val="en-GB"/>
        </w:rPr>
        <w:t xml:space="preserve">Nair, K. A. G., </w:t>
      </w:r>
      <w:proofErr w:type="spellStart"/>
      <w:r>
        <w:rPr>
          <w:lang w:val="en-GB"/>
        </w:rPr>
        <w:t>Nachiappan</w:t>
      </w:r>
      <w:proofErr w:type="spellEnd"/>
      <w:r>
        <w:rPr>
          <w:lang w:val="en-GB"/>
        </w:rPr>
        <w:t>, S., &amp; Teck, W. K. (2017). Integrating English with total physical response for pre</w:t>
      </w:r>
      <w:r>
        <w:rPr>
          <w:lang w:val="en-GB"/>
        </w:rPr>
        <w:t>-schoolers’ cognitive development. Journal of Research, Policy &amp; Practice of Teachers and Teacher Education, 7(2), 46–57. https://doi.org/10.37134/jrpptte.vol7.no2.5.2017</w:t>
      </w:r>
    </w:p>
    <w:p w14:paraId="780491A9" w14:textId="77777777" w:rsidR="00604C7C" w:rsidRDefault="003F5CB5">
      <w:pPr>
        <w:pStyle w:val="Body"/>
        <w:numPr>
          <w:ilvl w:val="0"/>
          <w:numId w:val="39"/>
        </w:numPr>
        <w:spacing w:after="0"/>
        <w:ind w:hanging="180"/>
        <w:rPr>
          <w:lang w:val="en-GB"/>
        </w:rPr>
      </w:pPr>
      <w:r>
        <w:rPr>
          <w:lang w:val="en-GB"/>
        </w:rPr>
        <w:t xml:space="preserve">NCES. (2022). National Assessment of Educational Progress (NAEP) Results. National </w:t>
      </w:r>
      <w:proofErr w:type="spellStart"/>
      <w:r>
        <w:rPr>
          <w:lang w:val="en-GB"/>
        </w:rPr>
        <w:t>Ce</w:t>
      </w:r>
      <w:r>
        <w:rPr>
          <w:lang w:val="en-GB"/>
        </w:rPr>
        <w:t>nter</w:t>
      </w:r>
      <w:proofErr w:type="spellEnd"/>
      <w:r>
        <w:rPr>
          <w:lang w:val="en-GB"/>
        </w:rPr>
        <w:t xml:space="preserve"> for Education Statistics.</w:t>
      </w:r>
    </w:p>
    <w:p w14:paraId="62550790" w14:textId="77777777" w:rsidR="00604C7C" w:rsidRDefault="003F5CB5">
      <w:pPr>
        <w:pStyle w:val="Body"/>
        <w:numPr>
          <w:ilvl w:val="0"/>
          <w:numId w:val="39"/>
        </w:numPr>
        <w:spacing w:after="0"/>
        <w:ind w:hanging="180"/>
        <w:rPr>
          <w:lang w:val="en-GB"/>
        </w:rPr>
      </w:pPr>
      <w:proofErr w:type="spellStart"/>
      <w:r>
        <w:rPr>
          <w:lang w:val="en-GB"/>
        </w:rPr>
        <w:t>Nuraeni</w:t>
      </w:r>
      <w:proofErr w:type="spellEnd"/>
      <w:r>
        <w:rPr>
          <w:lang w:val="en-GB"/>
        </w:rPr>
        <w:t xml:space="preserve">, C. (2019). Promoting Total Physical Response (TPR) method on early childhood English language teaching. </w:t>
      </w:r>
      <w:proofErr w:type="spellStart"/>
      <w:r>
        <w:rPr>
          <w:lang w:val="en-GB"/>
        </w:rPr>
        <w:t>Jurnal</w:t>
      </w:r>
      <w:proofErr w:type="spellEnd"/>
      <w:r>
        <w:rPr>
          <w:lang w:val="en-GB"/>
        </w:rPr>
        <w:t xml:space="preserve"> </w:t>
      </w:r>
      <w:proofErr w:type="spellStart"/>
      <w:r>
        <w:rPr>
          <w:lang w:val="en-GB"/>
        </w:rPr>
        <w:t>Penelitian</w:t>
      </w:r>
      <w:proofErr w:type="spellEnd"/>
      <w:r>
        <w:rPr>
          <w:lang w:val="en-GB"/>
        </w:rPr>
        <w:t xml:space="preserve"> </w:t>
      </w:r>
      <w:proofErr w:type="spellStart"/>
      <w:r>
        <w:rPr>
          <w:lang w:val="en-GB"/>
        </w:rPr>
        <w:t>Humaniora</w:t>
      </w:r>
      <w:proofErr w:type="spellEnd"/>
      <w:r>
        <w:rPr>
          <w:lang w:val="en-GB"/>
        </w:rPr>
        <w:t>, 20(2), 67–79. https://badge.dimensions.ai/details/doi/10.23917/humaniora.v20i2.7144</w:t>
      </w:r>
      <w:r>
        <w:rPr>
          <w:lang w:val="en-GB"/>
        </w:rPr>
        <w:t>?domain=https://journals.ums.ac.id</w:t>
      </w:r>
    </w:p>
    <w:p w14:paraId="73101339" w14:textId="77777777" w:rsidR="00604C7C" w:rsidRDefault="003F5CB5">
      <w:pPr>
        <w:pStyle w:val="Body"/>
        <w:numPr>
          <w:ilvl w:val="0"/>
          <w:numId w:val="39"/>
        </w:numPr>
        <w:spacing w:after="0"/>
        <w:ind w:hanging="180"/>
        <w:rPr>
          <w:lang w:val="en-GB"/>
        </w:rPr>
      </w:pPr>
      <w:proofErr w:type="spellStart"/>
      <w:r>
        <w:rPr>
          <w:lang w:val="en-GB"/>
        </w:rPr>
        <w:t>Nuraeningsih</w:t>
      </w:r>
      <w:proofErr w:type="spellEnd"/>
      <w:r>
        <w:rPr>
          <w:lang w:val="en-GB"/>
        </w:rPr>
        <w:t xml:space="preserve">, N., &amp; </w:t>
      </w:r>
      <w:proofErr w:type="spellStart"/>
      <w:r>
        <w:rPr>
          <w:lang w:val="en-GB"/>
        </w:rPr>
        <w:t>Rusiana</w:t>
      </w:r>
      <w:proofErr w:type="spellEnd"/>
      <w:r>
        <w:rPr>
          <w:lang w:val="en-GB"/>
        </w:rPr>
        <w:t>, R. (2016). Improving students’ vocabulary mastery through TPR storytelling. IJELTAL (Indonesian Journal of English Language Teaching and Applied Linguistics, 1(1), 49–61. http://dx.doi.org/10.</w:t>
      </w:r>
      <w:r>
        <w:rPr>
          <w:lang w:val="en-GB"/>
        </w:rPr>
        <w:t>21093/ijeltal.v1i1.3</w:t>
      </w:r>
    </w:p>
    <w:p w14:paraId="4ABE71D6" w14:textId="77777777" w:rsidR="00604C7C" w:rsidRDefault="003F5CB5">
      <w:pPr>
        <w:pStyle w:val="Body"/>
        <w:numPr>
          <w:ilvl w:val="0"/>
          <w:numId w:val="39"/>
        </w:numPr>
        <w:spacing w:after="0"/>
        <w:ind w:hanging="180"/>
        <w:rPr>
          <w:lang w:val="en-GB"/>
        </w:rPr>
      </w:pPr>
      <w:r>
        <w:rPr>
          <w:lang w:val="en-GB"/>
        </w:rPr>
        <w:t>OECD. (2019). PISA 2018 Results (Volume I): What students know and can do. OECD Publishing. https://doi.org/10.1787/5f07c754-en</w:t>
      </w:r>
    </w:p>
    <w:p w14:paraId="0721E999" w14:textId="77777777" w:rsidR="00604C7C" w:rsidRDefault="003F5CB5">
      <w:pPr>
        <w:pStyle w:val="Body"/>
        <w:numPr>
          <w:ilvl w:val="0"/>
          <w:numId w:val="39"/>
        </w:numPr>
        <w:spacing w:after="0"/>
        <w:ind w:hanging="180"/>
        <w:rPr>
          <w:lang w:val="en-GB"/>
        </w:rPr>
      </w:pPr>
      <w:proofErr w:type="spellStart"/>
      <w:r>
        <w:rPr>
          <w:lang w:val="en-GB"/>
        </w:rPr>
        <w:t>Oogarah</w:t>
      </w:r>
      <w:proofErr w:type="spellEnd"/>
      <w:r>
        <w:rPr>
          <w:lang w:val="en-GB"/>
        </w:rPr>
        <w:t xml:space="preserve">-Pratap, B., </w:t>
      </w:r>
      <w:proofErr w:type="spellStart"/>
      <w:r>
        <w:rPr>
          <w:lang w:val="en-GB"/>
        </w:rPr>
        <w:t>Bholoa</w:t>
      </w:r>
      <w:proofErr w:type="spellEnd"/>
      <w:r>
        <w:rPr>
          <w:lang w:val="en-GB"/>
        </w:rPr>
        <w:t xml:space="preserve">, A., &amp; </w:t>
      </w:r>
      <w:proofErr w:type="spellStart"/>
      <w:r>
        <w:rPr>
          <w:lang w:val="en-GB"/>
        </w:rPr>
        <w:t>Ramma</w:t>
      </w:r>
      <w:proofErr w:type="spellEnd"/>
      <w:r>
        <w:rPr>
          <w:lang w:val="en-GB"/>
        </w:rPr>
        <w:t>, Y. (2020). Stage theory of cognitive development—Jean Piaget. In S</w:t>
      </w:r>
      <w:r>
        <w:rPr>
          <w:lang w:val="en-GB"/>
        </w:rPr>
        <w:t>cience Education in Theory and Practice: An Introductory Guide to Learning Theory (pp. 133–148). https://link.springer.com/chapter/10.1007/978-3-030-43620-9_10</w:t>
      </w:r>
    </w:p>
    <w:p w14:paraId="3B0B57AB" w14:textId="77777777" w:rsidR="00604C7C" w:rsidRDefault="003F5CB5">
      <w:pPr>
        <w:pStyle w:val="Body"/>
        <w:numPr>
          <w:ilvl w:val="0"/>
          <w:numId w:val="39"/>
        </w:numPr>
        <w:spacing w:after="0"/>
        <w:ind w:hanging="180"/>
        <w:rPr>
          <w:lang w:val="en-GB"/>
        </w:rPr>
      </w:pPr>
      <w:r>
        <w:rPr>
          <w:lang w:val="en-GB"/>
        </w:rPr>
        <w:t>Palermo, E. (2024). The impact of vocabulary acquisition on English language learners. http://hd</w:t>
      </w:r>
      <w:r>
        <w:rPr>
          <w:lang w:val="en-GB"/>
        </w:rPr>
        <w:t>l.handle.net/20.500.12648/15644</w:t>
      </w:r>
    </w:p>
    <w:p w14:paraId="3D2F00BB" w14:textId="77777777" w:rsidR="00604C7C" w:rsidRDefault="003F5CB5">
      <w:pPr>
        <w:pStyle w:val="Body"/>
        <w:numPr>
          <w:ilvl w:val="0"/>
          <w:numId w:val="39"/>
        </w:numPr>
        <w:spacing w:after="0"/>
        <w:ind w:hanging="180"/>
        <w:rPr>
          <w:lang w:val="en-GB"/>
        </w:rPr>
      </w:pPr>
      <w:proofErr w:type="spellStart"/>
      <w:r>
        <w:rPr>
          <w:lang w:val="en-GB"/>
        </w:rPr>
        <w:t>Pestana</w:t>
      </w:r>
      <w:proofErr w:type="spellEnd"/>
      <w:r>
        <w:rPr>
          <w:lang w:val="en-GB"/>
        </w:rPr>
        <w:t>, K. (2023). Implementation of the Total Physical Response (TPR) teaching method as a way to maintain the attention of beginners students in the bilingualism for peace program.</w:t>
      </w:r>
    </w:p>
    <w:p w14:paraId="4F3BD5F5" w14:textId="77777777" w:rsidR="00604C7C" w:rsidRDefault="003F5CB5">
      <w:pPr>
        <w:pStyle w:val="Body"/>
        <w:numPr>
          <w:ilvl w:val="0"/>
          <w:numId w:val="39"/>
        </w:numPr>
        <w:spacing w:after="0"/>
        <w:ind w:hanging="180"/>
        <w:rPr>
          <w:lang w:val="en-GB"/>
        </w:rPr>
      </w:pPr>
      <w:proofErr w:type="spellStart"/>
      <w:r>
        <w:rPr>
          <w:lang w:val="en-GB"/>
        </w:rPr>
        <w:t>Pilatuña</w:t>
      </w:r>
      <w:proofErr w:type="spellEnd"/>
      <w:r>
        <w:rPr>
          <w:lang w:val="en-GB"/>
        </w:rPr>
        <w:t xml:space="preserve"> Espinoza, C. M. (2024). The use of active songs in developing young learners vocabulary (Master's thesis).</w:t>
      </w:r>
    </w:p>
    <w:p w14:paraId="458BF18B" w14:textId="77777777" w:rsidR="00604C7C" w:rsidRDefault="003F5CB5">
      <w:pPr>
        <w:pStyle w:val="Body"/>
        <w:numPr>
          <w:ilvl w:val="0"/>
          <w:numId w:val="39"/>
        </w:numPr>
        <w:spacing w:after="0"/>
        <w:ind w:hanging="180"/>
        <w:rPr>
          <w:lang w:val="en-GB"/>
        </w:rPr>
      </w:pPr>
      <w:r>
        <w:rPr>
          <w:lang w:val="en-GB"/>
        </w:rPr>
        <w:t>Pinter, A. (2017). Teaching young language learners. Oxford University Press.</w:t>
      </w:r>
    </w:p>
    <w:p w14:paraId="24BE3DA9" w14:textId="77777777" w:rsidR="00604C7C" w:rsidRDefault="003F5CB5">
      <w:pPr>
        <w:pStyle w:val="Body"/>
        <w:numPr>
          <w:ilvl w:val="0"/>
          <w:numId w:val="39"/>
        </w:numPr>
        <w:spacing w:after="0"/>
        <w:ind w:hanging="180"/>
        <w:rPr>
          <w:lang w:val="en-GB"/>
        </w:rPr>
      </w:pPr>
      <w:proofErr w:type="spellStart"/>
      <w:r>
        <w:rPr>
          <w:lang w:val="en-GB"/>
        </w:rPr>
        <w:t>Poalacin</w:t>
      </w:r>
      <w:proofErr w:type="spellEnd"/>
      <w:r>
        <w:rPr>
          <w:lang w:val="en-GB"/>
        </w:rPr>
        <w:t xml:space="preserve"> </w:t>
      </w:r>
      <w:proofErr w:type="spellStart"/>
      <w:r>
        <w:rPr>
          <w:lang w:val="en-GB"/>
        </w:rPr>
        <w:t>Pilaguisin</w:t>
      </w:r>
      <w:proofErr w:type="spellEnd"/>
      <w:r>
        <w:rPr>
          <w:lang w:val="en-GB"/>
        </w:rPr>
        <w:t xml:space="preserve">, A. M., &amp; </w:t>
      </w:r>
      <w:proofErr w:type="spellStart"/>
      <w:r>
        <w:rPr>
          <w:lang w:val="en-GB"/>
        </w:rPr>
        <w:t>Aysalla</w:t>
      </w:r>
      <w:proofErr w:type="spellEnd"/>
      <w:r>
        <w:rPr>
          <w:lang w:val="en-GB"/>
        </w:rPr>
        <w:t xml:space="preserve"> </w:t>
      </w:r>
      <w:proofErr w:type="spellStart"/>
      <w:r>
        <w:rPr>
          <w:lang w:val="en-GB"/>
        </w:rPr>
        <w:t>Guanoluisa</w:t>
      </w:r>
      <w:proofErr w:type="spellEnd"/>
      <w:r>
        <w:rPr>
          <w:lang w:val="en-GB"/>
        </w:rPr>
        <w:t xml:space="preserve">, D. F. (2024). Total </w:t>
      </w:r>
      <w:r>
        <w:rPr>
          <w:lang w:val="en-GB"/>
        </w:rPr>
        <w:t xml:space="preserve">physical response (TPR) method to develop the English listening skill in EFL students (Doctoral dissertation, Ecuador: </w:t>
      </w:r>
      <w:proofErr w:type="spellStart"/>
      <w:r>
        <w:rPr>
          <w:lang w:val="en-GB"/>
        </w:rPr>
        <w:t>Pujilí</w:t>
      </w:r>
      <w:proofErr w:type="spellEnd"/>
      <w:r>
        <w:rPr>
          <w:lang w:val="en-GB"/>
        </w:rPr>
        <w:t>: Universidad Técnica de Cotopaxi (UTC)). https://repositorio.utc.edu.ec/handle/123456789/12699</w:t>
      </w:r>
    </w:p>
    <w:p w14:paraId="31503FE8" w14:textId="77777777" w:rsidR="00604C7C" w:rsidRDefault="003F5CB5">
      <w:pPr>
        <w:pStyle w:val="Body"/>
        <w:numPr>
          <w:ilvl w:val="0"/>
          <w:numId w:val="39"/>
        </w:numPr>
        <w:spacing w:after="0"/>
        <w:ind w:hanging="180"/>
        <w:rPr>
          <w:lang w:val="en-GB"/>
        </w:rPr>
      </w:pPr>
      <w:proofErr w:type="spellStart"/>
      <w:r>
        <w:rPr>
          <w:lang w:val="en-GB"/>
        </w:rPr>
        <w:t>Prodanovska-Poposka</w:t>
      </w:r>
      <w:proofErr w:type="spellEnd"/>
      <w:r>
        <w:rPr>
          <w:lang w:val="en-GB"/>
        </w:rPr>
        <w:t>, V., &amp; Todorova</w:t>
      </w:r>
      <w:r>
        <w:rPr>
          <w:lang w:val="en-GB"/>
        </w:rPr>
        <w:t>, M. (2023). Affective variables in the foreign language learning process. PALIMPSEST: International Journal for Linguistics, Literary and Cultural Research, 8(15), 261–271. https://www.ceeol.com/search/article-detail?id=1131216</w:t>
      </w:r>
    </w:p>
    <w:p w14:paraId="6EB07401" w14:textId="77777777" w:rsidR="00604C7C" w:rsidRDefault="003F5CB5">
      <w:pPr>
        <w:pStyle w:val="Body"/>
        <w:numPr>
          <w:ilvl w:val="0"/>
          <w:numId w:val="39"/>
        </w:numPr>
        <w:spacing w:after="0"/>
        <w:ind w:hanging="180"/>
        <w:rPr>
          <w:lang w:val="en-GB"/>
        </w:rPr>
      </w:pPr>
      <w:r>
        <w:rPr>
          <w:lang w:val="en-GB"/>
        </w:rPr>
        <w:t>Putri, A. R. (2016). Teachi</w:t>
      </w:r>
      <w:r>
        <w:rPr>
          <w:lang w:val="en-GB"/>
        </w:rPr>
        <w:t xml:space="preserve">ng English for young learners using a total physical response (TPR) method. </w:t>
      </w:r>
      <w:proofErr w:type="spellStart"/>
      <w:r>
        <w:rPr>
          <w:lang w:val="en-GB"/>
        </w:rPr>
        <w:t>Edulingua</w:t>
      </w:r>
      <w:proofErr w:type="spellEnd"/>
      <w:r>
        <w:rPr>
          <w:lang w:val="en-GB"/>
        </w:rPr>
        <w:t xml:space="preserve">: </w:t>
      </w:r>
      <w:proofErr w:type="spellStart"/>
      <w:r>
        <w:rPr>
          <w:lang w:val="en-GB"/>
        </w:rPr>
        <w:t>Jurnal</w:t>
      </w:r>
      <w:proofErr w:type="spellEnd"/>
      <w:r>
        <w:rPr>
          <w:lang w:val="en-GB"/>
        </w:rPr>
        <w:t xml:space="preserve"> </w:t>
      </w:r>
      <w:proofErr w:type="spellStart"/>
      <w:r>
        <w:rPr>
          <w:lang w:val="en-GB"/>
        </w:rPr>
        <w:t>Linguistiks</w:t>
      </w:r>
      <w:proofErr w:type="spellEnd"/>
      <w:r>
        <w:rPr>
          <w:lang w:val="en-GB"/>
        </w:rPr>
        <w:t xml:space="preserve"> </w:t>
      </w:r>
      <w:proofErr w:type="spellStart"/>
      <w:r>
        <w:rPr>
          <w:lang w:val="en-GB"/>
        </w:rPr>
        <w:t>Terapan</w:t>
      </w:r>
      <w:proofErr w:type="spellEnd"/>
      <w:r>
        <w:rPr>
          <w:lang w:val="en-GB"/>
        </w:rPr>
        <w:t xml:space="preserve"> dan Pendidikan Bahasa </w:t>
      </w:r>
      <w:proofErr w:type="spellStart"/>
      <w:r>
        <w:rPr>
          <w:lang w:val="en-GB"/>
        </w:rPr>
        <w:t>Inggris</w:t>
      </w:r>
      <w:proofErr w:type="spellEnd"/>
      <w:r>
        <w:rPr>
          <w:lang w:val="en-GB"/>
        </w:rPr>
        <w:t>, 3(2).</w:t>
      </w:r>
    </w:p>
    <w:p w14:paraId="025F4A92" w14:textId="77777777" w:rsidR="00604C7C" w:rsidRDefault="003F5CB5">
      <w:pPr>
        <w:pStyle w:val="Body"/>
        <w:numPr>
          <w:ilvl w:val="0"/>
          <w:numId w:val="39"/>
        </w:numPr>
        <w:spacing w:after="0"/>
        <w:ind w:hanging="180"/>
        <w:rPr>
          <w:lang w:val="en-GB"/>
        </w:rPr>
      </w:pPr>
      <w:r>
        <w:rPr>
          <w:lang w:val="en-GB"/>
        </w:rPr>
        <w:t>Quigley, A. (2018). Closing the vocabulary gap. Routledge.</w:t>
      </w:r>
    </w:p>
    <w:p w14:paraId="1CBC6E6D" w14:textId="77777777" w:rsidR="00604C7C" w:rsidRDefault="003F5CB5">
      <w:pPr>
        <w:pStyle w:val="Body"/>
        <w:numPr>
          <w:ilvl w:val="0"/>
          <w:numId w:val="39"/>
        </w:numPr>
        <w:spacing w:after="0"/>
        <w:ind w:hanging="180"/>
        <w:rPr>
          <w:lang w:val="en-GB"/>
        </w:rPr>
      </w:pPr>
      <w:proofErr w:type="spellStart"/>
      <w:r>
        <w:rPr>
          <w:lang w:val="en-GB"/>
        </w:rPr>
        <w:t>Qurnia</w:t>
      </w:r>
      <w:proofErr w:type="spellEnd"/>
      <w:r>
        <w:rPr>
          <w:lang w:val="en-GB"/>
        </w:rPr>
        <w:t xml:space="preserve">, N. N. N. (2023). The effectiveness of </w:t>
      </w:r>
      <w:r>
        <w:rPr>
          <w:lang w:val="en-GB"/>
        </w:rPr>
        <w:t>Total Physical Response (TPR) method in teaching vocabulary mastery for the fifth grade students of MIN 3 Kediri (Doctoral dissertation, IAIN Kediri). https://etheses.iainkediri.ac.id:80/id/eprint/10573</w:t>
      </w:r>
    </w:p>
    <w:p w14:paraId="03E50599" w14:textId="77777777" w:rsidR="00604C7C" w:rsidRDefault="003F5CB5">
      <w:pPr>
        <w:pStyle w:val="Body"/>
        <w:numPr>
          <w:ilvl w:val="0"/>
          <w:numId w:val="39"/>
        </w:numPr>
        <w:spacing w:after="0"/>
        <w:ind w:hanging="180"/>
        <w:rPr>
          <w:lang w:val="en-GB"/>
        </w:rPr>
      </w:pPr>
      <w:proofErr w:type="spellStart"/>
      <w:r>
        <w:rPr>
          <w:lang w:val="en-GB"/>
        </w:rPr>
        <w:lastRenderedPageBreak/>
        <w:t>Rahmadani</w:t>
      </w:r>
      <w:proofErr w:type="spellEnd"/>
      <w:r>
        <w:rPr>
          <w:lang w:val="en-GB"/>
        </w:rPr>
        <w:t>, S. (2019). Investigating the implementatio</w:t>
      </w:r>
      <w:r>
        <w:rPr>
          <w:lang w:val="en-GB"/>
        </w:rPr>
        <w:t xml:space="preserve">n of TPR approach in English language teaching for children (Doctoral dissertation, UIN </w:t>
      </w:r>
      <w:proofErr w:type="spellStart"/>
      <w:r>
        <w:rPr>
          <w:lang w:val="en-GB"/>
        </w:rPr>
        <w:t>Ar-Raniry</w:t>
      </w:r>
      <w:proofErr w:type="spellEnd"/>
      <w:r>
        <w:rPr>
          <w:lang w:val="en-GB"/>
        </w:rPr>
        <w:t xml:space="preserve"> Banda Aceh). http://library.ar-raniry.ac.id/</w:t>
      </w:r>
    </w:p>
    <w:p w14:paraId="04147954" w14:textId="77777777" w:rsidR="00604C7C" w:rsidRDefault="003F5CB5">
      <w:pPr>
        <w:pStyle w:val="Body"/>
        <w:numPr>
          <w:ilvl w:val="0"/>
          <w:numId w:val="39"/>
        </w:numPr>
        <w:spacing w:after="0"/>
        <w:ind w:hanging="180"/>
        <w:rPr>
          <w:lang w:val="en-GB"/>
        </w:rPr>
      </w:pPr>
      <w:proofErr w:type="spellStart"/>
      <w:r>
        <w:rPr>
          <w:lang w:val="en-GB"/>
        </w:rPr>
        <w:t>Rambe</w:t>
      </w:r>
      <w:proofErr w:type="spellEnd"/>
      <w:r>
        <w:rPr>
          <w:lang w:val="en-GB"/>
        </w:rPr>
        <w:t>, S. (2019). Total Physical Response. English Education: English Journal for Teaching and Learning, 7(01), 4</w:t>
      </w:r>
      <w:r>
        <w:rPr>
          <w:lang w:val="en-GB"/>
        </w:rPr>
        <w:t>5–58. https://doi.org/10.24952/ee.v7i01.1652</w:t>
      </w:r>
    </w:p>
    <w:p w14:paraId="207F4E94" w14:textId="77777777" w:rsidR="00604C7C" w:rsidRDefault="003F5CB5">
      <w:pPr>
        <w:pStyle w:val="Body"/>
        <w:numPr>
          <w:ilvl w:val="0"/>
          <w:numId w:val="39"/>
        </w:numPr>
        <w:spacing w:after="0"/>
        <w:ind w:hanging="180"/>
        <w:rPr>
          <w:lang w:val="en-GB"/>
        </w:rPr>
      </w:pPr>
      <w:proofErr w:type="spellStart"/>
      <w:r>
        <w:rPr>
          <w:lang w:val="en-GB"/>
        </w:rPr>
        <w:t>Raykhon</w:t>
      </w:r>
      <w:proofErr w:type="spellEnd"/>
      <w:r>
        <w:rPr>
          <w:lang w:val="en-GB"/>
        </w:rPr>
        <w:t xml:space="preserve">, I., &amp; </w:t>
      </w:r>
      <w:proofErr w:type="spellStart"/>
      <w:r>
        <w:rPr>
          <w:lang w:val="en-GB"/>
        </w:rPr>
        <w:t>Bakhodirovna</w:t>
      </w:r>
      <w:proofErr w:type="spellEnd"/>
      <w:r>
        <w:rPr>
          <w:lang w:val="en-GB"/>
        </w:rPr>
        <w:t>, N. N. (2024). New approaches of teaching English to young learners. Worldly Knowledge Conference, 8(1), 105–110.</w:t>
      </w:r>
    </w:p>
    <w:p w14:paraId="4EF64D0B" w14:textId="77777777" w:rsidR="00604C7C" w:rsidRDefault="003F5CB5">
      <w:pPr>
        <w:pStyle w:val="Body"/>
        <w:numPr>
          <w:ilvl w:val="0"/>
          <w:numId w:val="39"/>
        </w:numPr>
        <w:spacing w:after="0"/>
        <w:ind w:hanging="180"/>
        <w:rPr>
          <w:lang w:val="en-GB"/>
        </w:rPr>
      </w:pPr>
      <w:proofErr w:type="spellStart"/>
      <w:r>
        <w:rPr>
          <w:lang w:val="en-GB"/>
        </w:rPr>
        <w:t>Sabban</w:t>
      </w:r>
      <w:proofErr w:type="spellEnd"/>
      <w:r>
        <w:rPr>
          <w:lang w:val="en-GB"/>
        </w:rPr>
        <w:t>, A. H., &amp; Wahid, J. H. J. (2021). The effect of Total Physical</w:t>
      </w:r>
      <w:r>
        <w:rPr>
          <w:lang w:val="en-GB"/>
        </w:rPr>
        <w:t xml:space="preserve"> Response (TPR) in teaching English vocabulary. </w:t>
      </w:r>
      <w:proofErr w:type="spellStart"/>
      <w:r>
        <w:rPr>
          <w:lang w:val="en-GB"/>
        </w:rPr>
        <w:t>Jurnal</w:t>
      </w:r>
      <w:proofErr w:type="spellEnd"/>
      <w:r>
        <w:rPr>
          <w:lang w:val="en-GB"/>
        </w:rPr>
        <w:t xml:space="preserve"> Bilingual, 11(1), 43–49. https://doi.org/10.33387/j.bilingual.v11i1.3382</w:t>
      </w:r>
    </w:p>
    <w:p w14:paraId="59F6918F" w14:textId="77777777" w:rsidR="00604C7C" w:rsidRDefault="003F5CB5">
      <w:pPr>
        <w:pStyle w:val="Body"/>
        <w:numPr>
          <w:ilvl w:val="0"/>
          <w:numId w:val="39"/>
        </w:numPr>
        <w:spacing w:after="0"/>
        <w:ind w:hanging="180"/>
        <w:rPr>
          <w:lang w:val="en-GB"/>
        </w:rPr>
      </w:pPr>
      <w:proofErr w:type="spellStart"/>
      <w:r>
        <w:rPr>
          <w:lang w:val="en-GB"/>
        </w:rPr>
        <w:t>Scheeler</w:t>
      </w:r>
      <w:proofErr w:type="spellEnd"/>
      <w:r>
        <w:rPr>
          <w:lang w:val="en-GB"/>
        </w:rPr>
        <w:t xml:space="preserve">, M. C., </w:t>
      </w:r>
      <w:proofErr w:type="spellStart"/>
      <w:r>
        <w:rPr>
          <w:lang w:val="en-GB"/>
        </w:rPr>
        <w:t>Budin</w:t>
      </w:r>
      <w:proofErr w:type="spellEnd"/>
      <w:r>
        <w:rPr>
          <w:lang w:val="en-GB"/>
        </w:rPr>
        <w:t xml:space="preserve">, S., &amp; </w:t>
      </w:r>
      <w:proofErr w:type="spellStart"/>
      <w:r>
        <w:rPr>
          <w:lang w:val="en-GB"/>
        </w:rPr>
        <w:t>Markelz</w:t>
      </w:r>
      <w:proofErr w:type="spellEnd"/>
      <w:r>
        <w:rPr>
          <w:lang w:val="en-GB"/>
        </w:rPr>
        <w:t>, A. (2016). The role of teacher preparation in promoting evidence-based practice in school</w:t>
      </w:r>
      <w:r>
        <w:rPr>
          <w:lang w:val="en-GB"/>
        </w:rPr>
        <w:t>s. Learning Disabilities: A Contemporary Journal, 14(2), 171–187. https://eric.ed.gov/?id=EJ1118433</w:t>
      </w:r>
    </w:p>
    <w:p w14:paraId="633B10BC" w14:textId="77777777" w:rsidR="00604C7C" w:rsidRDefault="003F5CB5">
      <w:pPr>
        <w:pStyle w:val="Body"/>
        <w:numPr>
          <w:ilvl w:val="0"/>
          <w:numId w:val="39"/>
        </w:numPr>
        <w:spacing w:after="0"/>
        <w:ind w:hanging="180"/>
        <w:rPr>
          <w:lang w:val="en-GB"/>
        </w:rPr>
      </w:pPr>
      <w:r>
        <w:rPr>
          <w:lang w:val="en-GB"/>
        </w:rPr>
        <w:t>Schmitt, N., &amp; Schmitt, D. (2020). Vocabulary in language teaching. Cambridge University Press.</w:t>
      </w:r>
    </w:p>
    <w:p w14:paraId="6BFDEAD0" w14:textId="77777777" w:rsidR="00604C7C" w:rsidRDefault="003F5CB5">
      <w:pPr>
        <w:pStyle w:val="Body"/>
        <w:numPr>
          <w:ilvl w:val="0"/>
          <w:numId w:val="39"/>
        </w:numPr>
        <w:spacing w:after="0"/>
        <w:ind w:hanging="180"/>
        <w:rPr>
          <w:lang w:val="en-GB"/>
        </w:rPr>
      </w:pPr>
      <w:r>
        <w:rPr>
          <w:lang w:val="en-GB"/>
        </w:rPr>
        <w:t>Shi, T. (2018). A study of the TPR method in the teaching of</w:t>
      </w:r>
      <w:r>
        <w:rPr>
          <w:lang w:val="en-GB"/>
        </w:rPr>
        <w:t xml:space="preserve"> English to primary school students. Theory and Practice in Language Studies, 8(1), 1087–1093.</w:t>
      </w:r>
    </w:p>
    <w:p w14:paraId="07262AB2" w14:textId="77777777" w:rsidR="00604C7C" w:rsidRDefault="003F5CB5">
      <w:pPr>
        <w:pStyle w:val="Body"/>
        <w:numPr>
          <w:ilvl w:val="0"/>
          <w:numId w:val="39"/>
        </w:numPr>
        <w:spacing w:after="0"/>
        <w:ind w:hanging="180"/>
        <w:rPr>
          <w:lang w:val="en-GB"/>
        </w:rPr>
      </w:pPr>
      <w:proofErr w:type="spellStart"/>
      <w:r>
        <w:rPr>
          <w:lang w:val="en-GB"/>
        </w:rPr>
        <w:t>Sholikha</w:t>
      </w:r>
      <w:proofErr w:type="spellEnd"/>
      <w:r>
        <w:rPr>
          <w:lang w:val="en-GB"/>
        </w:rPr>
        <w:t>, A. I. (2018). THE EFFECT OF TOTAL PHYSICAL RESPONSE (TPR) METHOD FOR TEACHING ENGLISH VOCABULARY AT SD IT EL-HAQ (Doctoral dissertation, Universitas Mu</w:t>
      </w:r>
      <w:r>
        <w:rPr>
          <w:lang w:val="en-GB"/>
        </w:rPr>
        <w:t xml:space="preserve">hammadiyah </w:t>
      </w:r>
      <w:proofErr w:type="spellStart"/>
      <w:r>
        <w:rPr>
          <w:lang w:val="en-GB"/>
        </w:rPr>
        <w:t>Sidoarjo</w:t>
      </w:r>
      <w:proofErr w:type="spellEnd"/>
      <w:r>
        <w:rPr>
          <w:lang w:val="en-GB"/>
        </w:rPr>
        <w:t>).</w:t>
      </w:r>
    </w:p>
    <w:p w14:paraId="5E40AF53" w14:textId="77777777" w:rsidR="00604C7C" w:rsidRDefault="003F5CB5">
      <w:pPr>
        <w:pStyle w:val="Body"/>
        <w:numPr>
          <w:ilvl w:val="0"/>
          <w:numId w:val="39"/>
        </w:numPr>
        <w:spacing w:after="0"/>
        <w:ind w:hanging="180"/>
        <w:rPr>
          <w:lang w:val="en-GB"/>
        </w:rPr>
      </w:pPr>
      <w:r>
        <w:rPr>
          <w:lang w:val="en-GB"/>
        </w:rPr>
        <w:t xml:space="preserve">Silverman, R. D., &amp; </w:t>
      </w:r>
      <w:proofErr w:type="spellStart"/>
      <w:r>
        <w:rPr>
          <w:lang w:val="en-GB"/>
        </w:rPr>
        <w:t>Hartranft</w:t>
      </w:r>
      <w:proofErr w:type="spellEnd"/>
      <w:r>
        <w:rPr>
          <w:lang w:val="en-GB"/>
        </w:rPr>
        <w:t>, A. M. (2014). Developing vocabulary and oral language in young children. New York: Guilford Press.</w:t>
      </w:r>
    </w:p>
    <w:p w14:paraId="7292F9FC" w14:textId="77777777" w:rsidR="00604C7C" w:rsidRDefault="003F5CB5">
      <w:pPr>
        <w:pStyle w:val="Body"/>
        <w:numPr>
          <w:ilvl w:val="0"/>
          <w:numId w:val="39"/>
        </w:numPr>
        <w:spacing w:after="0"/>
        <w:ind w:hanging="180"/>
        <w:rPr>
          <w:lang w:val="en-GB"/>
        </w:rPr>
      </w:pPr>
      <w:proofErr w:type="spellStart"/>
      <w:r>
        <w:rPr>
          <w:lang w:val="en-GB"/>
        </w:rPr>
        <w:t>Suaib</w:t>
      </w:r>
      <w:proofErr w:type="spellEnd"/>
      <w:r>
        <w:rPr>
          <w:lang w:val="en-GB"/>
        </w:rPr>
        <w:t xml:space="preserve">, R. W. (2017). The use of visual auditory </w:t>
      </w:r>
      <w:proofErr w:type="spellStart"/>
      <w:r>
        <w:rPr>
          <w:lang w:val="en-GB"/>
        </w:rPr>
        <w:t>kinesthetic</w:t>
      </w:r>
      <w:proofErr w:type="spellEnd"/>
      <w:r>
        <w:rPr>
          <w:lang w:val="en-GB"/>
        </w:rPr>
        <w:t xml:space="preserve"> (VAK) learning styles to increase students’ </w:t>
      </w:r>
      <w:r>
        <w:rPr>
          <w:lang w:val="en-GB"/>
        </w:rPr>
        <w:t xml:space="preserve">vocabulary. </w:t>
      </w:r>
      <w:proofErr w:type="spellStart"/>
      <w:r>
        <w:rPr>
          <w:lang w:val="en-GB"/>
        </w:rPr>
        <w:t>Didaktika</w:t>
      </w:r>
      <w:proofErr w:type="spellEnd"/>
      <w:r>
        <w:rPr>
          <w:lang w:val="en-GB"/>
        </w:rPr>
        <w:t xml:space="preserve"> </w:t>
      </w:r>
      <w:proofErr w:type="spellStart"/>
      <w:r>
        <w:rPr>
          <w:lang w:val="en-GB"/>
        </w:rPr>
        <w:t>Jurnal</w:t>
      </w:r>
      <w:proofErr w:type="spellEnd"/>
      <w:r>
        <w:rPr>
          <w:lang w:val="en-GB"/>
        </w:rPr>
        <w:t xml:space="preserve"> </w:t>
      </w:r>
      <w:proofErr w:type="spellStart"/>
      <w:r>
        <w:rPr>
          <w:lang w:val="en-GB"/>
        </w:rPr>
        <w:t>Kependidikan</w:t>
      </w:r>
      <w:proofErr w:type="spellEnd"/>
      <w:r>
        <w:rPr>
          <w:lang w:val="en-GB"/>
        </w:rPr>
        <w:t>, 11(2), 239–253. https://core.ac.uk/download/pdf/230710399.pdf</w:t>
      </w:r>
    </w:p>
    <w:p w14:paraId="0B8D3BE6" w14:textId="77777777" w:rsidR="00604C7C" w:rsidRDefault="003F5CB5">
      <w:pPr>
        <w:pStyle w:val="Body"/>
        <w:numPr>
          <w:ilvl w:val="0"/>
          <w:numId w:val="39"/>
        </w:numPr>
        <w:spacing w:after="0"/>
        <w:ind w:hanging="180"/>
        <w:rPr>
          <w:lang w:val="en-GB"/>
        </w:rPr>
      </w:pPr>
      <w:proofErr w:type="spellStart"/>
      <w:r>
        <w:rPr>
          <w:lang w:val="en-GB"/>
        </w:rPr>
        <w:t>Subkhi</w:t>
      </w:r>
      <w:proofErr w:type="spellEnd"/>
      <w:r>
        <w:rPr>
          <w:lang w:val="en-GB"/>
        </w:rPr>
        <w:t xml:space="preserve">, M., &amp; </w:t>
      </w:r>
      <w:proofErr w:type="spellStart"/>
      <w:r>
        <w:rPr>
          <w:lang w:val="en-GB"/>
        </w:rPr>
        <w:t>Tyas</w:t>
      </w:r>
      <w:proofErr w:type="spellEnd"/>
      <w:r>
        <w:rPr>
          <w:lang w:val="en-GB"/>
        </w:rPr>
        <w:t>, D. A. H. (2024). Enhancing Arabic vocabulary mastery through digital literacy: Overcoming challenges and implementing effective str</w:t>
      </w:r>
      <w:r>
        <w:rPr>
          <w:lang w:val="en-GB"/>
        </w:rPr>
        <w:t>ategies. Language, Technology, and Social Media, 2(1), 11–24.</w:t>
      </w:r>
    </w:p>
    <w:p w14:paraId="443FAA11" w14:textId="77777777" w:rsidR="00604C7C" w:rsidRDefault="003F5CB5">
      <w:pPr>
        <w:pStyle w:val="Body"/>
        <w:numPr>
          <w:ilvl w:val="0"/>
          <w:numId w:val="39"/>
        </w:numPr>
        <w:spacing w:after="0"/>
        <w:ind w:hanging="180"/>
        <w:rPr>
          <w:lang w:val="en-GB"/>
        </w:rPr>
      </w:pPr>
      <w:proofErr w:type="spellStart"/>
      <w:r>
        <w:rPr>
          <w:lang w:val="en-GB"/>
        </w:rPr>
        <w:t>Sudrajat</w:t>
      </w:r>
      <w:proofErr w:type="spellEnd"/>
      <w:r>
        <w:rPr>
          <w:lang w:val="en-GB"/>
        </w:rPr>
        <w:t xml:space="preserve">, D. (2017). Language development and acquisition in childhood stage: Psycholinguistic review. </w:t>
      </w:r>
      <w:proofErr w:type="spellStart"/>
      <w:r>
        <w:rPr>
          <w:lang w:val="en-GB"/>
        </w:rPr>
        <w:t>Intelegensia</w:t>
      </w:r>
      <w:proofErr w:type="spellEnd"/>
      <w:r>
        <w:rPr>
          <w:lang w:val="en-GB"/>
        </w:rPr>
        <w:t xml:space="preserve">: </w:t>
      </w:r>
      <w:proofErr w:type="spellStart"/>
      <w:r>
        <w:rPr>
          <w:lang w:val="en-GB"/>
        </w:rPr>
        <w:t>Jurnal</w:t>
      </w:r>
      <w:proofErr w:type="spellEnd"/>
      <w:r>
        <w:rPr>
          <w:lang w:val="en-GB"/>
        </w:rPr>
        <w:t xml:space="preserve"> Pendidikan dan </w:t>
      </w:r>
      <w:proofErr w:type="spellStart"/>
      <w:r>
        <w:rPr>
          <w:lang w:val="en-GB"/>
        </w:rPr>
        <w:t>Pembelajaran</w:t>
      </w:r>
      <w:proofErr w:type="spellEnd"/>
      <w:r>
        <w:rPr>
          <w:lang w:val="en-GB"/>
        </w:rPr>
        <w:t>, 2(2), 1–18. http://www.intelegensia.web.i</w:t>
      </w:r>
      <w:r>
        <w:rPr>
          <w:lang w:val="en-GB"/>
        </w:rPr>
        <w:t>d/index.php/intelegensia/article/view/62</w:t>
      </w:r>
    </w:p>
    <w:p w14:paraId="596C1AE7" w14:textId="77777777" w:rsidR="00604C7C" w:rsidRDefault="003F5CB5">
      <w:pPr>
        <w:pStyle w:val="Body"/>
        <w:numPr>
          <w:ilvl w:val="0"/>
          <w:numId w:val="39"/>
        </w:numPr>
        <w:spacing w:after="0"/>
        <w:ind w:hanging="180"/>
        <w:rPr>
          <w:lang w:val="en-GB"/>
        </w:rPr>
      </w:pPr>
      <w:proofErr w:type="spellStart"/>
      <w:r>
        <w:rPr>
          <w:lang w:val="en-GB"/>
        </w:rPr>
        <w:t>Sulemanoski</w:t>
      </w:r>
      <w:proofErr w:type="spellEnd"/>
      <w:r>
        <w:rPr>
          <w:lang w:val="en-GB"/>
        </w:rPr>
        <w:t>, D. (2022). Teaching strategies with a focus on the student-</w:t>
      </w:r>
      <w:proofErr w:type="spellStart"/>
      <w:r>
        <w:rPr>
          <w:lang w:val="en-GB"/>
        </w:rPr>
        <w:t>centered</w:t>
      </w:r>
      <w:proofErr w:type="spellEnd"/>
      <w:r>
        <w:rPr>
          <w:lang w:val="en-GB"/>
        </w:rPr>
        <w:t xml:space="preserve"> approach to learning. ANGLISTICUM. Journal of the Association-Institute for English Language and American Studies, 11(7), 11–31.</w:t>
      </w:r>
    </w:p>
    <w:p w14:paraId="2350E9C2" w14:textId="77777777" w:rsidR="00604C7C" w:rsidRDefault="003F5CB5">
      <w:pPr>
        <w:pStyle w:val="Body"/>
        <w:numPr>
          <w:ilvl w:val="0"/>
          <w:numId w:val="39"/>
        </w:numPr>
        <w:spacing w:after="0"/>
        <w:ind w:hanging="180"/>
        <w:rPr>
          <w:lang w:val="en-GB"/>
        </w:rPr>
      </w:pPr>
      <w:proofErr w:type="spellStart"/>
      <w:r>
        <w:rPr>
          <w:lang w:val="en-GB"/>
        </w:rPr>
        <w:t>Sumarni</w:t>
      </w:r>
      <w:proofErr w:type="spellEnd"/>
      <w:r>
        <w:rPr>
          <w:lang w:val="en-GB"/>
        </w:rPr>
        <w:t xml:space="preserve">, B., Bhatta, D. D., &amp; Kho, S. F. C. (2022). The use of Total Physical Response in teaching vocabulary integrated with </w:t>
      </w:r>
      <w:r>
        <w:rPr>
          <w:lang w:val="en-GB"/>
        </w:rPr>
        <w:t>meaningful classroom interaction. Journal of Language and Literature Studies, 2(1), 23–32. https://doi.org/10.36312/jolls.v2i1.710</w:t>
      </w:r>
    </w:p>
    <w:p w14:paraId="72248925" w14:textId="77777777" w:rsidR="00604C7C" w:rsidRDefault="003F5CB5">
      <w:pPr>
        <w:pStyle w:val="Body"/>
        <w:numPr>
          <w:ilvl w:val="0"/>
          <w:numId w:val="39"/>
        </w:numPr>
        <w:spacing w:after="0"/>
        <w:ind w:hanging="180"/>
        <w:rPr>
          <w:lang w:val="en-GB"/>
        </w:rPr>
      </w:pPr>
      <w:r>
        <w:rPr>
          <w:lang w:val="en-GB"/>
        </w:rPr>
        <w:t xml:space="preserve">Susanto, A. (2017). The teaching of vocabulary: A perspective. </w:t>
      </w:r>
      <w:proofErr w:type="spellStart"/>
      <w:r>
        <w:rPr>
          <w:lang w:val="en-GB"/>
        </w:rPr>
        <w:t>Jurnal</w:t>
      </w:r>
      <w:proofErr w:type="spellEnd"/>
      <w:r>
        <w:rPr>
          <w:lang w:val="en-GB"/>
        </w:rPr>
        <w:t xml:space="preserve"> Kata, 1(2), 183.</w:t>
      </w:r>
    </w:p>
    <w:p w14:paraId="7EAE5031" w14:textId="77777777" w:rsidR="00604C7C" w:rsidRDefault="003F5CB5">
      <w:pPr>
        <w:pStyle w:val="Body"/>
        <w:numPr>
          <w:ilvl w:val="0"/>
          <w:numId w:val="39"/>
        </w:numPr>
        <w:spacing w:after="0"/>
        <w:ind w:hanging="180"/>
        <w:rPr>
          <w:lang w:val="en-GB"/>
        </w:rPr>
      </w:pPr>
      <w:proofErr w:type="spellStart"/>
      <w:r>
        <w:rPr>
          <w:rFonts w:hint="eastAsia"/>
          <w:lang w:val="en-GB"/>
        </w:rPr>
        <w:t>Š</w:t>
      </w:r>
      <w:r>
        <w:rPr>
          <w:lang w:val="en-GB"/>
        </w:rPr>
        <w:t>vécarová</w:t>
      </w:r>
      <w:proofErr w:type="spellEnd"/>
      <w:r>
        <w:rPr>
          <w:lang w:val="en-GB"/>
        </w:rPr>
        <w:t>, S. (2024). Application of E</w:t>
      </w:r>
      <w:r>
        <w:rPr>
          <w:lang w:val="en-GB"/>
        </w:rPr>
        <w:t xml:space="preserve">LT methods for young learners at the elementary school in </w:t>
      </w:r>
      <w:proofErr w:type="spellStart"/>
      <w:r>
        <w:rPr>
          <w:lang w:val="en-GB"/>
        </w:rPr>
        <w:t>Šumperk</w:t>
      </w:r>
      <w:proofErr w:type="spellEnd"/>
      <w:r>
        <w:rPr>
          <w:lang w:val="en-GB"/>
        </w:rPr>
        <w:t>.</w:t>
      </w:r>
    </w:p>
    <w:p w14:paraId="00475C78" w14:textId="77777777" w:rsidR="00604C7C" w:rsidRDefault="003F5CB5">
      <w:pPr>
        <w:pStyle w:val="Body"/>
        <w:numPr>
          <w:ilvl w:val="0"/>
          <w:numId w:val="39"/>
        </w:numPr>
        <w:spacing w:after="0"/>
        <w:ind w:hanging="180"/>
        <w:rPr>
          <w:lang w:val="en-GB"/>
        </w:rPr>
      </w:pPr>
      <w:proofErr w:type="spellStart"/>
      <w:r>
        <w:rPr>
          <w:lang w:val="en-GB"/>
        </w:rPr>
        <w:t>Szyszka</w:t>
      </w:r>
      <w:proofErr w:type="spellEnd"/>
      <w:r>
        <w:rPr>
          <w:lang w:val="en-GB"/>
        </w:rPr>
        <w:t>, M. (2017). Pronunciation learning strategies and language anxiety. Springer. https://link.springer.com/book/10.1007/978-3-319-50642-5</w:t>
      </w:r>
    </w:p>
    <w:p w14:paraId="4CB31407" w14:textId="77777777" w:rsidR="00604C7C" w:rsidRDefault="003F5CB5">
      <w:pPr>
        <w:pStyle w:val="Body"/>
        <w:numPr>
          <w:ilvl w:val="0"/>
          <w:numId w:val="39"/>
        </w:numPr>
        <w:spacing w:after="0"/>
        <w:ind w:hanging="180"/>
        <w:rPr>
          <w:lang w:val="en-GB"/>
        </w:rPr>
      </w:pPr>
      <w:r>
        <w:rPr>
          <w:lang w:val="en-GB"/>
        </w:rPr>
        <w:t>Tabassum, A., &amp; Naveed, A. (2024). Interactive</w:t>
      </w:r>
      <w:r>
        <w:rPr>
          <w:lang w:val="en-GB"/>
        </w:rPr>
        <w:t xml:space="preserve"> strategies for enriching English as a Foreign Language (EFL) vocabulary: A comprehensive exploration. Journal of Applied Linguistics and Language Research, 11(1), 1–16.</w:t>
      </w:r>
    </w:p>
    <w:p w14:paraId="0D141F5F" w14:textId="77777777" w:rsidR="00604C7C" w:rsidRDefault="003F5CB5">
      <w:pPr>
        <w:pStyle w:val="Body"/>
        <w:numPr>
          <w:ilvl w:val="0"/>
          <w:numId w:val="39"/>
        </w:numPr>
        <w:spacing w:after="0"/>
        <w:ind w:hanging="180"/>
        <w:rPr>
          <w:lang w:val="en-GB"/>
        </w:rPr>
      </w:pPr>
      <w:r>
        <w:rPr>
          <w:lang w:val="en-GB"/>
        </w:rPr>
        <w:t>Taber, K. S. (2019). Experimental research into teaching innovations: Responding to me</w:t>
      </w:r>
      <w:r>
        <w:rPr>
          <w:lang w:val="en-GB"/>
        </w:rPr>
        <w:t>thodological and ethical challenges. Studies in Science Education, 55(1), 69–119. https://doi.org/10.1080/03057267.2019.1658058</w:t>
      </w:r>
    </w:p>
    <w:p w14:paraId="580444AB" w14:textId="77777777" w:rsidR="00604C7C" w:rsidRDefault="003F5CB5">
      <w:pPr>
        <w:pStyle w:val="Body"/>
        <w:numPr>
          <w:ilvl w:val="0"/>
          <w:numId w:val="39"/>
        </w:numPr>
        <w:spacing w:after="0"/>
        <w:ind w:hanging="180"/>
        <w:rPr>
          <w:lang w:val="en-GB"/>
        </w:rPr>
      </w:pPr>
      <w:r>
        <w:rPr>
          <w:lang w:val="en-GB"/>
        </w:rPr>
        <w:t>Thomas, W. N. (2021). Assessment of the simple methods of learning foreign language. Assessment, 3(2).</w:t>
      </w:r>
    </w:p>
    <w:p w14:paraId="36CB4710" w14:textId="77777777" w:rsidR="00604C7C" w:rsidRDefault="003F5CB5">
      <w:pPr>
        <w:pStyle w:val="Body"/>
        <w:numPr>
          <w:ilvl w:val="0"/>
          <w:numId w:val="39"/>
        </w:numPr>
        <w:spacing w:after="0"/>
        <w:ind w:hanging="180"/>
        <w:rPr>
          <w:lang w:val="en-GB"/>
        </w:rPr>
      </w:pPr>
      <w:proofErr w:type="spellStart"/>
      <w:r>
        <w:rPr>
          <w:lang w:val="en-GB"/>
        </w:rPr>
        <w:t>Tomporowski</w:t>
      </w:r>
      <w:proofErr w:type="spellEnd"/>
      <w:r>
        <w:rPr>
          <w:lang w:val="en-GB"/>
        </w:rPr>
        <w:t xml:space="preserve">, P. D., </w:t>
      </w:r>
      <w:proofErr w:type="spellStart"/>
      <w:r>
        <w:rPr>
          <w:lang w:val="en-GB"/>
        </w:rPr>
        <w:t>McCul</w:t>
      </w:r>
      <w:r>
        <w:rPr>
          <w:lang w:val="en-GB"/>
        </w:rPr>
        <w:t>lick</w:t>
      </w:r>
      <w:proofErr w:type="spellEnd"/>
      <w:r>
        <w:rPr>
          <w:lang w:val="en-GB"/>
        </w:rPr>
        <w:t xml:space="preserve">, B. A., &amp; </w:t>
      </w:r>
      <w:proofErr w:type="spellStart"/>
      <w:r>
        <w:rPr>
          <w:lang w:val="en-GB"/>
        </w:rPr>
        <w:t>Pesce</w:t>
      </w:r>
      <w:proofErr w:type="spellEnd"/>
      <w:r>
        <w:rPr>
          <w:lang w:val="en-GB"/>
        </w:rPr>
        <w:t>, C. (2015). Enhancing children's cognition with physical activity games. Human Kinetics.</w:t>
      </w:r>
    </w:p>
    <w:p w14:paraId="2F71FCB7" w14:textId="77777777" w:rsidR="00604C7C" w:rsidRDefault="003F5CB5">
      <w:pPr>
        <w:pStyle w:val="Body"/>
        <w:numPr>
          <w:ilvl w:val="0"/>
          <w:numId w:val="39"/>
        </w:numPr>
        <w:spacing w:after="0"/>
        <w:ind w:hanging="180"/>
        <w:rPr>
          <w:lang w:val="en-GB"/>
        </w:rPr>
      </w:pPr>
      <w:proofErr w:type="spellStart"/>
      <w:r>
        <w:rPr>
          <w:lang w:val="en-GB"/>
        </w:rPr>
        <w:lastRenderedPageBreak/>
        <w:t>Urbaite</w:t>
      </w:r>
      <w:proofErr w:type="spellEnd"/>
      <w:r>
        <w:rPr>
          <w:lang w:val="en-GB"/>
        </w:rPr>
        <w:t xml:space="preserve">, G. (2024). The role of technology in modern language education. </w:t>
      </w:r>
      <w:proofErr w:type="spellStart"/>
      <w:r>
        <w:rPr>
          <w:lang w:val="en-GB"/>
        </w:rPr>
        <w:t>EuroGlobal</w:t>
      </w:r>
      <w:proofErr w:type="spellEnd"/>
      <w:r>
        <w:rPr>
          <w:lang w:val="en-GB"/>
        </w:rPr>
        <w:t xml:space="preserve"> Journal of Linguistics and Language Education, 1(1), 3–10. https://doi.org/10.69760/w00r1v81</w:t>
      </w:r>
    </w:p>
    <w:p w14:paraId="42F8D265" w14:textId="77777777" w:rsidR="00604C7C" w:rsidRDefault="003F5CB5">
      <w:pPr>
        <w:pStyle w:val="Body"/>
        <w:numPr>
          <w:ilvl w:val="0"/>
          <w:numId w:val="39"/>
        </w:numPr>
        <w:spacing w:after="0"/>
        <w:ind w:hanging="180"/>
        <w:rPr>
          <w:lang w:val="en-GB"/>
        </w:rPr>
      </w:pPr>
      <w:proofErr w:type="spellStart"/>
      <w:r>
        <w:rPr>
          <w:lang w:val="en-GB"/>
        </w:rPr>
        <w:t>Vedantu</w:t>
      </w:r>
      <w:proofErr w:type="spellEnd"/>
      <w:r>
        <w:rPr>
          <w:lang w:val="en-GB"/>
        </w:rPr>
        <w:t xml:space="preserve">. (n.d.). Vocabulary and types of vocabulary. </w:t>
      </w:r>
      <w:proofErr w:type="spellStart"/>
      <w:r>
        <w:rPr>
          <w:lang w:val="en-GB"/>
        </w:rPr>
        <w:t>Vedantu</w:t>
      </w:r>
      <w:proofErr w:type="spellEnd"/>
      <w:r>
        <w:rPr>
          <w:lang w:val="en-GB"/>
        </w:rPr>
        <w:t>. Retrieved December 30, 2024, from https://www.vedantu.com/commerce/vocabulary-and-types-of-vocabular</w:t>
      </w:r>
      <w:r>
        <w:rPr>
          <w:lang w:val="en-GB"/>
        </w:rPr>
        <w:t>y</w:t>
      </w:r>
    </w:p>
    <w:p w14:paraId="5EAC4554" w14:textId="77777777" w:rsidR="00604C7C" w:rsidRDefault="003F5CB5">
      <w:pPr>
        <w:pStyle w:val="Body"/>
        <w:numPr>
          <w:ilvl w:val="0"/>
          <w:numId w:val="39"/>
        </w:numPr>
        <w:spacing w:after="0"/>
        <w:ind w:hanging="180"/>
        <w:rPr>
          <w:lang w:val="en-GB"/>
        </w:rPr>
      </w:pPr>
      <w:r>
        <w:rPr>
          <w:lang w:val="en-GB"/>
        </w:rPr>
        <w:t>Waite-</w:t>
      </w:r>
      <w:proofErr w:type="spellStart"/>
      <w:r>
        <w:rPr>
          <w:lang w:val="en-GB"/>
        </w:rPr>
        <w:t>Stupiansky</w:t>
      </w:r>
      <w:proofErr w:type="spellEnd"/>
      <w:r>
        <w:rPr>
          <w:lang w:val="en-GB"/>
        </w:rPr>
        <w:t>, S. (2022). Jean Piaget's constructivist theory of learning. In Theories of Early Childhood Education (pp. 3–18). Routledge.</w:t>
      </w:r>
    </w:p>
    <w:p w14:paraId="11ECA327" w14:textId="77777777" w:rsidR="00604C7C" w:rsidRDefault="003F5CB5">
      <w:pPr>
        <w:pStyle w:val="Body"/>
        <w:numPr>
          <w:ilvl w:val="0"/>
          <w:numId w:val="39"/>
        </w:numPr>
        <w:spacing w:after="0"/>
        <w:ind w:hanging="180"/>
        <w:rPr>
          <w:lang w:val="en-GB"/>
        </w:rPr>
      </w:pPr>
      <w:r>
        <w:rPr>
          <w:lang w:val="en-GB"/>
        </w:rPr>
        <w:t xml:space="preserve">Wang, F., Hwang, W. Y., Li, Y. H., Chen, P. T., &amp; Manabe, K. (2019). Collaborative </w:t>
      </w:r>
      <w:proofErr w:type="spellStart"/>
      <w:r>
        <w:rPr>
          <w:lang w:val="en-GB"/>
        </w:rPr>
        <w:t>kinesthetic</w:t>
      </w:r>
      <w:proofErr w:type="spellEnd"/>
      <w:r>
        <w:rPr>
          <w:lang w:val="en-GB"/>
        </w:rPr>
        <w:t xml:space="preserve"> EFL learning with</w:t>
      </w:r>
      <w:r>
        <w:rPr>
          <w:lang w:val="en-GB"/>
        </w:rPr>
        <w:t xml:space="preserve"> collaborative total physical response. Computer Assisted Language Learning, 32(7), 745–783. https://doi.org/10.1080/09588221.2018.1540432</w:t>
      </w:r>
    </w:p>
    <w:p w14:paraId="3E3BB768" w14:textId="77777777" w:rsidR="00604C7C" w:rsidRDefault="003F5CB5">
      <w:pPr>
        <w:pStyle w:val="Body"/>
        <w:numPr>
          <w:ilvl w:val="0"/>
          <w:numId w:val="39"/>
        </w:numPr>
        <w:spacing w:after="0"/>
        <w:ind w:hanging="180"/>
        <w:rPr>
          <w:lang w:val="en-GB"/>
        </w:rPr>
      </w:pPr>
      <w:proofErr w:type="spellStart"/>
      <w:r>
        <w:rPr>
          <w:lang w:val="en-GB"/>
        </w:rPr>
        <w:t>Xie</w:t>
      </w:r>
      <w:proofErr w:type="spellEnd"/>
      <w:r>
        <w:rPr>
          <w:lang w:val="en-GB"/>
        </w:rPr>
        <w:t xml:space="preserve">, R. (2021). The effectiveness of Total Physical Response (TPR) on teaching English to young learners. Journal of </w:t>
      </w:r>
      <w:r>
        <w:rPr>
          <w:lang w:val="en-GB"/>
        </w:rPr>
        <w:t>Language Teaching and Research, 12(2), 293–303. https://doi.org/10.17507/jltr.1202.11</w:t>
      </w:r>
    </w:p>
    <w:p w14:paraId="13F7D904" w14:textId="77777777" w:rsidR="00604C7C" w:rsidRDefault="003F5CB5">
      <w:pPr>
        <w:pStyle w:val="Body"/>
        <w:numPr>
          <w:ilvl w:val="0"/>
          <w:numId w:val="39"/>
        </w:numPr>
        <w:spacing w:after="0"/>
        <w:ind w:hanging="180"/>
        <w:rPr>
          <w:lang w:val="en-GB"/>
        </w:rPr>
      </w:pPr>
      <w:r>
        <w:rPr>
          <w:lang w:val="en-GB"/>
        </w:rPr>
        <w:t>Yang, Y. (2024). Application of Total Physical Response and songs in the ESL classroom for young learners. Applied &amp; Educational Psychology, 5(2), 147–150. https://dx.doi</w:t>
      </w:r>
      <w:r>
        <w:rPr>
          <w:lang w:val="en-GB"/>
        </w:rPr>
        <w:t>.org/10.23977/appep.2024.050223</w:t>
      </w:r>
    </w:p>
    <w:p w14:paraId="264D25D4" w14:textId="77777777" w:rsidR="00604C7C" w:rsidRDefault="003F5CB5">
      <w:pPr>
        <w:pStyle w:val="Body"/>
        <w:numPr>
          <w:ilvl w:val="0"/>
          <w:numId w:val="39"/>
        </w:numPr>
        <w:spacing w:after="0"/>
        <w:ind w:hanging="180"/>
        <w:rPr>
          <w:lang w:val="en-GB"/>
        </w:rPr>
      </w:pPr>
      <w:r>
        <w:rPr>
          <w:lang w:val="en-GB"/>
        </w:rPr>
        <w:t>Yilmaz, K. (2011). The cognitive perspective on learning: Its theoretical underpinnings and implications for classroom practices. The Clearing House: A Journal of Educational Strategies, Issues and Ideas, 84(5), 204–212. htt</w:t>
      </w:r>
      <w:r>
        <w:rPr>
          <w:lang w:val="en-GB"/>
        </w:rPr>
        <w:t>ps://doi.org/10.1080/00098655.2011.568989</w:t>
      </w:r>
    </w:p>
    <w:p w14:paraId="78B0F268" w14:textId="77777777" w:rsidR="00604C7C" w:rsidRDefault="003F5CB5">
      <w:pPr>
        <w:pStyle w:val="Body"/>
        <w:numPr>
          <w:ilvl w:val="0"/>
          <w:numId w:val="39"/>
        </w:numPr>
        <w:spacing w:after="0"/>
        <w:ind w:hanging="180"/>
        <w:rPr>
          <w:lang w:val="en-GB"/>
        </w:rPr>
      </w:pPr>
      <w:proofErr w:type="spellStart"/>
      <w:r>
        <w:rPr>
          <w:lang w:val="en-GB"/>
        </w:rPr>
        <w:t>Yuquilema</w:t>
      </w:r>
      <w:proofErr w:type="spellEnd"/>
      <w:r>
        <w:rPr>
          <w:lang w:val="en-GB"/>
        </w:rPr>
        <w:t xml:space="preserve"> </w:t>
      </w:r>
      <w:proofErr w:type="spellStart"/>
      <w:r>
        <w:rPr>
          <w:lang w:val="en-GB"/>
        </w:rPr>
        <w:t>Mullo</w:t>
      </w:r>
      <w:proofErr w:type="spellEnd"/>
      <w:r>
        <w:rPr>
          <w:lang w:val="en-GB"/>
        </w:rPr>
        <w:t>, D. (2024). The effect of the Total Physical Response (TPR) method on the English vocabulary acquisition [Master's thesis].</w:t>
      </w:r>
    </w:p>
    <w:p w14:paraId="3750690E" w14:textId="77777777" w:rsidR="00604C7C" w:rsidRDefault="003F5CB5">
      <w:pPr>
        <w:pStyle w:val="Body"/>
        <w:numPr>
          <w:ilvl w:val="0"/>
          <w:numId w:val="39"/>
        </w:numPr>
        <w:spacing w:after="0"/>
        <w:ind w:hanging="180"/>
        <w:rPr>
          <w:lang w:val="en-GB"/>
        </w:rPr>
      </w:pPr>
      <w:proofErr w:type="spellStart"/>
      <w:r>
        <w:rPr>
          <w:lang w:val="en-GB"/>
        </w:rPr>
        <w:t>Yusupovna</w:t>
      </w:r>
      <w:proofErr w:type="spellEnd"/>
      <w:r>
        <w:rPr>
          <w:lang w:val="en-GB"/>
        </w:rPr>
        <w:t xml:space="preserve">, Z. O., &amp; </w:t>
      </w:r>
      <w:proofErr w:type="spellStart"/>
      <w:r>
        <w:rPr>
          <w:lang w:val="en-GB"/>
        </w:rPr>
        <w:t>Chermenovna</w:t>
      </w:r>
      <w:proofErr w:type="spellEnd"/>
      <w:r>
        <w:rPr>
          <w:lang w:val="en-GB"/>
        </w:rPr>
        <w:t>, A. N. (2024). Methodology of teaching lan</w:t>
      </w:r>
      <w:r>
        <w:rPr>
          <w:lang w:val="en-GB"/>
        </w:rPr>
        <w:t>guage: Current approaches, innovations, and pedagogical strategies. Journal of Pedagogical Inventions and Practices, 28, 22–26. https://www.zienjournals.com/index.php/jpip/article/view/4922</w:t>
      </w:r>
    </w:p>
    <w:p w14:paraId="22DB1FDF" w14:textId="77777777" w:rsidR="00604C7C" w:rsidRDefault="003F5CB5">
      <w:pPr>
        <w:pStyle w:val="Body"/>
        <w:numPr>
          <w:ilvl w:val="0"/>
          <w:numId w:val="39"/>
        </w:numPr>
        <w:spacing w:after="0"/>
        <w:ind w:hanging="180"/>
        <w:rPr>
          <w:lang w:val="en-GB"/>
        </w:rPr>
      </w:pPr>
      <w:r>
        <w:rPr>
          <w:lang w:val="en-GB"/>
        </w:rPr>
        <w:t>Zhang, X. (2024, February). Exploring cognitive and language acqui</w:t>
      </w:r>
      <w:r>
        <w:rPr>
          <w:lang w:val="en-GB"/>
        </w:rPr>
        <w:t>sition processes in second language learning of English. In 3rd International Conference on Education, Language and Art (ICELA 2023) (pp. 248–254). Atlantis Press. https://doi.org/10.2991/978-2-38476-214-9_32</w:t>
      </w:r>
    </w:p>
    <w:p w14:paraId="4B626310" w14:textId="77777777" w:rsidR="00604C7C" w:rsidRDefault="003F5CB5">
      <w:pPr>
        <w:pStyle w:val="Body"/>
        <w:numPr>
          <w:ilvl w:val="0"/>
          <w:numId w:val="39"/>
        </w:numPr>
        <w:spacing w:after="0"/>
        <w:ind w:hanging="180"/>
        <w:rPr>
          <w:lang w:val="en-GB"/>
        </w:rPr>
        <w:sectPr w:rsidR="00604C7C">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roofErr w:type="spellStart"/>
      <w:r>
        <w:rPr>
          <w:lang w:val="en-GB"/>
        </w:rPr>
        <w:t>Zoch</w:t>
      </w:r>
      <w:proofErr w:type="spellEnd"/>
      <w:r>
        <w:rPr>
          <w:lang w:val="en-GB"/>
        </w:rPr>
        <w:t xml:space="preserve">, M. (2017). “It’s </w:t>
      </w:r>
      <w:r>
        <w:rPr>
          <w:lang w:val="en-GB"/>
        </w:rPr>
        <w:t>important for them to know who they are”: Teachers’ efforts to sustain students’ cultural competence in an age of high-stakes testing. Urban Education, 52(5), 610–636. https://doi.org/10.1177/0042085915618716</w:t>
      </w:r>
    </w:p>
    <w:p w14:paraId="187F275E" w14:textId="77777777" w:rsidR="00604C7C" w:rsidRDefault="00604C7C">
      <w:pPr>
        <w:pStyle w:val="Appendix"/>
        <w:spacing w:after="0"/>
        <w:ind w:hanging="180"/>
        <w:jc w:val="both"/>
        <w:rPr>
          <w:rFonts w:ascii="Arial" w:hAnsi="Arial" w:cs="Arial"/>
          <w:b w:val="0"/>
        </w:rPr>
      </w:pPr>
    </w:p>
    <w:sectPr w:rsidR="00604C7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laku Bayu" w:date="2025-07-16T10:46:00Z" w:initials="MB">
    <w:p w14:paraId="45C4B0C2" w14:textId="7190F1E5" w:rsidR="00BE056E" w:rsidRDefault="00BE056E">
      <w:pPr>
        <w:pStyle w:val="CommentText"/>
      </w:pPr>
      <w:r>
        <w:rPr>
          <w:rStyle w:val="CommentReference"/>
        </w:rPr>
        <w:annotationRef/>
      </w:r>
      <w:r w:rsidR="00B26974">
        <w:t>An Experimental Study on the Effectiveness of TPR in Vocabulary Development Among Grade 1 Students</w:t>
      </w:r>
    </w:p>
  </w:comment>
  <w:comment w:id="1" w:author="Melaku Bayu" w:date="2025-07-16T11:53:00Z" w:initials="MB">
    <w:p w14:paraId="406DB30A" w14:textId="6E11694F" w:rsidR="00551D57" w:rsidRDefault="00551D57">
      <w:pPr>
        <w:pStyle w:val="CommentText"/>
      </w:pPr>
      <w:r>
        <w:rPr>
          <w:rStyle w:val="CommentReference"/>
        </w:rPr>
        <w:annotationRef/>
      </w:r>
      <w:r>
        <w:t xml:space="preserve">Rewrite based on the comment which is given in the other reviewer section. </w:t>
      </w:r>
    </w:p>
  </w:comment>
  <w:comment w:id="2" w:author="Melaku Bayu" w:date="2025-07-16T10:56:00Z" w:initials="MB">
    <w:p w14:paraId="7BC88EEB" w14:textId="1A198665" w:rsidR="008F752B" w:rsidRPr="00106859" w:rsidRDefault="008F752B">
      <w:pPr>
        <w:pStyle w:val="CommentText"/>
        <w:rPr>
          <w:color w:val="FF0000"/>
        </w:rPr>
      </w:pPr>
      <w:r>
        <w:rPr>
          <w:rStyle w:val="CommentReference"/>
        </w:rPr>
        <w:annotationRef/>
      </w:r>
      <w:r w:rsidRPr="00106859">
        <w:rPr>
          <w:color w:val="FF0000"/>
        </w:rPr>
        <w:t>To assess the level of vocabulary development among Grade 1 learners at Judge Ernesto Nombrado Memorial School based on their pre-test scores.</w:t>
      </w:r>
    </w:p>
  </w:comment>
  <w:comment w:id="3" w:author="Melaku Bayu" w:date="2025-07-16T10:57:00Z" w:initials="MB">
    <w:p w14:paraId="40D8EDDF" w14:textId="4DCC8AE6" w:rsidR="00106859" w:rsidRPr="00106859" w:rsidRDefault="00106859">
      <w:pPr>
        <w:pStyle w:val="CommentText"/>
        <w:rPr>
          <w:color w:val="FF0000"/>
        </w:rPr>
      </w:pPr>
      <w:r>
        <w:rPr>
          <w:rStyle w:val="CommentReference"/>
        </w:rPr>
        <w:annotationRef/>
      </w:r>
      <w:r w:rsidRPr="00106859">
        <w:rPr>
          <w:color w:val="FF0000"/>
        </w:rPr>
        <w:t>To evaluate the level of vocabulary development among the same learners based on their post-test scores.</w:t>
      </w:r>
    </w:p>
  </w:comment>
  <w:comment w:id="4" w:author="Melaku Bayu" w:date="2025-07-16T10:57:00Z" w:initials="MB">
    <w:p w14:paraId="3AF97664" w14:textId="7F0AD6B9" w:rsidR="00106859" w:rsidRPr="00435DF2" w:rsidRDefault="00106859">
      <w:pPr>
        <w:pStyle w:val="CommentText"/>
        <w:rPr>
          <w:color w:val="FF0000"/>
        </w:rPr>
      </w:pPr>
      <w:r>
        <w:rPr>
          <w:rStyle w:val="CommentReference"/>
        </w:rPr>
        <w:annotationRef/>
      </w:r>
      <w:r w:rsidRPr="00435DF2">
        <w:rPr>
          <w:color w:val="FF0000"/>
        </w:rPr>
        <w:t>To determine whether there is a significant difference between the pre-test and post-test scores of the Grade 1 learners in vocabulary development.</w:t>
      </w:r>
    </w:p>
  </w:comment>
  <w:comment w:id="5" w:author="Melaku Bayu" w:date="2025-07-16T11:55:00Z" w:initials="MB">
    <w:p w14:paraId="2D01E5A6" w14:textId="48144712" w:rsidR="00551D57" w:rsidRDefault="00551D57">
      <w:pPr>
        <w:pStyle w:val="CommentText"/>
      </w:pPr>
      <w:r>
        <w:rPr>
          <w:rStyle w:val="CommentReference"/>
        </w:rPr>
        <w:annotationRef/>
      </w:r>
      <w:r>
        <w:t xml:space="preserve">Rewrite it based on the comments which is given in the other section of the reviewer.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4B0C2" w15:done="0"/>
  <w15:commentEx w15:paraId="406DB30A" w15:done="0"/>
  <w15:commentEx w15:paraId="7BC88EEB" w15:done="0"/>
  <w15:commentEx w15:paraId="40D8EDDF" w15:done="0"/>
  <w15:commentEx w15:paraId="3AF97664" w15:done="0"/>
  <w15:commentEx w15:paraId="2D01E5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20175" w16cex:dateUtc="2025-07-16T07:46:00Z"/>
  <w16cex:commentExtensible w16cex:durableId="2C22114C" w16cex:dateUtc="2025-07-16T08:53:00Z"/>
  <w16cex:commentExtensible w16cex:durableId="2C2203DA" w16cex:dateUtc="2025-07-16T07:56:00Z"/>
  <w16cex:commentExtensible w16cex:durableId="2C220409" w16cex:dateUtc="2025-07-16T07:57:00Z"/>
  <w16cex:commentExtensible w16cex:durableId="2C220431" w16cex:dateUtc="2025-07-16T07:57:00Z"/>
  <w16cex:commentExtensible w16cex:durableId="2C2211AA" w16cex:dateUtc="2025-07-16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4B0C2" w16cid:durableId="2C220175"/>
  <w16cid:commentId w16cid:paraId="406DB30A" w16cid:durableId="2C22114C"/>
  <w16cid:commentId w16cid:paraId="7BC88EEB" w16cid:durableId="2C2203DA"/>
  <w16cid:commentId w16cid:paraId="40D8EDDF" w16cid:durableId="2C220409"/>
  <w16cid:commentId w16cid:paraId="3AF97664" w16cid:durableId="2C220431"/>
  <w16cid:commentId w16cid:paraId="2D01E5A6" w16cid:durableId="2C221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A43E" w14:textId="77777777" w:rsidR="003F5CB5" w:rsidRDefault="003F5CB5">
      <w:r>
        <w:separator/>
      </w:r>
    </w:p>
  </w:endnote>
  <w:endnote w:type="continuationSeparator" w:id="0">
    <w:p w14:paraId="3382E104" w14:textId="77777777" w:rsidR="003F5CB5" w:rsidRDefault="003F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imSun"/>
    <w:charset w:val="86"/>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23C7" w14:textId="77777777" w:rsidR="00604C7C" w:rsidRDefault="00604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E2FB" w14:textId="77777777" w:rsidR="00604C7C" w:rsidRDefault="00604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49BD" w14:textId="77777777" w:rsidR="00604C7C" w:rsidRDefault="00604C7C">
    <w:pPr>
      <w:pStyle w:val="Footer"/>
      <w:rPr>
        <w:rFonts w:ascii="Arial" w:hAnsi="Arial" w:cs="Arial"/>
        <w:sz w:val="16"/>
      </w:rPr>
    </w:pPr>
  </w:p>
  <w:p w14:paraId="397C9301" w14:textId="77777777" w:rsidR="00604C7C" w:rsidRDefault="003F5CB5">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B2061CE" w14:textId="77777777" w:rsidR="00604C7C" w:rsidRDefault="00604C7C">
    <w:pPr>
      <w:pStyle w:val="Footer"/>
      <w:rPr>
        <w:rFonts w:ascii="Arial" w:hAnsi="Arial" w:cs="Arial"/>
        <w:sz w:val="16"/>
      </w:rPr>
    </w:pPr>
  </w:p>
  <w:p w14:paraId="245510E0" w14:textId="77777777" w:rsidR="00604C7C" w:rsidRDefault="003F5CB5">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346D" w14:textId="77777777" w:rsidR="00604C7C" w:rsidRDefault="0060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1891" w14:textId="77777777" w:rsidR="003F5CB5" w:rsidRDefault="003F5CB5">
      <w:r>
        <w:separator/>
      </w:r>
    </w:p>
  </w:footnote>
  <w:footnote w:type="continuationSeparator" w:id="0">
    <w:p w14:paraId="790AD95F" w14:textId="77777777" w:rsidR="003F5CB5" w:rsidRDefault="003F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81CB" w14:textId="77777777" w:rsidR="00604C7C" w:rsidRDefault="003F5CB5">
    <w:pPr>
      <w:pStyle w:val="Header"/>
    </w:pPr>
    <w:r>
      <w:rPr>
        <w:noProof/>
      </w:rPr>
      <w:pict w14:anchorId="2C3AE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1C39" w14:textId="77777777" w:rsidR="00604C7C" w:rsidRDefault="003F5CB5">
    <w:pPr>
      <w:pStyle w:val="Header"/>
    </w:pPr>
    <w:r>
      <w:rPr>
        <w:noProof/>
      </w:rPr>
      <w:pict w14:anchorId="6AE82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F3DB" w14:textId="77777777" w:rsidR="00604C7C" w:rsidRDefault="003F5CB5">
    <w:pPr>
      <w:ind w:left="2160"/>
      <w:jc w:val="center"/>
      <w:rPr>
        <w:rFonts w:ascii="Times New Roman" w:eastAsia="Calibri" w:hAnsi="Times New Roman"/>
        <w:i/>
        <w:sz w:val="18"/>
        <w:szCs w:val="22"/>
      </w:rPr>
    </w:pPr>
    <w:r>
      <w:rPr>
        <w:noProof/>
      </w:rPr>
      <w:pict w14:anchorId="674CF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950DD45" w14:textId="77777777" w:rsidR="00604C7C" w:rsidRDefault="003F5CB5">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E456933" w14:textId="77777777" w:rsidR="00604C7C" w:rsidRDefault="003F5CB5">
    <w:pPr>
      <w:jc w:val="center"/>
      <w:rPr>
        <w:rFonts w:ascii="Times New Roman" w:eastAsia="Calibri" w:hAnsi="Times New Roman"/>
        <w:i/>
        <w:sz w:val="18"/>
        <w:szCs w:val="22"/>
      </w:rPr>
    </w:pPr>
    <w:r>
      <w:rPr>
        <w:rFonts w:ascii="Times New Roman" w:eastAsia="Calibri" w:hAnsi="Times New Roman"/>
        <w:i/>
        <w:sz w:val="18"/>
        <w:szCs w:val="22"/>
      </w:rPr>
      <w:t>.</w:t>
    </w:r>
  </w:p>
  <w:p w14:paraId="07E19ECD" w14:textId="77777777" w:rsidR="00604C7C" w:rsidRDefault="003F5CB5">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595C6B5" w14:textId="77777777" w:rsidR="00604C7C" w:rsidRDefault="003F5CB5">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F4FC5A" w14:textId="77777777" w:rsidR="00604C7C" w:rsidRDefault="003F5CB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A81C012" w14:textId="77777777" w:rsidR="00604C7C" w:rsidRDefault="003F5CB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10C3" w14:textId="77777777" w:rsidR="00604C7C" w:rsidRDefault="003F5CB5">
    <w:pPr>
      <w:pStyle w:val="Header"/>
    </w:pPr>
    <w:r>
      <w:rPr>
        <w:noProof/>
      </w:rPr>
      <w:pict w14:anchorId="0F4C1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3F08" w14:textId="77777777" w:rsidR="00604C7C" w:rsidRDefault="003F5CB5">
    <w:pPr>
      <w:pStyle w:val="Header"/>
    </w:pPr>
    <w:r>
      <w:rPr>
        <w:noProof/>
      </w:rPr>
      <w:pict w14:anchorId="7489C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F680" w14:textId="77777777" w:rsidR="00604C7C" w:rsidRDefault="003F5CB5">
    <w:pPr>
      <w:pStyle w:val="Header"/>
    </w:pPr>
    <w:r>
      <w:rPr>
        <w:noProof/>
      </w:rPr>
      <w:pict w14:anchorId="644DD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306C4"/>
    <w:multiLevelType w:val="hybridMultilevel"/>
    <w:tmpl w:val="A02AF958"/>
    <w:lvl w:ilvl="0" w:tplc="36D88D0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3D7A2A"/>
    <w:multiLevelType w:val="multilevel"/>
    <w:tmpl w:val="B46411DA"/>
    <w:lvl w:ilvl="0">
      <w:start w:val="4"/>
      <w:numFmt w:val="decimal"/>
      <w:lvlText w:val="%1."/>
      <w:lvlJc w:val="left"/>
      <w:pPr>
        <w:ind w:left="72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13B09"/>
    <w:multiLevelType w:val="multilevel"/>
    <w:tmpl w:val="14820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F7011A1"/>
    <w:multiLevelType w:val="hybridMultilevel"/>
    <w:tmpl w:val="9216BFF6"/>
    <w:lvl w:ilvl="0" w:tplc="36D88D0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359781E"/>
    <w:multiLevelType w:val="hybridMultilevel"/>
    <w:tmpl w:val="C060C20E"/>
    <w:lvl w:ilvl="0" w:tplc="36D88D0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6FD1C76"/>
    <w:multiLevelType w:val="hybridMultilevel"/>
    <w:tmpl w:val="0A189D8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40AA9"/>
    <w:multiLevelType w:val="multilevel"/>
    <w:tmpl w:val="54D40AA9"/>
    <w:lvl w:ilvl="0">
      <w:start w:val="1"/>
      <w:numFmt w:val="decimal"/>
      <w:lvlText w:val="%1."/>
      <w:lvlJc w:val="left"/>
      <w:pPr>
        <w:ind w:left="72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727B5F"/>
    <w:multiLevelType w:val="hybridMultilevel"/>
    <w:tmpl w:val="9A925F3E"/>
    <w:lvl w:ilvl="0" w:tplc="FDC4F00E">
      <w:start w:val="4"/>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E91581"/>
    <w:multiLevelType w:val="hybridMultilevel"/>
    <w:tmpl w:val="43DEF36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A7C4562"/>
    <w:multiLevelType w:val="hybridMultilevel"/>
    <w:tmpl w:val="9216BFF6"/>
    <w:lvl w:ilvl="0" w:tplc="36D88D02">
      <w:start w:val="1"/>
      <w:numFmt w:val="decimal"/>
      <w:lvlText w:val="%1."/>
      <w:lvlJc w:val="righ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5"/>
  </w:num>
  <w:num w:numId="9">
    <w:abstractNumId w:val="34"/>
  </w:num>
  <w:num w:numId="10">
    <w:abstractNumId w:val="3"/>
  </w:num>
  <w:num w:numId="11">
    <w:abstractNumId w:val="26"/>
  </w:num>
  <w:num w:numId="12">
    <w:abstractNumId w:val="4"/>
  </w:num>
  <w:num w:numId="13">
    <w:abstractNumId w:val="24"/>
  </w:num>
  <w:num w:numId="14">
    <w:abstractNumId w:val="10"/>
  </w:num>
  <w:num w:numId="15">
    <w:abstractNumId w:val="30"/>
  </w:num>
  <w:num w:numId="16">
    <w:abstractNumId w:val="6"/>
  </w:num>
  <w:num w:numId="17">
    <w:abstractNumId w:val="31"/>
  </w:num>
  <w:num w:numId="18">
    <w:abstractNumId w:val="18"/>
  </w:num>
  <w:num w:numId="19">
    <w:abstractNumId w:val="38"/>
  </w:num>
  <w:num w:numId="20">
    <w:abstractNumId w:val="14"/>
  </w:num>
  <w:num w:numId="21">
    <w:abstractNumId w:val="11"/>
  </w:num>
  <w:num w:numId="22">
    <w:abstractNumId w:val="16"/>
  </w:num>
  <w:num w:numId="23">
    <w:abstractNumId w:val="27"/>
  </w:num>
  <w:num w:numId="24">
    <w:abstractNumId w:val="36"/>
  </w:num>
  <w:num w:numId="25">
    <w:abstractNumId w:val="5"/>
  </w:num>
  <w:num w:numId="26">
    <w:abstractNumId w:val="22"/>
  </w:num>
  <w:num w:numId="27">
    <w:abstractNumId w:val="28"/>
  </w:num>
  <w:num w:numId="28">
    <w:abstractNumId w:val="37"/>
  </w:num>
  <w:num w:numId="29">
    <w:abstractNumId w:val="33"/>
  </w:num>
  <w:num w:numId="30">
    <w:abstractNumId w:val="12"/>
  </w:num>
  <w:num w:numId="31">
    <w:abstractNumId w:val="13"/>
  </w:num>
  <w:num w:numId="32">
    <w:abstractNumId w:val="23"/>
  </w:num>
  <w:num w:numId="33">
    <w:abstractNumId w:val="1"/>
  </w:num>
  <w:num w:numId="34">
    <w:abstractNumId w:val="9"/>
  </w:num>
  <w:num w:numId="35">
    <w:abstractNumId w:val="19"/>
  </w:num>
  <w:num w:numId="36">
    <w:abstractNumId w:val="17"/>
  </w:num>
  <w:num w:numId="37">
    <w:abstractNumId w:val="20"/>
  </w:num>
  <w:num w:numId="38">
    <w:abstractNumId w:val="29"/>
  </w:num>
  <w:num w:numId="39">
    <w:abstractNumId w:val="35"/>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ku Bayu">
    <w15:presenceInfo w15:providerId="Windows Live" w15:userId="8fa59cd646148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7C"/>
    <w:rsid w:val="00106859"/>
    <w:rsid w:val="003F5CB5"/>
    <w:rsid w:val="00435DF2"/>
    <w:rsid w:val="00551D57"/>
    <w:rsid w:val="00604C7C"/>
    <w:rsid w:val="0089024B"/>
    <w:rsid w:val="008F752B"/>
    <w:rsid w:val="009412CB"/>
    <w:rsid w:val="00A378FC"/>
    <w:rsid w:val="00AA16E0"/>
    <w:rsid w:val="00B26974"/>
    <w:rsid w:val="00BE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05586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rPr>
      <w:rFonts w:ascii="Helvetica Neue" w:eastAsia="Helvetica Neue" w:hAnsi="Helvetica Neue" w:cs="Helvetica Neue"/>
      <w:lang w:eastAsia="en-PH"/>
    </w:rPr>
  </w:style>
  <w:style w:type="paragraph" w:styleId="CommentSubject">
    <w:name w:val="annotation subject"/>
    <w:basedOn w:val="CommentText"/>
    <w:next w:val="CommentText"/>
    <w:link w:val="CommentSubjectChar"/>
    <w:semiHidden/>
    <w:unhideWhenUsed/>
    <w:rsid w:val="00BE056E"/>
    <w:rPr>
      <w:rFonts w:ascii="Helvetica" w:hAnsi="Helvetica"/>
      <w:b/>
      <w:bCs/>
      <w:lang w:val="en-US" w:eastAsia="en-US"/>
    </w:rPr>
  </w:style>
  <w:style w:type="character" w:customStyle="1" w:styleId="CommentSubjectChar">
    <w:name w:val="Comment Subject Char"/>
    <w:basedOn w:val="CommentTextChar"/>
    <w:link w:val="CommentSubject"/>
    <w:semiHidden/>
    <w:rsid w:val="00BE056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AD12-EFA9-484B-BC42-F0785DA7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TotalTime>
  <Pages>14</Pages>
  <Words>7284</Words>
  <Characters>41523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48710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Melaku Bayu</cp:lastModifiedBy>
  <cp:revision>11</cp:revision>
  <cp:lastPrinted>2025-07-14T06:08:00Z</cp:lastPrinted>
  <dcterms:created xsi:type="dcterms:W3CDTF">2025-07-16T07:50:00Z</dcterms:created>
  <dcterms:modified xsi:type="dcterms:W3CDTF">2025-07-16T08:56:00Z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0b167e8e-04e2-405c-aee4-7bedb1be737f</vt:lpwstr>
  </property>
</Properties>
</file>