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0115" w14:textId="77777777" w:rsidR="005F4E64" w:rsidRPr="005F4E64" w:rsidRDefault="005F4E64" w:rsidP="005F4E64">
      <w:pPr>
        <w:spacing w:line="240" w:lineRule="auto"/>
        <w:jc w:val="right"/>
        <w:rPr>
          <w:rFonts w:ascii="Arial" w:hAnsi="Arial" w:cs="Arial"/>
          <w:b/>
          <w:bCs/>
          <w:i/>
          <w:iCs/>
          <w:sz w:val="36"/>
          <w:szCs w:val="36"/>
          <w:u w:val="single"/>
          <w:lang w:val="en-US"/>
        </w:rPr>
      </w:pPr>
      <w:r w:rsidRPr="005F4E64">
        <w:rPr>
          <w:rFonts w:ascii="Arial" w:hAnsi="Arial" w:cs="Arial"/>
          <w:b/>
          <w:bCs/>
          <w:i/>
          <w:iCs/>
          <w:sz w:val="36"/>
          <w:szCs w:val="36"/>
          <w:u w:val="single"/>
          <w:lang w:val="en-US"/>
        </w:rPr>
        <w:t>Review Article</w:t>
      </w:r>
    </w:p>
    <w:p w14:paraId="1992556E" w14:textId="77777777" w:rsidR="004E1E57" w:rsidRPr="005D01D1" w:rsidRDefault="004E1E57" w:rsidP="005D01D1">
      <w:pPr>
        <w:spacing w:line="240" w:lineRule="auto"/>
        <w:jc w:val="right"/>
        <w:rPr>
          <w:rFonts w:ascii="Arial" w:hAnsi="Arial" w:cs="Arial"/>
          <w:b/>
          <w:bCs/>
          <w:sz w:val="36"/>
          <w:szCs w:val="36"/>
        </w:rPr>
      </w:pPr>
      <w:r w:rsidRPr="005D01D1">
        <w:rPr>
          <w:rFonts w:ascii="Arial" w:hAnsi="Arial" w:cs="Arial"/>
          <w:b/>
          <w:bCs/>
          <w:sz w:val="36"/>
          <w:szCs w:val="36"/>
        </w:rPr>
        <w:t>Vegetation as a Key Determinant in Sloth Bear Habitat Preference: A Systematic Review</w:t>
      </w:r>
    </w:p>
    <w:p w14:paraId="0D6C91C9" w14:textId="08C83DBB" w:rsidR="003C76F9" w:rsidRDefault="003C76F9" w:rsidP="005D01D1">
      <w:pPr>
        <w:spacing w:line="240" w:lineRule="auto"/>
        <w:jc w:val="right"/>
        <w:rPr>
          <w:rFonts w:ascii="Arial" w:hAnsi="Arial" w:cs="Arial"/>
          <w:i/>
          <w:iCs/>
          <w:sz w:val="20"/>
        </w:rPr>
      </w:pPr>
    </w:p>
    <w:p w14:paraId="04F4DA05" w14:textId="77777777" w:rsidR="00007C57" w:rsidRPr="005D01D1" w:rsidRDefault="00007C57" w:rsidP="005D01D1">
      <w:pPr>
        <w:spacing w:line="240" w:lineRule="auto"/>
        <w:jc w:val="right"/>
        <w:rPr>
          <w:rFonts w:ascii="Arial" w:hAnsi="Arial" w:cs="Arial"/>
          <w:i/>
          <w:iCs/>
          <w:sz w:val="20"/>
        </w:rPr>
      </w:pPr>
    </w:p>
    <w:p w14:paraId="608E795D" w14:textId="77777777" w:rsidR="00CE61FB" w:rsidRPr="005D01D1" w:rsidRDefault="00CE61FB" w:rsidP="005D01D1">
      <w:pPr>
        <w:spacing w:line="240" w:lineRule="auto"/>
        <w:jc w:val="center"/>
        <w:rPr>
          <w:rFonts w:ascii="Arial" w:hAnsi="Arial" w:cs="Arial"/>
          <w:sz w:val="20"/>
        </w:rPr>
      </w:pPr>
    </w:p>
    <w:p w14:paraId="54D2E0B7" w14:textId="77777777" w:rsidR="00B44DCB" w:rsidRPr="005D01D1" w:rsidRDefault="00CD62D7" w:rsidP="005D01D1">
      <w:pPr>
        <w:spacing w:line="240" w:lineRule="auto"/>
        <w:jc w:val="both"/>
        <w:rPr>
          <w:rFonts w:ascii="Arial" w:hAnsi="Arial" w:cs="Arial"/>
          <w:b/>
          <w:bCs/>
          <w:szCs w:val="22"/>
        </w:rPr>
      </w:pPr>
      <w:r w:rsidRPr="005D01D1">
        <w:rPr>
          <w:rFonts w:ascii="Arial" w:hAnsi="Arial" w:cs="Arial"/>
          <w:b/>
          <w:bCs/>
          <w:szCs w:val="22"/>
        </w:rPr>
        <w:t>ABSTRACT</w:t>
      </w:r>
    </w:p>
    <w:p w14:paraId="3903B6F4" w14:textId="77777777" w:rsidR="00B44DCB" w:rsidRPr="005D01D1" w:rsidRDefault="00B44DCB" w:rsidP="005D01D1">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rPr>
      </w:pPr>
      <w:r w:rsidRPr="005D01D1">
        <w:rPr>
          <w:rFonts w:ascii="Arial" w:hAnsi="Arial" w:cs="Arial"/>
          <w:sz w:val="20"/>
        </w:rPr>
        <w:t>Sloth bears (</w:t>
      </w:r>
      <w:r w:rsidRPr="005D01D1">
        <w:rPr>
          <w:rStyle w:val="Emphasis"/>
          <w:rFonts w:ascii="Arial" w:hAnsi="Arial" w:cs="Arial"/>
          <w:sz w:val="20"/>
        </w:rPr>
        <w:t>Melursus ursinus</w:t>
      </w:r>
      <w:r w:rsidRPr="005D01D1">
        <w:rPr>
          <w:rFonts w:ascii="Arial" w:hAnsi="Arial" w:cs="Arial"/>
          <w:sz w:val="20"/>
        </w:rPr>
        <w:t xml:space="preserve">), native to the Indian subcontinent, exhibit unique ecological </w:t>
      </w:r>
      <w:r w:rsidR="00B46C9A" w:rsidRPr="005D01D1">
        <w:rPr>
          <w:rFonts w:ascii="Arial" w:hAnsi="Arial" w:cs="Arial"/>
          <w:sz w:val="20"/>
        </w:rPr>
        <w:t>behaviours</w:t>
      </w:r>
      <w:r w:rsidRPr="005D01D1">
        <w:rPr>
          <w:rFonts w:ascii="Arial" w:hAnsi="Arial" w:cs="Arial"/>
          <w:sz w:val="20"/>
        </w:rPr>
        <w:t xml:space="preserve"> and habitat preferences intricately tied to vegetation structure and diversity. This review </w:t>
      </w:r>
      <w:r w:rsidR="00B46C9A" w:rsidRPr="005D01D1">
        <w:rPr>
          <w:rFonts w:ascii="Arial" w:hAnsi="Arial" w:cs="Arial"/>
          <w:sz w:val="20"/>
        </w:rPr>
        <w:t>summarizes</w:t>
      </w:r>
      <w:r w:rsidRPr="005D01D1">
        <w:rPr>
          <w:rFonts w:ascii="Arial" w:hAnsi="Arial" w:cs="Arial"/>
          <w:sz w:val="20"/>
        </w:rPr>
        <w:t xml:space="preserve"> current literature on the role of vegetation in shaping the habitat selection, dietary ecology, and spatial distribution of sloth bears. These predominantly </w:t>
      </w:r>
      <w:r w:rsidR="00B46C9A" w:rsidRPr="005D01D1">
        <w:rPr>
          <w:rFonts w:ascii="Arial" w:hAnsi="Arial" w:cs="Arial"/>
          <w:sz w:val="20"/>
        </w:rPr>
        <w:t>myrmecophagous</w:t>
      </w:r>
      <w:r w:rsidRPr="005D01D1">
        <w:rPr>
          <w:rFonts w:ascii="Arial" w:hAnsi="Arial" w:cs="Arial"/>
          <w:sz w:val="20"/>
        </w:rPr>
        <w:t xml:space="preserve"> mammals depend on forest ecosystems rich in termite mounds, ant colonies, and seasonal fruiting trees. Vegetation characteristics such as canopy cover, species diversity, and ground structure influence their foraging patterns, denning sites, and movement </w:t>
      </w:r>
      <w:r w:rsidR="00B46C9A" w:rsidRPr="005D01D1">
        <w:rPr>
          <w:rFonts w:ascii="Arial" w:hAnsi="Arial" w:cs="Arial"/>
          <w:sz w:val="20"/>
        </w:rPr>
        <w:t>behaviours</w:t>
      </w:r>
      <w:r w:rsidRPr="005D01D1">
        <w:rPr>
          <w:rFonts w:ascii="Arial" w:hAnsi="Arial" w:cs="Arial"/>
          <w:sz w:val="20"/>
        </w:rPr>
        <w:t xml:space="preserve">. Habitat suitability studies across India and Nepal highlight sloth bears’ preference for dry and moist deciduous forests, </w:t>
      </w:r>
      <w:proofErr w:type="spellStart"/>
      <w:r w:rsidRPr="005D01D1">
        <w:rPr>
          <w:rFonts w:ascii="Arial" w:hAnsi="Arial" w:cs="Arial"/>
          <w:sz w:val="20"/>
        </w:rPr>
        <w:t>sal</w:t>
      </w:r>
      <w:proofErr w:type="spellEnd"/>
      <w:r w:rsidRPr="005D01D1">
        <w:rPr>
          <w:rFonts w:ascii="Arial" w:hAnsi="Arial" w:cs="Arial"/>
          <w:sz w:val="20"/>
        </w:rPr>
        <w:t xml:space="preserve">-dominated landscapes, and scrub habitats, each offering distinct foraging and shelter opportunities. The seasonal availability of native fruiting species like </w:t>
      </w:r>
      <w:r w:rsidRPr="005D01D1">
        <w:rPr>
          <w:rStyle w:val="Emphasis"/>
          <w:rFonts w:ascii="Arial" w:hAnsi="Arial" w:cs="Arial"/>
          <w:sz w:val="20"/>
        </w:rPr>
        <w:t xml:space="preserve">Ziziphus </w:t>
      </w:r>
      <w:proofErr w:type="spellStart"/>
      <w:r w:rsidRPr="005D01D1">
        <w:rPr>
          <w:rStyle w:val="Emphasis"/>
          <w:rFonts w:ascii="Arial" w:hAnsi="Arial" w:cs="Arial"/>
          <w:sz w:val="20"/>
        </w:rPr>
        <w:t>mauritiana</w:t>
      </w:r>
      <w:proofErr w:type="spellEnd"/>
      <w:r w:rsidRPr="005D01D1">
        <w:rPr>
          <w:rFonts w:ascii="Arial" w:hAnsi="Arial" w:cs="Arial"/>
          <w:sz w:val="20"/>
        </w:rPr>
        <w:t xml:space="preserve">, </w:t>
      </w:r>
      <w:r w:rsidRPr="005D01D1">
        <w:rPr>
          <w:rStyle w:val="Emphasis"/>
          <w:rFonts w:ascii="Arial" w:hAnsi="Arial" w:cs="Arial"/>
          <w:sz w:val="20"/>
        </w:rPr>
        <w:t>Ficus spp.</w:t>
      </w:r>
      <w:r w:rsidRPr="005D01D1">
        <w:rPr>
          <w:rFonts w:ascii="Arial" w:hAnsi="Arial" w:cs="Arial"/>
          <w:sz w:val="20"/>
        </w:rPr>
        <w:t xml:space="preserve">, and </w:t>
      </w:r>
      <w:proofErr w:type="spellStart"/>
      <w:r w:rsidRPr="005D01D1">
        <w:rPr>
          <w:rStyle w:val="Emphasis"/>
          <w:rFonts w:ascii="Arial" w:hAnsi="Arial" w:cs="Arial"/>
          <w:sz w:val="20"/>
        </w:rPr>
        <w:t>Madhuca</w:t>
      </w:r>
      <w:proofErr w:type="spellEnd"/>
      <w:r w:rsidRPr="005D01D1">
        <w:rPr>
          <w:rStyle w:val="Emphasis"/>
          <w:rFonts w:ascii="Arial" w:hAnsi="Arial" w:cs="Arial"/>
          <w:sz w:val="20"/>
        </w:rPr>
        <w:t xml:space="preserve"> indica</w:t>
      </w:r>
      <w:r w:rsidRPr="005D01D1">
        <w:rPr>
          <w:rFonts w:ascii="Arial" w:hAnsi="Arial" w:cs="Arial"/>
          <w:sz w:val="20"/>
        </w:rPr>
        <w:t xml:space="preserve"> further governs bear movement and home range configurations. Utilizing remote sensing (RS) and species distribution models (SDMs), especially </w:t>
      </w:r>
      <w:proofErr w:type="spellStart"/>
      <w:r w:rsidRPr="005D01D1">
        <w:rPr>
          <w:rFonts w:ascii="Arial" w:hAnsi="Arial" w:cs="Arial"/>
          <w:sz w:val="20"/>
        </w:rPr>
        <w:t>MaxEnt</w:t>
      </w:r>
      <w:proofErr w:type="spellEnd"/>
      <w:r w:rsidRPr="005D01D1">
        <w:rPr>
          <w:rFonts w:ascii="Arial" w:hAnsi="Arial" w:cs="Arial"/>
          <w:sz w:val="20"/>
        </w:rPr>
        <w:t>, researchers have identified vegetation indices such as NDVI as strong predictors of</w:t>
      </w:r>
      <w:r w:rsidR="00B46C9A" w:rsidRPr="005D01D1">
        <w:rPr>
          <w:rFonts w:ascii="Arial" w:hAnsi="Arial" w:cs="Arial"/>
          <w:sz w:val="20"/>
        </w:rPr>
        <w:t xml:space="preserve"> habitat suitability. However, inclusion</w:t>
      </w:r>
      <w:r w:rsidRPr="005D01D1">
        <w:rPr>
          <w:rFonts w:ascii="Arial" w:hAnsi="Arial" w:cs="Arial"/>
          <w:sz w:val="20"/>
        </w:rPr>
        <w:t xml:space="preserve"> of floristic composition enhances the ecological resolution of these models. Despite the sloth bear’s adaptability, habitat fragmentation and human disturbance pose significant threats, underscoring the need for vegetation-based conservation planning. This review bridges ecological findings with conservation applications, advocating for habitat restoration strategies that prioritize native fruit species and minimize forest degradation to ensure sustainable sloth bear populations across their fragmented range.</w:t>
      </w:r>
    </w:p>
    <w:p w14:paraId="5E8E8CC0" w14:textId="77777777" w:rsidR="00B46C9A" w:rsidRPr="005D01D1" w:rsidRDefault="00B46C9A" w:rsidP="005D01D1">
      <w:pPr>
        <w:spacing w:line="240" w:lineRule="auto"/>
        <w:jc w:val="both"/>
        <w:rPr>
          <w:rFonts w:ascii="Arial" w:hAnsi="Arial" w:cs="Arial"/>
          <w:sz w:val="20"/>
        </w:rPr>
      </w:pPr>
    </w:p>
    <w:p w14:paraId="1DBA80FC" w14:textId="77777777" w:rsidR="00B46C9A" w:rsidRPr="005D01D1" w:rsidRDefault="00B46C9A" w:rsidP="005D01D1">
      <w:pPr>
        <w:spacing w:line="240" w:lineRule="auto"/>
        <w:jc w:val="both"/>
        <w:rPr>
          <w:rFonts w:ascii="Arial" w:hAnsi="Arial" w:cs="Arial"/>
          <w:i/>
          <w:iCs/>
          <w:sz w:val="20"/>
        </w:rPr>
      </w:pPr>
      <w:r w:rsidRPr="005D01D1">
        <w:rPr>
          <w:rFonts w:ascii="Arial" w:hAnsi="Arial" w:cs="Arial"/>
          <w:i/>
          <w:iCs/>
          <w:sz w:val="20"/>
        </w:rPr>
        <w:t>Keywords: Myrmecophagy, Habitat selection, Fruiting phenology, Vegetation</w:t>
      </w:r>
    </w:p>
    <w:p w14:paraId="16F31838" w14:textId="77777777" w:rsidR="005D01D1" w:rsidRPr="005D01D1" w:rsidRDefault="005D01D1" w:rsidP="005D01D1">
      <w:pPr>
        <w:spacing w:line="240" w:lineRule="auto"/>
        <w:jc w:val="both"/>
        <w:rPr>
          <w:rFonts w:ascii="Arial" w:hAnsi="Arial" w:cs="Arial"/>
          <w:i/>
          <w:iCs/>
          <w:sz w:val="20"/>
        </w:rPr>
      </w:pPr>
    </w:p>
    <w:p w14:paraId="06F4D990" w14:textId="77777777" w:rsidR="006A0DA0" w:rsidRPr="005D01D1" w:rsidRDefault="005D01D1" w:rsidP="005D01D1">
      <w:pPr>
        <w:pStyle w:val="Heading1"/>
        <w:numPr>
          <w:ilvl w:val="0"/>
          <w:numId w:val="2"/>
        </w:numPr>
        <w:spacing w:before="0" w:after="160" w:line="240" w:lineRule="auto"/>
        <w:ind w:left="567" w:hanging="567"/>
        <w:rPr>
          <w:rFonts w:ascii="Arial" w:hAnsi="Arial" w:cs="Arial"/>
          <w:b/>
          <w:bCs/>
          <w:color w:val="000000" w:themeColor="text1"/>
          <w:sz w:val="22"/>
          <w:szCs w:val="22"/>
        </w:rPr>
      </w:pPr>
      <w:r w:rsidRPr="005D01D1">
        <w:rPr>
          <w:rFonts w:ascii="Arial" w:hAnsi="Arial" w:cs="Arial"/>
          <w:b/>
          <w:bCs/>
          <w:color w:val="000000" w:themeColor="text1"/>
          <w:sz w:val="22"/>
          <w:szCs w:val="22"/>
        </w:rPr>
        <w:t>INTRODUCTION</w:t>
      </w:r>
    </w:p>
    <w:p w14:paraId="7A4B2C25" w14:textId="77777777" w:rsidR="006171E2" w:rsidRPr="005D01D1" w:rsidRDefault="006171E2" w:rsidP="005D01D1">
      <w:pPr>
        <w:pStyle w:val="NormalWeb"/>
        <w:spacing w:before="0" w:beforeAutospacing="0" w:after="160" w:afterAutospacing="0"/>
        <w:jc w:val="both"/>
        <w:rPr>
          <w:rFonts w:ascii="Arial" w:hAnsi="Arial" w:cs="Arial"/>
          <w:color w:val="000000" w:themeColor="text1"/>
          <w:sz w:val="20"/>
          <w:szCs w:val="20"/>
        </w:rPr>
      </w:pPr>
      <w:r w:rsidRPr="005D01D1">
        <w:rPr>
          <w:rFonts w:ascii="Arial" w:hAnsi="Arial" w:cs="Arial"/>
          <w:color w:val="000000" w:themeColor="text1"/>
          <w:sz w:val="20"/>
          <w:szCs w:val="20"/>
        </w:rPr>
        <w:t>Sloth bears (</w:t>
      </w:r>
      <w:r w:rsidRPr="005D01D1">
        <w:rPr>
          <w:rStyle w:val="Emphasis"/>
          <w:rFonts w:ascii="Arial" w:hAnsi="Arial" w:cs="Arial"/>
          <w:color w:val="000000" w:themeColor="text1"/>
          <w:sz w:val="20"/>
          <w:szCs w:val="20"/>
        </w:rPr>
        <w:t>Melursus ursinus</w:t>
      </w:r>
      <w:r w:rsidRPr="005D01D1">
        <w:rPr>
          <w:rFonts w:ascii="Arial" w:hAnsi="Arial" w:cs="Arial"/>
          <w:color w:val="000000" w:themeColor="text1"/>
          <w:sz w:val="20"/>
          <w:szCs w:val="20"/>
        </w:rPr>
        <w:t xml:space="preserve">) are unique members of the bear family, found primarily across the Indian </w:t>
      </w:r>
      <w:commentRangeStart w:id="0"/>
      <w:r w:rsidRPr="005D01D1">
        <w:rPr>
          <w:rFonts w:ascii="Arial" w:hAnsi="Arial" w:cs="Arial"/>
          <w:color w:val="000000" w:themeColor="text1"/>
          <w:sz w:val="20"/>
          <w:szCs w:val="20"/>
        </w:rPr>
        <w:t>subcontinent.</w:t>
      </w:r>
      <w:commentRangeEnd w:id="0"/>
      <w:r w:rsidR="00250A5D">
        <w:rPr>
          <w:rStyle w:val="CommentReference"/>
          <w:rFonts w:asciiTheme="minorHAnsi" w:eastAsiaTheme="minorHAnsi" w:hAnsiTheme="minorHAnsi" w:cstheme="minorBidi"/>
          <w:lang w:eastAsia="en-US"/>
        </w:rPr>
        <w:commentReference w:id="0"/>
      </w:r>
      <w:r w:rsidRPr="005D01D1">
        <w:rPr>
          <w:rFonts w:ascii="Arial" w:hAnsi="Arial" w:cs="Arial"/>
          <w:color w:val="000000" w:themeColor="text1"/>
          <w:sz w:val="20"/>
          <w:szCs w:val="20"/>
        </w:rPr>
        <w:t xml:space="preserve"> Their ecological profile is shaped by a variety of environmental and biological factors, including habitat preference, feeding </w:t>
      </w:r>
      <w:r w:rsidR="00AF6808" w:rsidRPr="005D01D1">
        <w:rPr>
          <w:rFonts w:ascii="Arial" w:hAnsi="Arial" w:cs="Arial"/>
          <w:color w:val="000000" w:themeColor="text1"/>
          <w:sz w:val="20"/>
          <w:szCs w:val="20"/>
        </w:rPr>
        <w:t>behaviour</w:t>
      </w:r>
      <w:r w:rsidRPr="005D01D1">
        <w:rPr>
          <w:rFonts w:ascii="Arial" w:hAnsi="Arial" w:cs="Arial"/>
          <w:color w:val="000000" w:themeColor="text1"/>
          <w:sz w:val="20"/>
          <w:szCs w:val="20"/>
        </w:rPr>
        <w:t xml:space="preserve">, and social structure. Ecologically, sloth bears inhabit a diverse range of environments, from dry deciduous forests to moist broadleaf forests, often choosing areas with rocky outcrops and caves for denning and shelter (Yoganand &amp; Rice, 2005). Their home range and movement patterns are influenced by food availability and human disturbance (Baskaran et al., 2015). </w:t>
      </w:r>
      <w:r w:rsidR="00AF6808" w:rsidRPr="005D01D1">
        <w:rPr>
          <w:rFonts w:ascii="Arial" w:hAnsi="Arial" w:cs="Arial"/>
          <w:color w:val="000000" w:themeColor="text1"/>
          <w:sz w:val="20"/>
          <w:szCs w:val="20"/>
        </w:rPr>
        <w:t>T</w:t>
      </w:r>
      <w:r w:rsidRPr="005D01D1">
        <w:rPr>
          <w:rFonts w:ascii="Arial" w:hAnsi="Arial" w:cs="Arial"/>
          <w:color w:val="000000" w:themeColor="text1"/>
          <w:sz w:val="20"/>
          <w:szCs w:val="20"/>
        </w:rPr>
        <w:t>hey consume a variety of fruits and occasionally small vertebrates. This dietary flexibility is essential for survival in habitats with fluctuating food resources (</w:t>
      </w:r>
      <w:proofErr w:type="spellStart"/>
      <w:r w:rsidRPr="005D01D1">
        <w:rPr>
          <w:rFonts w:ascii="Arial" w:hAnsi="Arial" w:cs="Arial"/>
          <w:color w:val="000000" w:themeColor="text1"/>
          <w:sz w:val="20"/>
          <w:szCs w:val="20"/>
        </w:rPr>
        <w:t>Dharaiya</w:t>
      </w:r>
      <w:proofErr w:type="spellEnd"/>
      <w:r w:rsidRPr="005D01D1">
        <w:rPr>
          <w:rFonts w:ascii="Arial" w:hAnsi="Arial" w:cs="Arial"/>
          <w:color w:val="000000" w:themeColor="text1"/>
          <w:sz w:val="20"/>
          <w:szCs w:val="20"/>
        </w:rPr>
        <w:t xml:space="preserve"> &amp; Rabari, 2022). </w:t>
      </w:r>
      <w:r w:rsidR="00AF6808" w:rsidRPr="005D01D1">
        <w:rPr>
          <w:rFonts w:ascii="Arial" w:hAnsi="Arial" w:cs="Arial"/>
          <w:color w:val="000000" w:themeColor="text1"/>
          <w:sz w:val="20"/>
          <w:szCs w:val="20"/>
        </w:rPr>
        <w:t>Behaviourally</w:t>
      </w:r>
      <w:r w:rsidRPr="005D01D1">
        <w:rPr>
          <w:rFonts w:ascii="Arial" w:hAnsi="Arial" w:cs="Arial"/>
          <w:color w:val="000000" w:themeColor="text1"/>
          <w:sz w:val="20"/>
          <w:szCs w:val="20"/>
        </w:rPr>
        <w:t>, sloth bears are mostly nocturnal and solitary, with unique adaptations such as a gap in their upper incisors to suck up insects effectively. Vocalizations and scent markings play a critical role in communication and territory establishment (</w:t>
      </w:r>
      <w:r w:rsidRPr="005D01D1">
        <w:rPr>
          <w:rFonts w:ascii="Arial" w:hAnsi="Arial" w:cs="Arial"/>
          <w:sz w:val="20"/>
          <w:szCs w:val="20"/>
        </w:rPr>
        <w:t>Laurie &amp; Seidensticker, 1977</w:t>
      </w:r>
      <w:r w:rsidRPr="005D01D1">
        <w:rPr>
          <w:rFonts w:ascii="Arial" w:hAnsi="Arial" w:cs="Arial"/>
          <w:color w:val="000000" w:themeColor="text1"/>
          <w:sz w:val="20"/>
          <w:szCs w:val="20"/>
        </w:rPr>
        <w:t>).</w:t>
      </w:r>
    </w:p>
    <w:p w14:paraId="30E9888B" w14:textId="77777777" w:rsidR="00DB4A05" w:rsidRPr="005D01D1" w:rsidRDefault="006171E2" w:rsidP="005D01D1">
      <w:pPr>
        <w:spacing w:line="240" w:lineRule="auto"/>
        <w:jc w:val="both"/>
        <w:rPr>
          <w:rFonts w:ascii="Arial" w:eastAsia="Times New Roman" w:hAnsi="Arial" w:cs="Arial"/>
          <w:color w:val="000000" w:themeColor="text1"/>
          <w:sz w:val="20"/>
          <w:lang w:eastAsia="en-IN"/>
        </w:rPr>
      </w:pPr>
      <w:r w:rsidRPr="005D01D1">
        <w:rPr>
          <w:rFonts w:ascii="Arial" w:eastAsia="Times New Roman" w:hAnsi="Arial" w:cs="Arial"/>
          <w:color w:val="000000" w:themeColor="text1"/>
          <w:sz w:val="20"/>
          <w:lang w:eastAsia="en-IN"/>
        </w:rPr>
        <w:t xml:space="preserve">Vegetation plays a fundamental role in the habitat selection of sloth bears, influencing not only their distribution and movement but also their foraging </w:t>
      </w:r>
      <w:r w:rsidR="00AF6808" w:rsidRPr="005D01D1">
        <w:rPr>
          <w:rFonts w:ascii="Arial" w:eastAsia="Times New Roman" w:hAnsi="Arial" w:cs="Arial"/>
          <w:color w:val="000000" w:themeColor="text1"/>
          <w:sz w:val="20"/>
          <w:lang w:eastAsia="en-IN"/>
        </w:rPr>
        <w:t>behaviours</w:t>
      </w:r>
      <w:r w:rsidRPr="005D01D1">
        <w:rPr>
          <w:rFonts w:ascii="Arial" w:eastAsia="Times New Roman" w:hAnsi="Arial" w:cs="Arial"/>
          <w:color w:val="000000" w:themeColor="text1"/>
          <w:sz w:val="20"/>
          <w:lang w:eastAsia="en-IN"/>
        </w:rPr>
        <w:t xml:space="preserve">, denning, and overall ecological fitness. As primarily insectivorous and frugivorous mammals, sloth bears rely on forested landscapes rich in termite mounds, ant colonies, and seasonal fruits, which are largely dictated by the type and structure of vegetation present. Studies across various Indian landscapes have shown that sloth bears </w:t>
      </w:r>
      <w:r w:rsidR="00AF6808" w:rsidRPr="005D01D1">
        <w:rPr>
          <w:rFonts w:ascii="Arial" w:eastAsia="Times New Roman" w:hAnsi="Arial" w:cs="Arial"/>
          <w:color w:val="000000" w:themeColor="text1"/>
          <w:sz w:val="20"/>
          <w:lang w:eastAsia="en-IN"/>
        </w:rPr>
        <w:t>favour</w:t>
      </w:r>
      <w:r w:rsidRPr="005D01D1">
        <w:rPr>
          <w:rFonts w:ascii="Arial" w:eastAsia="Times New Roman" w:hAnsi="Arial" w:cs="Arial"/>
          <w:color w:val="000000" w:themeColor="text1"/>
          <w:sz w:val="20"/>
          <w:lang w:eastAsia="en-IN"/>
        </w:rPr>
        <w:t xml:space="preserve"> forest habitats with dense undergrowth and a high diversity of fruiting plant species. In particular, deciduous and mixed forests provide critical food resources and shelter from predators and human disturbances (Ramesh et al., 2012). Habitat suitability models confirm that areas with substantial vegetative cover and minimal fragmentation are more likely to support stable sloth bear populations (Rather et al., 2021). In regions such as Chitwan National Park, Nepal, habitat preference studies revealed that sloth bears selectively use areas with high canopy cover and undergrowth, where food </w:t>
      </w:r>
      <w:r w:rsidRPr="005D01D1">
        <w:rPr>
          <w:rFonts w:ascii="Arial" w:eastAsia="Times New Roman" w:hAnsi="Arial" w:cs="Arial"/>
          <w:color w:val="000000" w:themeColor="text1"/>
          <w:sz w:val="20"/>
          <w:lang w:eastAsia="en-IN"/>
        </w:rPr>
        <w:lastRenderedPageBreak/>
        <w:t>availability and cover coincide (Ghimire &amp; Thapa, 2014). Similarly, in Panna National Park, India, radio telemetry studies found that bears showed a clear preference for areas rich in fruiting trees, which were closely tied to specific vegetative patterns (Yoganand &amp; Rice, 2005).</w:t>
      </w:r>
      <w:r w:rsidR="00C462A7" w:rsidRPr="005D01D1">
        <w:rPr>
          <w:rFonts w:ascii="Arial" w:eastAsia="Times New Roman" w:hAnsi="Arial" w:cs="Arial"/>
          <w:color w:val="000000" w:themeColor="text1"/>
          <w:sz w:val="20"/>
          <w:lang w:eastAsia="en-IN"/>
        </w:rPr>
        <w:t xml:space="preserve"> </w:t>
      </w:r>
      <w:r w:rsidRPr="005D01D1">
        <w:rPr>
          <w:rFonts w:ascii="Arial" w:eastAsia="Times New Roman" w:hAnsi="Arial" w:cs="Arial"/>
          <w:color w:val="000000" w:themeColor="text1"/>
          <w:sz w:val="20"/>
          <w:lang w:eastAsia="en-IN"/>
        </w:rPr>
        <w:t>Beyond food, vegetation structure provides essential cover for resting and denning. Forest heterogeneity, including the presence of bamboo, fruiting shrubs, and tree cavities, enhances habitat suitability and influences home range configurations (Akhtar et al., 2004).</w:t>
      </w:r>
      <w:r w:rsidR="00C462A7" w:rsidRPr="005D01D1">
        <w:rPr>
          <w:rFonts w:ascii="Arial" w:eastAsia="Times New Roman" w:hAnsi="Arial" w:cs="Arial"/>
          <w:color w:val="000000" w:themeColor="text1"/>
          <w:sz w:val="20"/>
          <w:lang w:eastAsia="en-IN"/>
        </w:rPr>
        <w:t xml:space="preserve"> </w:t>
      </w:r>
    </w:p>
    <w:p w14:paraId="0A281524" w14:textId="77777777" w:rsidR="004E1E57" w:rsidRPr="005D01D1" w:rsidRDefault="00C462A7" w:rsidP="005D01D1">
      <w:pPr>
        <w:spacing w:line="240" w:lineRule="auto"/>
        <w:jc w:val="both"/>
        <w:rPr>
          <w:rFonts w:ascii="Arial" w:hAnsi="Arial" w:cs="Arial"/>
          <w:sz w:val="20"/>
        </w:rPr>
      </w:pPr>
      <w:r w:rsidRPr="005D01D1">
        <w:rPr>
          <w:rFonts w:ascii="Arial" w:hAnsi="Arial" w:cs="Arial"/>
          <w:sz w:val="20"/>
        </w:rPr>
        <w:t xml:space="preserve">The primary objective of this review is to synthesize existing research on the ecological requirements and habitat selection behaviour of the sloth bear, with a specific focus on the role of vegetation. Vegetation characteristics such as canopy density, species diversity, and ground cover are vital determinants in shaping the spatial distribution and habitat preferences of sloth bears. As these animals depend heavily on natural food sources like fruits, termites, and ants, their habitat use is closely tied to the presence and abundance of such resources, which in turn are governed by vegetation type and structure. This review also aims to explore how sloth bears interact with their environment across different landscapes, including protected forests and </w:t>
      </w:r>
      <w:r w:rsidR="00AF6808" w:rsidRPr="005D01D1">
        <w:rPr>
          <w:rFonts w:ascii="Arial" w:hAnsi="Arial" w:cs="Arial"/>
          <w:sz w:val="20"/>
        </w:rPr>
        <w:t xml:space="preserve">anthropogenic </w:t>
      </w:r>
      <w:r w:rsidRPr="005D01D1">
        <w:rPr>
          <w:rFonts w:ascii="Arial" w:hAnsi="Arial" w:cs="Arial"/>
          <w:sz w:val="20"/>
        </w:rPr>
        <w:t xml:space="preserve">altered zones, and how vegetation influences their foraging </w:t>
      </w:r>
      <w:r w:rsidR="00AF6808" w:rsidRPr="005D01D1">
        <w:rPr>
          <w:rFonts w:ascii="Arial" w:hAnsi="Arial" w:cs="Arial"/>
          <w:sz w:val="20"/>
        </w:rPr>
        <w:t>behaviours</w:t>
      </w:r>
      <w:r w:rsidRPr="005D01D1">
        <w:rPr>
          <w:rFonts w:ascii="Arial" w:hAnsi="Arial" w:cs="Arial"/>
          <w:sz w:val="20"/>
        </w:rPr>
        <w:t>, denning sites, and movement patterns. Furthe</w:t>
      </w:r>
      <w:r w:rsidR="00535565" w:rsidRPr="005D01D1">
        <w:rPr>
          <w:rFonts w:ascii="Arial" w:hAnsi="Arial" w:cs="Arial"/>
          <w:sz w:val="20"/>
        </w:rPr>
        <w:t>r</w:t>
      </w:r>
      <w:r w:rsidRPr="005D01D1">
        <w:rPr>
          <w:rFonts w:ascii="Arial" w:hAnsi="Arial" w:cs="Arial"/>
          <w:sz w:val="20"/>
        </w:rPr>
        <w:t>, it seeks to identify gaps in current ecological knowledge that hinder effective conservation planning, particularly in the context of increasing habitat fragmentation and human-wildlife conflicts. The findings from various ecological studies, this review provides a comprehensive understanding of the role vegetation plays in the life history of sloth bears, serving as a critical reference for conservation biologists, wildlife managers, and policymakers involved in habitat management and species preservation.</w:t>
      </w:r>
    </w:p>
    <w:p w14:paraId="3EBFB4FC" w14:textId="77777777" w:rsidR="00535565" w:rsidRPr="005D01D1" w:rsidRDefault="005D01D1" w:rsidP="005D01D1">
      <w:pPr>
        <w:pStyle w:val="Heading1"/>
        <w:numPr>
          <w:ilvl w:val="0"/>
          <w:numId w:val="2"/>
        </w:numPr>
        <w:spacing w:before="0" w:after="160" w:line="240" w:lineRule="auto"/>
        <w:ind w:left="567" w:hanging="567"/>
        <w:rPr>
          <w:rFonts w:ascii="Arial" w:hAnsi="Arial" w:cs="Arial"/>
          <w:b/>
          <w:bCs/>
          <w:color w:val="000000" w:themeColor="text1"/>
          <w:sz w:val="22"/>
          <w:szCs w:val="22"/>
        </w:rPr>
      </w:pPr>
      <w:r w:rsidRPr="005D01D1">
        <w:rPr>
          <w:rFonts w:ascii="Arial" w:hAnsi="Arial" w:cs="Arial"/>
          <w:b/>
          <w:bCs/>
          <w:color w:val="000000" w:themeColor="text1"/>
          <w:sz w:val="22"/>
          <w:szCs w:val="22"/>
        </w:rPr>
        <w:t>METHODOLOGY</w:t>
      </w:r>
    </w:p>
    <w:p w14:paraId="5B8EF625" w14:textId="77777777" w:rsidR="00535565" w:rsidRPr="005D01D1" w:rsidRDefault="00AF6808" w:rsidP="005D01D1">
      <w:pPr>
        <w:spacing w:line="240" w:lineRule="auto"/>
        <w:jc w:val="both"/>
        <w:rPr>
          <w:rFonts w:ascii="Arial" w:hAnsi="Arial" w:cs="Arial"/>
          <w:sz w:val="20"/>
        </w:rPr>
      </w:pPr>
      <w:r w:rsidRPr="005D01D1">
        <w:rPr>
          <w:rFonts w:ascii="Arial" w:hAnsi="Arial" w:cs="Arial"/>
          <w:sz w:val="20"/>
        </w:rPr>
        <w:t>We</w:t>
      </w:r>
      <w:r w:rsidR="00535565" w:rsidRPr="005D01D1">
        <w:rPr>
          <w:rFonts w:ascii="Arial" w:hAnsi="Arial" w:cs="Arial"/>
          <w:sz w:val="20"/>
        </w:rPr>
        <w:t xml:space="preserve"> adopted a systematic approach to identify, screen, and synthesize existing review literature focusing on sloth bear habitat selection, with an emphasis on vegetation characteristics. The goal was to consolidate findings from peer-reviewed articles and ecological assessments that employed empirical methods or analytical models.</w:t>
      </w:r>
    </w:p>
    <w:p w14:paraId="1685D80A" w14:textId="77777777" w:rsidR="00535565" w:rsidRPr="005D01D1" w:rsidRDefault="00535565"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D01D1">
        <w:rPr>
          <w:rFonts w:ascii="Arial" w:hAnsi="Arial" w:cs="Arial"/>
          <w:b/>
          <w:bCs/>
          <w:color w:val="000000" w:themeColor="text1"/>
          <w:sz w:val="22"/>
          <w:szCs w:val="22"/>
        </w:rPr>
        <w:t>Literature Search Strategy</w:t>
      </w:r>
    </w:p>
    <w:p w14:paraId="27BDAF02" w14:textId="77777777" w:rsidR="005D01D1" w:rsidRPr="005D01D1" w:rsidRDefault="00535565" w:rsidP="005D01D1">
      <w:pPr>
        <w:spacing w:line="240" w:lineRule="auto"/>
        <w:jc w:val="both"/>
        <w:rPr>
          <w:rFonts w:ascii="Arial" w:hAnsi="Arial" w:cs="Arial"/>
          <w:sz w:val="20"/>
        </w:rPr>
      </w:pPr>
      <w:r w:rsidRPr="005D01D1">
        <w:rPr>
          <w:rFonts w:ascii="Arial" w:hAnsi="Arial" w:cs="Arial"/>
          <w:sz w:val="20"/>
        </w:rPr>
        <w:t>Relevant studies were retrieved from scientific databases including Google Sch</w:t>
      </w:r>
      <w:r w:rsidR="00D47BD0" w:rsidRPr="005D01D1">
        <w:rPr>
          <w:rFonts w:ascii="Arial" w:hAnsi="Arial" w:cs="Arial"/>
          <w:sz w:val="20"/>
        </w:rPr>
        <w:t xml:space="preserve">olar, PubMed, SpringerLink, </w:t>
      </w:r>
      <w:r w:rsidRPr="005D01D1">
        <w:rPr>
          <w:rFonts w:ascii="Arial" w:hAnsi="Arial" w:cs="Arial"/>
          <w:sz w:val="20"/>
        </w:rPr>
        <w:t>ResearchGate</w:t>
      </w:r>
      <w:r w:rsidR="00D47BD0" w:rsidRPr="005D01D1">
        <w:rPr>
          <w:rFonts w:ascii="Arial" w:hAnsi="Arial" w:cs="Arial"/>
          <w:sz w:val="20"/>
        </w:rPr>
        <w:t xml:space="preserve">, </w:t>
      </w:r>
      <w:commentRangeStart w:id="1"/>
      <w:r w:rsidR="00D47BD0" w:rsidRPr="005D01D1">
        <w:rPr>
          <w:rFonts w:ascii="Arial" w:hAnsi="Arial" w:cs="Arial"/>
          <w:sz w:val="20"/>
        </w:rPr>
        <w:t xml:space="preserve">etc. </w:t>
      </w:r>
      <w:r w:rsidRPr="005D01D1">
        <w:rPr>
          <w:rFonts w:ascii="Arial" w:hAnsi="Arial" w:cs="Arial"/>
          <w:sz w:val="20"/>
        </w:rPr>
        <w:t xml:space="preserve"> </w:t>
      </w:r>
      <w:commentRangeEnd w:id="1"/>
      <w:r w:rsidR="00250A5D">
        <w:rPr>
          <w:rStyle w:val="CommentReference"/>
        </w:rPr>
        <w:commentReference w:id="1"/>
      </w:r>
      <w:r w:rsidRPr="005D01D1">
        <w:rPr>
          <w:rFonts w:ascii="Arial" w:hAnsi="Arial" w:cs="Arial"/>
          <w:sz w:val="20"/>
        </w:rPr>
        <w:t>Keywords used for search included: “sloth bear,” “habitat selection,” “vegetation,” “habitat suitability,” and “ecological review.”</w:t>
      </w:r>
    </w:p>
    <w:p w14:paraId="32EF9C1F" w14:textId="77777777" w:rsidR="00535565" w:rsidRPr="0051502E" w:rsidRDefault="00535565"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Inclusion Criteria</w:t>
      </w:r>
    </w:p>
    <w:p w14:paraId="2D45142D" w14:textId="77777777" w:rsidR="00535565" w:rsidRPr="005D01D1" w:rsidRDefault="00535565" w:rsidP="005D01D1">
      <w:pPr>
        <w:spacing w:line="240" w:lineRule="auto"/>
        <w:jc w:val="both"/>
        <w:rPr>
          <w:rFonts w:ascii="Arial" w:hAnsi="Arial" w:cs="Arial"/>
          <w:sz w:val="20"/>
        </w:rPr>
      </w:pPr>
      <w:r w:rsidRPr="005D01D1">
        <w:rPr>
          <w:rFonts w:ascii="Arial" w:hAnsi="Arial" w:cs="Arial"/>
          <w:sz w:val="20"/>
        </w:rPr>
        <w:t>Studies were included based on the following criteria:</w:t>
      </w:r>
    </w:p>
    <w:p w14:paraId="4E23BDB1" w14:textId="77777777" w:rsidR="00535565" w:rsidRPr="005D01D1" w:rsidRDefault="00535565" w:rsidP="005D01D1">
      <w:pPr>
        <w:pStyle w:val="ListParagraph"/>
        <w:numPr>
          <w:ilvl w:val="0"/>
          <w:numId w:val="1"/>
        </w:numPr>
        <w:spacing w:line="240" w:lineRule="auto"/>
        <w:jc w:val="both"/>
        <w:rPr>
          <w:rFonts w:ascii="Arial" w:hAnsi="Arial" w:cs="Arial"/>
          <w:sz w:val="20"/>
        </w:rPr>
      </w:pPr>
      <w:r w:rsidRPr="005D01D1">
        <w:rPr>
          <w:rFonts w:ascii="Arial" w:hAnsi="Arial" w:cs="Arial"/>
          <w:sz w:val="20"/>
        </w:rPr>
        <w:t xml:space="preserve">Focused on habitat selection or suitability </w:t>
      </w:r>
      <w:r w:rsidR="00AF6808" w:rsidRPr="005D01D1">
        <w:rPr>
          <w:rFonts w:ascii="Arial" w:hAnsi="Arial" w:cs="Arial"/>
          <w:sz w:val="20"/>
        </w:rPr>
        <w:t>modelling</w:t>
      </w:r>
      <w:r w:rsidRPr="005D01D1">
        <w:rPr>
          <w:rFonts w:ascii="Arial" w:hAnsi="Arial" w:cs="Arial"/>
          <w:sz w:val="20"/>
        </w:rPr>
        <w:t xml:space="preserve"> of sloth bears.</w:t>
      </w:r>
    </w:p>
    <w:p w14:paraId="4C3103BF" w14:textId="77777777" w:rsidR="00535565" w:rsidRPr="005D01D1" w:rsidRDefault="00535565" w:rsidP="005D01D1">
      <w:pPr>
        <w:pStyle w:val="ListParagraph"/>
        <w:numPr>
          <w:ilvl w:val="0"/>
          <w:numId w:val="1"/>
        </w:numPr>
        <w:spacing w:line="240" w:lineRule="auto"/>
        <w:jc w:val="both"/>
        <w:rPr>
          <w:rFonts w:ascii="Arial" w:hAnsi="Arial" w:cs="Arial"/>
          <w:sz w:val="20"/>
        </w:rPr>
      </w:pPr>
      <w:r w:rsidRPr="005D01D1">
        <w:rPr>
          <w:rFonts w:ascii="Arial" w:hAnsi="Arial" w:cs="Arial"/>
          <w:sz w:val="20"/>
        </w:rPr>
        <w:t>Highlighted vegetation characteristics or landscape features.</w:t>
      </w:r>
    </w:p>
    <w:p w14:paraId="0F698511" w14:textId="77777777" w:rsidR="00535565" w:rsidRPr="005D01D1" w:rsidRDefault="00535565" w:rsidP="005D01D1">
      <w:pPr>
        <w:pStyle w:val="ListParagraph"/>
        <w:numPr>
          <w:ilvl w:val="0"/>
          <w:numId w:val="1"/>
        </w:numPr>
        <w:spacing w:line="240" w:lineRule="auto"/>
        <w:jc w:val="both"/>
        <w:rPr>
          <w:rFonts w:ascii="Arial" w:hAnsi="Arial" w:cs="Arial"/>
          <w:sz w:val="20"/>
        </w:rPr>
      </w:pPr>
      <w:r w:rsidRPr="005D01D1">
        <w:rPr>
          <w:rFonts w:ascii="Arial" w:hAnsi="Arial" w:cs="Arial"/>
          <w:sz w:val="20"/>
        </w:rPr>
        <w:t>Published in English in peer-reviewed journals or recognized reports between 2000-2024.</w:t>
      </w:r>
    </w:p>
    <w:p w14:paraId="5E228603" w14:textId="77777777" w:rsidR="00535565" w:rsidRPr="005D01D1" w:rsidRDefault="00535565" w:rsidP="005D01D1">
      <w:pPr>
        <w:pStyle w:val="ListParagraph"/>
        <w:numPr>
          <w:ilvl w:val="0"/>
          <w:numId w:val="1"/>
        </w:numPr>
        <w:spacing w:line="240" w:lineRule="auto"/>
        <w:jc w:val="both"/>
        <w:rPr>
          <w:rFonts w:ascii="Arial" w:hAnsi="Arial" w:cs="Arial"/>
          <w:sz w:val="20"/>
        </w:rPr>
      </w:pPr>
      <w:r w:rsidRPr="005D01D1">
        <w:rPr>
          <w:rFonts w:ascii="Arial" w:hAnsi="Arial" w:cs="Arial"/>
          <w:sz w:val="20"/>
        </w:rPr>
        <w:t>Provided sufficient methodological detail for review extraction.</w:t>
      </w:r>
    </w:p>
    <w:p w14:paraId="6D7BFAB4" w14:textId="77777777" w:rsidR="00535565" w:rsidRPr="0051502E" w:rsidRDefault="00535565"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Data Extraction and Synthesis</w:t>
      </w:r>
    </w:p>
    <w:p w14:paraId="484DAE85" w14:textId="77777777" w:rsidR="00C462A7" w:rsidRPr="005D01D1" w:rsidRDefault="00535565" w:rsidP="005D01D1">
      <w:pPr>
        <w:spacing w:line="240" w:lineRule="auto"/>
        <w:jc w:val="both"/>
        <w:rPr>
          <w:rFonts w:ascii="Arial" w:hAnsi="Arial" w:cs="Arial"/>
          <w:sz w:val="20"/>
        </w:rPr>
      </w:pPr>
      <w:r w:rsidRPr="005D01D1">
        <w:rPr>
          <w:rFonts w:ascii="Arial" w:hAnsi="Arial" w:cs="Arial"/>
          <w:sz w:val="20"/>
        </w:rPr>
        <w:t xml:space="preserve">Key themes extracted from each study included vegetation types (canopy cover, species richness), </w:t>
      </w:r>
      <w:r w:rsidR="00AF6808" w:rsidRPr="005D01D1">
        <w:rPr>
          <w:rFonts w:ascii="Arial" w:hAnsi="Arial" w:cs="Arial"/>
          <w:sz w:val="20"/>
        </w:rPr>
        <w:t xml:space="preserve">feeding ecology, </w:t>
      </w:r>
      <w:r w:rsidRPr="005D01D1">
        <w:rPr>
          <w:rFonts w:ascii="Arial" w:hAnsi="Arial" w:cs="Arial"/>
          <w:sz w:val="20"/>
        </w:rPr>
        <w:t>scale of habitat analysis (landscape vs microhabitat), data collection methods (e.g., remote sensing, telemetry</w:t>
      </w:r>
      <w:r w:rsidR="00AF6808" w:rsidRPr="005D01D1">
        <w:rPr>
          <w:rFonts w:ascii="Arial" w:hAnsi="Arial" w:cs="Arial"/>
          <w:sz w:val="20"/>
        </w:rPr>
        <w:t>), and main ecological findings</w:t>
      </w:r>
      <w:r w:rsidRPr="005D01D1">
        <w:rPr>
          <w:rFonts w:ascii="Arial" w:hAnsi="Arial" w:cs="Arial"/>
          <w:sz w:val="20"/>
        </w:rPr>
        <w:t>.</w:t>
      </w:r>
    </w:p>
    <w:p w14:paraId="672D0A24" w14:textId="77777777" w:rsidR="006A0DA0" w:rsidRPr="0051502E" w:rsidRDefault="0051502E" w:rsidP="005D01D1">
      <w:pPr>
        <w:pStyle w:val="Heading1"/>
        <w:numPr>
          <w:ilvl w:val="0"/>
          <w:numId w:val="2"/>
        </w:numPr>
        <w:tabs>
          <w:tab w:val="left" w:pos="0"/>
        </w:tabs>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RESULTS AND DISCUSSIONS</w:t>
      </w:r>
    </w:p>
    <w:p w14:paraId="45EB0183" w14:textId="77777777" w:rsidR="00CB219C" w:rsidRPr="0051502E" w:rsidRDefault="00CB219C"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 xml:space="preserve">Sloth Bear Ecology </w:t>
      </w:r>
    </w:p>
    <w:p w14:paraId="63A5D0C9" w14:textId="77777777" w:rsidR="00CB219C" w:rsidRPr="0051502E" w:rsidRDefault="00CB219C"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Distribution and Major Habitat Types</w:t>
      </w:r>
    </w:p>
    <w:p w14:paraId="6B4792D2"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 xml:space="preserve">Sloth bears are primarily distributed across the Indian subcontinent, with over 90% of the population residing in India. Their range is constrained by geographic barriers such as the Himalayas to the north, deserts to the northwest, and the ocean to the south. Historically widespread across the Indian Peninsula, their distribution is now highly fragmented due to habitat degradation and human conflict, and is limited to five major regions: northern, </w:t>
      </w:r>
      <w:r w:rsidR="00AF6808" w:rsidRPr="005D01D1">
        <w:rPr>
          <w:rFonts w:ascii="Arial" w:hAnsi="Arial" w:cs="Arial"/>
          <w:sz w:val="20"/>
        </w:rPr>
        <w:t>north-eastern</w:t>
      </w:r>
      <w:r w:rsidRPr="005D01D1">
        <w:rPr>
          <w:rFonts w:ascii="Arial" w:hAnsi="Arial" w:cs="Arial"/>
          <w:sz w:val="20"/>
        </w:rPr>
        <w:t xml:space="preserve">, central, </w:t>
      </w:r>
      <w:r w:rsidR="00AF6808" w:rsidRPr="005D01D1">
        <w:rPr>
          <w:rFonts w:ascii="Arial" w:hAnsi="Arial" w:cs="Arial"/>
          <w:sz w:val="20"/>
        </w:rPr>
        <w:t>south-eastern</w:t>
      </w:r>
      <w:r w:rsidRPr="005D01D1">
        <w:rPr>
          <w:rFonts w:ascii="Arial" w:hAnsi="Arial" w:cs="Arial"/>
          <w:sz w:val="20"/>
        </w:rPr>
        <w:t xml:space="preserve">, and </w:t>
      </w:r>
      <w:r w:rsidR="00AF6808" w:rsidRPr="005D01D1">
        <w:rPr>
          <w:rFonts w:ascii="Arial" w:hAnsi="Arial" w:cs="Arial"/>
          <w:sz w:val="20"/>
        </w:rPr>
        <w:t>south western</w:t>
      </w:r>
      <w:r w:rsidRPr="005D01D1">
        <w:rPr>
          <w:rFonts w:ascii="Arial" w:hAnsi="Arial" w:cs="Arial"/>
          <w:sz w:val="20"/>
        </w:rPr>
        <w:t xml:space="preserve"> India (Garshelis et al., 1999a; Yoganand et al., 2006). In India, the northern region includes Uttarakhand, western Uttar Pradesh, and parts of Bihar. The </w:t>
      </w:r>
      <w:r w:rsidR="00AF6808" w:rsidRPr="005D01D1">
        <w:rPr>
          <w:rFonts w:ascii="Arial" w:hAnsi="Arial" w:cs="Arial"/>
          <w:sz w:val="20"/>
        </w:rPr>
        <w:t>north-eastern</w:t>
      </w:r>
      <w:r w:rsidRPr="005D01D1">
        <w:rPr>
          <w:rFonts w:ascii="Arial" w:hAnsi="Arial" w:cs="Arial"/>
          <w:sz w:val="20"/>
        </w:rPr>
        <w:t xml:space="preserve"> distribution, though poorly documented, spans Assam, Manipur, Meghalaya, and Arunachal Pradesh. The central zone, the largest, includes Madhya Pradesh, Chhattisgarh, Odisha, Andhra Pradesh, and Jharkhand. The </w:t>
      </w:r>
      <w:r w:rsidR="00AF6808" w:rsidRPr="005D01D1">
        <w:rPr>
          <w:rFonts w:ascii="Arial" w:hAnsi="Arial" w:cs="Arial"/>
          <w:sz w:val="20"/>
        </w:rPr>
        <w:t>south-eastern</w:t>
      </w:r>
      <w:r w:rsidRPr="005D01D1">
        <w:rPr>
          <w:rFonts w:ascii="Arial" w:hAnsi="Arial" w:cs="Arial"/>
          <w:sz w:val="20"/>
        </w:rPr>
        <w:t xml:space="preserve"> and </w:t>
      </w:r>
      <w:r w:rsidR="00AF6808" w:rsidRPr="005D01D1">
        <w:rPr>
          <w:rFonts w:ascii="Arial" w:hAnsi="Arial" w:cs="Arial"/>
          <w:sz w:val="20"/>
        </w:rPr>
        <w:t>south western</w:t>
      </w:r>
      <w:r w:rsidRPr="005D01D1">
        <w:rPr>
          <w:rFonts w:ascii="Arial" w:hAnsi="Arial" w:cs="Arial"/>
          <w:sz w:val="20"/>
        </w:rPr>
        <w:t xml:space="preserve"> regions correspond to the Eastern and Western Ghats, respectively, with </w:t>
      </w:r>
      <w:r w:rsidRPr="005D01D1">
        <w:rPr>
          <w:rFonts w:ascii="Arial" w:hAnsi="Arial" w:cs="Arial"/>
          <w:sz w:val="20"/>
        </w:rPr>
        <w:lastRenderedPageBreak/>
        <w:t>populations in Karnataka, Kerala, Tamil Nadu, and extending into Gujarat and Rajasthan (</w:t>
      </w:r>
      <w:proofErr w:type="spellStart"/>
      <w:r w:rsidRPr="005D01D1">
        <w:rPr>
          <w:rFonts w:ascii="Arial" w:hAnsi="Arial" w:cs="Arial"/>
          <w:sz w:val="20"/>
        </w:rPr>
        <w:t>Johnsingh</w:t>
      </w:r>
      <w:proofErr w:type="spellEnd"/>
      <w:r w:rsidRPr="005D01D1">
        <w:rPr>
          <w:rFonts w:ascii="Arial" w:hAnsi="Arial" w:cs="Arial"/>
          <w:sz w:val="20"/>
        </w:rPr>
        <w:t xml:space="preserve">, 2003; </w:t>
      </w:r>
      <w:proofErr w:type="spellStart"/>
      <w:r w:rsidRPr="005D01D1">
        <w:rPr>
          <w:rFonts w:ascii="Arial" w:hAnsi="Arial" w:cs="Arial"/>
          <w:sz w:val="20"/>
        </w:rPr>
        <w:t>Bargali</w:t>
      </w:r>
      <w:proofErr w:type="spellEnd"/>
      <w:r w:rsidRPr="005D01D1">
        <w:rPr>
          <w:rFonts w:ascii="Arial" w:hAnsi="Arial" w:cs="Arial"/>
          <w:sz w:val="20"/>
        </w:rPr>
        <w:t>, 2012).</w:t>
      </w:r>
    </w:p>
    <w:p w14:paraId="33D88065"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 xml:space="preserve">In Nepal, sloth bears are primarily found in the lowland Terai grassland–forest mosaics and lower Siwalik hills, with recent recolonization evidence in </w:t>
      </w:r>
      <w:proofErr w:type="spellStart"/>
      <w:r w:rsidRPr="005D01D1">
        <w:rPr>
          <w:rFonts w:ascii="Arial" w:hAnsi="Arial" w:cs="Arial"/>
          <w:sz w:val="20"/>
        </w:rPr>
        <w:t>Suklaphanta</w:t>
      </w:r>
      <w:proofErr w:type="spellEnd"/>
      <w:r w:rsidRPr="005D01D1">
        <w:rPr>
          <w:rFonts w:ascii="Arial" w:hAnsi="Arial" w:cs="Arial"/>
          <w:sz w:val="20"/>
        </w:rPr>
        <w:t xml:space="preserve"> Wildlife Reserve from adjacent Indian populations (</w:t>
      </w:r>
      <w:proofErr w:type="spellStart"/>
      <w:r w:rsidRPr="005D01D1">
        <w:rPr>
          <w:rFonts w:ascii="Arial" w:hAnsi="Arial" w:cs="Arial"/>
          <w:sz w:val="20"/>
        </w:rPr>
        <w:t>Lamichane</w:t>
      </w:r>
      <w:proofErr w:type="spellEnd"/>
      <w:r w:rsidRPr="005D01D1">
        <w:rPr>
          <w:rFonts w:ascii="Arial" w:hAnsi="Arial" w:cs="Arial"/>
          <w:sz w:val="20"/>
        </w:rPr>
        <w:t>, 2015; Sathyakumar et al., 2012).</w:t>
      </w:r>
    </w:p>
    <w:p w14:paraId="13C27125"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Bangladesh has seen local extinction of sloth bears due to massive habitat loss, with the last verified sightings in the mid-1990s (Sarker, 2006).</w:t>
      </w:r>
    </w:p>
    <w:p w14:paraId="257B52BD"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In Bhutan, their presence remains highly doubtful. While early maps suggested a wider range, recent evidence confirms only one verified photo near the Indian border, likely of a transient bear (Garshelis et al., 2015).</w:t>
      </w:r>
    </w:p>
    <w:p w14:paraId="0721DC47"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The Sri Lankan subspecies occupies the northern and eastern dry forests of the island, covering about 17% of the land. Although connectivity among populations is relatively intact, civil conflict in these regions has left conservation impacts largely undocumented (</w:t>
      </w:r>
      <w:proofErr w:type="spellStart"/>
      <w:r w:rsidRPr="005D01D1">
        <w:rPr>
          <w:rFonts w:ascii="Arial" w:hAnsi="Arial" w:cs="Arial"/>
          <w:sz w:val="20"/>
        </w:rPr>
        <w:t>Ratnayeke</w:t>
      </w:r>
      <w:proofErr w:type="spellEnd"/>
      <w:r w:rsidRPr="005D01D1">
        <w:rPr>
          <w:rFonts w:ascii="Arial" w:hAnsi="Arial" w:cs="Arial"/>
          <w:sz w:val="20"/>
        </w:rPr>
        <w:t xml:space="preserve"> et al., 2007).</w:t>
      </w:r>
    </w:p>
    <w:p w14:paraId="390C4B70" w14:textId="77777777" w:rsidR="003E26DA" w:rsidRPr="005D01D1" w:rsidRDefault="0051502E" w:rsidP="005D01D1">
      <w:pPr>
        <w:spacing w:line="240" w:lineRule="auto"/>
        <w:jc w:val="both"/>
        <w:rPr>
          <w:rFonts w:ascii="Arial" w:hAnsi="Arial" w:cs="Arial"/>
          <w:sz w:val="20"/>
        </w:rPr>
      </w:pPr>
      <w:r w:rsidRPr="005D01D1">
        <w:rPr>
          <w:rFonts w:ascii="Arial" w:hAnsi="Arial" w:cs="Arial"/>
          <w:noProof/>
          <w:sz w:val="20"/>
          <w:lang w:eastAsia="en-IN"/>
        </w:rPr>
        <w:drawing>
          <wp:anchor distT="0" distB="0" distL="114300" distR="114300" simplePos="0" relativeHeight="251658240" behindDoc="1" locked="0" layoutInCell="1" allowOverlap="1" wp14:anchorId="2F6BC9FC" wp14:editId="553095B9">
            <wp:simplePos x="0" y="0"/>
            <wp:positionH relativeFrom="margin">
              <wp:posOffset>570230</wp:posOffset>
            </wp:positionH>
            <wp:positionV relativeFrom="margin">
              <wp:posOffset>3368675</wp:posOffset>
            </wp:positionV>
            <wp:extent cx="4660900" cy="5321300"/>
            <wp:effectExtent l="19050" t="19050" r="254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RIBUTION MA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0900" cy="532130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27B6D1A5" w14:textId="77777777" w:rsidR="003E26DA" w:rsidRPr="005D01D1" w:rsidRDefault="003E26DA" w:rsidP="005D01D1">
      <w:pPr>
        <w:spacing w:line="240" w:lineRule="auto"/>
        <w:rPr>
          <w:rFonts w:ascii="Arial" w:hAnsi="Arial" w:cs="Arial"/>
          <w:sz w:val="20"/>
        </w:rPr>
      </w:pPr>
    </w:p>
    <w:p w14:paraId="2B956522" w14:textId="77777777" w:rsidR="003E26DA" w:rsidRPr="005D01D1" w:rsidRDefault="003E26DA" w:rsidP="005D01D1">
      <w:pPr>
        <w:spacing w:line="240" w:lineRule="auto"/>
        <w:rPr>
          <w:rFonts w:ascii="Arial" w:hAnsi="Arial" w:cs="Arial"/>
          <w:sz w:val="20"/>
        </w:rPr>
      </w:pPr>
    </w:p>
    <w:p w14:paraId="1D559A0D" w14:textId="77777777" w:rsidR="003E26DA" w:rsidRPr="005D01D1" w:rsidRDefault="003E26DA" w:rsidP="005D01D1">
      <w:pPr>
        <w:spacing w:line="240" w:lineRule="auto"/>
        <w:rPr>
          <w:rFonts w:ascii="Arial" w:hAnsi="Arial" w:cs="Arial"/>
          <w:sz w:val="20"/>
        </w:rPr>
      </w:pPr>
    </w:p>
    <w:p w14:paraId="7803B03F" w14:textId="77777777" w:rsidR="003E26DA" w:rsidRPr="005D01D1" w:rsidRDefault="003E26DA" w:rsidP="005D01D1">
      <w:pPr>
        <w:spacing w:line="240" w:lineRule="auto"/>
        <w:rPr>
          <w:rFonts w:ascii="Arial" w:hAnsi="Arial" w:cs="Arial"/>
          <w:sz w:val="20"/>
        </w:rPr>
      </w:pPr>
    </w:p>
    <w:p w14:paraId="408D64B0" w14:textId="77777777" w:rsidR="003E26DA" w:rsidRPr="005D01D1" w:rsidRDefault="003E26DA" w:rsidP="005D01D1">
      <w:pPr>
        <w:spacing w:line="240" w:lineRule="auto"/>
        <w:rPr>
          <w:rFonts w:ascii="Arial" w:hAnsi="Arial" w:cs="Arial"/>
          <w:sz w:val="20"/>
        </w:rPr>
      </w:pPr>
    </w:p>
    <w:p w14:paraId="0B5C7AE6" w14:textId="77777777" w:rsidR="003E26DA" w:rsidRPr="005D01D1" w:rsidRDefault="003E26DA" w:rsidP="005D01D1">
      <w:pPr>
        <w:spacing w:line="240" w:lineRule="auto"/>
        <w:rPr>
          <w:rFonts w:ascii="Arial" w:hAnsi="Arial" w:cs="Arial"/>
          <w:sz w:val="20"/>
        </w:rPr>
      </w:pPr>
    </w:p>
    <w:p w14:paraId="75E37D8D" w14:textId="77777777" w:rsidR="003E26DA" w:rsidRPr="005D01D1" w:rsidRDefault="003E26DA" w:rsidP="005D01D1">
      <w:pPr>
        <w:spacing w:line="240" w:lineRule="auto"/>
        <w:rPr>
          <w:rFonts w:ascii="Arial" w:hAnsi="Arial" w:cs="Arial"/>
          <w:sz w:val="20"/>
        </w:rPr>
      </w:pPr>
    </w:p>
    <w:p w14:paraId="33548CAD" w14:textId="77777777" w:rsidR="003E26DA" w:rsidRPr="005D01D1" w:rsidRDefault="003E26DA" w:rsidP="005D01D1">
      <w:pPr>
        <w:spacing w:line="240" w:lineRule="auto"/>
        <w:rPr>
          <w:rFonts w:ascii="Arial" w:hAnsi="Arial" w:cs="Arial"/>
          <w:sz w:val="20"/>
        </w:rPr>
      </w:pPr>
    </w:p>
    <w:p w14:paraId="4DA58577" w14:textId="77777777" w:rsidR="003E26DA" w:rsidRPr="005D01D1" w:rsidRDefault="003E26DA" w:rsidP="005D01D1">
      <w:pPr>
        <w:spacing w:line="240" w:lineRule="auto"/>
        <w:rPr>
          <w:rFonts w:ascii="Arial" w:hAnsi="Arial" w:cs="Arial"/>
          <w:sz w:val="20"/>
        </w:rPr>
      </w:pPr>
    </w:p>
    <w:p w14:paraId="61FDFE0B" w14:textId="77777777" w:rsidR="003E26DA" w:rsidRPr="005D01D1" w:rsidRDefault="003E26DA" w:rsidP="005D01D1">
      <w:pPr>
        <w:spacing w:line="240" w:lineRule="auto"/>
        <w:rPr>
          <w:rFonts w:ascii="Arial" w:hAnsi="Arial" w:cs="Arial"/>
          <w:sz w:val="20"/>
        </w:rPr>
      </w:pPr>
    </w:p>
    <w:p w14:paraId="6807E7B3" w14:textId="77777777" w:rsidR="003E26DA" w:rsidRPr="005D01D1" w:rsidRDefault="003E26DA" w:rsidP="005D01D1">
      <w:pPr>
        <w:spacing w:line="240" w:lineRule="auto"/>
        <w:rPr>
          <w:rFonts w:ascii="Arial" w:hAnsi="Arial" w:cs="Arial"/>
          <w:sz w:val="20"/>
        </w:rPr>
      </w:pPr>
    </w:p>
    <w:p w14:paraId="1250B9F6" w14:textId="77777777" w:rsidR="003E26DA" w:rsidRPr="005D01D1" w:rsidRDefault="003E26DA" w:rsidP="005D01D1">
      <w:pPr>
        <w:spacing w:line="240" w:lineRule="auto"/>
        <w:rPr>
          <w:rFonts w:ascii="Arial" w:hAnsi="Arial" w:cs="Arial"/>
          <w:sz w:val="20"/>
        </w:rPr>
      </w:pPr>
    </w:p>
    <w:p w14:paraId="3DFAD67A" w14:textId="77777777" w:rsidR="003E26DA" w:rsidRPr="005D01D1" w:rsidRDefault="003E26DA" w:rsidP="005D01D1">
      <w:pPr>
        <w:spacing w:line="240" w:lineRule="auto"/>
        <w:rPr>
          <w:rFonts w:ascii="Arial" w:hAnsi="Arial" w:cs="Arial"/>
          <w:sz w:val="20"/>
        </w:rPr>
      </w:pPr>
    </w:p>
    <w:p w14:paraId="5B02E46E" w14:textId="77777777" w:rsidR="003E26DA" w:rsidRPr="005D01D1" w:rsidRDefault="003E26DA" w:rsidP="005D01D1">
      <w:pPr>
        <w:spacing w:line="240" w:lineRule="auto"/>
        <w:rPr>
          <w:rFonts w:ascii="Arial" w:hAnsi="Arial" w:cs="Arial"/>
          <w:sz w:val="20"/>
        </w:rPr>
      </w:pPr>
    </w:p>
    <w:p w14:paraId="19022F33" w14:textId="77777777" w:rsidR="003E26DA" w:rsidRDefault="003E26DA" w:rsidP="005D01D1">
      <w:pPr>
        <w:spacing w:line="240" w:lineRule="auto"/>
        <w:jc w:val="center"/>
        <w:rPr>
          <w:rFonts w:ascii="Arial" w:hAnsi="Arial" w:cs="Arial"/>
          <w:sz w:val="20"/>
        </w:rPr>
      </w:pPr>
    </w:p>
    <w:p w14:paraId="03D965D6" w14:textId="77777777" w:rsidR="0051502E" w:rsidRDefault="0051502E" w:rsidP="005D01D1">
      <w:pPr>
        <w:spacing w:line="240" w:lineRule="auto"/>
        <w:jc w:val="center"/>
        <w:rPr>
          <w:rFonts w:ascii="Arial" w:hAnsi="Arial" w:cs="Arial"/>
          <w:sz w:val="20"/>
        </w:rPr>
      </w:pPr>
    </w:p>
    <w:p w14:paraId="46247FF5" w14:textId="77777777" w:rsidR="0051502E" w:rsidRDefault="0051502E" w:rsidP="005D01D1">
      <w:pPr>
        <w:spacing w:line="240" w:lineRule="auto"/>
        <w:jc w:val="center"/>
        <w:rPr>
          <w:rFonts w:ascii="Arial" w:hAnsi="Arial" w:cs="Arial"/>
          <w:sz w:val="20"/>
        </w:rPr>
      </w:pPr>
    </w:p>
    <w:p w14:paraId="014DC335" w14:textId="77777777" w:rsidR="0051502E" w:rsidRDefault="0051502E" w:rsidP="005D01D1">
      <w:pPr>
        <w:spacing w:line="240" w:lineRule="auto"/>
        <w:jc w:val="center"/>
        <w:rPr>
          <w:rFonts w:ascii="Arial" w:hAnsi="Arial" w:cs="Arial"/>
          <w:sz w:val="20"/>
        </w:rPr>
      </w:pPr>
    </w:p>
    <w:p w14:paraId="1F467CA2" w14:textId="77777777" w:rsidR="0051502E" w:rsidRDefault="0051502E" w:rsidP="005D01D1">
      <w:pPr>
        <w:spacing w:line="240" w:lineRule="auto"/>
        <w:jc w:val="center"/>
        <w:rPr>
          <w:rFonts w:ascii="Arial" w:hAnsi="Arial" w:cs="Arial"/>
          <w:sz w:val="20"/>
        </w:rPr>
      </w:pPr>
    </w:p>
    <w:p w14:paraId="6E28050D" w14:textId="77777777" w:rsidR="0051502E" w:rsidRDefault="0051502E" w:rsidP="005D01D1">
      <w:pPr>
        <w:spacing w:line="240" w:lineRule="auto"/>
        <w:jc w:val="center"/>
        <w:rPr>
          <w:rFonts w:ascii="Arial" w:hAnsi="Arial" w:cs="Arial"/>
          <w:sz w:val="20"/>
        </w:rPr>
      </w:pPr>
    </w:p>
    <w:p w14:paraId="1056C3E4" w14:textId="77777777" w:rsidR="0051502E" w:rsidRPr="005D01D1" w:rsidRDefault="0051502E" w:rsidP="005D01D1">
      <w:pPr>
        <w:spacing w:line="240" w:lineRule="auto"/>
        <w:jc w:val="center"/>
        <w:rPr>
          <w:rFonts w:ascii="Arial" w:hAnsi="Arial" w:cs="Arial"/>
          <w:sz w:val="20"/>
        </w:rPr>
      </w:pPr>
    </w:p>
    <w:p w14:paraId="1FDFB914" w14:textId="77777777" w:rsidR="00280A96" w:rsidRDefault="00280A96" w:rsidP="0051502E">
      <w:pPr>
        <w:tabs>
          <w:tab w:val="left" w:pos="3770"/>
        </w:tabs>
        <w:spacing w:line="240" w:lineRule="auto"/>
        <w:jc w:val="center"/>
        <w:rPr>
          <w:rFonts w:ascii="Arial" w:hAnsi="Arial" w:cs="Arial"/>
          <w:b/>
          <w:bCs/>
          <w:sz w:val="20"/>
        </w:rPr>
      </w:pPr>
    </w:p>
    <w:p w14:paraId="0174486F" w14:textId="77777777" w:rsidR="00280A96" w:rsidRDefault="00280A96" w:rsidP="0051502E">
      <w:pPr>
        <w:tabs>
          <w:tab w:val="left" w:pos="3770"/>
        </w:tabs>
        <w:spacing w:line="240" w:lineRule="auto"/>
        <w:jc w:val="center"/>
        <w:rPr>
          <w:rFonts w:ascii="Arial" w:hAnsi="Arial" w:cs="Arial"/>
          <w:b/>
          <w:bCs/>
          <w:sz w:val="20"/>
        </w:rPr>
      </w:pPr>
    </w:p>
    <w:p w14:paraId="0724D949" w14:textId="77777777" w:rsidR="00280A96" w:rsidRDefault="00280A96" w:rsidP="0051502E">
      <w:pPr>
        <w:tabs>
          <w:tab w:val="left" w:pos="3770"/>
        </w:tabs>
        <w:spacing w:line="240" w:lineRule="auto"/>
        <w:jc w:val="center"/>
        <w:rPr>
          <w:rFonts w:ascii="Arial" w:hAnsi="Arial" w:cs="Arial"/>
          <w:b/>
          <w:bCs/>
          <w:sz w:val="20"/>
        </w:rPr>
      </w:pPr>
    </w:p>
    <w:p w14:paraId="2AFC4D5F" w14:textId="77777777" w:rsidR="00280A96" w:rsidRDefault="00280A96" w:rsidP="0051502E">
      <w:pPr>
        <w:tabs>
          <w:tab w:val="left" w:pos="3770"/>
        </w:tabs>
        <w:spacing w:line="240" w:lineRule="auto"/>
        <w:jc w:val="center"/>
        <w:rPr>
          <w:rFonts w:ascii="Arial" w:hAnsi="Arial" w:cs="Arial"/>
          <w:b/>
          <w:bCs/>
          <w:sz w:val="20"/>
        </w:rPr>
      </w:pPr>
    </w:p>
    <w:p w14:paraId="70382C19" w14:textId="77777777" w:rsidR="00280A96" w:rsidRDefault="00280A96" w:rsidP="0051502E">
      <w:pPr>
        <w:tabs>
          <w:tab w:val="left" w:pos="3770"/>
        </w:tabs>
        <w:spacing w:line="240" w:lineRule="auto"/>
        <w:jc w:val="center"/>
        <w:rPr>
          <w:rFonts w:ascii="Arial" w:hAnsi="Arial" w:cs="Arial"/>
          <w:b/>
          <w:bCs/>
          <w:sz w:val="20"/>
        </w:rPr>
      </w:pPr>
    </w:p>
    <w:p w14:paraId="5490D7AD" w14:textId="77777777" w:rsidR="00280A96" w:rsidRDefault="00280A96" w:rsidP="0051502E">
      <w:pPr>
        <w:tabs>
          <w:tab w:val="left" w:pos="3770"/>
        </w:tabs>
        <w:spacing w:line="240" w:lineRule="auto"/>
        <w:jc w:val="center"/>
        <w:rPr>
          <w:rFonts w:ascii="Arial" w:hAnsi="Arial" w:cs="Arial"/>
          <w:b/>
          <w:bCs/>
          <w:sz w:val="20"/>
        </w:rPr>
      </w:pPr>
    </w:p>
    <w:p w14:paraId="7A9E65DE" w14:textId="77777777" w:rsidR="00280A96" w:rsidRDefault="00280A96" w:rsidP="0051502E">
      <w:pPr>
        <w:tabs>
          <w:tab w:val="left" w:pos="3770"/>
        </w:tabs>
        <w:spacing w:line="240" w:lineRule="auto"/>
        <w:jc w:val="center"/>
        <w:rPr>
          <w:rFonts w:ascii="Arial" w:hAnsi="Arial" w:cs="Arial"/>
          <w:b/>
          <w:bCs/>
          <w:sz w:val="20"/>
        </w:rPr>
      </w:pPr>
    </w:p>
    <w:p w14:paraId="6BDFD3E8" w14:textId="77777777" w:rsidR="00280A96" w:rsidRDefault="00280A96" w:rsidP="0051502E">
      <w:pPr>
        <w:tabs>
          <w:tab w:val="left" w:pos="3770"/>
        </w:tabs>
        <w:spacing w:line="240" w:lineRule="auto"/>
        <w:jc w:val="center"/>
        <w:rPr>
          <w:rFonts w:ascii="Arial" w:hAnsi="Arial" w:cs="Arial"/>
          <w:b/>
          <w:bCs/>
          <w:sz w:val="20"/>
        </w:rPr>
      </w:pPr>
    </w:p>
    <w:p w14:paraId="6F74789E" w14:textId="77777777" w:rsidR="00280A96" w:rsidRDefault="00280A96" w:rsidP="0051502E">
      <w:pPr>
        <w:tabs>
          <w:tab w:val="left" w:pos="3770"/>
        </w:tabs>
        <w:spacing w:line="240" w:lineRule="auto"/>
        <w:jc w:val="center"/>
        <w:rPr>
          <w:rFonts w:ascii="Arial" w:hAnsi="Arial" w:cs="Arial"/>
          <w:b/>
          <w:bCs/>
          <w:sz w:val="20"/>
        </w:rPr>
      </w:pPr>
    </w:p>
    <w:p w14:paraId="6FC49B8D" w14:textId="77777777" w:rsidR="00280A96" w:rsidRDefault="00280A96" w:rsidP="0051502E">
      <w:pPr>
        <w:tabs>
          <w:tab w:val="left" w:pos="3770"/>
        </w:tabs>
        <w:spacing w:line="240" w:lineRule="auto"/>
        <w:jc w:val="center"/>
        <w:rPr>
          <w:rFonts w:ascii="Arial" w:hAnsi="Arial" w:cs="Arial"/>
          <w:b/>
          <w:bCs/>
          <w:sz w:val="20"/>
        </w:rPr>
      </w:pPr>
    </w:p>
    <w:p w14:paraId="1056240A" w14:textId="77777777" w:rsidR="00280A96" w:rsidRDefault="00280A96" w:rsidP="0051502E">
      <w:pPr>
        <w:tabs>
          <w:tab w:val="left" w:pos="3770"/>
        </w:tabs>
        <w:spacing w:line="240" w:lineRule="auto"/>
        <w:jc w:val="center"/>
        <w:rPr>
          <w:rFonts w:ascii="Arial" w:hAnsi="Arial" w:cs="Arial"/>
          <w:b/>
          <w:bCs/>
          <w:sz w:val="20"/>
        </w:rPr>
      </w:pPr>
    </w:p>
    <w:p w14:paraId="5560538E" w14:textId="77777777" w:rsidR="00280A96" w:rsidRDefault="00280A96" w:rsidP="0051502E">
      <w:pPr>
        <w:tabs>
          <w:tab w:val="left" w:pos="3770"/>
        </w:tabs>
        <w:spacing w:line="240" w:lineRule="auto"/>
        <w:jc w:val="center"/>
        <w:rPr>
          <w:rFonts w:ascii="Arial" w:hAnsi="Arial" w:cs="Arial"/>
          <w:b/>
          <w:bCs/>
          <w:sz w:val="20"/>
        </w:rPr>
      </w:pPr>
    </w:p>
    <w:p w14:paraId="1C2B99EF" w14:textId="77777777" w:rsidR="00280A96" w:rsidRDefault="00280A96" w:rsidP="0051502E">
      <w:pPr>
        <w:tabs>
          <w:tab w:val="left" w:pos="3770"/>
        </w:tabs>
        <w:spacing w:line="240" w:lineRule="auto"/>
        <w:jc w:val="center"/>
        <w:rPr>
          <w:rFonts w:ascii="Arial" w:hAnsi="Arial" w:cs="Arial"/>
          <w:b/>
          <w:bCs/>
          <w:sz w:val="20"/>
        </w:rPr>
      </w:pPr>
    </w:p>
    <w:p w14:paraId="26075F0F" w14:textId="77777777" w:rsidR="00280A96" w:rsidRDefault="00280A96" w:rsidP="0051502E">
      <w:pPr>
        <w:tabs>
          <w:tab w:val="left" w:pos="3770"/>
        </w:tabs>
        <w:spacing w:line="240" w:lineRule="auto"/>
        <w:jc w:val="center"/>
        <w:rPr>
          <w:rFonts w:ascii="Arial" w:hAnsi="Arial" w:cs="Arial"/>
          <w:b/>
          <w:bCs/>
          <w:sz w:val="20"/>
        </w:rPr>
      </w:pPr>
    </w:p>
    <w:p w14:paraId="6BA5BCF2" w14:textId="4FBD237D" w:rsidR="003E26DA" w:rsidRPr="0051502E" w:rsidRDefault="0051502E" w:rsidP="0051502E">
      <w:pPr>
        <w:tabs>
          <w:tab w:val="left" w:pos="3770"/>
        </w:tabs>
        <w:spacing w:line="240" w:lineRule="auto"/>
        <w:jc w:val="center"/>
        <w:rPr>
          <w:rFonts w:ascii="Arial" w:hAnsi="Arial" w:cs="Arial"/>
          <w:b/>
          <w:bCs/>
          <w:sz w:val="20"/>
        </w:rPr>
      </w:pPr>
      <w:r>
        <w:rPr>
          <w:rFonts w:ascii="Arial" w:hAnsi="Arial" w:cs="Arial"/>
          <w:b/>
          <w:bCs/>
          <w:sz w:val="20"/>
        </w:rPr>
        <w:t xml:space="preserve">Fig. </w:t>
      </w:r>
      <w:r w:rsidR="003E26DA" w:rsidRPr="0051502E">
        <w:rPr>
          <w:rFonts w:ascii="Arial" w:hAnsi="Arial" w:cs="Arial"/>
          <w:b/>
          <w:bCs/>
          <w:sz w:val="20"/>
        </w:rPr>
        <w:t>1. Distribution Map of Sloth Bear (Source- (</w:t>
      </w:r>
      <w:commentRangeStart w:id="2"/>
      <w:r w:rsidR="003E26DA" w:rsidRPr="0051502E">
        <w:rPr>
          <w:rFonts w:ascii="Arial" w:hAnsi="Arial" w:cs="Arial"/>
          <w:b/>
          <w:bCs/>
          <w:sz w:val="20"/>
        </w:rPr>
        <w:t>IUCN Sloth Bear Expert Team, 2016)</w:t>
      </w:r>
      <w:commentRangeEnd w:id="2"/>
      <w:r w:rsidR="00312CEE">
        <w:rPr>
          <w:rStyle w:val="CommentReference"/>
        </w:rPr>
        <w:commentReference w:id="2"/>
      </w:r>
    </w:p>
    <w:p w14:paraId="504E75D1" w14:textId="77777777" w:rsidR="00CB219C" w:rsidRPr="0051502E" w:rsidRDefault="00CB219C"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 xml:space="preserve">Dietary </w:t>
      </w:r>
      <w:r w:rsidR="00AF6808" w:rsidRPr="0051502E">
        <w:rPr>
          <w:rFonts w:ascii="Arial" w:hAnsi="Arial" w:cs="Arial"/>
          <w:b/>
          <w:bCs/>
          <w:color w:val="000000" w:themeColor="text1"/>
          <w:sz w:val="20"/>
          <w:szCs w:val="20"/>
          <w:u w:val="single"/>
        </w:rPr>
        <w:t>Behaviour</w:t>
      </w:r>
      <w:r w:rsidRPr="0051502E">
        <w:rPr>
          <w:rFonts w:ascii="Arial" w:hAnsi="Arial" w:cs="Arial"/>
          <w:b/>
          <w:bCs/>
          <w:color w:val="000000" w:themeColor="text1"/>
          <w:sz w:val="20"/>
          <w:szCs w:val="20"/>
          <w:u w:val="single"/>
        </w:rPr>
        <w:t xml:space="preserve"> and Dependence on Vegetation</w:t>
      </w:r>
    </w:p>
    <w:p w14:paraId="6D0AADF6" w14:textId="77777777" w:rsidR="00CB219C" w:rsidRPr="005D01D1" w:rsidRDefault="00CB219C" w:rsidP="005D01D1">
      <w:pPr>
        <w:spacing w:line="240" w:lineRule="auto"/>
        <w:jc w:val="both"/>
        <w:rPr>
          <w:rFonts w:ascii="Arial" w:hAnsi="Arial" w:cs="Arial"/>
          <w:sz w:val="20"/>
        </w:rPr>
      </w:pPr>
      <w:r w:rsidRPr="005D01D1">
        <w:rPr>
          <w:rFonts w:ascii="Arial" w:hAnsi="Arial" w:cs="Arial"/>
          <w:sz w:val="20"/>
        </w:rPr>
        <w:t xml:space="preserve">Sloth bears are predominantly myrmecophagous, feeding heavily on termites and ants, which form the protein base of their diet. However, they also consume a variety of fruits, making them facultative </w:t>
      </w:r>
      <w:r w:rsidR="00AF6808" w:rsidRPr="005D01D1">
        <w:rPr>
          <w:rFonts w:ascii="Arial" w:hAnsi="Arial" w:cs="Arial"/>
          <w:sz w:val="20"/>
        </w:rPr>
        <w:t>frugivorous</w:t>
      </w:r>
      <w:r w:rsidRPr="005D01D1">
        <w:rPr>
          <w:rFonts w:ascii="Arial" w:hAnsi="Arial" w:cs="Arial"/>
          <w:sz w:val="20"/>
        </w:rPr>
        <w:t xml:space="preserve">. Seasonal changes in fruit availability significantly influence their foraging </w:t>
      </w:r>
      <w:r w:rsidR="001C5446" w:rsidRPr="005D01D1">
        <w:rPr>
          <w:rFonts w:ascii="Arial" w:hAnsi="Arial" w:cs="Arial"/>
          <w:sz w:val="20"/>
        </w:rPr>
        <w:t>behaviour</w:t>
      </w:r>
      <w:r w:rsidRPr="005D01D1">
        <w:rPr>
          <w:rFonts w:ascii="Arial" w:hAnsi="Arial" w:cs="Arial"/>
          <w:sz w:val="20"/>
        </w:rPr>
        <w:t xml:space="preserve"> and habitat use (</w:t>
      </w:r>
      <w:proofErr w:type="spellStart"/>
      <w:r w:rsidRPr="005D01D1">
        <w:rPr>
          <w:rFonts w:ascii="Arial" w:hAnsi="Arial" w:cs="Arial"/>
          <w:sz w:val="20"/>
        </w:rPr>
        <w:t>Dharaiya</w:t>
      </w:r>
      <w:proofErr w:type="spellEnd"/>
      <w:r w:rsidRPr="005D01D1">
        <w:rPr>
          <w:rFonts w:ascii="Arial" w:hAnsi="Arial" w:cs="Arial"/>
          <w:sz w:val="20"/>
        </w:rPr>
        <w:t xml:space="preserve"> &amp; Rabari, 2022). The species shows dietary plasticity, adjusting its consumption based on local vegetation composition and availability of wild or cultivated fruit species (Palei et al., 2020). In disturbed areas, sloth bears often depend on agroforestry crops and non-timber forest products (NTFPs), which may increase human-wildlife conflict (</w:t>
      </w:r>
      <w:proofErr w:type="spellStart"/>
      <w:r w:rsidRPr="005D01D1">
        <w:rPr>
          <w:rFonts w:ascii="Arial" w:hAnsi="Arial" w:cs="Arial"/>
          <w:sz w:val="20"/>
        </w:rPr>
        <w:t>Bargali</w:t>
      </w:r>
      <w:proofErr w:type="spellEnd"/>
      <w:r w:rsidRPr="005D01D1">
        <w:rPr>
          <w:rFonts w:ascii="Arial" w:hAnsi="Arial" w:cs="Arial"/>
          <w:sz w:val="20"/>
        </w:rPr>
        <w:t xml:space="preserve"> et al., 2004).</w:t>
      </w:r>
    </w:p>
    <w:p w14:paraId="4DC0AACE" w14:textId="77777777" w:rsidR="00CB219C" w:rsidRPr="0051502E" w:rsidRDefault="00CB219C"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Role of Forest Types</w:t>
      </w:r>
    </w:p>
    <w:p w14:paraId="73658529" w14:textId="77777777" w:rsidR="003A1786" w:rsidRPr="005D01D1" w:rsidRDefault="00CB219C" w:rsidP="005D01D1">
      <w:pPr>
        <w:spacing w:line="240" w:lineRule="auto"/>
        <w:jc w:val="both"/>
        <w:rPr>
          <w:rFonts w:ascii="Arial" w:hAnsi="Arial" w:cs="Arial"/>
          <w:sz w:val="20"/>
        </w:rPr>
      </w:pPr>
      <w:r w:rsidRPr="005D01D1">
        <w:rPr>
          <w:rFonts w:ascii="Arial" w:hAnsi="Arial" w:cs="Arial"/>
          <w:sz w:val="20"/>
        </w:rPr>
        <w:t>Sloth bears exhibit varying ecological dependencies based on forest types. Dry deciduous forests, characterized by open canopies and abundant termite mounds, provide year-round insect prey and are often utilized during the dry season (</w:t>
      </w:r>
      <w:proofErr w:type="spellStart"/>
      <w:r w:rsidRPr="005D01D1">
        <w:rPr>
          <w:rFonts w:ascii="Arial" w:hAnsi="Arial" w:cs="Arial"/>
          <w:sz w:val="20"/>
        </w:rPr>
        <w:t>Bargali</w:t>
      </w:r>
      <w:proofErr w:type="spellEnd"/>
      <w:r w:rsidRPr="005D01D1">
        <w:rPr>
          <w:rFonts w:ascii="Arial" w:hAnsi="Arial" w:cs="Arial"/>
          <w:sz w:val="20"/>
        </w:rPr>
        <w:t xml:space="preserve"> et al., 2012). Moist deciduous and </w:t>
      </w:r>
      <w:proofErr w:type="spellStart"/>
      <w:r w:rsidRPr="005D01D1">
        <w:rPr>
          <w:rFonts w:ascii="Arial" w:hAnsi="Arial" w:cs="Arial"/>
          <w:sz w:val="20"/>
        </w:rPr>
        <w:t>sal</w:t>
      </w:r>
      <w:proofErr w:type="spellEnd"/>
      <w:r w:rsidRPr="005D01D1">
        <w:rPr>
          <w:rFonts w:ascii="Arial" w:hAnsi="Arial" w:cs="Arial"/>
          <w:sz w:val="20"/>
        </w:rPr>
        <w:t>-dominated forests, on the other hand, provide dense cover and a rich diversity of fruiting trees, supporting denning and foraging activities during monsoonal peaks (Seidensticker &amp; Yoganand, 2011).</w:t>
      </w:r>
      <w:r w:rsidR="003A1786" w:rsidRPr="005D01D1">
        <w:rPr>
          <w:rFonts w:ascii="Arial" w:hAnsi="Arial" w:cs="Arial"/>
          <w:sz w:val="20"/>
        </w:rPr>
        <w:t xml:space="preserve"> </w:t>
      </w:r>
      <w:r w:rsidRPr="005D01D1">
        <w:rPr>
          <w:rFonts w:ascii="Arial" w:hAnsi="Arial" w:cs="Arial"/>
          <w:sz w:val="20"/>
        </w:rPr>
        <w:t>Scrub and degraded forests serve as secondary habitats and corridors, particularly in fragmented landscapes. These habitats often support lower food diversity but are crucial for maintaining population connectivity and facilitating movement between core forest areas (</w:t>
      </w:r>
      <w:proofErr w:type="spellStart"/>
      <w:r w:rsidRPr="005D01D1">
        <w:rPr>
          <w:rFonts w:ascii="Arial" w:hAnsi="Arial" w:cs="Arial"/>
          <w:sz w:val="20"/>
        </w:rPr>
        <w:t>Sukhadiya</w:t>
      </w:r>
      <w:proofErr w:type="spellEnd"/>
      <w:r w:rsidRPr="005D01D1">
        <w:rPr>
          <w:rFonts w:ascii="Arial" w:hAnsi="Arial" w:cs="Arial"/>
          <w:sz w:val="20"/>
        </w:rPr>
        <w:t xml:space="preserve"> et al., 2013).</w:t>
      </w:r>
    </w:p>
    <w:p w14:paraId="18B27E6B" w14:textId="77777777" w:rsidR="001C5446" w:rsidRPr="0051502E" w:rsidRDefault="001C5446"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Vegetation Structure and Composition in Sloth Bear Habitats</w:t>
      </w:r>
    </w:p>
    <w:p w14:paraId="12A8808D" w14:textId="77777777" w:rsidR="001C5446" w:rsidRPr="0051502E" w:rsidRDefault="001C5446"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Dominant Vegetation in Sloth Bear Habitats across Regions</w:t>
      </w:r>
    </w:p>
    <w:p w14:paraId="6558651B" w14:textId="77777777" w:rsidR="001C5446" w:rsidRPr="005D01D1" w:rsidRDefault="001C5446" w:rsidP="005D01D1">
      <w:pPr>
        <w:spacing w:line="240" w:lineRule="auto"/>
        <w:jc w:val="both"/>
        <w:rPr>
          <w:rFonts w:ascii="Arial" w:hAnsi="Arial" w:cs="Arial"/>
          <w:sz w:val="20"/>
        </w:rPr>
      </w:pPr>
      <w:r w:rsidRPr="005D01D1">
        <w:rPr>
          <w:rFonts w:ascii="Arial" w:hAnsi="Arial" w:cs="Arial"/>
          <w:sz w:val="20"/>
        </w:rPr>
        <w:t xml:space="preserve">Sloth bears occupy a variety of forested ecosystems across their range, which includes dry deciduous, moist deciduous, tropical thorn, </w:t>
      </w:r>
      <w:proofErr w:type="spellStart"/>
      <w:r w:rsidRPr="005D01D1">
        <w:rPr>
          <w:rFonts w:ascii="Arial" w:hAnsi="Arial" w:cs="Arial"/>
          <w:sz w:val="20"/>
        </w:rPr>
        <w:t>sal</w:t>
      </w:r>
      <w:proofErr w:type="spellEnd"/>
      <w:r w:rsidRPr="005D01D1">
        <w:rPr>
          <w:rFonts w:ascii="Arial" w:hAnsi="Arial" w:cs="Arial"/>
          <w:sz w:val="20"/>
        </w:rPr>
        <w:t>-dominated, and scrub forests. In central India, dry and mixed deciduous forests are the most common habitats, while in the Western Ghats and northeastern states, sloth bears are associated with moist broadleaf forests. These forests often include an understorey of shrubs and grasses, interspersed with rocky outcrops and termite mounds, which are critical for foraging and denning (Seidensticker &amp; Yoganand, 2011).</w:t>
      </w:r>
    </w:p>
    <w:p w14:paraId="0B2BAC61" w14:textId="77777777" w:rsidR="001C5446" w:rsidRPr="0051502E" w:rsidRDefault="001C5446"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Key Plant Species Used for Food</w:t>
      </w:r>
    </w:p>
    <w:p w14:paraId="2580CA79" w14:textId="77777777" w:rsidR="001C5446" w:rsidRPr="005D01D1" w:rsidRDefault="001C5446" w:rsidP="005D01D1">
      <w:pPr>
        <w:spacing w:line="240" w:lineRule="auto"/>
        <w:jc w:val="both"/>
        <w:rPr>
          <w:rFonts w:ascii="Arial" w:hAnsi="Arial" w:cs="Arial"/>
          <w:sz w:val="20"/>
        </w:rPr>
      </w:pPr>
      <w:r w:rsidRPr="005D01D1">
        <w:rPr>
          <w:rFonts w:ascii="Arial" w:hAnsi="Arial" w:cs="Arial"/>
          <w:sz w:val="20"/>
        </w:rPr>
        <w:t xml:space="preserve">Sloth bears are myrmecophagous and frugivorous, relying primarily on termites, ants, and seasonally available fruits. In multiple studies across India and Nepal, species such as </w:t>
      </w:r>
      <w:proofErr w:type="spellStart"/>
      <w:r w:rsidRPr="005D01D1">
        <w:rPr>
          <w:rFonts w:ascii="Arial" w:hAnsi="Arial" w:cs="Arial"/>
          <w:i/>
          <w:iCs/>
          <w:sz w:val="20"/>
        </w:rPr>
        <w:t>Zizyphus</w:t>
      </w:r>
      <w:proofErr w:type="spellEnd"/>
      <w:r w:rsidRPr="005D01D1">
        <w:rPr>
          <w:rFonts w:ascii="Arial" w:hAnsi="Arial" w:cs="Arial"/>
          <w:i/>
          <w:iCs/>
          <w:sz w:val="20"/>
        </w:rPr>
        <w:t xml:space="preserve"> </w:t>
      </w:r>
      <w:proofErr w:type="spellStart"/>
      <w:r w:rsidRPr="005D01D1">
        <w:rPr>
          <w:rFonts w:ascii="Arial" w:hAnsi="Arial" w:cs="Arial"/>
          <w:i/>
          <w:iCs/>
          <w:sz w:val="20"/>
        </w:rPr>
        <w:t>mauritiana</w:t>
      </w:r>
      <w:proofErr w:type="spellEnd"/>
      <w:r w:rsidRPr="005D01D1">
        <w:rPr>
          <w:rFonts w:ascii="Arial" w:hAnsi="Arial" w:cs="Arial"/>
          <w:i/>
          <w:iCs/>
          <w:sz w:val="20"/>
        </w:rPr>
        <w:t xml:space="preserve"> (</w:t>
      </w:r>
      <w:proofErr w:type="spellStart"/>
      <w:r w:rsidRPr="005D01D1">
        <w:rPr>
          <w:rFonts w:ascii="Arial" w:hAnsi="Arial" w:cs="Arial"/>
          <w:i/>
          <w:iCs/>
          <w:sz w:val="20"/>
        </w:rPr>
        <w:t>ber</w:t>
      </w:r>
      <w:proofErr w:type="spellEnd"/>
      <w:r w:rsidRPr="005D01D1">
        <w:rPr>
          <w:rFonts w:ascii="Arial" w:hAnsi="Arial" w:cs="Arial"/>
          <w:i/>
          <w:iCs/>
          <w:sz w:val="20"/>
        </w:rPr>
        <w:t xml:space="preserve">), Diospyros melanoxylon (tendu), Ficus spp., and Aegle </w:t>
      </w:r>
      <w:proofErr w:type="spellStart"/>
      <w:r w:rsidRPr="005D01D1">
        <w:rPr>
          <w:rFonts w:ascii="Arial" w:hAnsi="Arial" w:cs="Arial"/>
          <w:i/>
          <w:iCs/>
          <w:sz w:val="20"/>
        </w:rPr>
        <w:t>marmelos</w:t>
      </w:r>
      <w:proofErr w:type="spellEnd"/>
      <w:r w:rsidRPr="005D01D1">
        <w:rPr>
          <w:rFonts w:ascii="Arial" w:hAnsi="Arial" w:cs="Arial"/>
          <w:i/>
          <w:iCs/>
          <w:sz w:val="20"/>
        </w:rPr>
        <w:t xml:space="preserve"> (</w:t>
      </w:r>
      <w:proofErr w:type="spellStart"/>
      <w:r w:rsidRPr="005D01D1">
        <w:rPr>
          <w:rFonts w:ascii="Arial" w:hAnsi="Arial" w:cs="Arial"/>
          <w:i/>
          <w:iCs/>
          <w:sz w:val="20"/>
        </w:rPr>
        <w:t>bael</w:t>
      </w:r>
      <w:proofErr w:type="spellEnd"/>
      <w:r w:rsidRPr="005D01D1">
        <w:rPr>
          <w:rFonts w:ascii="Arial" w:hAnsi="Arial" w:cs="Arial"/>
          <w:i/>
          <w:iCs/>
          <w:sz w:val="20"/>
        </w:rPr>
        <w:t>)</w:t>
      </w:r>
      <w:r w:rsidRPr="005D01D1">
        <w:rPr>
          <w:rFonts w:ascii="Arial" w:hAnsi="Arial" w:cs="Arial"/>
          <w:sz w:val="20"/>
        </w:rPr>
        <w:t xml:space="preserve"> have been recorded as important dietary components (</w:t>
      </w:r>
      <w:proofErr w:type="spellStart"/>
      <w:r w:rsidRPr="005D01D1">
        <w:rPr>
          <w:rFonts w:ascii="Arial" w:hAnsi="Arial" w:cs="Arial"/>
          <w:sz w:val="20"/>
        </w:rPr>
        <w:t>Bargali</w:t>
      </w:r>
      <w:proofErr w:type="spellEnd"/>
      <w:r w:rsidRPr="005D01D1">
        <w:rPr>
          <w:rFonts w:ascii="Arial" w:hAnsi="Arial" w:cs="Arial"/>
          <w:sz w:val="20"/>
        </w:rPr>
        <w:t xml:space="preserve"> et al., 2004; Joshi et al., 1997). These fruiting trees are found abundantly in dry deciduous and moist forest types, and their phenology dictates seasonal foraging shifts.</w:t>
      </w:r>
    </w:p>
    <w:p w14:paraId="58E45780" w14:textId="77777777" w:rsidR="001C5446" w:rsidRPr="0051502E" w:rsidRDefault="001C5446"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Seasonal Availability of Resources (Fruiting Phenology)</w:t>
      </w:r>
    </w:p>
    <w:p w14:paraId="4AFDB7A5" w14:textId="77777777" w:rsidR="003E26DA" w:rsidRPr="005D01D1" w:rsidRDefault="001C5446" w:rsidP="005D01D1">
      <w:pPr>
        <w:spacing w:line="240" w:lineRule="auto"/>
        <w:jc w:val="both"/>
        <w:rPr>
          <w:rFonts w:ascii="Arial" w:hAnsi="Arial" w:cs="Arial"/>
          <w:sz w:val="20"/>
        </w:rPr>
      </w:pPr>
      <w:r w:rsidRPr="005D01D1">
        <w:rPr>
          <w:rFonts w:ascii="Arial" w:hAnsi="Arial" w:cs="Arial"/>
          <w:sz w:val="20"/>
        </w:rPr>
        <w:t xml:space="preserve">Seasonal changes strongly influence the diet of sloth bears. During summer and early monsoon months, fruiting peaks in key species like </w:t>
      </w:r>
      <w:proofErr w:type="spellStart"/>
      <w:r w:rsidRPr="005D01D1">
        <w:rPr>
          <w:rFonts w:ascii="Arial" w:hAnsi="Arial" w:cs="Arial"/>
          <w:i/>
          <w:iCs/>
          <w:sz w:val="20"/>
        </w:rPr>
        <w:t>Zizyphus</w:t>
      </w:r>
      <w:proofErr w:type="spellEnd"/>
      <w:r w:rsidRPr="005D01D1">
        <w:rPr>
          <w:rFonts w:ascii="Arial" w:hAnsi="Arial" w:cs="Arial"/>
          <w:i/>
          <w:iCs/>
          <w:sz w:val="20"/>
        </w:rPr>
        <w:t>, Diospyros, and Ficus</w:t>
      </w:r>
      <w:r w:rsidRPr="005D01D1">
        <w:rPr>
          <w:rFonts w:ascii="Arial" w:hAnsi="Arial" w:cs="Arial"/>
          <w:sz w:val="20"/>
        </w:rPr>
        <w:t>, providing critical energy sources (</w:t>
      </w:r>
      <w:proofErr w:type="spellStart"/>
      <w:r w:rsidRPr="005D01D1">
        <w:rPr>
          <w:rFonts w:ascii="Arial" w:hAnsi="Arial" w:cs="Arial"/>
          <w:sz w:val="20"/>
        </w:rPr>
        <w:t>Dharaiya</w:t>
      </w:r>
      <w:proofErr w:type="spellEnd"/>
      <w:r w:rsidRPr="005D01D1">
        <w:rPr>
          <w:rFonts w:ascii="Arial" w:hAnsi="Arial" w:cs="Arial"/>
          <w:sz w:val="20"/>
        </w:rPr>
        <w:t xml:space="preserve"> &amp; Rabari, 2022). During the cooler dry season, when fruit availability declines, sloth bears rely more heavily on termites and ants, which remain accessible under soil and decaying wood </w:t>
      </w:r>
      <w:r w:rsidRPr="005D01D1">
        <w:rPr>
          <w:rFonts w:ascii="Arial" w:hAnsi="Arial" w:cs="Arial"/>
          <w:sz w:val="20"/>
        </w:rPr>
        <w:lastRenderedPageBreak/>
        <w:t>layers (</w:t>
      </w:r>
      <w:proofErr w:type="spellStart"/>
      <w:r w:rsidRPr="005D01D1">
        <w:rPr>
          <w:rFonts w:ascii="Arial" w:hAnsi="Arial" w:cs="Arial"/>
          <w:sz w:val="20"/>
        </w:rPr>
        <w:t>Mewada</w:t>
      </w:r>
      <w:proofErr w:type="spellEnd"/>
      <w:r w:rsidRPr="005D01D1">
        <w:rPr>
          <w:rFonts w:ascii="Arial" w:hAnsi="Arial" w:cs="Arial"/>
          <w:sz w:val="20"/>
        </w:rPr>
        <w:t>, 2015). This seasonal dietary flexibility helps buffer nutritional stress and supports survival in variable environments.</w:t>
      </w:r>
    </w:p>
    <w:p w14:paraId="027B0F3C" w14:textId="77777777" w:rsidR="003E26DA" w:rsidRPr="0051502E" w:rsidRDefault="0051502E" w:rsidP="005D01D1">
      <w:pPr>
        <w:spacing w:line="240" w:lineRule="auto"/>
        <w:jc w:val="center"/>
        <w:rPr>
          <w:rFonts w:ascii="Arial" w:hAnsi="Arial" w:cs="Arial"/>
          <w:b/>
          <w:bCs/>
          <w:sz w:val="20"/>
        </w:rPr>
      </w:pPr>
      <w:commentRangeStart w:id="3"/>
      <w:r>
        <w:rPr>
          <w:rFonts w:ascii="Arial" w:hAnsi="Arial" w:cs="Arial"/>
          <w:b/>
          <w:bCs/>
          <w:sz w:val="20"/>
        </w:rPr>
        <w:t xml:space="preserve">Table </w:t>
      </w:r>
      <w:r w:rsidR="003E26DA" w:rsidRPr="0051502E">
        <w:rPr>
          <w:rFonts w:ascii="Arial" w:hAnsi="Arial" w:cs="Arial"/>
          <w:b/>
          <w:bCs/>
          <w:sz w:val="20"/>
        </w:rPr>
        <w:t xml:space="preserve">1. </w:t>
      </w:r>
      <w:commentRangeEnd w:id="3"/>
      <w:r w:rsidR="00C85E27">
        <w:rPr>
          <w:rStyle w:val="CommentReference"/>
        </w:rPr>
        <w:commentReference w:id="3"/>
      </w:r>
      <w:r w:rsidR="003E26DA" w:rsidRPr="0051502E">
        <w:rPr>
          <w:rFonts w:ascii="Arial" w:hAnsi="Arial" w:cs="Arial"/>
          <w:b/>
          <w:bCs/>
          <w:sz w:val="20"/>
        </w:rPr>
        <w:t>Forest Types and Sloth Bear Habitat Use</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696"/>
        <w:gridCol w:w="1722"/>
        <w:gridCol w:w="1380"/>
        <w:gridCol w:w="1410"/>
        <w:gridCol w:w="1505"/>
      </w:tblGrid>
      <w:tr w:rsidR="001C5446" w:rsidRPr="005D01D1" w14:paraId="28D86FA2" w14:textId="77777777" w:rsidTr="00D006A1">
        <w:trPr>
          <w:trHeight w:val="645"/>
          <w:jc w:val="center"/>
        </w:trPr>
        <w:tc>
          <w:tcPr>
            <w:tcW w:w="1271" w:type="dxa"/>
            <w:shd w:val="clear" w:color="auto" w:fill="auto"/>
            <w:hideMark/>
          </w:tcPr>
          <w:p w14:paraId="46041F8D"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Forest Type</w:t>
            </w:r>
          </w:p>
        </w:tc>
        <w:tc>
          <w:tcPr>
            <w:tcW w:w="1708" w:type="dxa"/>
            <w:shd w:val="clear" w:color="auto" w:fill="auto"/>
            <w:hideMark/>
          </w:tcPr>
          <w:p w14:paraId="273B4B41"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State/Region</w:t>
            </w:r>
          </w:p>
        </w:tc>
        <w:tc>
          <w:tcPr>
            <w:tcW w:w="1733" w:type="dxa"/>
            <w:shd w:val="clear" w:color="auto" w:fill="auto"/>
            <w:hideMark/>
          </w:tcPr>
          <w:p w14:paraId="28C2BDBA"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Dominant Trees</w:t>
            </w:r>
          </w:p>
        </w:tc>
        <w:tc>
          <w:tcPr>
            <w:tcW w:w="1382" w:type="dxa"/>
            <w:shd w:val="clear" w:color="auto" w:fill="auto"/>
            <w:hideMark/>
          </w:tcPr>
          <w:p w14:paraId="51F55C7D"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Fruiting Species</w:t>
            </w:r>
          </w:p>
        </w:tc>
        <w:tc>
          <w:tcPr>
            <w:tcW w:w="1416" w:type="dxa"/>
            <w:shd w:val="clear" w:color="auto" w:fill="auto"/>
            <w:hideMark/>
          </w:tcPr>
          <w:p w14:paraId="4CEA1208"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Importance for Sloth Bears</w:t>
            </w:r>
          </w:p>
        </w:tc>
        <w:tc>
          <w:tcPr>
            <w:tcW w:w="1509" w:type="dxa"/>
            <w:shd w:val="clear" w:color="auto" w:fill="auto"/>
            <w:hideMark/>
          </w:tcPr>
          <w:p w14:paraId="4AC2A8F4"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References</w:t>
            </w:r>
          </w:p>
        </w:tc>
      </w:tr>
      <w:tr w:rsidR="001C5446" w:rsidRPr="005D01D1" w14:paraId="4B31DB7E" w14:textId="77777777" w:rsidTr="00D006A1">
        <w:trPr>
          <w:trHeight w:val="1419"/>
          <w:jc w:val="center"/>
        </w:trPr>
        <w:tc>
          <w:tcPr>
            <w:tcW w:w="1271" w:type="dxa"/>
            <w:shd w:val="clear" w:color="auto" w:fill="auto"/>
            <w:hideMark/>
          </w:tcPr>
          <w:p w14:paraId="123F6F46"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Dry Deciduous</w:t>
            </w:r>
          </w:p>
        </w:tc>
        <w:tc>
          <w:tcPr>
            <w:tcW w:w="1708" w:type="dxa"/>
            <w:shd w:val="clear" w:color="auto" w:fill="auto"/>
            <w:hideMark/>
          </w:tcPr>
          <w:p w14:paraId="269C869B"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Madhya Pradesh, Chhattisgarh</w:t>
            </w:r>
          </w:p>
        </w:tc>
        <w:tc>
          <w:tcPr>
            <w:tcW w:w="1733" w:type="dxa"/>
            <w:shd w:val="clear" w:color="auto" w:fill="auto"/>
            <w:hideMark/>
          </w:tcPr>
          <w:p w14:paraId="5DE4A84C"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Tectona grandis, </w:t>
            </w:r>
            <w:proofErr w:type="spellStart"/>
            <w:r w:rsidRPr="005D01D1">
              <w:rPr>
                <w:rFonts w:ascii="Arial" w:eastAsia="Times New Roman" w:hAnsi="Arial" w:cs="Arial"/>
                <w:i/>
                <w:iCs/>
                <w:color w:val="000000"/>
                <w:sz w:val="20"/>
                <w:lang w:eastAsia="en-IN"/>
              </w:rPr>
              <w:t>Anogeissus</w:t>
            </w:r>
            <w:proofErr w:type="spellEnd"/>
            <w:r w:rsidRPr="005D01D1">
              <w:rPr>
                <w:rFonts w:ascii="Arial" w:eastAsia="Times New Roman" w:hAnsi="Arial" w:cs="Arial"/>
                <w:i/>
                <w:iCs/>
                <w:color w:val="000000"/>
                <w:sz w:val="20"/>
                <w:lang w:eastAsia="en-IN"/>
              </w:rPr>
              <w:t xml:space="preserve"> spp.</w:t>
            </w:r>
          </w:p>
        </w:tc>
        <w:tc>
          <w:tcPr>
            <w:tcW w:w="1382" w:type="dxa"/>
            <w:shd w:val="clear" w:color="auto" w:fill="auto"/>
            <w:hideMark/>
          </w:tcPr>
          <w:p w14:paraId="28194A19"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Zizyphus</w:t>
            </w:r>
            <w:proofErr w:type="spellEnd"/>
            <w:r w:rsidRPr="005D01D1">
              <w:rPr>
                <w:rFonts w:ascii="Arial" w:eastAsia="Times New Roman" w:hAnsi="Arial" w:cs="Arial"/>
                <w:i/>
                <w:iCs/>
                <w:color w:val="000000"/>
                <w:sz w:val="20"/>
                <w:lang w:eastAsia="en-IN"/>
              </w:rPr>
              <w:t xml:space="preserve">, </w:t>
            </w:r>
            <w:proofErr w:type="spellStart"/>
            <w:r w:rsidR="001B2763" w:rsidRPr="005D01D1">
              <w:rPr>
                <w:rFonts w:ascii="Arial" w:eastAsia="Times New Roman" w:hAnsi="Arial" w:cs="Arial"/>
                <w:i/>
                <w:iCs/>
                <w:color w:val="000000"/>
                <w:sz w:val="20"/>
                <w:lang w:eastAsia="en-IN"/>
              </w:rPr>
              <w:t>Madhuca</w:t>
            </w:r>
            <w:proofErr w:type="spellEnd"/>
            <w:r w:rsidR="001B2763" w:rsidRPr="005D01D1">
              <w:rPr>
                <w:rFonts w:ascii="Arial" w:eastAsia="Times New Roman" w:hAnsi="Arial" w:cs="Arial"/>
                <w:i/>
                <w:iCs/>
                <w:color w:val="000000"/>
                <w:sz w:val="20"/>
                <w:lang w:eastAsia="en-IN"/>
              </w:rPr>
              <w:t xml:space="preserve">, </w:t>
            </w:r>
            <w:r w:rsidRPr="005D01D1">
              <w:rPr>
                <w:rFonts w:ascii="Arial" w:eastAsia="Times New Roman" w:hAnsi="Arial" w:cs="Arial"/>
                <w:i/>
                <w:iCs/>
                <w:color w:val="000000"/>
                <w:sz w:val="20"/>
                <w:lang w:eastAsia="en-IN"/>
              </w:rPr>
              <w:t>Diospyros, Aegle</w:t>
            </w:r>
            <w:r w:rsidR="00DB4A05" w:rsidRPr="005D01D1">
              <w:rPr>
                <w:rFonts w:ascii="Arial" w:eastAsia="Times New Roman" w:hAnsi="Arial" w:cs="Arial"/>
                <w:i/>
                <w:iCs/>
                <w:color w:val="000000"/>
                <w:sz w:val="20"/>
                <w:lang w:eastAsia="en-IN"/>
              </w:rPr>
              <w:t>, Ficus, Boswellia etc.</w:t>
            </w:r>
          </w:p>
        </w:tc>
        <w:tc>
          <w:tcPr>
            <w:tcW w:w="1416" w:type="dxa"/>
            <w:shd w:val="clear" w:color="auto" w:fill="auto"/>
            <w:hideMark/>
          </w:tcPr>
          <w:p w14:paraId="6D3C566E"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 insect prey and seasonal fruits</w:t>
            </w:r>
          </w:p>
        </w:tc>
        <w:tc>
          <w:tcPr>
            <w:tcW w:w="1509" w:type="dxa"/>
            <w:shd w:val="clear" w:color="auto" w:fill="auto"/>
            <w:hideMark/>
          </w:tcPr>
          <w:p w14:paraId="3ECCA063" w14:textId="77777777" w:rsidR="001C5446" w:rsidRPr="005D01D1" w:rsidRDefault="001C5446" w:rsidP="005D01D1">
            <w:pPr>
              <w:spacing w:line="240" w:lineRule="auto"/>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Seidensticker &amp; Yoganand 2011</w:t>
            </w:r>
          </w:p>
        </w:tc>
      </w:tr>
      <w:tr w:rsidR="001C5446" w:rsidRPr="005D01D1" w14:paraId="06B42B50" w14:textId="77777777" w:rsidTr="00D006A1">
        <w:trPr>
          <w:trHeight w:val="1283"/>
          <w:jc w:val="center"/>
        </w:trPr>
        <w:tc>
          <w:tcPr>
            <w:tcW w:w="1271" w:type="dxa"/>
            <w:shd w:val="clear" w:color="auto" w:fill="auto"/>
            <w:hideMark/>
          </w:tcPr>
          <w:p w14:paraId="52BE4F55"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Moist Deciduous</w:t>
            </w:r>
          </w:p>
        </w:tc>
        <w:tc>
          <w:tcPr>
            <w:tcW w:w="1708" w:type="dxa"/>
            <w:shd w:val="clear" w:color="auto" w:fill="auto"/>
            <w:hideMark/>
          </w:tcPr>
          <w:p w14:paraId="69F6528F"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Western Ghats (Karnataka, Kerala)</w:t>
            </w:r>
          </w:p>
        </w:tc>
        <w:tc>
          <w:tcPr>
            <w:tcW w:w="1733" w:type="dxa"/>
            <w:shd w:val="clear" w:color="auto" w:fill="auto"/>
            <w:hideMark/>
          </w:tcPr>
          <w:p w14:paraId="29CA1A42"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Terminalia spp., Lagerstroemia spp.</w:t>
            </w:r>
          </w:p>
        </w:tc>
        <w:tc>
          <w:tcPr>
            <w:tcW w:w="1382" w:type="dxa"/>
            <w:shd w:val="clear" w:color="auto" w:fill="auto"/>
            <w:hideMark/>
          </w:tcPr>
          <w:p w14:paraId="495E1571"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Ficus spp., </w:t>
            </w:r>
            <w:proofErr w:type="spellStart"/>
            <w:r w:rsidRPr="005D01D1">
              <w:rPr>
                <w:rFonts w:ascii="Arial" w:eastAsia="Times New Roman" w:hAnsi="Arial" w:cs="Arial"/>
                <w:i/>
                <w:iCs/>
                <w:color w:val="000000"/>
                <w:sz w:val="20"/>
                <w:lang w:eastAsia="en-IN"/>
              </w:rPr>
              <w:t>Syzygium</w:t>
            </w:r>
            <w:proofErr w:type="spellEnd"/>
            <w:r w:rsidRPr="005D01D1">
              <w:rPr>
                <w:rFonts w:ascii="Arial" w:eastAsia="Times New Roman" w:hAnsi="Arial" w:cs="Arial"/>
                <w:i/>
                <w:iCs/>
                <w:color w:val="000000"/>
                <w:sz w:val="20"/>
                <w:lang w:eastAsia="en-IN"/>
              </w:rPr>
              <w:t xml:space="preserve"> spp.</w:t>
            </w:r>
            <w:r w:rsidR="00DB4A05" w:rsidRPr="005D01D1">
              <w:rPr>
                <w:rFonts w:ascii="Arial" w:eastAsia="Times New Roman" w:hAnsi="Arial" w:cs="Arial"/>
                <w:i/>
                <w:iCs/>
                <w:color w:val="000000"/>
                <w:sz w:val="20"/>
                <w:lang w:eastAsia="en-IN"/>
              </w:rPr>
              <w:t xml:space="preserve">, Ziziphus, </w:t>
            </w:r>
            <w:proofErr w:type="spellStart"/>
            <w:r w:rsidR="001B2763" w:rsidRPr="005D01D1">
              <w:rPr>
                <w:rFonts w:ascii="Arial" w:eastAsia="Times New Roman" w:hAnsi="Arial" w:cs="Arial"/>
                <w:i/>
                <w:iCs/>
                <w:color w:val="000000"/>
                <w:sz w:val="20"/>
                <w:lang w:eastAsia="en-IN"/>
              </w:rPr>
              <w:t>Madhuca</w:t>
            </w:r>
            <w:proofErr w:type="spellEnd"/>
          </w:p>
        </w:tc>
        <w:tc>
          <w:tcPr>
            <w:tcW w:w="1416" w:type="dxa"/>
            <w:shd w:val="clear" w:color="auto" w:fill="auto"/>
            <w:hideMark/>
          </w:tcPr>
          <w:p w14:paraId="3969641F"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Dense cover and diverse fruit supply</w:t>
            </w:r>
          </w:p>
        </w:tc>
        <w:tc>
          <w:tcPr>
            <w:tcW w:w="1509" w:type="dxa"/>
            <w:shd w:val="clear" w:color="auto" w:fill="auto"/>
            <w:hideMark/>
          </w:tcPr>
          <w:p w14:paraId="1B32CB76"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Baskaran et al. 2015;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xml:space="preserve"> &amp; Rabari 2022</w:t>
            </w:r>
          </w:p>
        </w:tc>
      </w:tr>
      <w:tr w:rsidR="001C5446" w:rsidRPr="005D01D1" w14:paraId="437238AD" w14:textId="77777777" w:rsidTr="00D006A1">
        <w:trPr>
          <w:trHeight w:val="1117"/>
          <w:jc w:val="center"/>
        </w:trPr>
        <w:tc>
          <w:tcPr>
            <w:tcW w:w="1271" w:type="dxa"/>
            <w:shd w:val="clear" w:color="auto" w:fill="auto"/>
            <w:hideMark/>
          </w:tcPr>
          <w:p w14:paraId="48EE4D71"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Sal-Dominated</w:t>
            </w:r>
          </w:p>
        </w:tc>
        <w:tc>
          <w:tcPr>
            <w:tcW w:w="1708" w:type="dxa"/>
            <w:shd w:val="clear" w:color="auto" w:fill="auto"/>
            <w:hideMark/>
          </w:tcPr>
          <w:p w14:paraId="791DB66C" w14:textId="77777777" w:rsidR="001C5446" w:rsidRPr="005D01D1" w:rsidRDefault="00D006A1"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Chhattisgarh, Madhya Pradesh, </w:t>
            </w:r>
            <w:r w:rsidR="001C5446" w:rsidRPr="005D01D1">
              <w:rPr>
                <w:rFonts w:ascii="Arial" w:eastAsia="Times New Roman" w:hAnsi="Arial" w:cs="Arial"/>
                <w:color w:val="000000"/>
                <w:sz w:val="20"/>
                <w:lang w:eastAsia="en-IN"/>
              </w:rPr>
              <w:t>Uttarakhand, Nepal</w:t>
            </w:r>
          </w:p>
        </w:tc>
        <w:tc>
          <w:tcPr>
            <w:tcW w:w="1733" w:type="dxa"/>
            <w:shd w:val="clear" w:color="auto" w:fill="auto"/>
            <w:hideMark/>
          </w:tcPr>
          <w:p w14:paraId="03EC4D4A"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Shorea</w:t>
            </w:r>
            <w:proofErr w:type="spellEnd"/>
            <w:r w:rsidRPr="005D01D1">
              <w:rPr>
                <w:rFonts w:ascii="Arial" w:eastAsia="Times New Roman" w:hAnsi="Arial" w:cs="Arial"/>
                <w:i/>
                <w:iCs/>
                <w:color w:val="000000"/>
                <w:sz w:val="20"/>
                <w:lang w:eastAsia="en-IN"/>
              </w:rPr>
              <w:t xml:space="preserve"> robusta</w:t>
            </w:r>
          </w:p>
        </w:tc>
        <w:tc>
          <w:tcPr>
            <w:tcW w:w="1382" w:type="dxa"/>
            <w:shd w:val="clear" w:color="auto" w:fill="auto"/>
            <w:hideMark/>
          </w:tcPr>
          <w:p w14:paraId="1B5DD3B2"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Diospyros, Aegle</w:t>
            </w:r>
            <w:r w:rsidR="001B2763" w:rsidRPr="005D01D1">
              <w:rPr>
                <w:rFonts w:ascii="Arial" w:eastAsia="Times New Roman" w:hAnsi="Arial" w:cs="Arial"/>
                <w:i/>
                <w:iCs/>
                <w:color w:val="000000"/>
                <w:sz w:val="20"/>
                <w:lang w:eastAsia="en-IN"/>
              </w:rPr>
              <w:t>, Terminalia etc</w:t>
            </w:r>
          </w:p>
        </w:tc>
        <w:tc>
          <w:tcPr>
            <w:tcW w:w="1416" w:type="dxa"/>
            <w:shd w:val="clear" w:color="auto" w:fill="auto"/>
            <w:hideMark/>
          </w:tcPr>
          <w:p w14:paraId="798F15E6"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Preferred in monsoon due to fruiting trees</w:t>
            </w:r>
          </w:p>
        </w:tc>
        <w:tc>
          <w:tcPr>
            <w:tcW w:w="1509" w:type="dxa"/>
            <w:shd w:val="clear" w:color="auto" w:fill="auto"/>
            <w:hideMark/>
          </w:tcPr>
          <w:p w14:paraId="01480847"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Joshi et al. 1997; Seidensticker &amp; Yoganand 2011</w:t>
            </w:r>
          </w:p>
        </w:tc>
      </w:tr>
      <w:tr w:rsidR="001C5446" w:rsidRPr="005D01D1" w14:paraId="4B103485" w14:textId="77777777" w:rsidTr="00D006A1">
        <w:trPr>
          <w:trHeight w:val="882"/>
          <w:jc w:val="center"/>
        </w:trPr>
        <w:tc>
          <w:tcPr>
            <w:tcW w:w="1271" w:type="dxa"/>
            <w:shd w:val="clear" w:color="auto" w:fill="auto"/>
            <w:hideMark/>
          </w:tcPr>
          <w:p w14:paraId="0FF51720"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Scrub</w:t>
            </w:r>
          </w:p>
        </w:tc>
        <w:tc>
          <w:tcPr>
            <w:tcW w:w="1708" w:type="dxa"/>
            <w:shd w:val="clear" w:color="auto" w:fill="auto"/>
            <w:hideMark/>
          </w:tcPr>
          <w:p w14:paraId="4884D023"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Rajasthan, Gujarat</w:t>
            </w:r>
          </w:p>
        </w:tc>
        <w:tc>
          <w:tcPr>
            <w:tcW w:w="1733" w:type="dxa"/>
            <w:shd w:val="clear" w:color="auto" w:fill="auto"/>
            <w:hideMark/>
          </w:tcPr>
          <w:p w14:paraId="2A319A52"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Acacia spp., </w:t>
            </w:r>
            <w:proofErr w:type="spellStart"/>
            <w:r w:rsidRPr="005D01D1">
              <w:rPr>
                <w:rFonts w:ascii="Arial" w:eastAsia="Times New Roman" w:hAnsi="Arial" w:cs="Arial"/>
                <w:i/>
                <w:iCs/>
                <w:color w:val="000000"/>
                <w:sz w:val="20"/>
                <w:lang w:eastAsia="en-IN"/>
              </w:rPr>
              <w:t>Zizyphus</w:t>
            </w:r>
            <w:proofErr w:type="spellEnd"/>
            <w:r w:rsidRPr="005D01D1">
              <w:rPr>
                <w:rFonts w:ascii="Arial" w:eastAsia="Times New Roman" w:hAnsi="Arial" w:cs="Arial"/>
                <w:i/>
                <w:iCs/>
                <w:color w:val="000000"/>
                <w:sz w:val="20"/>
                <w:lang w:eastAsia="en-IN"/>
              </w:rPr>
              <w:t xml:space="preserve"> spp.</w:t>
            </w:r>
          </w:p>
        </w:tc>
        <w:tc>
          <w:tcPr>
            <w:tcW w:w="1382" w:type="dxa"/>
            <w:shd w:val="clear" w:color="auto" w:fill="auto"/>
            <w:hideMark/>
          </w:tcPr>
          <w:p w14:paraId="4BF9F9D4"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Zizyphus</w:t>
            </w:r>
            <w:proofErr w:type="spellEnd"/>
            <w:r w:rsidRPr="005D01D1">
              <w:rPr>
                <w:rFonts w:ascii="Arial" w:eastAsia="Times New Roman" w:hAnsi="Arial" w:cs="Arial"/>
                <w:i/>
                <w:iCs/>
                <w:color w:val="000000"/>
                <w:sz w:val="20"/>
                <w:lang w:eastAsia="en-IN"/>
              </w:rPr>
              <w:t>, Prosopis</w:t>
            </w:r>
            <w:r w:rsidR="001B2763" w:rsidRPr="005D01D1">
              <w:rPr>
                <w:rFonts w:ascii="Arial" w:eastAsia="Times New Roman" w:hAnsi="Arial" w:cs="Arial"/>
                <w:i/>
                <w:iCs/>
                <w:color w:val="000000"/>
                <w:sz w:val="20"/>
                <w:lang w:eastAsia="en-IN"/>
              </w:rPr>
              <w:t>, Acacia</w:t>
            </w:r>
          </w:p>
        </w:tc>
        <w:tc>
          <w:tcPr>
            <w:tcW w:w="1416" w:type="dxa"/>
            <w:shd w:val="clear" w:color="auto" w:fill="auto"/>
            <w:hideMark/>
          </w:tcPr>
          <w:p w14:paraId="4FF22324"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Used as corridors, low fruit density</w:t>
            </w:r>
          </w:p>
        </w:tc>
        <w:tc>
          <w:tcPr>
            <w:tcW w:w="1509" w:type="dxa"/>
            <w:shd w:val="clear" w:color="auto" w:fill="auto"/>
            <w:hideMark/>
          </w:tcPr>
          <w:p w14:paraId="173AEFDA" w14:textId="77777777" w:rsidR="001C5446" w:rsidRPr="005D01D1" w:rsidRDefault="001C5446" w:rsidP="005D01D1">
            <w:pPr>
              <w:spacing w:line="240" w:lineRule="auto"/>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Sukhadiya</w:t>
            </w:r>
            <w:proofErr w:type="spellEnd"/>
            <w:r w:rsidRPr="005D01D1">
              <w:rPr>
                <w:rFonts w:ascii="Arial" w:eastAsia="Times New Roman" w:hAnsi="Arial" w:cs="Arial"/>
                <w:color w:val="000000"/>
                <w:sz w:val="20"/>
                <w:lang w:eastAsia="en-IN"/>
              </w:rPr>
              <w:t xml:space="preserve"> et al. 2013</w:t>
            </w:r>
          </w:p>
        </w:tc>
      </w:tr>
      <w:tr w:rsidR="001C5446" w:rsidRPr="005D01D1" w14:paraId="7632697B" w14:textId="77777777" w:rsidTr="00D006A1">
        <w:trPr>
          <w:trHeight w:val="1135"/>
          <w:jc w:val="center"/>
        </w:trPr>
        <w:tc>
          <w:tcPr>
            <w:tcW w:w="1271" w:type="dxa"/>
            <w:shd w:val="clear" w:color="auto" w:fill="auto"/>
            <w:hideMark/>
          </w:tcPr>
          <w:p w14:paraId="47BBA03E"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Agroforestry</w:t>
            </w:r>
          </w:p>
        </w:tc>
        <w:tc>
          <w:tcPr>
            <w:tcW w:w="1708" w:type="dxa"/>
            <w:shd w:val="clear" w:color="auto" w:fill="auto"/>
            <w:hideMark/>
          </w:tcPr>
          <w:p w14:paraId="03FF40C5"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Odisha, Eastern India</w:t>
            </w:r>
          </w:p>
        </w:tc>
        <w:tc>
          <w:tcPr>
            <w:tcW w:w="1733" w:type="dxa"/>
            <w:shd w:val="clear" w:color="auto" w:fill="auto"/>
            <w:hideMark/>
          </w:tcPr>
          <w:p w14:paraId="72647BA9"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Mango, Cashew, Mahua</w:t>
            </w:r>
          </w:p>
        </w:tc>
        <w:tc>
          <w:tcPr>
            <w:tcW w:w="1382" w:type="dxa"/>
            <w:shd w:val="clear" w:color="auto" w:fill="auto"/>
            <w:hideMark/>
          </w:tcPr>
          <w:p w14:paraId="13E90825"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Madhuca</w:t>
            </w:r>
            <w:proofErr w:type="spellEnd"/>
            <w:r w:rsidRPr="005D01D1">
              <w:rPr>
                <w:rFonts w:ascii="Arial" w:eastAsia="Times New Roman" w:hAnsi="Arial" w:cs="Arial"/>
                <w:i/>
                <w:iCs/>
                <w:color w:val="000000"/>
                <w:sz w:val="20"/>
                <w:lang w:eastAsia="en-IN"/>
              </w:rPr>
              <w:t xml:space="preserve"> indica, </w:t>
            </w:r>
            <w:proofErr w:type="spellStart"/>
            <w:r w:rsidR="001B2763" w:rsidRPr="005D01D1">
              <w:rPr>
                <w:rFonts w:ascii="Arial" w:eastAsia="Times New Roman" w:hAnsi="Arial" w:cs="Arial"/>
                <w:i/>
                <w:iCs/>
                <w:color w:val="000000"/>
                <w:sz w:val="20"/>
                <w:lang w:eastAsia="en-IN"/>
              </w:rPr>
              <w:t>Semecarpus</w:t>
            </w:r>
            <w:proofErr w:type="spellEnd"/>
            <w:r w:rsidR="001B2763" w:rsidRPr="005D01D1">
              <w:rPr>
                <w:rFonts w:ascii="Arial" w:eastAsia="Times New Roman" w:hAnsi="Arial" w:cs="Arial"/>
                <w:i/>
                <w:iCs/>
                <w:color w:val="000000"/>
                <w:sz w:val="20"/>
                <w:lang w:eastAsia="en-IN"/>
              </w:rPr>
              <w:t xml:space="preserve"> etc</w:t>
            </w:r>
          </w:p>
        </w:tc>
        <w:tc>
          <w:tcPr>
            <w:tcW w:w="1416" w:type="dxa"/>
            <w:shd w:val="clear" w:color="auto" w:fill="auto"/>
            <w:hideMark/>
          </w:tcPr>
          <w:p w14:paraId="6DEA2FC2"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Supplement diet, high conflict risk</w:t>
            </w:r>
          </w:p>
        </w:tc>
        <w:tc>
          <w:tcPr>
            <w:tcW w:w="1509" w:type="dxa"/>
            <w:shd w:val="clear" w:color="auto" w:fill="auto"/>
            <w:hideMark/>
          </w:tcPr>
          <w:p w14:paraId="4C3707C8"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Palei et al. 2020; </w:t>
            </w:r>
            <w:proofErr w:type="spellStart"/>
            <w:r w:rsidRPr="005D01D1">
              <w:rPr>
                <w:rFonts w:ascii="Arial" w:eastAsia="Times New Roman" w:hAnsi="Arial" w:cs="Arial"/>
                <w:color w:val="000000"/>
                <w:sz w:val="20"/>
                <w:lang w:eastAsia="en-IN"/>
              </w:rPr>
              <w:t>Mewada</w:t>
            </w:r>
            <w:proofErr w:type="spellEnd"/>
            <w:r w:rsidRPr="005D01D1">
              <w:rPr>
                <w:rFonts w:ascii="Arial" w:eastAsia="Times New Roman" w:hAnsi="Arial" w:cs="Arial"/>
                <w:color w:val="000000"/>
                <w:sz w:val="20"/>
                <w:lang w:eastAsia="en-IN"/>
              </w:rPr>
              <w:t xml:space="preserve"> 2015</w:t>
            </w:r>
          </w:p>
        </w:tc>
      </w:tr>
    </w:tbl>
    <w:p w14:paraId="07058E1F" w14:textId="77777777" w:rsidR="001C5446" w:rsidRPr="005D01D1" w:rsidRDefault="003E26DA" w:rsidP="005D01D1">
      <w:pPr>
        <w:spacing w:line="240" w:lineRule="auto"/>
        <w:jc w:val="both"/>
        <w:rPr>
          <w:rFonts w:ascii="Arial" w:hAnsi="Arial" w:cs="Arial"/>
          <w:sz w:val="20"/>
        </w:rPr>
      </w:pPr>
      <w:commentRangeStart w:id="4"/>
      <w:r w:rsidRPr="005D01D1">
        <w:rPr>
          <w:rFonts w:ascii="Arial" w:hAnsi="Arial" w:cs="Arial"/>
          <w:sz w:val="20"/>
        </w:rPr>
        <w:t>Here is Table-1 presenting the vegetation characteristics of different forest types and their significance for sloth bear ecology across regions.</w:t>
      </w:r>
      <w:commentRangeEnd w:id="4"/>
      <w:r w:rsidR="00052AE0">
        <w:rPr>
          <w:rStyle w:val="CommentReference"/>
        </w:rPr>
        <w:commentReference w:id="4"/>
      </w:r>
    </w:p>
    <w:p w14:paraId="7B29E73E" w14:textId="77777777" w:rsidR="003E26DA" w:rsidRPr="0051502E" w:rsidRDefault="003E26DA"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Food Plants and Phenology in Sloth Bear Ecology</w:t>
      </w:r>
    </w:p>
    <w:p w14:paraId="11992745" w14:textId="77777777" w:rsidR="003E26DA" w:rsidRPr="0051502E" w:rsidRDefault="003E26DA"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List of Major Food Plants</w:t>
      </w:r>
    </w:p>
    <w:p w14:paraId="3B842B5A" w14:textId="77777777" w:rsidR="003E26DA" w:rsidRPr="005D01D1" w:rsidRDefault="003E26DA" w:rsidP="005D01D1">
      <w:pPr>
        <w:spacing w:line="240" w:lineRule="auto"/>
        <w:jc w:val="both"/>
        <w:rPr>
          <w:rFonts w:ascii="Arial" w:hAnsi="Arial" w:cs="Arial"/>
          <w:sz w:val="20"/>
        </w:rPr>
      </w:pPr>
      <w:r w:rsidRPr="005D01D1">
        <w:rPr>
          <w:rFonts w:ascii="Arial" w:hAnsi="Arial" w:cs="Arial"/>
          <w:sz w:val="20"/>
        </w:rPr>
        <w:t xml:space="preserve">Sloth bears exhibit a diverse diet dominated by insects such as termites and ants, but they also heavily rely on plant-based foods, particularly seasonal fruits, roots, and tubers. Common fruiting species </w:t>
      </w:r>
      <w:r w:rsidRPr="005D01D1">
        <w:rPr>
          <w:rFonts w:ascii="Arial" w:hAnsi="Arial" w:cs="Arial"/>
          <w:i/>
          <w:iCs/>
          <w:sz w:val="20"/>
        </w:rPr>
        <w:t xml:space="preserve">include </w:t>
      </w:r>
      <w:proofErr w:type="spellStart"/>
      <w:r w:rsidRPr="005D01D1">
        <w:rPr>
          <w:rFonts w:ascii="Arial" w:hAnsi="Arial" w:cs="Arial"/>
          <w:i/>
          <w:iCs/>
          <w:sz w:val="20"/>
        </w:rPr>
        <w:t>Zizyphus</w:t>
      </w:r>
      <w:proofErr w:type="spellEnd"/>
      <w:r w:rsidRPr="005D01D1">
        <w:rPr>
          <w:rFonts w:ascii="Arial" w:hAnsi="Arial" w:cs="Arial"/>
          <w:i/>
          <w:iCs/>
          <w:sz w:val="20"/>
        </w:rPr>
        <w:t xml:space="preserve"> </w:t>
      </w:r>
      <w:proofErr w:type="spellStart"/>
      <w:r w:rsidRPr="005D01D1">
        <w:rPr>
          <w:rFonts w:ascii="Arial" w:hAnsi="Arial" w:cs="Arial"/>
          <w:i/>
          <w:iCs/>
          <w:sz w:val="20"/>
        </w:rPr>
        <w:t>mauritiana</w:t>
      </w:r>
      <w:proofErr w:type="spellEnd"/>
      <w:r w:rsidRPr="005D01D1">
        <w:rPr>
          <w:rFonts w:ascii="Arial" w:hAnsi="Arial" w:cs="Arial"/>
          <w:i/>
          <w:iCs/>
          <w:sz w:val="20"/>
        </w:rPr>
        <w:t xml:space="preserve"> (</w:t>
      </w:r>
      <w:proofErr w:type="spellStart"/>
      <w:r w:rsidRPr="005D01D1">
        <w:rPr>
          <w:rFonts w:ascii="Arial" w:hAnsi="Arial" w:cs="Arial"/>
          <w:i/>
          <w:iCs/>
          <w:sz w:val="20"/>
        </w:rPr>
        <w:t>ber</w:t>
      </w:r>
      <w:proofErr w:type="spellEnd"/>
      <w:r w:rsidRPr="005D01D1">
        <w:rPr>
          <w:rFonts w:ascii="Arial" w:hAnsi="Arial" w:cs="Arial"/>
          <w:i/>
          <w:iCs/>
          <w:sz w:val="20"/>
        </w:rPr>
        <w:t xml:space="preserve">), Diospyros melanoxylon (tendu), Ficus racemosa, Aegle </w:t>
      </w:r>
      <w:proofErr w:type="spellStart"/>
      <w:r w:rsidRPr="005D01D1">
        <w:rPr>
          <w:rFonts w:ascii="Arial" w:hAnsi="Arial" w:cs="Arial"/>
          <w:i/>
          <w:iCs/>
          <w:sz w:val="20"/>
        </w:rPr>
        <w:t>marmelos</w:t>
      </w:r>
      <w:proofErr w:type="spellEnd"/>
      <w:r w:rsidRPr="005D01D1">
        <w:rPr>
          <w:rFonts w:ascii="Arial" w:hAnsi="Arial" w:cs="Arial"/>
          <w:i/>
          <w:iCs/>
          <w:sz w:val="20"/>
        </w:rPr>
        <w:t xml:space="preserve"> (</w:t>
      </w:r>
      <w:proofErr w:type="spellStart"/>
      <w:r w:rsidRPr="005D01D1">
        <w:rPr>
          <w:rFonts w:ascii="Arial" w:hAnsi="Arial" w:cs="Arial"/>
          <w:i/>
          <w:iCs/>
          <w:sz w:val="20"/>
        </w:rPr>
        <w:t>bael</w:t>
      </w:r>
      <w:proofErr w:type="spellEnd"/>
      <w:r w:rsidRPr="005D01D1">
        <w:rPr>
          <w:rFonts w:ascii="Arial" w:hAnsi="Arial" w:cs="Arial"/>
          <w:i/>
          <w:iCs/>
          <w:sz w:val="20"/>
        </w:rPr>
        <w:t xml:space="preserve">), </w:t>
      </w:r>
      <w:proofErr w:type="spellStart"/>
      <w:r w:rsidRPr="005D01D1">
        <w:rPr>
          <w:rFonts w:ascii="Arial" w:hAnsi="Arial" w:cs="Arial"/>
          <w:i/>
          <w:iCs/>
          <w:sz w:val="20"/>
        </w:rPr>
        <w:t>Syzygium</w:t>
      </w:r>
      <w:proofErr w:type="spellEnd"/>
      <w:r w:rsidRPr="005D01D1">
        <w:rPr>
          <w:rFonts w:ascii="Arial" w:hAnsi="Arial" w:cs="Arial"/>
          <w:i/>
          <w:iCs/>
          <w:sz w:val="20"/>
        </w:rPr>
        <w:t xml:space="preserve"> </w:t>
      </w:r>
      <w:proofErr w:type="spellStart"/>
      <w:r w:rsidRPr="005D01D1">
        <w:rPr>
          <w:rFonts w:ascii="Arial" w:hAnsi="Arial" w:cs="Arial"/>
          <w:i/>
          <w:iCs/>
          <w:sz w:val="20"/>
        </w:rPr>
        <w:t>cumini</w:t>
      </w:r>
      <w:proofErr w:type="spellEnd"/>
      <w:r w:rsidRPr="005D01D1">
        <w:rPr>
          <w:rFonts w:ascii="Arial" w:hAnsi="Arial" w:cs="Arial"/>
          <w:i/>
          <w:iCs/>
          <w:sz w:val="20"/>
        </w:rPr>
        <w:t xml:space="preserve"> (jamun), and </w:t>
      </w:r>
      <w:proofErr w:type="spellStart"/>
      <w:r w:rsidRPr="005D01D1">
        <w:rPr>
          <w:rFonts w:ascii="Arial" w:hAnsi="Arial" w:cs="Arial"/>
          <w:i/>
          <w:iCs/>
          <w:sz w:val="20"/>
        </w:rPr>
        <w:t>Madhuca</w:t>
      </w:r>
      <w:proofErr w:type="spellEnd"/>
      <w:r w:rsidRPr="005D01D1">
        <w:rPr>
          <w:rFonts w:ascii="Arial" w:hAnsi="Arial" w:cs="Arial"/>
          <w:i/>
          <w:iCs/>
          <w:sz w:val="20"/>
        </w:rPr>
        <w:t xml:space="preserve"> indica (mahua)</w:t>
      </w:r>
      <w:r w:rsidRPr="005D01D1">
        <w:rPr>
          <w:rFonts w:ascii="Arial" w:hAnsi="Arial" w:cs="Arial"/>
          <w:sz w:val="20"/>
        </w:rPr>
        <w:t>. Roots and tubers of various forest plants, such as Curcuma spp. and wild yams, are also consumed, especially during periods when fruit is scarce (</w:t>
      </w:r>
      <w:proofErr w:type="spellStart"/>
      <w:r w:rsidRPr="005D01D1">
        <w:rPr>
          <w:rFonts w:ascii="Arial" w:hAnsi="Arial" w:cs="Arial"/>
          <w:sz w:val="20"/>
        </w:rPr>
        <w:t>Sajeer</w:t>
      </w:r>
      <w:proofErr w:type="spellEnd"/>
      <w:r w:rsidRPr="005D01D1">
        <w:rPr>
          <w:rFonts w:ascii="Arial" w:hAnsi="Arial" w:cs="Arial"/>
          <w:sz w:val="20"/>
        </w:rPr>
        <w:t>, 2013; Joshi et al., 1997).</w:t>
      </w:r>
    </w:p>
    <w:p w14:paraId="587FF8C1" w14:textId="77777777" w:rsidR="00ED6FFB" w:rsidRPr="005D01D1" w:rsidRDefault="003E26DA" w:rsidP="005D01D1">
      <w:pPr>
        <w:spacing w:line="240" w:lineRule="auto"/>
        <w:jc w:val="both"/>
        <w:rPr>
          <w:rFonts w:ascii="Arial" w:hAnsi="Arial" w:cs="Arial"/>
          <w:sz w:val="20"/>
        </w:rPr>
      </w:pPr>
      <w:r w:rsidRPr="005D01D1">
        <w:rPr>
          <w:rFonts w:ascii="Arial" w:hAnsi="Arial" w:cs="Arial"/>
          <w:sz w:val="20"/>
        </w:rPr>
        <w:t xml:space="preserve">The availability of these food resources is highly seasonal. Fruiting peaks generally occur during the summer and monsoon months (April–August), when trees like </w:t>
      </w:r>
      <w:proofErr w:type="spellStart"/>
      <w:r w:rsidRPr="005D01D1">
        <w:rPr>
          <w:rFonts w:ascii="Arial" w:hAnsi="Arial" w:cs="Arial"/>
          <w:i/>
          <w:iCs/>
          <w:sz w:val="20"/>
        </w:rPr>
        <w:t>Zizyphus</w:t>
      </w:r>
      <w:proofErr w:type="spellEnd"/>
      <w:r w:rsidRPr="005D01D1">
        <w:rPr>
          <w:rFonts w:ascii="Arial" w:hAnsi="Arial" w:cs="Arial"/>
          <w:i/>
          <w:iCs/>
          <w:sz w:val="20"/>
        </w:rPr>
        <w:t>, Ficus</w:t>
      </w:r>
      <w:r w:rsidRPr="005D01D1">
        <w:rPr>
          <w:rFonts w:ascii="Arial" w:hAnsi="Arial" w:cs="Arial"/>
          <w:sz w:val="20"/>
        </w:rPr>
        <w:t xml:space="preserve">, and </w:t>
      </w:r>
      <w:proofErr w:type="spellStart"/>
      <w:r w:rsidRPr="005D01D1">
        <w:rPr>
          <w:rFonts w:ascii="Arial" w:hAnsi="Arial" w:cs="Arial"/>
          <w:i/>
          <w:iCs/>
          <w:sz w:val="20"/>
        </w:rPr>
        <w:t>Syzygium</w:t>
      </w:r>
      <w:proofErr w:type="spellEnd"/>
      <w:r w:rsidRPr="005D01D1">
        <w:rPr>
          <w:rFonts w:ascii="Arial" w:hAnsi="Arial" w:cs="Arial"/>
          <w:i/>
          <w:iCs/>
          <w:sz w:val="20"/>
        </w:rPr>
        <w:t xml:space="preserve"> </w:t>
      </w:r>
      <w:r w:rsidRPr="005D01D1">
        <w:rPr>
          <w:rFonts w:ascii="Arial" w:hAnsi="Arial" w:cs="Arial"/>
          <w:sz w:val="20"/>
        </w:rPr>
        <w:t>produce abundant fruits. Mahua flowers bloom in early summer and are a critical resource at the end of the dry season. During winter and dry months (November–March), when fruit availability declines, sloth bears shift their diet towards insect prey and underground parts of plants like tubers and roots (Rathore, 2008).</w:t>
      </w:r>
    </w:p>
    <w:p w14:paraId="4076F4E1" w14:textId="77777777" w:rsidR="00DB4A05" w:rsidRPr="0051502E" w:rsidRDefault="003E26DA" w:rsidP="005D01D1">
      <w:pPr>
        <w:pStyle w:val="Heading3"/>
        <w:numPr>
          <w:ilvl w:val="2"/>
          <w:numId w:val="2"/>
        </w:numPr>
        <w:spacing w:before="0" w:after="160" w:line="240" w:lineRule="auto"/>
        <w:ind w:left="567" w:hanging="567"/>
        <w:jc w:val="both"/>
        <w:rPr>
          <w:rFonts w:ascii="Arial" w:hAnsi="Arial" w:cs="Arial"/>
          <w:sz w:val="20"/>
          <w:szCs w:val="20"/>
          <w:u w:val="single"/>
        </w:rPr>
      </w:pPr>
      <w:r w:rsidRPr="0051502E">
        <w:rPr>
          <w:rFonts w:ascii="Arial" w:hAnsi="Arial" w:cs="Arial"/>
          <w:b/>
          <w:bCs/>
          <w:color w:val="000000" w:themeColor="text1"/>
          <w:sz w:val="20"/>
          <w:szCs w:val="20"/>
          <w:u w:val="single"/>
        </w:rPr>
        <w:t xml:space="preserve">Alignment of Food Peaks with </w:t>
      </w:r>
      <w:r w:rsidR="00DB4A05" w:rsidRPr="0051502E">
        <w:rPr>
          <w:rFonts w:ascii="Arial" w:hAnsi="Arial" w:cs="Arial"/>
          <w:b/>
          <w:bCs/>
          <w:color w:val="000000" w:themeColor="text1"/>
          <w:sz w:val="20"/>
          <w:szCs w:val="20"/>
          <w:u w:val="single"/>
        </w:rPr>
        <w:t>Seasonality and Availability</w:t>
      </w:r>
    </w:p>
    <w:p w14:paraId="2E9D43BD" w14:textId="77777777" w:rsidR="00DB4A05" w:rsidRPr="005D01D1" w:rsidRDefault="00DB4A05" w:rsidP="005D01D1">
      <w:pPr>
        <w:spacing w:line="240" w:lineRule="auto"/>
        <w:jc w:val="both"/>
        <w:rPr>
          <w:rFonts w:ascii="Arial" w:hAnsi="Arial" w:cs="Arial"/>
          <w:color w:val="000000" w:themeColor="text1"/>
          <w:sz w:val="20"/>
        </w:rPr>
      </w:pPr>
      <w:r w:rsidRPr="005D01D1">
        <w:rPr>
          <w:rFonts w:ascii="Arial" w:hAnsi="Arial" w:cs="Arial"/>
          <w:color w:val="000000" w:themeColor="text1"/>
          <w:sz w:val="20"/>
        </w:rPr>
        <w:t xml:space="preserve">A wide variety of native tree species play a crucial role in supporting the frugivorous dietary needs of the sloth bear, with fruit availability often guiding seasonal habitat preference. Key species such as </w:t>
      </w:r>
      <w:r w:rsidRPr="005D01D1">
        <w:rPr>
          <w:rFonts w:ascii="Arial" w:hAnsi="Arial" w:cs="Arial"/>
          <w:i/>
          <w:iCs/>
          <w:color w:val="000000" w:themeColor="text1"/>
          <w:sz w:val="20"/>
        </w:rPr>
        <w:t xml:space="preserve">Aegle </w:t>
      </w:r>
      <w:proofErr w:type="spellStart"/>
      <w:r w:rsidRPr="005D01D1">
        <w:rPr>
          <w:rFonts w:ascii="Arial" w:hAnsi="Arial" w:cs="Arial"/>
          <w:i/>
          <w:iCs/>
          <w:color w:val="000000" w:themeColor="text1"/>
          <w:sz w:val="20"/>
        </w:rPr>
        <w:t>marmelos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Buchanania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lanzan</w:t>
      </w:r>
      <w:proofErr w:type="spellEnd"/>
      <w:r w:rsidRPr="005D01D1">
        <w:rPr>
          <w:rFonts w:ascii="Arial" w:hAnsi="Arial" w:cs="Arial"/>
          <w:i/>
          <w:iCs/>
          <w:color w:val="000000" w:themeColor="text1"/>
          <w:sz w:val="20"/>
        </w:rPr>
        <w:t xml:space="preserve">, Mangifera indica, </w:t>
      </w:r>
      <w:proofErr w:type="spellStart"/>
      <w:r w:rsidRPr="005D01D1">
        <w:rPr>
          <w:rFonts w:ascii="Arial" w:hAnsi="Arial" w:cs="Arial"/>
          <w:i/>
          <w:iCs/>
          <w:color w:val="000000" w:themeColor="text1"/>
          <w:sz w:val="20"/>
        </w:rPr>
        <w:t>Syzygium</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cumini</w:t>
      </w:r>
      <w:proofErr w:type="spellEnd"/>
      <w:r w:rsidRPr="005D01D1">
        <w:rPr>
          <w:rFonts w:ascii="Arial" w:hAnsi="Arial" w:cs="Arial"/>
          <w:i/>
          <w:iCs/>
          <w:color w:val="000000" w:themeColor="text1"/>
          <w:sz w:val="20"/>
        </w:rPr>
        <w:t xml:space="preserve">, and Ziziphus </w:t>
      </w:r>
      <w:proofErr w:type="spellStart"/>
      <w:r w:rsidRPr="005D01D1">
        <w:rPr>
          <w:rFonts w:ascii="Arial" w:hAnsi="Arial" w:cs="Arial"/>
          <w:i/>
          <w:iCs/>
          <w:color w:val="000000" w:themeColor="text1"/>
          <w:sz w:val="20"/>
        </w:rPr>
        <w:t>mauritiana</w:t>
      </w:r>
      <w:proofErr w:type="spellEnd"/>
      <w:r w:rsidRPr="005D01D1">
        <w:rPr>
          <w:rFonts w:ascii="Arial" w:hAnsi="Arial" w:cs="Arial"/>
          <w:color w:val="000000" w:themeColor="text1"/>
          <w:sz w:val="20"/>
        </w:rPr>
        <w:t xml:space="preserve"> exhibit high palatability and are strongly preferred by sloth bears, particularly during the post-monsoon and early winter months (</w:t>
      </w:r>
      <w:proofErr w:type="spellStart"/>
      <w:r w:rsidRPr="005D01D1">
        <w:rPr>
          <w:rFonts w:ascii="Arial" w:hAnsi="Arial" w:cs="Arial"/>
          <w:color w:val="000000" w:themeColor="text1"/>
          <w:sz w:val="20"/>
        </w:rPr>
        <w:t>Bargali</w:t>
      </w:r>
      <w:proofErr w:type="spellEnd"/>
      <w:r w:rsidRPr="005D01D1">
        <w:rPr>
          <w:rFonts w:ascii="Arial" w:hAnsi="Arial" w:cs="Arial"/>
          <w:color w:val="000000" w:themeColor="text1"/>
          <w:sz w:val="20"/>
        </w:rPr>
        <w:t xml:space="preserve"> et al., 2004; Laurie &amp; Seidensticker, 1977; Kumara et al., 2023). These trees offer soft pulpy fruits, which are rich in sugars and nutrients, making them critical food resources during periods of high energy demand.</w:t>
      </w:r>
    </w:p>
    <w:p w14:paraId="623C87FE" w14:textId="77777777" w:rsidR="00DB4A05" w:rsidRPr="005D01D1" w:rsidRDefault="00DB4A05" w:rsidP="005D01D1">
      <w:pPr>
        <w:spacing w:line="240" w:lineRule="auto"/>
        <w:jc w:val="both"/>
        <w:rPr>
          <w:rFonts w:ascii="Arial" w:hAnsi="Arial" w:cs="Arial"/>
          <w:color w:val="000000" w:themeColor="text1"/>
          <w:sz w:val="20"/>
        </w:rPr>
      </w:pPr>
      <w:r w:rsidRPr="005D01D1">
        <w:rPr>
          <w:rFonts w:ascii="Arial" w:hAnsi="Arial" w:cs="Arial"/>
          <w:color w:val="000000" w:themeColor="text1"/>
          <w:sz w:val="20"/>
        </w:rPr>
        <w:lastRenderedPageBreak/>
        <w:t>Several fig species (</w:t>
      </w:r>
      <w:r w:rsidRPr="005D01D1">
        <w:rPr>
          <w:rFonts w:ascii="Arial" w:hAnsi="Arial" w:cs="Arial"/>
          <w:i/>
          <w:iCs/>
          <w:color w:val="000000" w:themeColor="text1"/>
          <w:sz w:val="20"/>
        </w:rPr>
        <w:t>Ficus benghalensis, F. racemosa, F. religiosa, F. virens</w:t>
      </w:r>
      <w:r w:rsidRPr="005D01D1">
        <w:rPr>
          <w:rFonts w:ascii="Arial" w:hAnsi="Arial" w:cs="Arial"/>
          <w:color w:val="000000" w:themeColor="text1"/>
          <w:sz w:val="20"/>
        </w:rPr>
        <w:t xml:space="preserve">) also contribute significantly to sloth bear diets due to their extended fruiting windows and wide distribution, particularly in Central India (Kumara et al., 2023; Paul &amp; Kumar, 2021). Similarly, other moderately preferred species like </w:t>
      </w:r>
      <w:r w:rsidRPr="005D01D1">
        <w:rPr>
          <w:rFonts w:ascii="Arial" w:hAnsi="Arial" w:cs="Arial"/>
          <w:i/>
          <w:iCs/>
          <w:color w:val="000000" w:themeColor="text1"/>
          <w:sz w:val="20"/>
        </w:rPr>
        <w:t xml:space="preserve">Annona squamosa, Cordia dichotoma, and Cassia fistula </w:t>
      </w:r>
      <w:r w:rsidRPr="005D01D1">
        <w:rPr>
          <w:rFonts w:ascii="Arial" w:hAnsi="Arial" w:cs="Arial"/>
          <w:color w:val="000000" w:themeColor="text1"/>
          <w:sz w:val="20"/>
        </w:rPr>
        <w:t xml:space="preserve">serve as supplementary food sources, especially when primary fruits are scarce. Interestingly, certain floral or young shoot resources such as </w:t>
      </w:r>
      <w:r w:rsidRPr="005D01D1">
        <w:rPr>
          <w:rFonts w:ascii="Arial" w:hAnsi="Arial" w:cs="Arial"/>
          <w:i/>
          <w:iCs/>
          <w:color w:val="000000" w:themeColor="text1"/>
          <w:sz w:val="20"/>
        </w:rPr>
        <w:t>Bombax ceiba</w:t>
      </w:r>
      <w:r w:rsidRPr="005D01D1">
        <w:rPr>
          <w:rFonts w:ascii="Arial" w:hAnsi="Arial" w:cs="Arial"/>
          <w:color w:val="000000" w:themeColor="text1"/>
          <w:sz w:val="20"/>
        </w:rPr>
        <w:t xml:space="preserve"> (flowers), </w:t>
      </w:r>
      <w:r w:rsidRPr="005D01D1">
        <w:rPr>
          <w:rFonts w:ascii="Arial" w:hAnsi="Arial" w:cs="Arial"/>
          <w:i/>
          <w:iCs/>
          <w:color w:val="000000" w:themeColor="text1"/>
          <w:sz w:val="20"/>
        </w:rPr>
        <w:t>Bambusa vulgaris</w:t>
      </w:r>
      <w:r w:rsidRPr="005D01D1">
        <w:rPr>
          <w:rFonts w:ascii="Arial" w:hAnsi="Arial" w:cs="Arial"/>
          <w:color w:val="000000" w:themeColor="text1"/>
          <w:sz w:val="20"/>
        </w:rPr>
        <w:t xml:space="preserve">, and </w:t>
      </w:r>
      <w:proofErr w:type="spellStart"/>
      <w:r w:rsidRPr="005D01D1">
        <w:rPr>
          <w:rFonts w:ascii="Arial" w:hAnsi="Arial" w:cs="Arial"/>
          <w:i/>
          <w:iCs/>
          <w:color w:val="000000" w:themeColor="text1"/>
          <w:sz w:val="20"/>
        </w:rPr>
        <w:t>Dendrocalamus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strictus</w:t>
      </w:r>
      <w:proofErr w:type="spellEnd"/>
      <w:r w:rsidRPr="005D01D1">
        <w:rPr>
          <w:rFonts w:ascii="Arial" w:hAnsi="Arial" w:cs="Arial"/>
          <w:color w:val="000000" w:themeColor="text1"/>
          <w:sz w:val="20"/>
        </w:rPr>
        <w:t xml:space="preserve"> (shoots) are consumed occasionally, although with lower preference, likely due to their seasonal or regional availability (Philip et al., 2022; </w:t>
      </w:r>
      <w:proofErr w:type="spellStart"/>
      <w:r w:rsidRPr="005D01D1">
        <w:rPr>
          <w:rFonts w:ascii="Arial" w:hAnsi="Arial" w:cs="Arial"/>
          <w:color w:val="000000" w:themeColor="text1"/>
          <w:sz w:val="20"/>
        </w:rPr>
        <w:t>Mewata</w:t>
      </w:r>
      <w:proofErr w:type="spellEnd"/>
      <w:r w:rsidRPr="005D01D1">
        <w:rPr>
          <w:rFonts w:ascii="Arial" w:hAnsi="Arial" w:cs="Arial"/>
          <w:color w:val="000000" w:themeColor="text1"/>
          <w:sz w:val="20"/>
        </w:rPr>
        <w:t xml:space="preserve"> et al., 2019).</w:t>
      </w:r>
    </w:p>
    <w:p w14:paraId="473A0F6A" w14:textId="77777777" w:rsidR="00DB4A05" w:rsidRPr="005D01D1" w:rsidRDefault="00DB4A05" w:rsidP="005D01D1">
      <w:pPr>
        <w:spacing w:line="240" w:lineRule="auto"/>
        <w:jc w:val="both"/>
        <w:rPr>
          <w:rFonts w:ascii="Arial" w:hAnsi="Arial" w:cs="Arial"/>
          <w:color w:val="000000" w:themeColor="text1"/>
          <w:sz w:val="20"/>
        </w:rPr>
      </w:pPr>
      <w:r w:rsidRPr="005D01D1">
        <w:rPr>
          <w:rFonts w:ascii="Arial" w:hAnsi="Arial" w:cs="Arial"/>
          <w:color w:val="000000" w:themeColor="text1"/>
          <w:sz w:val="20"/>
        </w:rPr>
        <w:t xml:space="preserve">The flowering and fruiting periods of these species vary widely from the summer fruiting of </w:t>
      </w:r>
      <w:proofErr w:type="spellStart"/>
      <w:r w:rsidRPr="005D01D1">
        <w:rPr>
          <w:rFonts w:ascii="Arial" w:hAnsi="Arial" w:cs="Arial"/>
          <w:i/>
          <w:iCs/>
          <w:color w:val="000000" w:themeColor="text1"/>
          <w:sz w:val="20"/>
        </w:rPr>
        <w:t>Madhuca</w:t>
      </w:r>
      <w:proofErr w:type="spellEnd"/>
      <w:r w:rsidRPr="005D01D1">
        <w:rPr>
          <w:rFonts w:ascii="Arial" w:hAnsi="Arial" w:cs="Arial"/>
          <w:i/>
          <w:iCs/>
          <w:color w:val="000000" w:themeColor="text1"/>
          <w:sz w:val="20"/>
        </w:rPr>
        <w:t xml:space="preserve"> indica</w:t>
      </w:r>
      <w:r w:rsidRPr="005D01D1">
        <w:rPr>
          <w:rFonts w:ascii="Arial" w:hAnsi="Arial" w:cs="Arial"/>
          <w:color w:val="000000" w:themeColor="text1"/>
          <w:sz w:val="20"/>
        </w:rPr>
        <w:t xml:space="preserve"> and </w:t>
      </w:r>
      <w:r w:rsidRPr="005D01D1">
        <w:rPr>
          <w:rFonts w:ascii="Arial" w:hAnsi="Arial" w:cs="Arial"/>
          <w:i/>
          <w:iCs/>
          <w:color w:val="000000" w:themeColor="text1"/>
          <w:sz w:val="20"/>
        </w:rPr>
        <w:t>Ziziphus rugosa</w:t>
      </w:r>
      <w:r w:rsidRPr="005D01D1">
        <w:rPr>
          <w:rFonts w:ascii="Arial" w:hAnsi="Arial" w:cs="Arial"/>
          <w:color w:val="000000" w:themeColor="text1"/>
          <w:sz w:val="20"/>
        </w:rPr>
        <w:t xml:space="preserve">, to the monsoon and winter peaks of </w:t>
      </w:r>
      <w:r w:rsidRPr="005D01D1">
        <w:rPr>
          <w:rFonts w:ascii="Arial" w:hAnsi="Arial" w:cs="Arial"/>
          <w:i/>
          <w:iCs/>
          <w:color w:val="000000" w:themeColor="text1"/>
          <w:sz w:val="20"/>
        </w:rPr>
        <w:t xml:space="preserve">Diospyros melanoxylon, </w:t>
      </w:r>
      <w:proofErr w:type="spellStart"/>
      <w:r w:rsidRPr="005D01D1">
        <w:rPr>
          <w:rFonts w:ascii="Arial" w:hAnsi="Arial" w:cs="Arial"/>
          <w:i/>
          <w:iCs/>
          <w:color w:val="000000" w:themeColor="text1"/>
          <w:sz w:val="20"/>
        </w:rPr>
        <w:t>Emblica</w:t>
      </w:r>
      <w:proofErr w:type="spellEnd"/>
      <w:r w:rsidRPr="005D01D1">
        <w:rPr>
          <w:rFonts w:ascii="Arial" w:hAnsi="Arial" w:cs="Arial"/>
          <w:i/>
          <w:iCs/>
          <w:color w:val="000000" w:themeColor="text1"/>
          <w:sz w:val="20"/>
        </w:rPr>
        <w:t xml:space="preserve"> officinalis, and Ziziphus </w:t>
      </w:r>
      <w:proofErr w:type="spellStart"/>
      <w:r w:rsidRPr="005D01D1">
        <w:rPr>
          <w:rFonts w:ascii="Arial" w:hAnsi="Arial" w:cs="Arial"/>
          <w:i/>
          <w:iCs/>
          <w:color w:val="000000" w:themeColor="text1"/>
          <w:sz w:val="20"/>
        </w:rPr>
        <w:t>mauritiana</w:t>
      </w:r>
      <w:proofErr w:type="spellEnd"/>
      <w:r w:rsidRPr="005D01D1">
        <w:rPr>
          <w:rFonts w:ascii="Arial" w:hAnsi="Arial" w:cs="Arial"/>
          <w:color w:val="000000" w:themeColor="text1"/>
          <w:sz w:val="20"/>
        </w:rPr>
        <w:t xml:space="preserve"> offering sloth bears a diverse and temporally distributed food calendar (Bhaskaran &amp; Desai, 2015; </w:t>
      </w:r>
      <w:proofErr w:type="spellStart"/>
      <w:r w:rsidRPr="005D01D1">
        <w:rPr>
          <w:rFonts w:ascii="Arial" w:hAnsi="Arial" w:cs="Arial"/>
          <w:color w:val="000000" w:themeColor="text1"/>
          <w:sz w:val="20"/>
        </w:rPr>
        <w:t>Suklhadiya</w:t>
      </w:r>
      <w:proofErr w:type="spellEnd"/>
      <w:r w:rsidRPr="005D01D1">
        <w:rPr>
          <w:rFonts w:ascii="Arial" w:hAnsi="Arial" w:cs="Arial"/>
          <w:color w:val="000000" w:themeColor="text1"/>
          <w:sz w:val="20"/>
        </w:rPr>
        <w:t xml:space="preserve"> &amp; </w:t>
      </w:r>
      <w:proofErr w:type="spellStart"/>
      <w:r w:rsidRPr="005D01D1">
        <w:rPr>
          <w:rFonts w:ascii="Arial" w:hAnsi="Arial" w:cs="Arial"/>
          <w:color w:val="000000" w:themeColor="text1"/>
          <w:sz w:val="20"/>
        </w:rPr>
        <w:t>Dharaiya</w:t>
      </w:r>
      <w:proofErr w:type="spellEnd"/>
      <w:r w:rsidRPr="005D01D1">
        <w:rPr>
          <w:rFonts w:ascii="Arial" w:hAnsi="Arial" w:cs="Arial"/>
          <w:color w:val="000000" w:themeColor="text1"/>
          <w:sz w:val="20"/>
        </w:rPr>
        <w:t xml:space="preserve">, 2013). This phenological spread is ecologically significant, ensuring year-round food availability across varied forest types such as dry deciduous, </w:t>
      </w:r>
      <w:proofErr w:type="spellStart"/>
      <w:r w:rsidRPr="005D01D1">
        <w:rPr>
          <w:rFonts w:ascii="Arial" w:hAnsi="Arial" w:cs="Arial"/>
          <w:color w:val="000000" w:themeColor="text1"/>
          <w:sz w:val="20"/>
        </w:rPr>
        <w:t>sal</w:t>
      </w:r>
      <w:proofErr w:type="spellEnd"/>
      <w:r w:rsidRPr="005D01D1">
        <w:rPr>
          <w:rFonts w:ascii="Arial" w:hAnsi="Arial" w:cs="Arial"/>
          <w:color w:val="000000" w:themeColor="text1"/>
          <w:sz w:val="20"/>
        </w:rPr>
        <w:t xml:space="preserve">-dominated, mixed moist, and scrub forests. In southern and northeastern landscapes, lesser-known species like </w:t>
      </w:r>
      <w:proofErr w:type="spellStart"/>
      <w:r w:rsidRPr="005D01D1">
        <w:rPr>
          <w:rFonts w:ascii="Arial" w:hAnsi="Arial" w:cs="Arial"/>
          <w:i/>
          <w:iCs/>
          <w:color w:val="000000" w:themeColor="text1"/>
          <w:sz w:val="20"/>
        </w:rPr>
        <w:t>Baccaurea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courtallensis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Flacourtia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sepiaria</w:t>
      </w:r>
      <w:proofErr w:type="spellEnd"/>
      <w:r w:rsidRPr="005D01D1">
        <w:rPr>
          <w:rFonts w:ascii="Arial" w:hAnsi="Arial" w:cs="Arial"/>
          <w:i/>
          <w:iCs/>
          <w:color w:val="000000" w:themeColor="text1"/>
          <w:sz w:val="20"/>
        </w:rPr>
        <w:t>, and Elaeocarpus tuberculatus</w:t>
      </w:r>
      <w:r w:rsidRPr="005D01D1">
        <w:rPr>
          <w:rFonts w:ascii="Arial" w:hAnsi="Arial" w:cs="Arial"/>
          <w:color w:val="000000" w:themeColor="text1"/>
          <w:sz w:val="20"/>
        </w:rPr>
        <w:t xml:space="preserve"> contribute locally to the bear diet, albeit with lower preference ratings.</w:t>
      </w:r>
    </w:p>
    <w:p w14:paraId="196E1DD1" w14:textId="77777777" w:rsidR="00DB4A05" w:rsidRPr="005D01D1" w:rsidRDefault="00DB4A05" w:rsidP="005D01D1">
      <w:pPr>
        <w:spacing w:line="240" w:lineRule="auto"/>
        <w:jc w:val="both"/>
        <w:rPr>
          <w:rFonts w:ascii="Arial" w:hAnsi="Arial" w:cs="Arial"/>
          <w:color w:val="000000" w:themeColor="text1"/>
          <w:sz w:val="20"/>
        </w:rPr>
      </w:pPr>
      <w:r w:rsidRPr="005D01D1">
        <w:rPr>
          <w:rFonts w:ascii="Arial" w:hAnsi="Arial" w:cs="Arial"/>
          <w:color w:val="000000" w:themeColor="text1"/>
          <w:sz w:val="20"/>
        </w:rPr>
        <w:t xml:space="preserve">The dietary preferences recorded also highlight spatial variation. For instance, species like </w:t>
      </w:r>
      <w:r w:rsidRPr="005D01D1">
        <w:rPr>
          <w:rFonts w:ascii="Arial" w:hAnsi="Arial" w:cs="Arial"/>
          <w:i/>
          <w:iCs/>
          <w:color w:val="000000" w:themeColor="text1"/>
          <w:sz w:val="20"/>
        </w:rPr>
        <w:t xml:space="preserve">Artocarpus heterophyllus, Prunus persica, and Pithecellobium dulce </w:t>
      </w:r>
      <w:r w:rsidRPr="005D01D1">
        <w:rPr>
          <w:rFonts w:ascii="Arial" w:hAnsi="Arial" w:cs="Arial"/>
          <w:color w:val="000000" w:themeColor="text1"/>
          <w:sz w:val="20"/>
        </w:rPr>
        <w:t xml:space="preserve">have high preference in the Western Ghats and Eastern Himalayan regions, whereas </w:t>
      </w:r>
      <w:r w:rsidRPr="005D01D1">
        <w:rPr>
          <w:rFonts w:ascii="Arial" w:hAnsi="Arial" w:cs="Arial"/>
          <w:i/>
          <w:iCs/>
          <w:color w:val="000000" w:themeColor="text1"/>
          <w:sz w:val="20"/>
        </w:rPr>
        <w:t xml:space="preserve">Boswellia serrata, </w:t>
      </w:r>
      <w:proofErr w:type="spellStart"/>
      <w:r w:rsidRPr="005D01D1">
        <w:rPr>
          <w:rFonts w:ascii="Arial" w:hAnsi="Arial" w:cs="Arial"/>
          <w:i/>
          <w:iCs/>
          <w:color w:val="000000" w:themeColor="text1"/>
          <w:sz w:val="20"/>
        </w:rPr>
        <w:t>Anogeissus</w:t>
      </w:r>
      <w:proofErr w:type="spellEnd"/>
      <w:r w:rsidRPr="005D01D1">
        <w:rPr>
          <w:rFonts w:ascii="Arial" w:hAnsi="Arial" w:cs="Arial"/>
          <w:i/>
          <w:iCs/>
          <w:color w:val="000000" w:themeColor="text1"/>
          <w:sz w:val="20"/>
        </w:rPr>
        <w:t xml:space="preserve"> latifolia, and </w:t>
      </w:r>
      <w:proofErr w:type="spellStart"/>
      <w:r w:rsidRPr="005D01D1">
        <w:rPr>
          <w:rFonts w:ascii="Arial" w:hAnsi="Arial" w:cs="Arial"/>
          <w:i/>
          <w:iCs/>
          <w:color w:val="000000" w:themeColor="text1"/>
          <w:sz w:val="20"/>
        </w:rPr>
        <w:t>Canthium</w:t>
      </w:r>
      <w:proofErr w:type="spellEnd"/>
      <w:r w:rsidRPr="005D01D1">
        <w:rPr>
          <w:rFonts w:ascii="Arial" w:hAnsi="Arial" w:cs="Arial"/>
          <w:i/>
          <w:iCs/>
          <w:color w:val="000000" w:themeColor="text1"/>
          <w:sz w:val="20"/>
        </w:rPr>
        <w:t xml:space="preserve"> parviflorum</w:t>
      </w:r>
      <w:r w:rsidRPr="005D01D1">
        <w:rPr>
          <w:rFonts w:ascii="Arial" w:hAnsi="Arial" w:cs="Arial"/>
          <w:color w:val="000000" w:themeColor="text1"/>
          <w:sz w:val="20"/>
        </w:rPr>
        <w:t xml:space="preserve"> are more relevant in the central and arid zones (Kumara et al., 2023; Khanal &amp; Thapa, 2014). This ecological flexibility enables sloth bears to occupy a broad geographic range, from tropical forests to degraded and semi-urban forest edges.</w:t>
      </w:r>
    </w:p>
    <w:p w14:paraId="307A9944" w14:textId="77777777" w:rsidR="00F21605" w:rsidRPr="0051502E" w:rsidRDefault="0051502E" w:rsidP="005D01D1">
      <w:pPr>
        <w:spacing w:line="240" w:lineRule="auto"/>
        <w:jc w:val="center"/>
        <w:rPr>
          <w:rFonts w:ascii="Arial" w:hAnsi="Arial" w:cs="Arial"/>
          <w:b/>
          <w:bCs/>
          <w:sz w:val="20"/>
        </w:rPr>
      </w:pPr>
      <w:r w:rsidRPr="0051502E">
        <w:rPr>
          <w:rFonts w:ascii="Arial" w:hAnsi="Arial" w:cs="Arial"/>
          <w:b/>
          <w:bCs/>
          <w:sz w:val="20"/>
        </w:rPr>
        <w:t xml:space="preserve">Table 2. </w:t>
      </w:r>
      <w:commentRangeStart w:id="5"/>
      <w:r w:rsidR="00F21605" w:rsidRPr="0051502E">
        <w:rPr>
          <w:rFonts w:ascii="Arial" w:hAnsi="Arial" w:cs="Arial"/>
          <w:b/>
          <w:bCs/>
          <w:sz w:val="20"/>
        </w:rPr>
        <w:t>Key</w:t>
      </w:r>
      <w:commentRangeEnd w:id="5"/>
      <w:r w:rsidR="002E360B">
        <w:rPr>
          <w:rStyle w:val="CommentReference"/>
        </w:rPr>
        <w:commentReference w:id="5"/>
      </w:r>
      <w:r w:rsidR="00F21605" w:rsidRPr="0051502E">
        <w:rPr>
          <w:rFonts w:ascii="Arial" w:hAnsi="Arial" w:cs="Arial"/>
          <w:b/>
          <w:bCs/>
          <w:sz w:val="20"/>
        </w:rPr>
        <w:t xml:space="preserve"> Food Plants Used by Sloth Bears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2"/>
        <w:gridCol w:w="1560"/>
        <w:gridCol w:w="1417"/>
        <w:gridCol w:w="2977"/>
      </w:tblGrid>
      <w:tr w:rsidR="00DB4A05" w:rsidRPr="005D01D1" w14:paraId="41C276C7" w14:textId="77777777" w:rsidTr="00DB4A05">
        <w:trPr>
          <w:trHeight w:val="600"/>
        </w:trPr>
        <w:tc>
          <w:tcPr>
            <w:tcW w:w="1985" w:type="dxa"/>
            <w:shd w:val="clear" w:color="auto" w:fill="auto"/>
            <w:hideMark/>
          </w:tcPr>
          <w:p w14:paraId="6A56A456"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Tree Species</w:t>
            </w:r>
          </w:p>
        </w:tc>
        <w:tc>
          <w:tcPr>
            <w:tcW w:w="1412" w:type="dxa"/>
            <w:shd w:val="clear" w:color="auto" w:fill="auto"/>
            <w:hideMark/>
          </w:tcPr>
          <w:p w14:paraId="18EB60E5"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Flowering/Fruiting Period</w:t>
            </w:r>
          </w:p>
        </w:tc>
        <w:tc>
          <w:tcPr>
            <w:tcW w:w="1560" w:type="dxa"/>
            <w:shd w:val="clear" w:color="auto" w:fill="auto"/>
            <w:hideMark/>
          </w:tcPr>
          <w:p w14:paraId="18F0E904"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Type (Fruit/Root/Flower)</w:t>
            </w:r>
          </w:p>
        </w:tc>
        <w:tc>
          <w:tcPr>
            <w:tcW w:w="1417" w:type="dxa"/>
            <w:shd w:val="clear" w:color="auto" w:fill="auto"/>
            <w:hideMark/>
          </w:tcPr>
          <w:p w14:paraId="6D27FE4A" w14:textId="77777777" w:rsidR="00DB4A05" w:rsidRPr="005D01D1" w:rsidRDefault="00DB4A05" w:rsidP="005D01D1">
            <w:pPr>
              <w:spacing w:line="240" w:lineRule="auto"/>
              <w:jc w:val="center"/>
              <w:rPr>
                <w:rFonts w:ascii="Arial" w:eastAsia="Times New Roman" w:hAnsi="Arial" w:cs="Arial"/>
                <w:b/>
                <w:bCs/>
                <w:color w:val="000000"/>
                <w:sz w:val="20"/>
                <w:lang w:eastAsia="en-IN"/>
              </w:rPr>
            </w:pPr>
            <w:commentRangeStart w:id="6"/>
            <w:r w:rsidRPr="005D01D1">
              <w:rPr>
                <w:rFonts w:ascii="Arial" w:eastAsia="Times New Roman" w:hAnsi="Arial" w:cs="Arial"/>
                <w:b/>
                <w:bCs/>
                <w:color w:val="000000"/>
                <w:sz w:val="20"/>
                <w:lang w:eastAsia="en-IN"/>
              </w:rPr>
              <w:t>Bear Preferences</w:t>
            </w:r>
            <w:commentRangeEnd w:id="6"/>
            <w:r w:rsidR="002E360B">
              <w:rPr>
                <w:rStyle w:val="CommentReference"/>
              </w:rPr>
              <w:commentReference w:id="6"/>
            </w:r>
          </w:p>
        </w:tc>
        <w:tc>
          <w:tcPr>
            <w:tcW w:w="2977" w:type="dxa"/>
            <w:shd w:val="clear" w:color="auto" w:fill="auto"/>
            <w:hideMark/>
          </w:tcPr>
          <w:p w14:paraId="325353CC"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Source</w:t>
            </w:r>
          </w:p>
        </w:tc>
      </w:tr>
      <w:tr w:rsidR="00DB4A05" w:rsidRPr="005D01D1" w14:paraId="64FD980C" w14:textId="77777777" w:rsidTr="00DB4A05">
        <w:trPr>
          <w:trHeight w:val="620"/>
        </w:trPr>
        <w:tc>
          <w:tcPr>
            <w:tcW w:w="1985" w:type="dxa"/>
            <w:shd w:val="clear" w:color="auto" w:fill="auto"/>
            <w:noWrap/>
            <w:hideMark/>
          </w:tcPr>
          <w:p w14:paraId="5C537693"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Acacia </w:t>
            </w:r>
            <w:proofErr w:type="spellStart"/>
            <w:r w:rsidRPr="005D01D1">
              <w:rPr>
                <w:rFonts w:ascii="Arial" w:eastAsia="Times New Roman" w:hAnsi="Arial" w:cs="Arial"/>
                <w:i/>
                <w:iCs/>
                <w:color w:val="000000"/>
                <w:sz w:val="20"/>
                <w:lang w:eastAsia="en-IN"/>
              </w:rPr>
              <w:t>leucophloea</w:t>
            </w:r>
            <w:proofErr w:type="spellEnd"/>
          </w:p>
        </w:tc>
        <w:tc>
          <w:tcPr>
            <w:tcW w:w="1412" w:type="dxa"/>
            <w:shd w:val="clear" w:color="auto" w:fill="auto"/>
            <w:noWrap/>
            <w:hideMark/>
          </w:tcPr>
          <w:p w14:paraId="08F8CDC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4BFB261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CF1B95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60602F2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3560D90C" w14:textId="77777777" w:rsidTr="00DB4A05">
        <w:trPr>
          <w:trHeight w:val="2170"/>
        </w:trPr>
        <w:tc>
          <w:tcPr>
            <w:tcW w:w="1985" w:type="dxa"/>
            <w:shd w:val="clear" w:color="auto" w:fill="auto"/>
            <w:noWrap/>
            <w:hideMark/>
          </w:tcPr>
          <w:p w14:paraId="6FBEFCF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Aegle </w:t>
            </w:r>
            <w:proofErr w:type="spellStart"/>
            <w:r w:rsidRPr="005D01D1">
              <w:rPr>
                <w:rFonts w:ascii="Arial" w:eastAsia="Times New Roman" w:hAnsi="Arial" w:cs="Arial"/>
                <w:i/>
                <w:iCs/>
                <w:color w:val="000000"/>
                <w:sz w:val="20"/>
                <w:lang w:eastAsia="en-IN"/>
              </w:rPr>
              <w:t>marmelos</w:t>
            </w:r>
            <w:proofErr w:type="spellEnd"/>
          </w:p>
        </w:tc>
        <w:tc>
          <w:tcPr>
            <w:tcW w:w="1412" w:type="dxa"/>
            <w:shd w:val="clear" w:color="auto" w:fill="auto"/>
            <w:noWrap/>
            <w:hideMark/>
          </w:tcPr>
          <w:p w14:paraId="0CFC870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Sept-Dec</w:t>
            </w:r>
          </w:p>
        </w:tc>
        <w:tc>
          <w:tcPr>
            <w:tcW w:w="1560" w:type="dxa"/>
            <w:shd w:val="clear" w:color="auto" w:fill="auto"/>
            <w:noWrap/>
            <w:hideMark/>
          </w:tcPr>
          <w:p w14:paraId="4ED5AB0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Pulp</w:t>
            </w:r>
          </w:p>
        </w:tc>
        <w:tc>
          <w:tcPr>
            <w:tcW w:w="1417" w:type="dxa"/>
            <w:shd w:val="clear" w:color="auto" w:fill="auto"/>
            <w:noWrap/>
            <w:hideMark/>
          </w:tcPr>
          <w:p w14:paraId="76100DC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60EE69E1"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Laurie &amp; Seidensticker, 1977; 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Khanal &amp; Thapa, 2014; Philip et al., 2022; Paul &amp; Kumar, 2021</w:t>
            </w:r>
          </w:p>
        </w:tc>
      </w:tr>
      <w:tr w:rsidR="00DB4A05" w:rsidRPr="005D01D1" w14:paraId="6ACA63C0" w14:textId="77777777" w:rsidTr="00DB4A05">
        <w:trPr>
          <w:trHeight w:val="310"/>
        </w:trPr>
        <w:tc>
          <w:tcPr>
            <w:tcW w:w="1985" w:type="dxa"/>
            <w:shd w:val="clear" w:color="auto" w:fill="auto"/>
            <w:noWrap/>
            <w:hideMark/>
          </w:tcPr>
          <w:p w14:paraId="5F7361F2"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Alangium</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salvifolium</w:t>
            </w:r>
            <w:proofErr w:type="spellEnd"/>
          </w:p>
        </w:tc>
        <w:tc>
          <w:tcPr>
            <w:tcW w:w="1412" w:type="dxa"/>
            <w:shd w:val="clear" w:color="auto" w:fill="auto"/>
            <w:noWrap/>
            <w:hideMark/>
          </w:tcPr>
          <w:p w14:paraId="688170C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48D089C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341E74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1251E4FC"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3DF652A7" w14:textId="77777777" w:rsidTr="00DB4A05">
        <w:trPr>
          <w:trHeight w:val="930"/>
        </w:trPr>
        <w:tc>
          <w:tcPr>
            <w:tcW w:w="1985" w:type="dxa"/>
            <w:shd w:val="clear" w:color="auto" w:fill="auto"/>
            <w:noWrap/>
            <w:hideMark/>
          </w:tcPr>
          <w:p w14:paraId="7161A32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Annona squamosa</w:t>
            </w:r>
          </w:p>
        </w:tc>
        <w:tc>
          <w:tcPr>
            <w:tcW w:w="1412" w:type="dxa"/>
            <w:shd w:val="clear" w:color="auto" w:fill="auto"/>
            <w:noWrap/>
            <w:hideMark/>
          </w:tcPr>
          <w:p w14:paraId="49BDDAE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August-Jan</w:t>
            </w:r>
          </w:p>
        </w:tc>
        <w:tc>
          <w:tcPr>
            <w:tcW w:w="1560" w:type="dxa"/>
            <w:shd w:val="clear" w:color="auto" w:fill="auto"/>
            <w:noWrap/>
            <w:hideMark/>
          </w:tcPr>
          <w:p w14:paraId="1382A20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58E106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0617111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Philip et al., 2022;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22CDDF09" w14:textId="77777777" w:rsidTr="00DB4A05">
        <w:trPr>
          <w:trHeight w:val="930"/>
        </w:trPr>
        <w:tc>
          <w:tcPr>
            <w:tcW w:w="1985" w:type="dxa"/>
            <w:shd w:val="clear" w:color="auto" w:fill="auto"/>
            <w:noWrap/>
            <w:hideMark/>
          </w:tcPr>
          <w:p w14:paraId="2DCDA138"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Anogeissus</w:t>
            </w:r>
            <w:proofErr w:type="spellEnd"/>
            <w:r w:rsidRPr="005D01D1">
              <w:rPr>
                <w:rFonts w:ascii="Arial" w:eastAsia="Times New Roman" w:hAnsi="Arial" w:cs="Arial"/>
                <w:i/>
                <w:iCs/>
                <w:color w:val="000000"/>
                <w:sz w:val="20"/>
                <w:lang w:eastAsia="en-IN"/>
              </w:rPr>
              <w:t xml:space="preserve"> latifolia</w:t>
            </w:r>
          </w:p>
        </w:tc>
        <w:tc>
          <w:tcPr>
            <w:tcW w:w="1412" w:type="dxa"/>
            <w:shd w:val="clear" w:color="auto" w:fill="auto"/>
            <w:noWrap/>
            <w:hideMark/>
          </w:tcPr>
          <w:p w14:paraId="44AE9EE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7A141C8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09646F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02E7F13"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 Paul &amp; Kumar, 2021</w:t>
            </w:r>
          </w:p>
        </w:tc>
      </w:tr>
      <w:tr w:rsidR="00DB4A05" w:rsidRPr="005D01D1" w14:paraId="615D3AE6" w14:textId="77777777" w:rsidTr="00DB4A05">
        <w:trPr>
          <w:trHeight w:val="310"/>
        </w:trPr>
        <w:tc>
          <w:tcPr>
            <w:tcW w:w="1985" w:type="dxa"/>
            <w:shd w:val="clear" w:color="auto" w:fill="auto"/>
            <w:noWrap/>
            <w:hideMark/>
          </w:tcPr>
          <w:p w14:paraId="4EF21BA9"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Artocarpus heterophyllus</w:t>
            </w:r>
          </w:p>
        </w:tc>
        <w:tc>
          <w:tcPr>
            <w:tcW w:w="1412" w:type="dxa"/>
            <w:shd w:val="clear" w:color="auto" w:fill="auto"/>
            <w:noWrap/>
            <w:hideMark/>
          </w:tcPr>
          <w:p w14:paraId="391BEF7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June-August</w:t>
            </w:r>
          </w:p>
        </w:tc>
        <w:tc>
          <w:tcPr>
            <w:tcW w:w="1560" w:type="dxa"/>
            <w:shd w:val="clear" w:color="auto" w:fill="auto"/>
            <w:noWrap/>
            <w:hideMark/>
          </w:tcPr>
          <w:p w14:paraId="7FBFB17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807929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558EC66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3F36057B" w14:textId="77777777" w:rsidTr="00DB4A05">
        <w:trPr>
          <w:trHeight w:val="310"/>
        </w:trPr>
        <w:tc>
          <w:tcPr>
            <w:tcW w:w="1985" w:type="dxa"/>
            <w:shd w:val="clear" w:color="auto" w:fill="auto"/>
            <w:noWrap/>
            <w:hideMark/>
          </w:tcPr>
          <w:p w14:paraId="50A96438"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Artocarpus </w:t>
            </w:r>
            <w:proofErr w:type="spellStart"/>
            <w:r w:rsidRPr="005D01D1">
              <w:rPr>
                <w:rFonts w:ascii="Arial" w:eastAsia="Times New Roman" w:hAnsi="Arial" w:cs="Arial"/>
                <w:i/>
                <w:iCs/>
                <w:color w:val="000000"/>
                <w:sz w:val="20"/>
                <w:lang w:eastAsia="en-IN"/>
              </w:rPr>
              <w:t>hirusta</w:t>
            </w:r>
            <w:proofErr w:type="spellEnd"/>
          </w:p>
        </w:tc>
        <w:tc>
          <w:tcPr>
            <w:tcW w:w="1412" w:type="dxa"/>
            <w:shd w:val="clear" w:color="auto" w:fill="auto"/>
            <w:noWrap/>
            <w:hideMark/>
          </w:tcPr>
          <w:p w14:paraId="0D7689F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1796B4F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BA986C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01A5583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720615A2" w14:textId="77777777" w:rsidTr="00DB4A05">
        <w:trPr>
          <w:trHeight w:val="310"/>
        </w:trPr>
        <w:tc>
          <w:tcPr>
            <w:tcW w:w="1985" w:type="dxa"/>
            <w:shd w:val="clear" w:color="auto" w:fill="auto"/>
            <w:noWrap/>
            <w:hideMark/>
          </w:tcPr>
          <w:p w14:paraId="167D0ED0"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Baccaurea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courtallensis</w:t>
            </w:r>
            <w:proofErr w:type="spellEnd"/>
          </w:p>
        </w:tc>
        <w:tc>
          <w:tcPr>
            <w:tcW w:w="1412" w:type="dxa"/>
            <w:shd w:val="clear" w:color="auto" w:fill="auto"/>
            <w:noWrap/>
            <w:hideMark/>
          </w:tcPr>
          <w:p w14:paraId="56ADF94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June-Sept</w:t>
            </w:r>
          </w:p>
        </w:tc>
        <w:tc>
          <w:tcPr>
            <w:tcW w:w="1560" w:type="dxa"/>
            <w:shd w:val="clear" w:color="auto" w:fill="auto"/>
            <w:noWrap/>
            <w:hideMark/>
          </w:tcPr>
          <w:p w14:paraId="6B422AE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475E77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1A3EB08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08009CB6" w14:textId="77777777" w:rsidTr="00DB4A05">
        <w:trPr>
          <w:trHeight w:val="620"/>
        </w:trPr>
        <w:tc>
          <w:tcPr>
            <w:tcW w:w="1985" w:type="dxa"/>
            <w:shd w:val="clear" w:color="auto" w:fill="auto"/>
            <w:noWrap/>
            <w:hideMark/>
          </w:tcPr>
          <w:p w14:paraId="6E78E0B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lastRenderedPageBreak/>
              <w:t>Bambusa vulgaris</w:t>
            </w:r>
          </w:p>
        </w:tc>
        <w:tc>
          <w:tcPr>
            <w:tcW w:w="1412" w:type="dxa"/>
            <w:shd w:val="clear" w:color="auto" w:fill="auto"/>
            <w:noWrap/>
            <w:hideMark/>
          </w:tcPr>
          <w:p w14:paraId="2E517F8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w:t>
            </w:r>
          </w:p>
        </w:tc>
        <w:tc>
          <w:tcPr>
            <w:tcW w:w="1560" w:type="dxa"/>
            <w:shd w:val="clear" w:color="auto" w:fill="auto"/>
            <w:noWrap/>
            <w:hideMark/>
          </w:tcPr>
          <w:p w14:paraId="07956C8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Young Shoots</w:t>
            </w:r>
          </w:p>
        </w:tc>
        <w:tc>
          <w:tcPr>
            <w:tcW w:w="1417" w:type="dxa"/>
            <w:shd w:val="clear" w:color="auto" w:fill="auto"/>
            <w:noWrap/>
            <w:hideMark/>
          </w:tcPr>
          <w:p w14:paraId="0A7149C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727AC0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0DA60BC4" w14:textId="77777777" w:rsidTr="00DB4A05">
        <w:trPr>
          <w:trHeight w:val="620"/>
        </w:trPr>
        <w:tc>
          <w:tcPr>
            <w:tcW w:w="1985" w:type="dxa"/>
            <w:shd w:val="clear" w:color="auto" w:fill="auto"/>
            <w:noWrap/>
            <w:hideMark/>
          </w:tcPr>
          <w:p w14:paraId="1A889CC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Bauhinia racemosa</w:t>
            </w:r>
          </w:p>
        </w:tc>
        <w:tc>
          <w:tcPr>
            <w:tcW w:w="1412" w:type="dxa"/>
            <w:shd w:val="clear" w:color="auto" w:fill="auto"/>
            <w:noWrap/>
            <w:hideMark/>
          </w:tcPr>
          <w:p w14:paraId="05F2592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Nov-Dec</w:t>
            </w:r>
          </w:p>
        </w:tc>
        <w:tc>
          <w:tcPr>
            <w:tcW w:w="1560" w:type="dxa"/>
            <w:shd w:val="clear" w:color="auto" w:fill="auto"/>
            <w:noWrap/>
            <w:hideMark/>
          </w:tcPr>
          <w:p w14:paraId="3D52FA1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3523FA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7560623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54BA8EE1" w14:textId="77777777" w:rsidTr="00DB4A05">
        <w:trPr>
          <w:trHeight w:val="620"/>
        </w:trPr>
        <w:tc>
          <w:tcPr>
            <w:tcW w:w="1985" w:type="dxa"/>
            <w:shd w:val="clear" w:color="auto" w:fill="auto"/>
            <w:noWrap/>
            <w:hideMark/>
          </w:tcPr>
          <w:p w14:paraId="361E21D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Bombax ceiba</w:t>
            </w:r>
          </w:p>
        </w:tc>
        <w:tc>
          <w:tcPr>
            <w:tcW w:w="1412" w:type="dxa"/>
            <w:shd w:val="clear" w:color="auto" w:fill="auto"/>
            <w:noWrap/>
            <w:hideMark/>
          </w:tcPr>
          <w:p w14:paraId="3D05F5F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March-May</w:t>
            </w:r>
          </w:p>
        </w:tc>
        <w:tc>
          <w:tcPr>
            <w:tcW w:w="1560" w:type="dxa"/>
            <w:shd w:val="clear" w:color="auto" w:fill="auto"/>
            <w:noWrap/>
            <w:hideMark/>
          </w:tcPr>
          <w:p w14:paraId="28B93CE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Flower</w:t>
            </w:r>
          </w:p>
        </w:tc>
        <w:tc>
          <w:tcPr>
            <w:tcW w:w="1417" w:type="dxa"/>
            <w:shd w:val="clear" w:color="auto" w:fill="auto"/>
            <w:noWrap/>
            <w:hideMark/>
          </w:tcPr>
          <w:p w14:paraId="65612FC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C73777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25F7081B" w14:textId="77777777" w:rsidTr="00DB4A05">
        <w:trPr>
          <w:trHeight w:val="620"/>
        </w:trPr>
        <w:tc>
          <w:tcPr>
            <w:tcW w:w="1985" w:type="dxa"/>
            <w:shd w:val="clear" w:color="auto" w:fill="auto"/>
            <w:noWrap/>
            <w:hideMark/>
          </w:tcPr>
          <w:p w14:paraId="1408439A"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Boswellia serrata</w:t>
            </w:r>
          </w:p>
        </w:tc>
        <w:tc>
          <w:tcPr>
            <w:tcW w:w="1412" w:type="dxa"/>
            <w:shd w:val="clear" w:color="auto" w:fill="auto"/>
            <w:noWrap/>
            <w:hideMark/>
          </w:tcPr>
          <w:p w14:paraId="1C163A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March-May</w:t>
            </w:r>
          </w:p>
        </w:tc>
        <w:tc>
          <w:tcPr>
            <w:tcW w:w="1560" w:type="dxa"/>
            <w:shd w:val="clear" w:color="auto" w:fill="auto"/>
            <w:noWrap/>
            <w:hideMark/>
          </w:tcPr>
          <w:p w14:paraId="1BBE973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9BACD5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0E63CE89"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Philip et al., 2022; Kumara et al., 2023</w:t>
            </w:r>
          </w:p>
        </w:tc>
      </w:tr>
      <w:tr w:rsidR="00DB4A05" w:rsidRPr="005D01D1" w14:paraId="20CE548E" w14:textId="77777777" w:rsidTr="00DB4A05">
        <w:trPr>
          <w:trHeight w:val="930"/>
        </w:trPr>
        <w:tc>
          <w:tcPr>
            <w:tcW w:w="1985" w:type="dxa"/>
            <w:shd w:val="clear" w:color="auto" w:fill="auto"/>
            <w:noWrap/>
            <w:hideMark/>
          </w:tcPr>
          <w:p w14:paraId="10FEBF57"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Bridelia</w:t>
            </w:r>
            <w:proofErr w:type="spellEnd"/>
            <w:r w:rsidRPr="005D01D1">
              <w:rPr>
                <w:rFonts w:ascii="Arial" w:eastAsia="Times New Roman" w:hAnsi="Arial" w:cs="Arial"/>
                <w:i/>
                <w:iCs/>
                <w:color w:val="000000"/>
                <w:sz w:val="20"/>
                <w:lang w:eastAsia="en-IN"/>
              </w:rPr>
              <w:t xml:space="preserve"> retusa</w:t>
            </w:r>
          </w:p>
        </w:tc>
        <w:tc>
          <w:tcPr>
            <w:tcW w:w="1412" w:type="dxa"/>
            <w:shd w:val="clear" w:color="auto" w:fill="auto"/>
            <w:noWrap/>
            <w:hideMark/>
          </w:tcPr>
          <w:p w14:paraId="17FF23A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August-Dec</w:t>
            </w:r>
          </w:p>
        </w:tc>
        <w:tc>
          <w:tcPr>
            <w:tcW w:w="1560" w:type="dxa"/>
            <w:shd w:val="clear" w:color="auto" w:fill="auto"/>
            <w:noWrap/>
            <w:hideMark/>
          </w:tcPr>
          <w:p w14:paraId="3208911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DB3191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AD74DB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Khanal &amp; Thapa, 2014; Paul &amp; Kumar, 2021</w:t>
            </w:r>
          </w:p>
        </w:tc>
      </w:tr>
      <w:tr w:rsidR="00DB4A05" w:rsidRPr="005D01D1" w14:paraId="48D412BF" w14:textId="77777777" w:rsidTr="00DB4A05">
        <w:trPr>
          <w:trHeight w:val="930"/>
        </w:trPr>
        <w:tc>
          <w:tcPr>
            <w:tcW w:w="1985" w:type="dxa"/>
            <w:shd w:val="clear" w:color="auto" w:fill="auto"/>
            <w:noWrap/>
            <w:hideMark/>
          </w:tcPr>
          <w:p w14:paraId="268E9FF5"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Buchanania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lanzan</w:t>
            </w:r>
            <w:proofErr w:type="spellEnd"/>
          </w:p>
        </w:tc>
        <w:tc>
          <w:tcPr>
            <w:tcW w:w="1412" w:type="dxa"/>
            <w:shd w:val="clear" w:color="auto" w:fill="auto"/>
            <w:noWrap/>
            <w:hideMark/>
          </w:tcPr>
          <w:p w14:paraId="489B41B6" w14:textId="77777777" w:rsidR="00DB4A05" w:rsidRPr="005D01D1" w:rsidRDefault="00DB4A05" w:rsidP="005D01D1">
            <w:pPr>
              <w:spacing w:line="240" w:lineRule="auto"/>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Apri</w:t>
            </w:r>
            <w:proofErr w:type="spellEnd"/>
            <w:r w:rsidRPr="005D01D1">
              <w:rPr>
                <w:rFonts w:ascii="Arial" w:eastAsia="Times New Roman" w:hAnsi="Arial" w:cs="Arial"/>
                <w:color w:val="000000"/>
                <w:sz w:val="20"/>
                <w:lang w:eastAsia="en-IN"/>
              </w:rPr>
              <w:t>-May</w:t>
            </w:r>
          </w:p>
        </w:tc>
        <w:tc>
          <w:tcPr>
            <w:tcW w:w="1560" w:type="dxa"/>
            <w:shd w:val="clear" w:color="auto" w:fill="auto"/>
            <w:noWrap/>
            <w:hideMark/>
          </w:tcPr>
          <w:p w14:paraId="0734B67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C47BFE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379ACDC0"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Paul &amp; Kumar, 2021</w:t>
            </w:r>
          </w:p>
        </w:tc>
      </w:tr>
      <w:tr w:rsidR="00DB4A05" w:rsidRPr="005D01D1" w14:paraId="36A492F2" w14:textId="77777777" w:rsidTr="00DB4A05">
        <w:trPr>
          <w:trHeight w:val="620"/>
        </w:trPr>
        <w:tc>
          <w:tcPr>
            <w:tcW w:w="1985" w:type="dxa"/>
            <w:shd w:val="clear" w:color="auto" w:fill="auto"/>
            <w:noWrap/>
            <w:hideMark/>
          </w:tcPr>
          <w:p w14:paraId="0ADFF49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Butea </w:t>
            </w:r>
            <w:proofErr w:type="spellStart"/>
            <w:r w:rsidRPr="005D01D1">
              <w:rPr>
                <w:rFonts w:ascii="Arial" w:eastAsia="Times New Roman" w:hAnsi="Arial" w:cs="Arial"/>
                <w:i/>
                <w:iCs/>
                <w:color w:val="000000"/>
                <w:sz w:val="20"/>
                <w:lang w:eastAsia="en-IN"/>
              </w:rPr>
              <w:t>monosperma</w:t>
            </w:r>
            <w:proofErr w:type="spellEnd"/>
          </w:p>
        </w:tc>
        <w:tc>
          <w:tcPr>
            <w:tcW w:w="1412" w:type="dxa"/>
            <w:shd w:val="clear" w:color="auto" w:fill="auto"/>
            <w:noWrap/>
            <w:hideMark/>
          </w:tcPr>
          <w:p w14:paraId="4CB812F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4CBC3EB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Fruit/Flower</w:t>
            </w:r>
          </w:p>
        </w:tc>
        <w:tc>
          <w:tcPr>
            <w:tcW w:w="1417" w:type="dxa"/>
            <w:shd w:val="clear" w:color="auto" w:fill="auto"/>
            <w:noWrap/>
            <w:hideMark/>
          </w:tcPr>
          <w:p w14:paraId="6CBF843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0A3F3A19"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4F7347DE" w14:textId="77777777" w:rsidTr="00DB4A05">
        <w:trPr>
          <w:trHeight w:val="620"/>
        </w:trPr>
        <w:tc>
          <w:tcPr>
            <w:tcW w:w="1985" w:type="dxa"/>
            <w:shd w:val="clear" w:color="auto" w:fill="auto"/>
            <w:noWrap/>
            <w:hideMark/>
          </w:tcPr>
          <w:p w14:paraId="62A61ACA"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Callicarpa macrophylla</w:t>
            </w:r>
          </w:p>
        </w:tc>
        <w:tc>
          <w:tcPr>
            <w:tcW w:w="1412" w:type="dxa"/>
            <w:shd w:val="clear" w:color="auto" w:fill="auto"/>
            <w:noWrap/>
            <w:hideMark/>
          </w:tcPr>
          <w:p w14:paraId="195E9F2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Sept-Feb</w:t>
            </w:r>
          </w:p>
        </w:tc>
        <w:tc>
          <w:tcPr>
            <w:tcW w:w="1560" w:type="dxa"/>
            <w:shd w:val="clear" w:color="auto" w:fill="auto"/>
            <w:noWrap/>
            <w:hideMark/>
          </w:tcPr>
          <w:p w14:paraId="5E0CB15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7FB974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79E7DF6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44D2E444" w14:textId="77777777" w:rsidTr="00DB4A05">
        <w:trPr>
          <w:trHeight w:val="620"/>
        </w:trPr>
        <w:tc>
          <w:tcPr>
            <w:tcW w:w="1985" w:type="dxa"/>
            <w:shd w:val="clear" w:color="auto" w:fill="auto"/>
            <w:noWrap/>
            <w:hideMark/>
          </w:tcPr>
          <w:p w14:paraId="1498DF73"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Canthium</w:t>
            </w:r>
            <w:proofErr w:type="spellEnd"/>
            <w:r w:rsidRPr="005D01D1">
              <w:rPr>
                <w:rFonts w:ascii="Arial" w:eastAsia="Times New Roman" w:hAnsi="Arial" w:cs="Arial"/>
                <w:i/>
                <w:iCs/>
                <w:color w:val="000000"/>
                <w:sz w:val="20"/>
                <w:lang w:eastAsia="en-IN"/>
              </w:rPr>
              <w:t xml:space="preserve"> parviflorum</w:t>
            </w:r>
          </w:p>
        </w:tc>
        <w:tc>
          <w:tcPr>
            <w:tcW w:w="1412" w:type="dxa"/>
            <w:shd w:val="clear" w:color="auto" w:fill="auto"/>
            <w:noWrap/>
            <w:hideMark/>
          </w:tcPr>
          <w:p w14:paraId="47C1036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52ACBBA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7A877D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250B7D4E"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Paul &amp; Kumar, 2021</w:t>
            </w:r>
          </w:p>
        </w:tc>
      </w:tr>
      <w:tr w:rsidR="00DB4A05" w:rsidRPr="005D01D1" w14:paraId="4F40F8E7" w14:textId="77777777" w:rsidTr="00DB4A05">
        <w:trPr>
          <w:trHeight w:val="620"/>
        </w:trPr>
        <w:tc>
          <w:tcPr>
            <w:tcW w:w="1985" w:type="dxa"/>
            <w:shd w:val="clear" w:color="auto" w:fill="auto"/>
            <w:noWrap/>
            <w:hideMark/>
          </w:tcPr>
          <w:p w14:paraId="698BD0C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Careya</w:t>
            </w:r>
            <w:proofErr w:type="spellEnd"/>
            <w:r w:rsidRPr="005D01D1">
              <w:rPr>
                <w:rFonts w:ascii="Arial" w:eastAsia="Times New Roman" w:hAnsi="Arial" w:cs="Arial"/>
                <w:i/>
                <w:iCs/>
                <w:color w:val="000000"/>
                <w:sz w:val="20"/>
                <w:lang w:eastAsia="en-IN"/>
              </w:rPr>
              <w:t xml:space="preserve"> arborea</w:t>
            </w:r>
          </w:p>
        </w:tc>
        <w:tc>
          <w:tcPr>
            <w:tcW w:w="1412" w:type="dxa"/>
            <w:shd w:val="clear" w:color="auto" w:fill="auto"/>
            <w:noWrap/>
            <w:hideMark/>
          </w:tcPr>
          <w:p w14:paraId="33D463F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June-July</w:t>
            </w:r>
          </w:p>
        </w:tc>
        <w:tc>
          <w:tcPr>
            <w:tcW w:w="1560" w:type="dxa"/>
            <w:shd w:val="clear" w:color="auto" w:fill="auto"/>
            <w:noWrap/>
            <w:hideMark/>
          </w:tcPr>
          <w:p w14:paraId="760BCB2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D7C870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D541F4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547FB1F3" w14:textId="77777777" w:rsidTr="00DB4A05">
        <w:trPr>
          <w:trHeight w:val="310"/>
        </w:trPr>
        <w:tc>
          <w:tcPr>
            <w:tcW w:w="1985" w:type="dxa"/>
            <w:shd w:val="clear" w:color="auto" w:fill="auto"/>
            <w:noWrap/>
            <w:hideMark/>
          </w:tcPr>
          <w:p w14:paraId="0A99978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Carissa carandas</w:t>
            </w:r>
          </w:p>
        </w:tc>
        <w:tc>
          <w:tcPr>
            <w:tcW w:w="1412" w:type="dxa"/>
            <w:shd w:val="clear" w:color="auto" w:fill="auto"/>
            <w:noWrap/>
            <w:hideMark/>
          </w:tcPr>
          <w:p w14:paraId="4157C9B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May-Oct</w:t>
            </w:r>
          </w:p>
        </w:tc>
        <w:tc>
          <w:tcPr>
            <w:tcW w:w="1560" w:type="dxa"/>
            <w:shd w:val="clear" w:color="auto" w:fill="auto"/>
            <w:noWrap/>
            <w:hideMark/>
          </w:tcPr>
          <w:p w14:paraId="5FE1AAD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F632F7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B21387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A57A98A" w14:textId="77777777" w:rsidTr="00DB4A05">
        <w:trPr>
          <w:trHeight w:val="310"/>
        </w:trPr>
        <w:tc>
          <w:tcPr>
            <w:tcW w:w="1985" w:type="dxa"/>
            <w:shd w:val="clear" w:color="auto" w:fill="auto"/>
            <w:noWrap/>
            <w:hideMark/>
          </w:tcPr>
          <w:p w14:paraId="41DAA220"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Carissa </w:t>
            </w:r>
            <w:proofErr w:type="spellStart"/>
            <w:r w:rsidRPr="005D01D1">
              <w:rPr>
                <w:rFonts w:ascii="Arial" w:eastAsia="Times New Roman" w:hAnsi="Arial" w:cs="Arial"/>
                <w:i/>
                <w:iCs/>
                <w:color w:val="000000"/>
                <w:sz w:val="20"/>
                <w:lang w:eastAsia="en-IN"/>
              </w:rPr>
              <w:t>congesta</w:t>
            </w:r>
            <w:proofErr w:type="spellEnd"/>
          </w:p>
        </w:tc>
        <w:tc>
          <w:tcPr>
            <w:tcW w:w="1412" w:type="dxa"/>
            <w:shd w:val="clear" w:color="auto" w:fill="auto"/>
            <w:noWrap/>
            <w:hideMark/>
          </w:tcPr>
          <w:p w14:paraId="7B8A803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July-Sept</w:t>
            </w:r>
          </w:p>
        </w:tc>
        <w:tc>
          <w:tcPr>
            <w:tcW w:w="1560" w:type="dxa"/>
            <w:shd w:val="clear" w:color="auto" w:fill="auto"/>
            <w:noWrap/>
            <w:hideMark/>
          </w:tcPr>
          <w:p w14:paraId="0B65889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1369F3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786D2F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71BE194" w14:textId="77777777" w:rsidTr="00DB4A05">
        <w:trPr>
          <w:trHeight w:val="620"/>
        </w:trPr>
        <w:tc>
          <w:tcPr>
            <w:tcW w:w="1985" w:type="dxa"/>
            <w:shd w:val="clear" w:color="auto" w:fill="auto"/>
            <w:noWrap/>
            <w:hideMark/>
          </w:tcPr>
          <w:p w14:paraId="200FF73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Carissa </w:t>
            </w:r>
            <w:proofErr w:type="spellStart"/>
            <w:r w:rsidRPr="005D01D1">
              <w:rPr>
                <w:rFonts w:ascii="Arial" w:eastAsia="Times New Roman" w:hAnsi="Arial" w:cs="Arial"/>
                <w:i/>
                <w:iCs/>
                <w:color w:val="000000"/>
                <w:sz w:val="20"/>
                <w:lang w:eastAsia="en-IN"/>
              </w:rPr>
              <w:t>spinarum</w:t>
            </w:r>
            <w:proofErr w:type="spellEnd"/>
          </w:p>
        </w:tc>
        <w:tc>
          <w:tcPr>
            <w:tcW w:w="1412" w:type="dxa"/>
            <w:shd w:val="clear" w:color="auto" w:fill="auto"/>
            <w:noWrap/>
            <w:hideMark/>
          </w:tcPr>
          <w:p w14:paraId="1F8CAC6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Jan-Dec</w:t>
            </w:r>
          </w:p>
        </w:tc>
        <w:tc>
          <w:tcPr>
            <w:tcW w:w="1560" w:type="dxa"/>
            <w:shd w:val="clear" w:color="auto" w:fill="auto"/>
            <w:noWrap/>
            <w:hideMark/>
          </w:tcPr>
          <w:p w14:paraId="72BF1C6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8B1503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560369C"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3899D99F" w14:textId="77777777" w:rsidTr="00DB4A05">
        <w:trPr>
          <w:trHeight w:val="2480"/>
        </w:trPr>
        <w:tc>
          <w:tcPr>
            <w:tcW w:w="1985" w:type="dxa"/>
            <w:shd w:val="clear" w:color="auto" w:fill="auto"/>
            <w:noWrap/>
            <w:hideMark/>
          </w:tcPr>
          <w:p w14:paraId="13A9BB9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Cassia fistula</w:t>
            </w:r>
          </w:p>
        </w:tc>
        <w:tc>
          <w:tcPr>
            <w:tcW w:w="1412" w:type="dxa"/>
            <w:shd w:val="clear" w:color="auto" w:fill="auto"/>
            <w:noWrap/>
            <w:hideMark/>
          </w:tcPr>
          <w:p w14:paraId="718F4F7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Dec-April</w:t>
            </w:r>
          </w:p>
        </w:tc>
        <w:tc>
          <w:tcPr>
            <w:tcW w:w="1560" w:type="dxa"/>
            <w:shd w:val="clear" w:color="auto" w:fill="auto"/>
            <w:noWrap/>
            <w:hideMark/>
          </w:tcPr>
          <w:p w14:paraId="21E9B6B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E12925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98619D5"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Kumara et al., 2023; Bhaskaran &amp; Desai, 2015;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w:t>
            </w: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2013; Khanal &amp; Thapa, 2014; Philip et al., 2022; Paul &amp; Kumar, 2021</w:t>
            </w:r>
          </w:p>
        </w:tc>
      </w:tr>
      <w:tr w:rsidR="00DB4A05" w:rsidRPr="005D01D1" w14:paraId="42AE1FC0" w14:textId="77777777" w:rsidTr="00DB4A05">
        <w:trPr>
          <w:trHeight w:val="620"/>
        </w:trPr>
        <w:tc>
          <w:tcPr>
            <w:tcW w:w="1985" w:type="dxa"/>
            <w:shd w:val="clear" w:color="auto" w:fill="auto"/>
            <w:noWrap/>
            <w:hideMark/>
          </w:tcPr>
          <w:p w14:paraId="013E690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Cassia </w:t>
            </w:r>
            <w:proofErr w:type="spellStart"/>
            <w:r w:rsidRPr="005D01D1">
              <w:rPr>
                <w:rFonts w:ascii="Arial" w:eastAsia="Times New Roman" w:hAnsi="Arial" w:cs="Arial"/>
                <w:i/>
                <w:iCs/>
                <w:color w:val="000000"/>
                <w:sz w:val="20"/>
                <w:lang w:eastAsia="en-IN"/>
              </w:rPr>
              <w:t>tora</w:t>
            </w:r>
            <w:proofErr w:type="spellEnd"/>
          </w:p>
        </w:tc>
        <w:tc>
          <w:tcPr>
            <w:tcW w:w="1412" w:type="dxa"/>
            <w:shd w:val="clear" w:color="auto" w:fill="auto"/>
            <w:noWrap/>
            <w:hideMark/>
          </w:tcPr>
          <w:p w14:paraId="5250EBB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056FBD1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AB54EE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08A1CFD0"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2013</w:t>
            </w:r>
          </w:p>
        </w:tc>
      </w:tr>
      <w:tr w:rsidR="00DB4A05" w:rsidRPr="005D01D1" w14:paraId="7082477C" w14:textId="77777777" w:rsidTr="00DB4A05">
        <w:trPr>
          <w:trHeight w:val="310"/>
        </w:trPr>
        <w:tc>
          <w:tcPr>
            <w:tcW w:w="1985" w:type="dxa"/>
            <w:shd w:val="clear" w:color="auto" w:fill="auto"/>
            <w:noWrap/>
            <w:hideMark/>
          </w:tcPr>
          <w:p w14:paraId="2D04E3A4"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dicotoma</w:t>
            </w:r>
            <w:proofErr w:type="spellEnd"/>
          </w:p>
        </w:tc>
        <w:tc>
          <w:tcPr>
            <w:tcW w:w="1412" w:type="dxa"/>
            <w:shd w:val="clear" w:color="auto" w:fill="auto"/>
            <w:noWrap/>
            <w:hideMark/>
          </w:tcPr>
          <w:p w14:paraId="2F9DCAB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5376BAE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CED036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BA7D42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619421FC" w14:textId="77777777" w:rsidTr="00DB4A05">
        <w:trPr>
          <w:trHeight w:val="310"/>
        </w:trPr>
        <w:tc>
          <w:tcPr>
            <w:tcW w:w="1985" w:type="dxa"/>
            <w:shd w:val="clear" w:color="auto" w:fill="auto"/>
            <w:noWrap/>
            <w:hideMark/>
          </w:tcPr>
          <w:p w14:paraId="50FD5B2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Cordia domestica</w:t>
            </w:r>
          </w:p>
        </w:tc>
        <w:tc>
          <w:tcPr>
            <w:tcW w:w="1412" w:type="dxa"/>
            <w:shd w:val="clear" w:color="auto" w:fill="auto"/>
            <w:noWrap/>
            <w:hideMark/>
          </w:tcPr>
          <w:p w14:paraId="229ED1C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41E31E6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11338F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197CBE1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Bhaskaran &amp; Desai, 2015</w:t>
            </w:r>
          </w:p>
        </w:tc>
      </w:tr>
      <w:tr w:rsidR="00DB4A05" w:rsidRPr="005D01D1" w14:paraId="15133C09" w14:textId="77777777" w:rsidTr="00DB4A05">
        <w:trPr>
          <w:trHeight w:val="310"/>
        </w:trPr>
        <w:tc>
          <w:tcPr>
            <w:tcW w:w="1985" w:type="dxa"/>
            <w:shd w:val="clear" w:color="auto" w:fill="auto"/>
            <w:noWrap/>
            <w:hideMark/>
          </w:tcPr>
          <w:p w14:paraId="0AE8A6E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gharaf</w:t>
            </w:r>
            <w:proofErr w:type="spellEnd"/>
          </w:p>
        </w:tc>
        <w:tc>
          <w:tcPr>
            <w:tcW w:w="1412" w:type="dxa"/>
            <w:shd w:val="clear" w:color="auto" w:fill="auto"/>
            <w:noWrap/>
            <w:hideMark/>
          </w:tcPr>
          <w:p w14:paraId="1A57A40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January-March</w:t>
            </w:r>
          </w:p>
        </w:tc>
        <w:tc>
          <w:tcPr>
            <w:tcW w:w="1560" w:type="dxa"/>
            <w:shd w:val="clear" w:color="auto" w:fill="auto"/>
            <w:noWrap/>
            <w:hideMark/>
          </w:tcPr>
          <w:p w14:paraId="2F3CEF5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FB6E96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724AD2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Philip et al., 2022</w:t>
            </w:r>
          </w:p>
        </w:tc>
      </w:tr>
      <w:tr w:rsidR="00DB4A05" w:rsidRPr="005D01D1" w14:paraId="2C4818A5" w14:textId="77777777" w:rsidTr="00DB4A05">
        <w:trPr>
          <w:trHeight w:val="620"/>
        </w:trPr>
        <w:tc>
          <w:tcPr>
            <w:tcW w:w="1985" w:type="dxa"/>
            <w:shd w:val="clear" w:color="auto" w:fill="auto"/>
            <w:noWrap/>
            <w:hideMark/>
          </w:tcPr>
          <w:p w14:paraId="1DF2E5B6"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myxa</w:t>
            </w:r>
            <w:proofErr w:type="spellEnd"/>
          </w:p>
        </w:tc>
        <w:tc>
          <w:tcPr>
            <w:tcW w:w="1412" w:type="dxa"/>
            <w:shd w:val="clear" w:color="auto" w:fill="auto"/>
            <w:noWrap/>
            <w:hideMark/>
          </w:tcPr>
          <w:p w14:paraId="0A6332B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1A9C4CE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93FE26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2DDA67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3CA797D8" w14:textId="77777777" w:rsidTr="00DB4A05">
        <w:trPr>
          <w:trHeight w:val="310"/>
        </w:trPr>
        <w:tc>
          <w:tcPr>
            <w:tcW w:w="1985" w:type="dxa"/>
            <w:shd w:val="clear" w:color="auto" w:fill="auto"/>
            <w:noWrap/>
            <w:hideMark/>
          </w:tcPr>
          <w:p w14:paraId="64E63D9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oblica</w:t>
            </w:r>
            <w:proofErr w:type="spellEnd"/>
          </w:p>
        </w:tc>
        <w:tc>
          <w:tcPr>
            <w:tcW w:w="1412" w:type="dxa"/>
            <w:shd w:val="clear" w:color="auto" w:fill="auto"/>
            <w:noWrap/>
            <w:hideMark/>
          </w:tcPr>
          <w:p w14:paraId="6FD6C1C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1CD4879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061C03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116A43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Bhaskaran &amp; Desai, 2015</w:t>
            </w:r>
          </w:p>
        </w:tc>
      </w:tr>
      <w:tr w:rsidR="00DB4A05" w:rsidRPr="005D01D1" w14:paraId="1922D64C" w14:textId="77777777" w:rsidTr="00DB4A05">
        <w:trPr>
          <w:trHeight w:val="620"/>
        </w:trPr>
        <w:tc>
          <w:tcPr>
            <w:tcW w:w="1985" w:type="dxa"/>
            <w:shd w:val="clear" w:color="auto" w:fill="auto"/>
            <w:noWrap/>
            <w:hideMark/>
          </w:tcPr>
          <w:p w14:paraId="0479119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lastRenderedPageBreak/>
              <w:t>Cordia sinensis</w:t>
            </w:r>
          </w:p>
        </w:tc>
        <w:tc>
          <w:tcPr>
            <w:tcW w:w="1412" w:type="dxa"/>
            <w:shd w:val="clear" w:color="auto" w:fill="auto"/>
            <w:noWrap/>
            <w:hideMark/>
          </w:tcPr>
          <w:p w14:paraId="33A4725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June-Dec</w:t>
            </w:r>
          </w:p>
        </w:tc>
        <w:tc>
          <w:tcPr>
            <w:tcW w:w="1560" w:type="dxa"/>
            <w:shd w:val="clear" w:color="auto" w:fill="auto"/>
            <w:noWrap/>
            <w:hideMark/>
          </w:tcPr>
          <w:p w14:paraId="46C3856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5E21F7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EDE81B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1F3D5C6B" w14:textId="77777777" w:rsidTr="00DB4A05">
        <w:trPr>
          <w:trHeight w:val="620"/>
        </w:trPr>
        <w:tc>
          <w:tcPr>
            <w:tcW w:w="1985" w:type="dxa"/>
            <w:shd w:val="clear" w:color="auto" w:fill="auto"/>
            <w:noWrap/>
            <w:hideMark/>
          </w:tcPr>
          <w:p w14:paraId="6883D768"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Dendrocalamus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strictus</w:t>
            </w:r>
            <w:proofErr w:type="spellEnd"/>
          </w:p>
        </w:tc>
        <w:tc>
          <w:tcPr>
            <w:tcW w:w="1412" w:type="dxa"/>
            <w:shd w:val="clear" w:color="auto" w:fill="auto"/>
            <w:noWrap/>
            <w:hideMark/>
          </w:tcPr>
          <w:p w14:paraId="24EB9AA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w:t>
            </w:r>
          </w:p>
        </w:tc>
        <w:tc>
          <w:tcPr>
            <w:tcW w:w="1560" w:type="dxa"/>
            <w:shd w:val="clear" w:color="auto" w:fill="auto"/>
            <w:noWrap/>
            <w:hideMark/>
          </w:tcPr>
          <w:p w14:paraId="7D98EBC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Young Shoots</w:t>
            </w:r>
          </w:p>
        </w:tc>
        <w:tc>
          <w:tcPr>
            <w:tcW w:w="1417" w:type="dxa"/>
            <w:shd w:val="clear" w:color="auto" w:fill="auto"/>
            <w:noWrap/>
            <w:hideMark/>
          </w:tcPr>
          <w:p w14:paraId="6E994B5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09EB342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Paul &amp; Kumar, 2021</w:t>
            </w:r>
          </w:p>
        </w:tc>
      </w:tr>
      <w:tr w:rsidR="00DB4A05" w:rsidRPr="005D01D1" w14:paraId="184CE773" w14:textId="77777777" w:rsidTr="00DB4A05">
        <w:trPr>
          <w:trHeight w:val="620"/>
        </w:trPr>
        <w:tc>
          <w:tcPr>
            <w:tcW w:w="1985" w:type="dxa"/>
            <w:shd w:val="clear" w:color="auto" w:fill="auto"/>
            <w:noWrap/>
            <w:hideMark/>
          </w:tcPr>
          <w:p w14:paraId="100F45F2"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Dichrostachys</w:t>
            </w:r>
            <w:proofErr w:type="spellEnd"/>
            <w:r w:rsidRPr="005D01D1">
              <w:rPr>
                <w:rFonts w:ascii="Arial" w:eastAsia="Times New Roman" w:hAnsi="Arial" w:cs="Arial"/>
                <w:i/>
                <w:iCs/>
                <w:color w:val="000000"/>
                <w:sz w:val="20"/>
                <w:lang w:eastAsia="en-IN"/>
              </w:rPr>
              <w:t xml:space="preserve"> cinerea</w:t>
            </w:r>
          </w:p>
        </w:tc>
        <w:tc>
          <w:tcPr>
            <w:tcW w:w="1412" w:type="dxa"/>
            <w:shd w:val="clear" w:color="auto" w:fill="auto"/>
            <w:noWrap/>
            <w:hideMark/>
          </w:tcPr>
          <w:p w14:paraId="34FB1CE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Jan-Dec</w:t>
            </w:r>
          </w:p>
        </w:tc>
        <w:tc>
          <w:tcPr>
            <w:tcW w:w="1560" w:type="dxa"/>
            <w:shd w:val="clear" w:color="auto" w:fill="auto"/>
            <w:noWrap/>
            <w:hideMark/>
          </w:tcPr>
          <w:p w14:paraId="2091529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2194D6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1FBC5D1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1F8827D1" w14:textId="77777777" w:rsidTr="00DB4A05">
        <w:trPr>
          <w:trHeight w:val="620"/>
        </w:trPr>
        <w:tc>
          <w:tcPr>
            <w:tcW w:w="1985" w:type="dxa"/>
            <w:shd w:val="clear" w:color="auto" w:fill="auto"/>
            <w:noWrap/>
            <w:hideMark/>
          </w:tcPr>
          <w:p w14:paraId="5957DCF3"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Dillenia</w:t>
            </w:r>
            <w:proofErr w:type="spellEnd"/>
            <w:r w:rsidRPr="005D01D1">
              <w:rPr>
                <w:rFonts w:ascii="Arial" w:eastAsia="Times New Roman" w:hAnsi="Arial" w:cs="Arial"/>
                <w:i/>
                <w:iCs/>
                <w:color w:val="000000"/>
                <w:sz w:val="20"/>
                <w:lang w:eastAsia="en-IN"/>
              </w:rPr>
              <w:t xml:space="preserve"> indica</w:t>
            </w:r>
          </w:p>
        </w:tc>
        <w:tc>
          <w:tcPr>
            <w:tcW w:w="1412" w:type="dxa"/>
            <w:shd w:val="clear" w:color="auto" w:fill="auto"/>
            <w:noWrap/>
            <w:hideMark/>
          </w:tcPr>
          <w:p w14:paraId="1AC43CA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Sept-Feb</w:t>
            </w:r>
          </w:p>
        </w:tc>
        <w:tc>
          <w:tcPr>
            <w:tcW w:w="1560" w:type="dxa"/>
            <w:shd w:val="clear" w:color="auto" w:fill="auto"/>
            <w:noWrap/>
            <w:hideMark/>
          </w:tcPr>
          <w:p w14:paraId="7556CAF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DB58E2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91BEE0C"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271C50E9" w14:textId="77777777" w:rsidTr="00DB4A05">
        <w:trPr>
          <w:trHeight w:val="1550"/>
        </w:trPr>
        <w:tc>
          <w:tcPr>
            <w:tcW w:w="1985" w:type="dxa"/>
            <w:shd w:val="clear" w:color="auto" w:fill="auto"/>
            <w:noWrap/>
            <w:hideMark/>
          </w:tcPr>
          <w:p w14:paraId="456C2E2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Diospyros melanoxylon</w:t>
            </w:r>
          </w:p>
        </w:tc>
        <w:tc>
          <w:tcPr>
            <w:tcW w:w="1412" w:type="dxa"/>
            <w:shd w:val="clear" w:color="auto" w:fill="auto"/>
            <w:noWrap/>
            <w:hideMark/>
          </w:tcPr>
          <w:p w14:paraId="623374F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6B1B300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D0E3F8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76A806DD"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Bhaskaran &amp; Desai, 2015;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Philip et al., 2022; Paul &amp; Kumar, 2021</w:t>
            </w:r>
          </w:p>
        </w:tc>
      </w:tr>
      <w:tr w:rsidR="00DB4A05" w:rsidRPr="005D01D1" w14:paraId="4341DF61" w14:textId="77777777" w:rsidTr="00DB4A05">
        <w:trPr>
          <w:trHeight w:val="310"/>
        </w:trPr>
        <w:tc>
          <w:tcPr>
            <w:tcW w:w="1985" w:type="dxa"/>
            <w:shd w:val="clear" w:color="auto" w:fill="auto"/>
            <w:noWrap/>
            <w:hideMark/>
          </w:tcPr>
          <w:p w14:paraId="0458C19B"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Diospyros </w:t>
            </w:r>
            <w:proofErr w:type="spellStart"/>
            <w:r w:rsidRPr="005D01D1">
              <w:rPr>
                <w:rFonts w:ascii="Arial" w:eastAsia="Times New Roman" w:hAnsi="Arial" w:cs="Arial"/>
                <w:i/>
                <w:iCs/>
                <w:color w:val="000000"/>
                <w:sz w:val="20"/>
                <w:lang w:eastAsia="en-IN"/>
              </w:rPr>
              <w:t>montana</w:t>
            </w:r>
            <w:proofErr w:type="spellEnd"/>
          </w:p>
        </w:tc>
        <w:tc>
          <w:tcPr>
            <w:tcW w:w="1412" w:type="dxa"/>
            <w:shd w:val="clear" w:color="auto" w:fill="auto"/>
            <w:noWrap/>
            <w:hideMark/>
          </w:tcPr>
          <w:p w14:paraId="5C080B4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3BA6B1C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4FF4EE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5183AAF2"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Bhaskaran &amp; Desai, 2015</w:t>
            </w:r>
          </w:p>
        </w:tc>
      </w:tr>
      <w:tr w:rsidR="00DB4A05" w:rsidRPr="005D01D1" w14:paraId="66EBF152" w14:textId="77777777" w:rsidTr="00DB4A05">
        <w:trPr>
          <w:trHeight w:val="620"/>
        </w:trPr>
        <w:tc>
          <w:tcPr>
            <w:tcW w:w="1985" w:type="dxa"/>
            <w:shd w:val="clear" w:color="auto" w:fill="auto"/>
            <w:noWrap/>
            <w:hideMark/>
          </w:tcPr>
          <w:p w14:paraId="5123616E"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Ehretia</w:t>
            </w:r>
            <w:proofErr w:type="spellEnd"/>
            <w:r w:rsidRPr="005D01D1">
              <w:rPr>
                <w:rFonts w:ascii="Arial" w:eastAsia="Times New Roman" w:hAnsi="Arial" w:cs="Arial"/>
                <w:i/>
                <w:iCs/>
                <w:color w:val="000000"/>
                <w:sz w:val="20"/>
                <w:lang w:eastAsia="en-IN"/>
              </w:rPr>
              <w:t xml:space="preserve"> aspera</w:t>
            </w:r>
          </w:p>
        </w:tc>
        <w:tc>
          <w:tcPr>
            <w:tcW w:w="1412" w:type="dxa"/>
            <w:shd w:val="clear" w:color="auto" w:fill="auto"/>
            <w:noWrap/>
            <w:hideMark/>
          </w:tcPr>
          <w:p w14:paraId="555DA6F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Jan-April</w:t>
            </w:r>
          </w:p>
        </w:tc>
        <w:tc>
          <w:tcPr>
            <w:tcW w:w="1560" w:type="dxa"/>
            <w:shd w:val="clear" w:color="auto" w:fill="auto"/>
            <w:noWrap/>
            <w:hideMark/>
          </w:tcPr>
          <w:p w14:paraId="04DAD15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99E6D6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DD88826"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06500877" w14:textId="77777777" w:rsidTr="00DB4A05">
        <w:trPr>
          <w:trHeight w:val="620"/>
        </w:trPr>
        <w:tc>
          <w:tcPr>
            <w:tcW w:w="1985" w:type="dxa"/>
            <w:shd w:val="clear" w:color="auto" w:fill="auto"/>
            <w:noWrap/>
            <w:hideMark/>
          </w:tcPr>
          <w:p w14:paraId="0495B6A0"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Ehretia</w:t>
            </w:r>
            <w:proofErr w:type="spellEnd"/>
            <w:r w:rsidRPr="005D01D1">
              <w:rPr>
                <w:rFonts w:ascii="Arial" w:eastAsia="Times New Roman" w:hAnsi="Arial" w:cs="Arial"/>
                <w:i/>
                <w:iCs/>
                <w:color w:val="000000"/>
                <w:sz w:val="20"/>
                <w:lang w:eastAsia="en-IN"/>
              </w:rPr>
              <w:t xml:space="preserve"> laevis</w:t>
            </w:r>
          </w:p>
        </w:tc>
        <w:tc>
          <w:tcPr>
            <w:tcW w:w="1412" w:type="dxa"/>
            <w:shd w:val="clear" w:color="auto" w:fill="auto"/>
            <w:noWrap/>
            <w:hideMark/>
          </w:tcPr>
          <w:p w14:paraId="7E8BD7D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Jan-April</w:t>
            </w:r>
          </w:p>
        </w:tc>
        <w:tc>
          <w:tcPr>
            <w:tcW w:w="1560" w:type="dxa"/>
            <w:shd w:val="clear" w:color="auto" w:fill="auto"/>
            <w:noWrap/>
            <w:hideMark/>
          </w:tcPr>
          <w:p w14:paraId="55E32F8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7A3870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780768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7F735902" w14:textId="77777777" w:rsidTr="00DB4A05">
        <w:trPr>
          <w:trHeight w:val="310"/>
        </w:trPr>
        <w:tc>
          <w:tcPr>
            <w:tcW w:w="1985" w:type="dxa"/>
            <w:shd w:val="clear" w:color="auto" w:fill="auto"/>
            <w:noWrap/>
            <w:hideMark/>
          </w:tcPr>
          <w:p w14:paraId="4761748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Elaeocarpus tuberculatus</w:t>
            </w:r>
          </w:p>
        </w:tc>
        <w:tc>
          <w:tcPr>
            <w:tcW w:w="1412" w:type="dxa"/>
            <w:shd w:val="clear" w:color="auto" w:fill="auto"/>
            <w:noWrap/>
            <w:hideMark/>
          </w:tcPr>
          <w:p w14:paraId="00C03AD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July-Sept</w:t>
            </w:r>
          </w:p>
        </w:tc>
        <w:tc>
          <w:tcPr>
            <w:tcW w:w="1560" w:type="dxa"/>
            <w:shd w:val="clear" w:color="auto" w:fill="auto"/>
            <w:noWrap/>
            <w:hideMark/>
          </w:tcPr>
          <w:p w14:paraId="699DC46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484D17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66518C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53E2402A" w14:textId="77777777" w:rsidTr="00DB4A05">
        <w:trPr>
          <w:trHeight w:val="310"/>
        </w:trPr>
        <w:tc>
          <w:tcPr>
            <w:tcW w:w="1985" w:type="dxa"/>
            <w:shd w:val="clear" w:color="auto" w:fill="auto"/>
            <w:noWrap/>
            <w:hideMark/>
          </w:tcPr>
          <w:p w14:paraId="072AAB13"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Emblica</w:t>
            </w:r>
            <w:proofErr w:type="spellEnd"/>
            <w:r w:rsidRPr="005D01D1">
              <w:rPr>
                <w:rFonts w:ascii="Arial" w:eastAsia="Times New Roman" w:hAnsi="Arial" w:cs="Arial"/>
                <w:i/>
                <w:iCs/>
                <w:color w:val="000000"/>
                <w:sz w:val="20"/>
                <w:lang w:eastAsia="en-IN"/>
              </w:rPr>
              <w:t xml:space="preserve"> officinalis</w:t>
            </w:r>
          </w:p>
        </w:tc>
        <w:tc>
          <w:tcPr>
            <w:tcW w:w="1412" w:type="dxa"/>
            <w:shd w:val="clear" w:color="auto" w:fill="auto"/>
            <w:noWrap/>
            <w:hideMark/>
          </w:tcPr>
          <w:p w14:paraId="0AF1A96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Nov-Feb</w:t>
            </w:r>
          </w:p>
        </w:tc>
        <w:tc>
          <w:tcPr>
            <w:tcW w:w="1560" w:type="dxa"/>
            <w:shd w:val="clear" w:color="auto" w:fill="auto"/>
            <w:noWrap/>
            <w:hideMark/>
          </w:tcPr>
          <w:p w14:paraId="73FDBD4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852F7E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51FC374C"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16299526" w14:textId="77777777" w:rsidTr="00DB4A05">
        <w:trPr>
          <w:trHeight w:val="620"/>
        </w:trPr>
        <w:tc>
          <w:tcPr>
            <w:tcW w:w="1985" w:type="dxa"/>
            <w:shd w:val="clear" w:color="auto" w:fill="auto"/>
            <w:noWrap/>
            <w:hideMark/>
          </w:tcPr>
          <w:p w14:paraId="29C4782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Eugenia spp.</w:t>
            </w:r>
          </w:p>
        </w:tc>
        <w:tc>
          <w:tcPr>
            <w:tcW w:w="1412" w:type="dxa"/>
            <w:shd w:val="clear" w:color="auto" w:fill="auto"/>
            <w:noWrap/>
            <w:hideMark/>
          </w:tcPr>
          <w:p w14:paraId="714160E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742F72B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B5150A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99076C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0CF7E62A" w14:textId="77777777" w:rsidTr="00DB4A05">
        <w:trPr>
          <w:trHeight w:val="310"/>
        </w:trPr>
        <w:tc>
          <w:tcPr>
            <w:tcW w:w="1985" w:type="dxa"/>
            <w:shd w:val="clear" w:color="auto" w:fill="auto"/>
            <w:noWrap/>
            <w:hideMark/>
          </w:tcPr>
          <w:p w14:paraId="544B9903"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Feronia </w:t>
            </w:r>
            <w:proofErr w:type="spellStart"/>
            <w:r w:rsidRPr="005D01D1">
              <w:rPr>
                <w:rFonts w:ascii="Arial" w:eastAsia="Times New Roman" w:hAnsi="Arial" w:cs="Arial"/>
                <w:i/>
                <w:iCs/>
                <w:color w:val="000000"/>
                <w:sz w:val="20"/>
                <w:lang w:eastAsia="en-IN"/>
              </w:rPr>
              <w:t>limonia</w:t>
            </w:r>
            <w:proofErr w:type="spellEnd"/>
          </w:p>
        </w:tc>
        <w:tc>
          <w:tcPr>
            <w:tcW w:w="1412" w:type="dxa"/>
            <w:shd w:val="clear" w:color="auto" w:fill="auto"/>
            <w:noWrap/>
            <w:hideMark/>
          </w:tcPr>
          <w:p w14:paraId="7339E97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Oct-March</w:t>
            </w:r>
          </w:p>
        </w:tc>
        <w:tc>
          <w:tcPr>
            <w:tcW w:w="1560" w:type="dxa"/>
            <w:shd w:val="clear" w:color="auto" w:fill="auto"/>
            <w:noWrap/>
            <w:hideMark/>
          </w:tcPr>
          <w:p w14:paraId="0FBF8C1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26D6DC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B191998"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302B25C8" w14:textId="77777777" w:rsidTr="00DB4A05">
        <w:trPr>
          <w:trHeight w:val="620"/>
        </w:trPr>
        <w:tc>
          <w:tcPr>
            <w:tcW w:w="1985" w:type="dxa"/>
            <w:shd w:val="clear" w:color="auto" w:fill="auto"/>
            <w:noWrap/>
            <w:hideMark/>
          </w:tcPr>
          <w:p w14:paraId="1D459C2C"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Ficus </w:t>
            </w:r>
            <w:proofErr w:type="spellStart"/>
            <w:r w:rsidRPr="005D01D1">
              <w:rPr>
                <w:rFonts w:ascii="Arial" w:eastAsia="Times New Roman" w:hAnsi="Arial" w:cs="Arial"/>
                <w:i/>
                <w:iCs/>
                <w:color w:val="000000"/>
                <w:sz w:val="20"/>
                <w:lang w:eastAsia="en-IN"/>
              </w:rPr>
              <w:t>arnottiana</w:t>
            </w:r>
            <w:proofErr w:type="spellEnd"/>
          </w:p>
        </w:tc>
        <w:tc>
          <w:tcPr>
            <w:tcW w:w="1412" w:type="dxa"/>
            <w:shd w:val="clear" w:color="auto" w:fill="auto"/>
            <w:noWrap/>
            <w:hideMark/>
          </w:tcPr>
          <w:p w14:paraId="1284FF5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Dec-April</w:t>
            </w:r>
          </w:p>
        </w:tc>
        <w:tc>
          <w:tcPr>
            <w:tcW w:w="1560" w:type="dxa"/>
            <w:shd w:val="clear" w:color="auto" w:fill="auto"/>
            <w:noWrap/>
            <w:hideMark/>
          </w:tcPr>
          <w:p w14:paraId="13440DF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4D8650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CA9263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46A24A50" w14:textId="77777777" w:rsidTr="00DB4A05">
        <w:trPr>
          <w:trHeight w:val="2480"/>
        </w:trPr>
        <w:tc>
          <w:tcPr>
            <w:tcW w:w="1985" w:type="dxa"/>
            <w:shd w:val="clear" w:color="auto" w:fill="auto"/>
            <w:noWrap/>
            <w:hideMark/>
          </w:tcPr>
          <w:p w14:paraId="0255266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Ficus benghalensis</w:t>
            </w:r>
          </w:p>
        </w:tc>
        <w:tc>
          <w:tcPr>
            <w:tcW w:w="1412" w:type="dxa"/>
            <w:shd w:val="clear" w:color="auto" w:fill="auto"/>
            <w:noWrap/>
            <w:hideMark/>
          </w:tcPr>
          <w:p w14:paraId="17AFE2F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April-Nov</w:t>
            </w:r>
          </w:p>
        </w:tc>
        <w:tc>
          <w:tcPr>
            <w:tcW w:w="1560" w:type="dxa"/>
            <w:shd w:val="clear" w:color="auto" w:fill="auto"/>
            <w:noWrap/>
            <w:hideMark/>
          </w:tcPr>
          <w:p w14:paraId="51A3D10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4964D6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5248F82"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Bhaskaran &amp; Desai, 2015; Paul &amp; Kumar, 2021; </w:t>
            </w: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w:t>
            </w: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2013; Khanal &amp; Thapa, 2014; Philip et al., 2022</w:t>
            </w:r>
          </w:p>
        </w:tc>
      </w:tr>
      <w:tr w:rsidR="00DB4A05" w:rsidRPr="005D01D1" w14:paraId="557D668A" w14:textId="77777777" w:rsidTr="00DB4A05">
        <w:trPr>
          <w:trHeight w:val="310"/>
        </w:trPr>
        <w:tc>
          <w:tcPr>
            <w:tcW w:w="1985" w:type="dxa"/>
            <w:shd w:val="clear" w:color="auto" w:fill="auto"/>
            <w:noWrap/>
            <w:hideMark/>
          </w:tcPr>
          <w:p w14:paraId="5B09C1F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Ficus glomerata</w:t>
            </w:r>
          </w:p>
        </w:tc>
        <w:tc>
          <w:tcPr>
            <w:tcW w:w="1412" w:type="dxa"/>
            <w:shd w:val="clear" w:color="auto" w:fill="auto"/>
            <w:noWrap/>
            <w:hideMark/>
          </w:tcPr>
          <w:p w14:paraId="206317F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March-July</w:t>
            </w:r>
          </w:p>
        </w:tc>
        <w:tc>
          <w:tcPr>
            <w:tcW w:w="1560" w:type="dxa"/>
            <w:shd w:val="clear" w:color="auto" w:fill="auto"/>
            <w:noWrap/>
            <w:hideMark/>
          </w:tcPr>
          <w:p w14:paraId="149A520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F4938A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70EFFF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Paul &amp; Kumar, 2021</w:t>
            </w:r>
          </w:p>
        </w:tc>
      </w:tr>
      <w:tr w:rsidR="00DB4A05" w:rsidRPr="005D01D1" w14:paraId="4464F120" w14:textId="77777777" w:rsidTr="00DB4A05">
        <w:trPr>
          <w:trHeight w:val="930"/>
        </w:trPr>
        <w:tc>
          <w:tcPr>
            <w:tcW w:w="1985" w:type="dxa"/>
            <w:shd w:val="clear" w:color="auto" w:fill="auto"/>
            <w:noWrap/>
            <w:hideMark/>
          </w:tcPr>
          <w:p w14:paraId="46D3997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Ficus racemosa</w:t>
            </w:r>
          </w:p>
        </w:tc>
        <w:tc>
          <w:tcPr>
            <w:tcW w:w="1412" w:type="dxa"/>
            <w:shd w:val="clear" w:color="auto" w:fill="auto"/>
            <w:noWrap/>
            <w:hideMark/>
          </w:tcPr>
          <w:p w14:paraId="3EB45D0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March-July</w:t>
            </w:r>
          </w:p>
        </w:tc>
        <w:tc>
          <w:tcPr>
            <w:tcW w:w="1560" w:type="dxa"/>
            <w:shd w:val="clear" w:color="auto" w:fill="auto"/>
            <w:noWrap/>
            <w:hideMark/>
          </w:tcPr>
          <w:p w14:paraId="2862933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8B76AF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F90785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w:t>
            </w:r>
            <w:proofErr w:type="gramStart"/>
            <w:r w:rsidRPr="005D01D1">
              <w:rPr>
                <w:rFonts w:ascii="Arial" w:eastAsia="Times New Roman" w:hAnsi="Arial" w:cs="Arial"/>
                <w:color w:val="000000"/>
                <w:sz w:val="20"/>
                <w:lang w:eastAsia="en-IN"/>
              </w:rPr>
              <w:t>2023;Philip</w:t>
            </w:r>
            <w:proofErr w:type="gramEnd"/>
            <w:r w:rsidRPr="005D01D1">
              <w:rPr>
                <w:rFonts w:ascii="Arial" w:eastAsia="Times New Roman" w:hAnsi="Arial" w:cs="Arial"/>
                <w:color w:val="000000"/>
                <w:sz w:val="20"/>
                <w:lang w:eastAsia="en-IN"/>
              </w:rPr>
              <w:t xml:space="preserve"> et al., 2022</w:t>
            </w:r>
          </w:p>
        </w:tc>
      </w:tr>
      <w:tr w:rsidR="00DB4A05" w:rsidRPr="005D01D1" w14:paraId="43ED6974" w14:textId="77777777" w:rsidTr="00DB4A05">
        <w:trPr>
          <w:trHeight w:val="1240"/>
        </w:trPr>
        <w:tc>
          <w:tcPr>
            <w:tcW w:w="1985" w:type="dxa"/>
            <w:shd w:val="clear" w:color="auto" w:fill="auto"/>
            <w:noWrap/>
            <w:hideMark/>
          </w:tcPr>
          <w:p w14:paraId="6F8344D2"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Ficus religiosa</w:t>
            </w:r>
          </w:p>
        </w:tc>
        <w:tc>
          <w:tcPr>
            <w:tcW w:w="1412" w:type="dxa"/>
            <w:shd w:val="clear" w:color="auto" w:fill="auto"/>
            <w:noWrap/>
            <w:hideMark/>
          </w:tcPr>
          <w:p w14:paraId="19F4113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April-May</w:t>
            </w:r>
          </w:p>
        </w:tc>
        <w:tc>
          <w:tcPr>
            <w:tcW w:w="1560" w:type="dxa"/>
            <w:shd w:val="clear" w:color="auto" w:fill="auto"/>
            <w:noWrap/>
            <w:hideMark/>
          </w:tcPr>
          <w:p w14:paraId="43455E9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74AD17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C52EA24"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Bhaskaran &amp; Desai, 2015; Philip et al., 2022; Paul &amp; Kumar, 2021</w:t>
            </w:r>
          </w:p>
        </w:tc>
      </w:tr>
      <w:tr w:rsidR="00DB4A05" w:rsidRPr="005D01D1" w14:paraId="2BAE79C3" w14:textId="77777777" w:rsidTr="00DB4A05">
        <w:trPr>
          <w:trHeight w:val="620"/>
        </w:trPr>
        <w:tc>
          <w:tcPr>
            <w:tcW w:w="1985" w:type="dxa"/>
            <w:shd w:val="clear" w:color="auto" w:fill="auto"/>
            <w:noWrap/>
            <w:hideMark/>
          </w:tcPr>
          <w:p w14:paraId="05F3631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Ficus </w:t>
            </w:r>
            <w:proofErr w:type="spellStart"/>
            <w:r w:rsidRPr="005D01D1">
              <w:rPr>
                <w:rFonts w:ascii="Arial" w:eastAsia="Times New Roman" w:hAnsi="Arial" w:cs="Arial"/>
                <w:i/>
                <w:iCs/>
                <w:color w:val="000000"/>
                <w:sz w:val="20"/>
                <w:lang w:eastAsia="en-IN"/>
              </w:rPr>
              <w:t>rumphii</w:t>
            </w:r>
            <w:proofErr w:type="spellEnd"/>
          </w:p>
        </w:tc>
        <w:tc>
          <w:tcPr>
            <w:tcW w:w="1412" w:type="dxa"/>
            <w:shd w:val="clear" w:color="auto" w:fill="auto"/>
            <w:noWrap/>
            <w:hideMark/>
          </w:tcPr>
          <w:p w14:paraId="652CCB3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Nov-April</w:t>
            </w:r>
          </w:p>
        </w:tc>
        <w:tc>
          <w:tcPr>
            <w:tcW w:w="1560" w:type="dxa"/>
            <w:shd w:val="clear" w:color="auto" w:fill="auto"/>
            <w:noWrap/>
            <w:hideMark/>
          </w:tcPr>
          <w:p w14:paraId="027D95E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6EBFE2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68306F3"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686F1CEE" w14:textId="77777777" w:rsidTr="00DB4A05">
        <w:trPr>
          <w:trHeight w:val="620"/>
        </w:trPr>
        <w:tc>
          <w:tcPr>
            <w:tcW w:w="1985" w:type="dxa"/>
            <w:shd w:val="clear" w:color="auto" w:fill="auto"/>
            <w:noWrap/>
            <w:hideMark/>
          </w:tcPr>
          <w:p w14:paraId="5F81ED6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lastRenderedPageBreak/>
              <w:t xml:space="preserve">Ficus </w:t>
            </w:r>
            <w:proofErr w:type="spellStart"/>
            <w:r w:rsidRPr="005D01D1">
              <w:rPr>
                <w:rFonts w:ascii="Arial" w:eastAsia="Times New Roman" w:hAnsi="Arial" w:cs="Arial"/>
                <w:i/>
                <w:iCs/>
                <w:color w:val="000000"/>
                <w:sz w:val="20"/>
                <w:lang w:eastAsia="en-IN"/>
              </w:rPr>
              <w:t>semicordata</w:t>
            </w:r>
            <w:proofErr w:type="spellEnd"/>
          </w:p>
        </w:tc>
        <w:tc>
          <w:tcPr>
            <w:tcW w:w="1412" w:type="dxa"/>
            <w:shd w:val="clear" w:color="auto" w:fill="auto"/>
            <w:noWrap/>
            <w:hideMark/>
          </w:tcPr>
          <w:p w14:paraId="167C7D4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40DEDAD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07F5AD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0CC4B3B"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Khanal &amp; Thapa, 2014</w:t>
            </w:r>
          </w:p>
        </w:tc>
      </w:tr>
      <w:tr w:rsidR="00DB4A05" w:rsidRPr="005D01D1" w14:paraId="72F4FE0B" w14:textId="77777777" w:rsidTr="00DB4A05">
        <w:trPr>
          <w:trHeight w:val="930"/>
        </w:trPr>
        <w:tc>
          <w:tcPr>
            <w:tcW w:w="1985" w:type="dxa"/>
            <w:shd w:val="clear" w:color="auto" w:fill="auto"/>
            <w:noWrap/>
            <w:hideMark/>
          </w:tcPr>
          <w:p w14:paraId="09B5B21A"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Ficus virens</w:t>
            </w:r>
          </w:p>
        </w:tc>
        <w:tc>
          <w:tcPr>
            <w:tcW w:w="1412" w:type="dxa"/>
            <w:shd w:val="clear" w:color="auto" w:fill="auto"/>
            <w:noWrap/>
            <w:hideMark/>
          </w:tcPr>
          <w:p w14:paraId="1A7E488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Dec-Feb</w:t>
            </w:r>
          </w:p>
        </w:tc>
        <w:tc>
          <w:tcPr>
            <w:tcW w:w="1560" w:type="dxa"/>
            <w:shd w:val="clear" w:color="auto" w:fill="auto"/>
            <w:noWrap/>
            <w:hideMark/>
          </w:tcPr>
          <w:p w14:paraId="79B1BFB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31459F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ECC696B"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Philip et al., 2022; Kumara et al., 2023</w:t>
            </w:r>
          </w:p>
        </w:tc>
      </w:tr>
      <w:tr w:rsidR="00DB4A05" w:rsidRPr="005D01D1" w14:paraId="06BEAC78" w14:textId="77777777" w:rsidTr="00DB4A05">
        <w:trPr>
          <w:trHeight w:val="620"/>
        </w:trPr>
        <w:tc>
          <w:tcPr>
            <w:tcW w:w="1985" w:type="dxa"/>
            <w:shd w:val="clear" w:color="auto" w:fill="auto"/>
            <w:noWrap/>
            <w:hideMark/>
          </w:tcPr>
          <w:p w14:paraId="3BC2D379"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Flacourtia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cataphracta</w:t>
            </w:r>
            <w:proofErr w:type="spellEnd"/>
          </w:p>
        </w:tc>
        <w:tc>
          <w:tcPr>
            <w:tcW w:w="1412" w:type="dxa"/>
            <w:shd w:val="clear" w:color="auto" w:fill="auto"/>
            <w:noWrap/>
            <w:hideMark/>
          </w:tcPr>
          <w:p w14:paraId="3C379CF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3C8D07D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973B79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75659C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6A779607" w14:textId="77777777" w:rsidTr="00DB4A05">
        <w:trPr>
          <w:trHeight w:val="620"/>
        </w:trPr>
        <w:tc>
          <w:tcPr>
            <w:tcW w:w="1985" w:type="dxa"/>
            <w:shd w:val="clear" w:color="auto" w:fill="auto"/>
            <w:noWrap/>
            <w:hideMark/>
          </w:tcPr>
          <w:p w14:paraId="5BEB1929"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Flacourtia</w:t>
            </w:r>
            <w:proofErr w:type="spellEnd"/>
            <w:r w:rsidRPr="005D01D1">
              <w:rPr>
                <w:rFonts w:ascii="Arial" w:eastAsia="Times New Roman" w:hAnsi="Arial" w:cs="Arial"/>
                <w:i/>
                <w:iCs/>
                <w:color w:val="000000"/>
                <w:sz w:val="20"/>
                <w:lang w:eastAsia="en-IN"/>
              </w:rPr>
              <w:t xml:space="preserve"> indica</w:t>
            </w:r>
          </w:p>
        </w:tc>
        <w:tc>
          <w:tcPr>
            <w:tcW w:w="1412" w:type="dxa"/>
            <w:shd w:val="clear" w:color="auto" w:fill="auto"/>
            <w:noWrap/>
            <w:hideMark/>
          </w:tcPr>
          <w:p w14:paraId="6531221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28F6CC2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F02427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4BDA53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75A2981F" w14:textId="77777777" w:rsidTr="00DB4A05">
        <w:trPr>
          <w:trHeight w:val="620"/>
        </w:trPr>
        <w:tc>
          <w:tcPr>
            <w:tcW w:w="1985" w:type="dxa"/>
            <w:shd w:val="clear" w:color="auto" w:fill="auto"/>
            <w:noWrap/>
            <w:hideMark/>
          </w:tcPr>
          <w:p w14:paraId="08C37818"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Flacourtia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sepiaria</w:t>
            </w:r>
            <w:proofErr w:type="spellEnd"/>
          </w:p>
        </w:tc>
        <w:tc>
          <w:tcPr>
            <w:tcW w:w="1412" w:type="dxa"/>
            <w:shd w:val="clear" w:color="auto" w:fill="auto"/>
            <w:noWrap/>
            <w:hideMark/>
          </w:tcPr>
          <w:p w14:paraId="4DE2D34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11CF811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09726D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21B9F2C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50F61629" w14:textId="77777777" w:rsidTr="00DB4A05">
        <w:trPr>
          <w:trHeight w:val="620"/>
        </w:trPr>
        <w:tc>
          <w:tcPr>
            <w:tcW w:w="1985" w:type="dxa"/>
            <w:shd w:val="clear" w:color="auto" w:fill="auto"/>
            <w:noWrap/>
            <w:hideMark/>
          </w:tcPr>
          <w:p w14:paraId="79B2DE6F"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Gmelina arborea</w:t>
            </w:r>
          </w:p>
        </w:tc>
        <w:tc>
          <w:tcPr>
            <w:tcW w:w="1412" w:type="dxa"/>
            <w:shd w:val="clear" w:color="auto" w:fill="auto"/>
            <w:noWrap/>
            <w:hideMark/>
          </w:tcPr>
          <w:p w14:paraId="5E0C4E3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1921AAF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BA8796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947578A"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70C773A6" w14:textId="77777777" w:rsidTr="00DB4A05">
        <w:trPr>
          <w:trHeight w:val="930"/>
        </w:trPr>
        <w:tc>
          <w:tcPr>
            <w:tcW w:w="1985" w:type="dxa"/>
            <w:shd w:val="clear" w:color="auto" w:fill="auto"/>
            <w:noWrap/>
            <w:hideMark/>
          </w:tcPr>
          <w:p w14:paraId="0BBCF23F"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Grewia asiatica</w:t>
            </w:r>
          </w:p>
        </w:tc>
        <w:tc>
          <w:tcPr>
            <w:tcW w:w="1412" w:type="dxa"/>
            <w:shd w:val="clear" w:color="auto" w:fill="auto"/>
            <w:noWrap/>
            <w:hideMark/>
          </w:tcPr>
          <w:p w14:paraId="6AA61C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018FDFC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7892EE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4D88086"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 Kumara et al., 2023; Philip et al., 2022</w:t>
            </w:r>
          </w:p>
        </w:tc>
      </w:tr>
      <w:tr w:rsidR="00DB4A05" w:rsidRPr="005D01D1" w14:paraId="193090DF" w14:textId="77777777" w:rsidTr="00DB4A05">
        <w:trPr>
          <w:trHeight w:val="620"/>
        </w:trPr>
        <w:tc>
          <w:tcPr>
            <w:tcW w:w="1985" w:type="dxa"/>
            <w:shd w:val="clear" w:color="auto" w:fill="auto"/>
            <w:noWrap/>
            <w:hideMark/>
          </w:tcPr>
          <w:p w14:paraId="2EAC9D2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Grewia </w:t>
            </w:r>
            <w:proofErr w:type="spellStart"/>
            <w:r w:rsidRPr="005D01D1">
              <w:rPr>
                <w:rFonts w:ascii="Arial" w:eastAsia="Times New Roman" w:hAnsi="Arial" w:cs="Arial"/>
                <w:i/>
                <w:iCs/>
                <w:color w:val="000000"/>
                <w:sz w:val="20"/>
                <w:lang w:eastAsia="en-IN"/>
              </w:rPr>
              <w:t>damine</w:t>
            </w:r>
            <w:proofErr w:type="spellEnd"/>
          </w:p>
        </w:tc>
        <w:tc>
          <w:tcPr>
            <w:tcW w:w="1412" w:type="dxa"/>
            <w:shd w:val="clear" w:color="auto" w:fill="auto"/>
            <w:noWrap/>
            <w:hideMark/>
          </w:tcPr>
          <w:p w14:paraId="2F14D9E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July-Nov</w:t>
            </w:r>
          </w:p>
        </w:tc>
        <w:tc>
          <w:tcPr>
            <w:tcW w:w="1560" w:type="dxa"/>
            <w:shd w:val="clear" w:color="auto" w:fill="auto"/>
            <w:noWrap/>
            <w:hideMark/>
          </w:tcPr>
          <w:p w14:paraId="4DF911E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7304BE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42DC518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4903C669" w14:textId="77777777" w:rsidTr="00DB4A05">
        <w:trPr>
          <w:trHeight w:val="620"/>
        </w:trPr>
        <w:tc>
          <w:tcPr>
            <w:tcW w:w="1985" w:type="dxa"/>
            <w:shd w:val="clear" w:color="auto" w:fill="auto"/>
            <w:noWrap/>
            <w:hideMark/>
          </w:tcPr>
          <w:p w14:paraId="773272E8"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Grewia flavescens</w:t>
            </w:r>
          </w:p>
        </w:tc>
        <w:tc>
          <w:tcPr>
            <w:tcW w:w="1412" w:type="dxa"/>
            <w:shd w:val="clear" w:color="auto" w:fill="auto"/>
            <w:noWrap/>
            <w:hideMark/>
          </w:tcPr>
          <w:p w14:paraId="656F1B7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727CFDA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01B67E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766CDA6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0DB3126D" w14:textId="77777777" w:rsidTr="00DB4A05">
        <w:trPr>
          <w:trHeight w:val="620"/>
        </w:trPr>
        <w:tc>
          <w:tcPr>
            <w:tcW w:w="1985" w:type="dxa"/>
            <w:shd w:val="clear" w:color="auto" w:fill="auto"/>
            <w:noWrap/>
            <w:hideMark/>
          </w:tcPr>
          <w:p w14:paraId="30DF8316"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Grewia </w:t>
            </w:r>
            <w:proofErr w:type="spellStart"/>
            <w:r w:rsidRPr="005D01D1">
              <w:rPr>
                <w:rFonts w:ascii="Arial" w:eastAsia="Times New Roman" w:hAnsi="Arial" w:cs="Arial"/>
                <w:i/>
                <w:iCs/>
                <w:color w:val="000000"/>
                <w:sz w:val="20"/>
                <w:lang w:eastAsia="en-IN"/>
              </w:rPr>
              <w:t>sclerophylla</w:t>
            </w:r>
            <w:proofErr w:type="spellEnd"/>
          </w:p>
        </w:tc>
        <w:tc>
          <w:tcPr>
            <w:tcW w:w="1412" w:type="dxa"/>
            <w:shd w:val="clear" w:color="auto" w:fill="auto"/>
            <w:noWrap/>
            <w:hideMark/>
          </w:tcPr>
          <w:p w14:paraId="09B4ADC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June-Jan</w:t>
            </w:r>
          </w:p>
        </w:tc>
        <w:tc>
          <w:tcPr>
            <w:tcW w:w="1560" w:type="dxa"/>
            <w:shd w:val="clear" w:color="auto" w:fill="auto"/>
            <w:noWrap/>
            <w:hideMark/>
          </w:tcPr>
          <w:p w14:paraId="737B430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AC7ED1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42DF5B0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012A0AF8" w14:textId="77777777" w:rsidTr="00DB4A05">
        <w:trPr>
          <w:trHeight w:val="930"/>
        </w:trPr>
        <w:tc>
          <w:tcPr>
            <w:tcW w:w="1985" w:type="dxa"/>
            <w:shd w:val="clear" w:color="auto" w:fill="auto"/>
            <w:noWrap/>
            <w:hideMark/>
          </w:tcPr>
          <w:p w14:paraId="29D6AA0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Grewia </w:t>
            </w:r>
            <w:proofErr w:type="spellStart"/>
            <w:r w:rsidRPr="005D01D1">
              <w:rPr>
                <w:rFonts w:ascii="Arial" w:eastAsia="Times New Roman" w:hAnsi="Arial" w:cs="Arial"/>
                <w:i/>
                <w:iCs/>
                <w:color w:val="000000"/>
                <w:sz w:val="20"/>
                <w:lang w:eastAsia="en-IN"/>
              </w:rPr>
              <w:t>tiliifolia</w:t>
            </w:r>
            <w:proofErr w:type="spellEnd"/>
          </w:p>
        </w:tc>
        <w:tc>
          <w:tcPr>
            <w:tcW w:w="1412" w:type="dxa"/>
            <w:shd w:val="clear" w:color="auto" w:fill="auto"/>
            <w:noWrap/>
            <w:hideMark/>
          </w:tcPr>
          <w:p w14:paraId="2B44AA0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Jan-Dec</w:t>
            </w:r>
          </w:p>
        </w:tc>
        <w:tc>
          <w:tcPr>
            <w:tcW w:w="1560" w:type="dxa"/>
            <w:shd w:val="clear" w:color="auto" w:fill="auto"/>
            <w:noWrap/>
            <w:hideMark/>
          </w:tcPr>
          <w:p w14:paraId="043AA05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825D10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DD0751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Bhaskaran &amp; Desai, 2015; Philip et al., 2022</w:t>
            </w:r>
          </w:p>
        </w:tc>
      </w:tr>
      <w:tr w:rsidR="00DB4A05" w:rsidRPr="005D01D1" w14:paraId="5DE0F034" w14:textId="77777777" w:rsidTr="00DB4A05">
        <w:trPr>
          <w:trHeight w:val="310"/>
        </w:trPr>
        <w:tc>
          <w:tcPr>
            <w:tcW w:w="1985" w:type="dxa"/>
            <w:shd w:val="clear" w:color="auto" w:fill="auto"/>
            <w:noWrap/>
            <w:hideMark/>
          </w:tcPr>
          <w:p w14:paraId="44F3845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Ixora coccinea</w:t>
            </w:r>
          </w:p>
        </w:tc>
        <w:tc>
          <w:tcPr>
            <w:tcW w:w="1412" w:type="dxa"/>
            <w:shd w:val="clear" w:color="auto" w:fill="auto"/>
            <w:noWrap/>
            <w:hideMark/>
          </w:tcPr>
          <w:p w14:paraId="4D29CD6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57BB04F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CBAA2A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EFE53C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56736271" w14:textId="77777777" w:rsidTr="00DB4A05">
        <w:trPr>
          <w:trHeight w:val="620"/>
        </w:trPr>
        <w:tc>
          <w:tcPr>
            <w:tcW w:w="1985" w:type="dxa"/>
            <w:shd w:val="clear" w:color="auto" w:fill="auto"/>
            <w:noWrap/>
            <w:hideMark/>
          </w:tcPr>
          <w:p w14:paraId="196BDED9"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Lantana camara</w:t>
            </w:r>
          </w:p>
        </w:tc>
        <w:tc>
          <w:tcPr>
            <w:tcW w:w="1412" w:type="dxa"/>
            <w:shd w:val="clear" w:color="auto" w:fill="auto"/>
            <w:noWrap/>
            <w:hideMark/>
          </w:tcPr>
          <w:p w14:paraId="5A50EA2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June-Dec</w:t>
            </w:r>
          </w:p>
        </w:tc>
        <w:tc>
          <w:tcPr>
            <w:tcW w:w="1560" w:type="dxa"/>
            <w:shd w:val="clear" w:color="auto" w:fill="auto"/>
            <w:noWrap/>
            <w:hideMark/>
          </w:tcPr>
          <w:p w14:paraId="6D3379E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AD9C6A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FA5CB4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1A90D24A" w14:textId="77777777" w:rsidTr="00DB4A05">
        <w:trPr>
          <w:trHeight w:val="1550"/>
        </w:trPr>
        <w:tc>
          <w:tcPr>
            <w:tcW w:w="1985" w:type="dxa"/>
            <w:shd w:val="clear" w:color="auto" w:fill="auto"/>
            <w:noWrap/>
            <w:hideMark/>
          </w:tcPr>
          <w:p w14:paraId="23945D1F"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Madhuca</w:t>
            </w:r>
            <w:proofErr w:type="spellEnd"/>
            <w:r w:rsidRPr="005D01D1">
              <w:rPr>
                <w:rFonts w:ascii="Arial" w:eastAsia="Times New Roman" w:hAnsi="Arial" w:cs="Arial"/>
                <w:i/>
                <w:iCs/>
                <w:color w:val="000000"/>
                <w:sz w:val="20"/>
                <w:lang w:eastAsia="en-IN"/>
              </w:rPr>
              <w:t xml:space="preserve"> indica</w:t>
            </w:r>
          </w:p>
        </w:tc>
        <w:tc>
          <w:tcPr>
            <w:tcW w:w="1412" w:type="dxa"/>
            <w:shd w:val="clear" w:color="auto" w:fill="auto"/>
            <w:noWrap/>
            <w:hideMark/>
          </w:tcPr>
          <w:p w14:paraId="0DC5407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May-July</w:t>
            </w:r>
          </w:p>
        </w:tc>
        <w:tc>
          <w:tcPr>
            <w:tcW w:w="1560" w:type="dxa"/>
            <w:shd w:val="clear" w:color="auto" w:fill="auto"/>
            <w:noWrap/>
            <w:hideMark/>
          </w:tcPr>
          <w:p w14:paraId="6346AC4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Fruit/Flower</w:t>
            </w:r>
          </w:p>
        </w:tc>
        <w:tc>
          <w:tcPr>
            <w:tcW w:w="1417" w:type="dxa"/>
            <w:shd w:val="clear" w:color="auto" w:fill="auto"/>
            <w:noWrap/>
            <w:hideMark/>
          </w:tcPr>
          <w:p w14:paraId="294D2A7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1061FF6E"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w:t>
            </w: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xml:space="preserve">, 2013; Paul &amp; Kumar, 2021; </w:t>
            </w: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w:t>
            </w:r>
          </w:p>
        </w:tc>
      </w:tr>
      <w:tr w:rsidR="00DB4A05" w:rsidRPr="005D01D1" w14:paraId="6985E8A7" w14:textId="77777777" w:rsidTr="00DB4A05">
        <w:trPr>
          <w:trHeight w:val="1240"/>
        </w:trPr>
        <w:tc>
          <w:tcPr>
            <w:tcW w:w="1985" w:type="dxa"/>
            <w:shd w:val="clear" w:color="auto" w:fill="auto"/>
            <w:noWrap/>
            <w:hideMark/>
          </w:tcPr>
          <w:p w14:paraId="40E0249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Mangifera indica</w:t>
            </w:r>
          </w:p>
        </w:tc>
        <w:tc>
          <w:tcPr>
            <w:tcW w:w="1412" w:type="dxa"/>
            <w:shd w:val="clear" w:color="auto" w:fill="auto"/>
            <w:noWrap/>
            <w:hideMark/>
          </w:tcPr>
          <w:p w14:paraId="71E9A30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March-June</w:t>
            </w:r>
          </w:p>
        </w:tc>
        <w:tc>
          <w:tcPr>
            <w:tcW w:w="1560" w:type="dxa"/>
            <w:shd w:val="clear" w:color="auto" w:fill="auto"/>
            <w:noWrap/>
            <w:hideMark/>
          </w:tcPr>
          <w:p w14:paraId="2B20376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DF97D8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3752409F"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Philip et al., 2022; Paul &amp; Kumar, 2021;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389CD217" w14:textId="77777777" w:rsidTr="00DB4A05">
        <w:trPr>
          <w:trHeight w:val="310"/>
        </w:trPr>
        <w:tc>
          <w:tcPr>
            <w:tcW w:w="1985" w:type="dxa"/>
            <w:shd w:val="clear" w:color="auto" w:fill="auto"/>
            <w:noWrap/>
            <w:hideMark/>
          </w:tcPr>
          <w:p w14:paraId="513B4727"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Melothria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maderaspatana</w:t>
            </w:r>
            <w:proofErr w:type="spellEnd"/>
          </w:p>
        </w:tc>
        <w:tc>
          <w:tcPr>
            <w:tcW w:w="1412" w:type="dxa"/>
            <w:shd w:val="clear" w:color="auto" w:fill="auto"/>
            <w:noWrap/>
            <w:hideMark/>
          </w:tcPr>
          <w:p w14:paraId="6A25800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June-Dec</w:t>
            </w:r>
          </w:p>
        </w:tc>
        <w:tc>
          <w:tcPr>
            <w:tcW w:w="1560" w:type="dxa"/>
            <w:shd w:val="clear" w:color="auto" w:fill="auto"/>
            <w:noWrap/>
            <w:hideMark/>
          </w:tcPr>
          <w:p w14:paraId="3BAC823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40CB9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724C4C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62EAF1B" w14:textId="77777777" w:rsidTr="00DB4A05">
        <w:trPr>
          <w:trHeight w:val="620"/>
        </w:trPr>
        <w:tc>
          <w:tcPr>
            <w:tcW w:w="1985" w:type="dxa"/>
            <w:shd w:val="clear" w:color="auto" w:fill="auto"/>
            <w:noWrap/>
            <w:hideMark/>
          </w:tcPr>
          <w:p w14:paraId="73349C1C"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Miliusa</w:t>
            </w:r>
            <w:proofErr w:type="spellEnd"/>
            <w:r w:rsidRPr="005D01D1">
              <w:rPr>
                <w:rFonts w:ascii="Arial" w:eastAsia="Times New Roman" w:hAnsi="Arial" w:cs="Arial"/>
                <w:i/>
                <w:iCs/>
                <w:color w:val="000000"/>
                <w:sz w:val="20"/>
                <w:lang w:eastAsia="en-IN"/>
              </w:rPr>
              <w:t xml:space="preserve"> tomentosa</w:t>
            </w:r>
          </w:p>
        </w:tc>
        <w:tc>
          <w:tcPr>
            <w:tcW w:w="1412" w:type="dxa"/>
            <w:shd w:val="clear" w:color="auto" w:fill="auto"/>
            <w:noWrap/>
            <w:hideMark/>
          </w:tcPr>
          <w:p w14:paraId="4455E39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May-July</w:t>
            </w:r>
          </w:p>
        </w:tc>
        <w:tc>
          <w:tcPr>
            <w:tcW w:w="1560" w:type="dxa"/>
            <w:shd w:val="clear" w:color="auto" w:fill="auto"/>
            <w:noWrap/>
            <w:hideMark/>
          </w:tcPr>
          <w:p w14:paraId="2E0A119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350DA7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FD9EB8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6AD6C31D" w14:textId="77777777" w:rsidTr="00DB4A05">
        <w:trPr>
          <w:trHeight w:val="310"/>
        </w:trPr>
        <w:tc>
          <w:tcPr>
            <w:tcW w:w="1985" w:type="dxa"/>
            <w:shd w:val="clear" w:color="auto" w:fill="auto"/>
            <w:noWrap/>
            <w:hideMark/>
          </w:tcPr>
          <w:p w14:paraId="080076B4"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Murraya </w:t>
            </w:r>
            <w:proofErr w:type="spellStart"/>
            <w:r w:rsidRPr="005D01D1">
              <w:rPr>
                <w:rFonts w:ascii="Arial" w:eastAsia="Times New Roman" w:hAnsi="Arial" w:cs="Arial"/>
                <w:i/>
                <w:iCs/>
                <w:color w:val="000000"/>
                <w:sz w:val="20"/>
                <w:lang w:eastAsia="en-IN"/>
              </w:rPr>
              <w:t>koenigii</w:t>
            </w:r>
            <w:proofErr w:type="spellEnd"/>
          </w:p>
        </w:tc>
        <w:tc>
          <w:tcPr>
            <w:tcW w:w="1412" w:type="dxa"/>
            <w:shd w:val="clear" w:color="auto" w:fill="auto"/>
            <w:noWrap/>
            <w:hideMark/>
          </w:tcPr>
          <w:p w14:paraId="14D68D5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05F9140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F83219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24ABB8A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2511FE1E" w14:textId="77777777" w:rsidTr="00DB4A05">
        <w:trPr>
          <w:trHeight w:val="310"/>
        </w:trPr>
        <w:tc>
          <w:tcPr>
            <w:tcW w:w="1985" w:type="dxa"/>
            <w:shd w:val="clear" w:color="auto" w:fill="auto"/>
            <w:noWrap/>
            <w:hideMark/>
          </w:tcPr>
          <w:p w14:paraId="4C082C7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Olea </w:t>
            </w:r>
            <w:proofErr w:type="spellStart"/>
            <w:r w:rsidRPr="005D01D1">
              <w:rPr>
                <w:rFonts w:ascii="Arial" w:eastAsia="Times New Roman" w:hAnsi="Arial" w:cs="Arial"/>
                <w:i/>
                <w:iCs/>
                <w:color w:val="000000"/>
                <w:sz w:val="20"/>
                <w:lang w:eastAsia="en-IN"/>
              </w:rPr>
              <w:t>dioeca</w:t>
            </w:r>
            <w:proofErr w:type="spellEnd"/>
          </w:p>
        </w:tc>
        <w:tc>
          <w:tcPr>
            <w:tcW w:w="1412" w:type="dxa"/>
            <w:shd w:val="clear" w:color="auto" w:fill="auto"/>
            <w:noWrap/>
            <w:hideMark/>
          </w:tcPr>
          <w:p w14:paraId="709DBD1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March-April</w:t>
            </w:r>
          </w:p>
        </w:tc>
        <w:tc>
          <w:tcPr>
            <w:tcW w:w="1560" w:type="dxa"/>
            <w:shd w:val="clear" w:color="auto" w:fill="auto"/>
            <w:noWrap/>
            <w:hideMark/>
          </w:tcPr>
          <w:p w14:paraId="6E6C3DF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991736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6C055EC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Bhaskaran &amp; Desai, 2015</w:t>
            </w:r>
          </w:p>
        </w:tc>
      </w:tr>
      <w:tr w:rsidR="00DB4A05" w:rsidRPr="005D01D1" w14:paraId="52574E0B" w14:textId="77777777" w:rsidTr="00DB4A05">
        <w:trPr>
          <w:trHeight w:val="620"/>
        </w:trPr>
        <w:tc>
          <w:tcPr>
            <w:tcW w:w="1985" w:type="dxa"/>
            <w:shd w:val="clear" w:color="auto" w:fill="auto"/>
            <w:noWrap/>
            <w:hideMark/>
          </w:tcPr>
          <w:p w14:paraId="3E4E8842"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Phoenix acaulis</w:t>
            </w:r>
          </w:p>
        </w:tc>
        <w:tc>
          <w:tcPr>
            <w:tcW w:w="1412" w:type="dxa"/>
            <w:shd w:val="clear" w:color="auto" w:fill="auto"/>
            <w:noWrap/>
            <w:hideMark/>
          </w:tcPr>
          <w:p w14:paraId="65CE312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323FA1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E13007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A058F4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 Paul &amp; Kumar, 2021</w:t>
            </w:r>
          </w:p>
        </w:tc>
      </w:tr>
      <w:tr w:rsidR="00DB4A05" w:rsidRPr="005D01D1" w14:paraId="467D703A" w14:textId="77777777" w:rsidTr="00DB4A05">
        <w:trPr>
          <w:trHeight w:val="310"/>
        </w:trPr>
        <w:tc>
          <w:tcPr>
            <w:tcW w:w="1985" w:type="dxa"/>
            <w:shd w:val="clear" w:color="auto" w:fill="auto"/>
            <w:noWrap/>
            <w:hideMark/>
          </w:tcPr>
          <w:p w14:paraId="7A59EA5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lastRenderedPageBreak/>
              <w:t>Phoenix dactylifera</w:t>
            </w:r>
          </w:p>
        </w:tc>
        <w:tc>
          <w:tcPr>
            <w:tcW w:w="1412" w:type="dxa"/>
            <w:shd w:val="clear" w:color="auto" w:fill="auto"/>
            <w:noWrap/>
            <w:hideMark/>
          </w:tcPr>
          <w:p w14:paraId="6680E0F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Feb-July</w:t>
            </w:r>
          </w:p>
        </w:tc>
        <w:tc>
          <w:tcPr>
            <w:tcW w:w="1560" w:type="dxa"/>
            <w:shd w:val="clear" w:color="auto" w:fill="auto"/>
            <w:noWrap/>
            <w:hideMark/>
          </w:tcPr>
          <w:p w14:paraId="7943C5F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80D705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69B7FA9"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3AD5A5F2" w14:textId="77777777" w:rsidTr="00DB4A05">
        <w:trPr>
          <w:trHeight w:val="310"/>
        </w:trPr>
        <w:tc>
          <w:tcPr>
            <w:tcW w:w="1985" w:type="dxa"/>
            <w:shd w:val="clear" w:color="auto" w:fill="auto"/>
            <w:noWrap/>
            <w:hideMark/>
          </w:tcPr>
          <w:p w14:paraId="5547486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Phoenix humilis</w:t>
            </w:r>
          </w:p>
        </w:tc>
        <w:tc>
          <w:tcPr>
            <w:tcW w:w="1412" w:type="dxa"/>
            <w:shd w:val="clear" w:color="auto" w:fill="auto"/>
            <w:noWrap/>
            <w:hideMark/>
          </w:tcPr>
          <w:p w14:paraId="2AB1370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March-May</w:t>
            </w:r>
          </w:p>
        </w:tc>
        <w:tc>
          <w:tcPr>
            <w:tcW w:w="1560" w:type="dxa"/>
            <w:shd w:val="clear" w:color="auto" w:fill="auto"/>
            <w:noWrap/>
            <w:hideMark/>
          </w:tcPr>
          <w:p w14:paraId="6B99472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24ACEA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AE6945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3B580DAD" w14:textId="77777777" w:rsidTr="00DB4A05">
        <w:trPr>
          <w:trHeight w:val="310"/>
        </w:trPr>
        <w:tc>
          <w:tcPr>
            <w:tcW w:w="1985" w:type="dxa"/>
            <w:shd w:val="clear" w:color="auto" w:fill="auto"/>
            <w:noWrap/>
            <w:hideMark/>
          </w:tcPr>
          <w:p w14:paraId="314C14AC"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Phoenix sylvestris</w:t>
            </w:r>
          </w:p>
        </w:tc>
        <w:tc>
          <w:tcPr>
            <w:tcW w:w="1412" w:type="dxa"/>
            <w:shd w:val="clear" w:color="auto" w:fill="auto"/>
            <w:noWrap/>
            <w:hideMark/>
          </w:tcPr>
          <w:p w14:paraId="4EC1E99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Sept-Oct</w:t>
            </w:r>
          </w:p>
        </w:tc>
        <w:tc>
          <w:tcPr>
            <w:tcW w:w="1560" w:type="dxa"/>
            <w:shd w:val="clear" w:color="auto" w:fill="auto"/>
            <w:noWrap/>
            <w:hideMark/>
          </w:tcPr>
          <w:p w14:paraId="002A4CC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1D00D6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59E776A"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w:t>
            </w:r>
            <w:commentRangeStart w:id="7"/>
            <w:r w:rsidRPr="005D01D1">
              <w:rPr>
                <w:rFonts w:ascii="Arial" w:eastAsia="Times New Roman" w:hAnsi="Arial" w:cs="Arial"/>
                <w:color w:val="000000"/>
                <w:sz w:val="20"/>
                <w:lang w:eastAsia="en-IN"/>
              </w:rPr>
              <w:t xml:space="preserve">T </w:t>
            </w:r>
            <w:commentRangeEnd w:id="7"/>
            <w:r w:rsidR="002E360B">
              <w:rPr>
                <w:rStyle w:val="CommentReference"/>
              </w:rPr>
              <w:commentReference w:id="7"/>
            </w:r>
            <w:r w:rsidRPr="005D01D1">
              <w:rPr>
                <w:rFonts w:ascii="Arial" w:eastAsia="Times New Roman" w:hAnsi="Arial" w:cs="Arial"/>
                <w:color w:val="000000"/>
                <w:sz w:val="20"/>
                <w:lang w:eastAsia="en-IN"/>
              </w:rPr>
              <w:t>et al., 2019</w:t>
            </w:r>
          </w:p>
        </w:tc>
      </w:tr>
      <w:tr w:rsidR="00DB4A05" w:rsidRPr="005D01D1" w14:paraId="23C72DF8" w14:textId="77777777" w:rsidTr="00DB4A05">
        <w:trPr>
          <w:trHeight w:val="620"/>
        </w:trPr>
        <w:tc>
          <w:tcPr>
            <w:tcW w:w="1985" w:type="dxa"/>
            <w:shd w:val="clear" w:color="auto" w:fill="auto"/>
            <w:noWrap/>
            <w:hideMark/>
          </w:tcPr>
          <w:p w14:paraId="3C117C7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Pithecellobium dulce</w:t>
            </w:r>
          </w:p>
        </w:tc>
        <w:tc>
          <w:tcPr>
            <w:tcW w:w="1412" w:type="dxa"/>
            <w:shd w:val="clear" w:color="auto" w:fill="auto"/>
            <w:noWrap/>
            <w:hideMark/>
          </w:tcPr>
          <w:p w14:paraId="05E0BA2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June-July</w:t>
            </w:r>
          </w:p>
        </w:tc>
        <w:tc>
          <w:tcPr>
            <w:tcW w:w="1560" w:type="dxa"/>
            <w:shd w:val="clear" w:color="auto" w:fill="auto"/>
            <w:noWrap/>
            <w:hideMark/>
          </w:tcPr>
          <w:p w14:paraId="1952F4C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E84C15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65F9308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Paul &amp; Kumar, 2021</w:t>
            </w:r>
          </w:p>
        </w:tc>
      </w:tr>
      <w:tr w:rsidR="00DB4A05" w:rsidRPr="005D01D1" w14:paraId="31A9EF26" w14:textId="77777777" w:rsidTr="00DB4A05">
        <w:trPr>
          <w:trHeight w:val="310"/>
        </w:trPr>
        <w:tc>
          <w:tcPr>
            <w:tcW w:w="1985" w:type="dxa"/>
            <w:shd w:val="clear" w:color="auto" w:fill="auto"/>
            <w:noWrap/>
            <w:hideMark/>
          </w:tcPr>
          <w:p w14:paraId="2B3B39CB"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Pongamia</w:t>
            </w:r>
            <w:proofErr w:type="spellEnd"/>
            <w:r w:rsidRPr="005D01D1">
              <w:rPr>
                <w:rFonts w:ascii="Arial" w:eastAsia="Times New Roman" w:hAnsi="Arial" w:cs="Arial"/>
                <w:i/>
                <w:iCs/>
                <w:color w:val="000000"/>
                <w:sz w:val="20"/>
                <w:lang w:eastAsia="en-IN"/>
              </w:rPr>
              <w:t xml:space="preserve"> pinnata</w:t>
            </w:r>
          </w:p>
        </w:tc>
        <w:tc>
          <w:tcPr>
            <w:tcW w:w="1412" w:type="dxa"/>
            <w:shd w:val="clear" w:color="auto" w:fill="auto"/>
            <w:noWrap/>
            <w:hideMark/>
          </w:tcPr>
          <w:p w14:paraId="1A24EB2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April-Oct</w:t>
            </w:r>
          </w:p>
        </w:tc>
        <w:tc>
          <w:tcPr>
            <w:tcW w:w="1560" w:type="dxa"/>
            <w:shd w:val="clear" w:color="auto" w:fill="auto"/>
            <w:noWrap/>
            <w:hideMark/>
          </w:tcPr>
          <w:p w14:paraId="155DF8C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11ED52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6E4C6C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03F5A8E1" w14:textId="77777777" w:rsidTr="00DB4A05">
        <w:trPr>
          <w:trHeight w:val="310"/>
        </w:trPr>
        <w:tc>
          <w:tcPr>
            <w:tcW w:w="1985" w:type="dxa"/>
            <w:shd w:val="clear" w:color="auto" w:fill="auto"/>
            <w:noWrap/>
            <w:hideMark/>
          </w:tcPr>
          <w:p w14:paraId="5F48432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Prunus persica</w:t>
            </w:r>
          </w:p>
        </w:tc>
        <w:tc>
          <w:tcPr>
            <w:tcW w:w="1412" w:type="dxa"/>
            <w:shd w:val="clear" w:color="auto" w:fill="auto"/>
            <w:noWrap/>
            <w:hideMark/>
          </w:tcPr>
          <w:p w14:paraId="7244C11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June-Oct</w:t>
            </w:r>
          </w:p>
        </w:tc>
        <w:tc>
          <w:tcPr>
            <w:tcW w:w="1560" w:type="dxa"/>
            <w:shd w:val="clear" w:color="auto" w:fill="auto"/>
            <w:noWrap/>
            <w:hideMark/>
          </w:tcPr>
          <w:p w14:paraId="52AFDF8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020028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270EF5BA"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784DE4C9" w14:textId="77777777" w:rsidTr="00DB4A05">
        <w:trPr>
          <w:trHeight w:val="620"/>
        </w:trPr>
        <w:tc>
          <w:tcPr>
            <w:tcW w:w="1985" w:type="dxa"/>
            <w:shd w:val="clear" w:color="auto" w:fill="auto"/>
            <w:noWrap/>
            <w:hideMark/>
          </w:tcPr>
          <w:p w14:paraId="025C7E1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Psidium guajava</w:t>
            </w:r>
          </w:p>
        </w:tc>
        <w:tc>
          <w:tcPr>
            <w:tcW w:w="1412" w:type="dxa"/>
            <w:shd w:val="clear" w:color="auto" w:fill="auto"/>
            <w:noWrap/>
            <w:hideMark/>
          </w:tcPr>
          <w:p w14:paraId="315DA3E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April-Nov</w:t>
            </w:r>
          </w:p>
        </w:tc>
        <w:tc>
          <w:tcPr>
            <w:tcW w:w="1560" w:type="dxa"/>
            <w:shd w:val="clear" w:color="auto" w:fill="auto"/>
            <w:noWrap/>
            <w:hideMark/>
          </w:tcPr>
          <w:p w14:paraId="7065983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48CF81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2F15F467"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w:t>
            </w:r>
          </w:p>
        </w:tc>
      </w:tr>
      <w:tr w:rsidR="00DB4A05" w:rsidRPr="005D01D1" w14:paraId="49F6D99B" w14:textId="77777777" w:rsidTr="00DB4A05">
        <w:trPr>
          <w:trHeight w:val="310"/>
        </w:trPr>
        <w:tc>
          <w:tcPr>
            <w:tcW w:w="1985" w:type="dxa"/>
            <w:shd w:val="clear" w:color="auto" w:fill="auto"/>
            <w:noWrap/>
            <w:hideMark/>
          </w:tcPr>
          <w:p w14:paraId="5F4EFD43"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Pueraria tuberosa</w:t>
            </w:r>
          </w:p>
        </w:tc>
        <w:tc>
          <w:tcPr>
            <w:tcW w:w="1412" w:type="dxa"/>
            <w:shd w:val="clear" w:color="auto" w:fill="auto"/>
            <w:noWrap/>
            <w:hideMark/>
          </w:tcPr>
          <w:p w14:paraId="7456D21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Sept-Oct</w:t>
            </w:r>
          </w:p>
        </w:tc>
        <w:tc>
          <w:tcPr>
            <w:tcW w:w="1560" w:type="dxa"/>
            <w:shd w:val="clear" w:color="auto" w:fill="auto"/>
            <w:noWrap/>
            <w:hideMark/>
          </w:tcPr>
          <w:p w14:paraId="41C7E6D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CEFE8C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0AC1DAE2"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98FEEFB" w14:textId="77777777" w:rsidTr="00DB4A05">
        <w:trPr>
          <w:trHeight w:val="620"/>
        </w:trPr>
        <w:tc>
          <w:tcPr>
            <w:tcW w:w="1985" w:type="dxa"/>
            <w:shd w:val="clear" w:color="auto" w:fill="auto"/>
            <w:noWrap/>
            <w:hideMark/>
          </w:tcPr>
          <w:p w14:paraId="1E06F06B"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Rhus </w:t>
            </w:r>
            <w:proofErr w:type="spellStart"/>
            <w:r w:rsidRPr="005D01D1">
              <w:rPr>
                <w:rFonts w:ascii="Arial" w:eastAsia="Times New Roman" w:hAnsi="Arial" w:cs="Arial"/>
                <w:i/>
                <w:iCs/>
                <w:color w:val="000000"/>
                <w:sz w:val="20"/>
                <w:lang w:eastAsia="en-IN"/>
              </w:rPr>
              <w:t>semialata</w:t>
            </w:r>
            <w:proofErr w:type="spellEnd"/>
          </w:p>
        </w:tc>
        <w:tc>
          <w:tcPr>
            <w:tcW w:w="1412" w:type="dxa"/>
            <w:shd w:val="clear" w:color="auto" w:fill="auto"/>
            <w:noWrap/>
            <w:hideMark/>
          </w:tcPr>
          <w:p w14:paraId="0B41FBE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Dec-April</w:t>
            </w:r>
          </w:p>
        </w:tc>
        <w:tc>
          <w:tcPr>
            <w:tcW w:w="1560" w:type="dxa"/>
            <w:shd w:val="clear" w:color="auto" w:fill="auto"/>
            <w:noWrap/>
            <w:hideMark/>
          </w:tcPr>
          <w:p w14:paraId="7D6AC91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4B1DD0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6788B9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26A5B48B" w14:textId="77777777" w:rsidTr="00DB4A05">
        <w:trPr>
          <w:trHeight w:val="310"/>
        </w:trPr>
        <w:tc>
          <w:tcPr>
            <w:tcW w:w="1985" w:type="dxa"/>
            <w:shd w:val="clear" w:color="auto" w:fill="auto"/>
            <w:noWrap/>
            <w:hideMark/>
          </w:tcPr>
          <w:p w14:paraId="31CFE5D5"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Saraca</w:t>
            </w:r>
            <w:proofErr w:type="spellEnd"/>
            <w:r w:rsidRPr="005D01D1">
              <w:rPr>
                <w:rFonts w:ascii="Arial" w:eastAsia="Times New Roman" w:hAnsi="Arial" w:cs="Arial"/>
                <w:i/>
                <w:iCs/>
                <w:color w:val="000000"/>
                <w:sz w:val="20"/>
                <w:lang w:eastAsia="en-IN"/>
              </w:rPr>
              <w:t xml:space="preserve"> indica</w:t>
            </w:r>
          </w:p>
        </w:tc>
        <w:tc>
          <w:tcPr>
            <w:tcW w:w="1412" w:type="dxa"/>
            <w:shd w:val="clear" w:color="auto" w:fill="auto"/>
            <w:noWrap/>
            <w:hideMark/>
          </w:tcPr>
          <w:p w14:paraId="0FB0DD4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0F255F1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7BD794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2AE1772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6FAB12A6" w14:textId="77777777" w:rsidTr="00DB4A05">
        <w:trPr>
          <w:trHeight w:val="620"/>
        </w:trPr>
        <w:tc>
          <w:tcPr>
            <w:tcW w:w="1985" w:type="dxa"/>
            <w:shd w:val="clear" w:color="auto" w:fill="auto"/>
            <w:noWrap/>
            <w:hideMark/>
          </w:tcPr>
          <w:p w14:paraId="3E0BFF0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Schleichera</w:t>
            </w:r>
            <w:proofErr w:type="spellEnd"/>
            <w:r w:rsidRPr="005D01D1">
              <w:rPr>
                <w:rFonts w:ascii="Arial" w:eastAsia="Times New Roman" w:hAnsi="Arial" w:cs="Arial"/>
                <w:i/>
                <w:iCs/>
                <w:color w:val="000000"/>
                <w:sz w:val="20"/>
                <w:lang w:eastAsia="en-IN"/>
              </w:rPr>
              <w:t xml:space="preserve"> oleosa</w:t>
            </w:r>
          </w:p>
        </w:tc>
        <w:tc>
          <w:tcPr>
            <w:tcW w:w="1412" w:type="dxa"/>
            <w:shd w:val="clear" w:color="auto" w:fill="auto"/>
            <w:noWrap/>
            <w:hideMark/>
          </w:tcPr>
          <w:p w14:paraId="6D42A04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June-July</w:t>
            </w:r>
          </w:p>
        </w:tc>
        <w:tc>
          <w:tcPr>
            <w:tcW w:w="1560" w:type="dxa"/>
            <w:shd w:val="clear" w:color="auto" w:fill="auto"/>
            <w:noWrap/>
            <w:hideMark/>
          </w:tcPr>
          <w:p w14:paraId="300BB89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CB5F30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7B39B39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w:t>
            </w:r>
          </w:p>
        </w:tc>
      </w:tr>
      <w:tr w:rsidR="00DB4A05" w:rsidRPr="005D01D1" w14:paraId="6F5407FF" w14:textId="77777777" w:rsidTr="00DB4A05">
        <w:trPr>
          <w:trHeight w:val="620"/>
        </w:trPr>
        <w:tc>
          <w:tcPr>
            <w:tcW w:w="1985" w:type="dxa"/>
            <w:shd w:val="clear" w:color="auto" w:fill="auto"/>
            <w:noWrap/>
            <w:hideMark/>
          </w:tcPr>
          <w:p w14:paraId="10F75B13"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Schleichera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trijuga</w:t>
            </w:r>
            <w:proofErr w:type="spellEnd"/>
            <w:r w:rsidRPr="005D01D1">
              <w:rPr>
                <w:rFonts w:ascii="Arial" w:eastAsia="Times New Roman" w:hAnsi="Arial" w:cs="Arial"/>
                <w:i/>
                <w:iCs/>
                <w:color w:val="000000"/>
                <w:sz w:val="20"/>
                <w:lang w:eastAsia="en-IN"/>
              </w:rPr>
              <w:t xml:space="preserve"> (Nepal)</w:t>
            </w:r>
          </w:p>
        </w:tc>
        <w:tc>
          <w:tcPr>
            <w:tcW w:w="1412" w:type="dxa"/>
            <w:shd w:val="clear" w:color="auto" w:fill="auto"/>
            <w:noWrap/>
            <w:hideMark/>
          </w:tcPr>
          <w:p w14:paraId="7C6DA99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March-July</w:t>
            </w:r>
          </w:p>
        </w:tc>
        <w:tc>
          <w:tcPr>
            <w:tcW w:w="1560" w:type="dxa"/>
            <w:shd w:val="clear" w:color="auto" w:fill="auto"/>
            <w:noWrap/>
            <w:hideMark/>
          </w:tcPr>
          <w:p w14:paraId="1610D15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E3BC04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54B930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6FD04236" w14:textId="77777777" w:rsidTr="00DB4A05">
        <w:trPr>
          <w:trHeight w:val="620"/>
        </w:trPr>
        <w:tc>
          <w:tcPr>
            <w:tcW w:w="1985" w:type="dxa"/>
            <w:shd w:val="clear" w:color="auto" w:fill="auto"/>
            <w:noWrap/>
            <w:hideMark/>
          </w:tcPr>
          <w:p w14:paraId="05C3B21C"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Semecarpus</w:t>
            </w:r>
            <w:proofErr w:type="spellEnd"/>
            <w:r w:rsidRPr="005D01D1">
              <w:rPr>
                <w:rFonts w:ascii="Arial" w:eastAsia="Times New Roman" w:hAnsi="Arial" w:cs="Arial"/>
                <w:i/>
                <w:iCs/>
                <w:color w:val="000000"/>
                <w:sz w:val="20"/>
                <w:lang w:eastAsia="en-IN"/>
              </w:rPr>
              <w:t xml:space="preserve"> anacardium</w:t>
            </w:r>
          </w:p>
        </w:tc>
        <w:tc>
          <w:tcPr>
            <w:tcW w:w="1412" w:type="dxa"/>
            <w:shd w:val="clear" w:color="auto" w:fill="auto"/>
            <w:noWrap/>
            <w:hideMark/>
          </w:tcPr>
          <w:p w14:paraId="3F94820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3F4C7C8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4519C1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79DEB4F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Paul &amp; Kumar, 2021</w:t>
            </w:r>
          </w:p>
        </w:tc>
      </w:tr>
      <w:tr w:rsidR="00DB4A05" w:rsidRPr="005D01D1" w14:paraId="502C1B63" w14:textId="77777777" w:rsidTr="00DB4A05">
        <w:trPr>
          <w:trHeight w:val="620"/>
        </w:trPr>
        <w:tc>
          <w:tcPr>
            <w:tcW w:w="1985" w:type="dxa"/>
            <w:shd w:val="clear" w:color="auto" w:fill="auto"/>
            <w:noWrap/>
            <w:hideMark/>
          </w:tcPr>
          <w:p w14:paraId="23890888"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Solanum indicum</w:t>
            </w:r>
          </w:p>
        </w:tc>
        <w:tc>
          <w:tcPr>
            <w:tcW w:w="1412" w:type="dxa"/>
            <w:shd w:val="clear" w:color="auto" w:fill="auto"/>
            <w:noWrap/>
            <w:hideMark/>
          </w:tcPr>
          <w:p w14:paraId="5B1907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Oct-Nov</w:t>
            </w:r>
          </w:p>
        </w:tc>
        <w:tc>
          <w:tcPr>
            <w:tcW w:w="1560" w:type="dxa"/>
            <w:shd w:val="clear" w:color="auto" w:fill="auto"/>
            <w:noWrap/>
            <w:hideMark/>
          </w:tcPr>
          <w:p w14:paraId="6A312A2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B2C357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6A0B579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Laurie &amp; Seidensticker, 1977</w:t>
            </w:r>
          </w:p>
        </w:tc>
      </w:tr>
      <w:tr w:rsidR="00DB4A05" w:rsidRPr="005D01D1" w14:paraId="7964D25D" w14:textId="77777777" w:rsidTr="00DB4A05">
        <w:trPr>
          <w:trHeight w:val="1240"/>
        </w:trPr>
        <w:tc>
          <w:tcPr>
            <w:tcW w:w="1985" w:type="dxa"/>
            <w:shd w:val="clear" w:color="auto" w:fill="auto"/>
            <w:noWrap/>
            <w:hideMark/>
          </w:tcPr>
          <w:p w14:paraId="47239582"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Syzygium</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cumini</w:t>
            </w:r>
            <w:proofErr w:type="spellEnd"/>
          </w:p>
        </w:tc>
        <w:tc>
          <w:tcPr>
            <w:tcW w:w="1412" w:type="dxa"/>
            <w:shd w:val="clear" w:color="auto" w:fill="auto"/>
            <w:noWrap/>
            <w:hideMark/>
          </w:tcPr>
          <w:p w14:paraId="3B2B6F5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June-Aug</w:t>
            </w:r>
          </w:p>
        </w:tc>
        <w:tc>
          <w:tcPr>
            <w:tcW w:w="1560" w:type="dxa"/>
            <w:shd w:val="clear" w:color="auto" w:fill="auto"/>
            <w:noWrap/>
            <w:hideMark/>
          </w:tcPr>
          <w:p w14:paraId="0C5A877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80C931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65729FAE"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Paul &amp; Kumar, 2021; Bhaskaran &amp; Desai, 2015;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5B967020" w14:textId="77777777" w:rsidTr="00DB4A05">
        <w:trPr>
          <w:trHeight w:val="310"/>
        </w:trPr>
        <w:tc>
          <w:tcPr>
            <w:tcW w:w="1985" w:type="dxa"/>
            <w:shd w:val="clear" w:color="auto" w:fill="auto"/>
            <w:noWrap/>
            <w:hideMark/>
          </w:tcPr>
          <w:p w14:paraId="2BE7392A"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Syzygium</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heyneanum</w:t>
            </w:r>
            <w:proofErr w:type="spellEnd"/>
          </w:p>
        </w:tc>
        <w:tc>
          <w:tcPr>
            <w:tcW w:w="1412" w:type="dxa"/>
            <w:shd w:val="clear" w:color="auto" w:fill="auto"/>
            <w:noWrap/>
            <w:hideMark/>
          </w:tcPr>
          <w:p w14:paraId="6088D20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March-April</w:t>
            </w:r>
          </w:p>
        </w:tc>
        <w:tc>
          <w:tcPr>
            <w:tcW w:w="1560" w:type="dxa"/>
            <w:shd w:val="clear" w:color="auto" w:fill="auto"/>
            <w:noWrap/>
            <w:hideMark/>
          </w:tcPr>
          <w:p w14:paraId="7BED50B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A3E934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2DA63044"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7B089A6C" w14:textId="77777777" w:rsidTr="00DB4A05">
        <w:trPr>
          <w:trHeight w:val="310"/>
        </w:trPr>
        <w:tc>
          <w:tcPr>
            <w:tcW w:w="1985" w:type="dxa"/>
            <w:shd w:val="clear" w:color="auto" w:fill="auto"/>
            <w:noWrap/>
            <w:hideMark/>
          </w:tcPr>
          <w:p w14:paraId="35586A2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Terminalia </w:t>
            </w:r>
            <w:proofErr w:type="spellStart"/>
            <w:r w:rsidRPr="005D01D1">
              <w:rPr>
                <w:rFonts w:ascii="Arial" w:eastAsia="Times New Roman" w:hAnsi="Arial" w:cs="Arial"/>
                <w:i/>
                <w:iCs/>
                <w:color w:val="000000"/>
                <w:sz w:val="20"/>
                <w:lang w:eastAsia="en-IN"/>
              </w:rPr>
              <w:t>belerica</w:t>
            </w:r>
            <w:proofErr w:type="spellEnd"/>
          </w:p>
        </w:tc>
        <w:tc>
          <w:tcPr>
            <w:tcW w:w="1412" w:type="dxa"/>
            <w:shd w:val="clear" w:color="auto" w:fill="auto"/>
            <w:noWrap/>
            <w:hideMark/>
          </w:tcPr>
          <w:p w14:paraId="1BECE43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Nov-March</w:t>
            </w:r>
          </w:p>
        </w:tc>
        <w:tc>
          <w:tcPr>
            <w:tcW w:w="1560" w:type="dxa"/>
            <w:shd w:val="clear" w:color="auto" w:fill="auto"/>
            <w:noWrap/>
            <w:hideMark/>
          </w:tcPr>
          <w:p w14:paraId="69FBAC2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70756E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F9D27B1"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7DFA188B" w14:textId="77777777" w:rsidTr="00DB4A05">
        <w:trPr>
          <w:trHeight w:val="1240"/>
        </w:trPr>
        <w:tc>
          <w:tcPr>
            <w:tcW w:w="1985" w:type="dxa"/>
            <w:shd w:val="clear" w:color="auto" w:fill="auto"/>
            <w:noWrap/>
            <w:hideMark/>
          </w:tcPr>
          <w:p w14:paraId="14191B72"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Ziziphus jujuba</w:t>
            </w:r>
          </w:p>
        </w:tc>
        <w:tc>
          <w:tcPr>
            <w:tcW w:w="1412" w:type="dxa"/>
            <w:shd w:val="clear" w:color="auto" w:fill="auto"/>
            <w:noWrap/>
            <w:hideMark/>
          </w:tcPr>
          <w:p w14:paraId="223EA1C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57D1466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287BC7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7C55ADD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Seidensticker, 1977; </w:t>
            </w: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2013; Paul &amp; Kumar, 2021</w:t>
            </w:r>
          </w:p>
        </w:tc>
      </w:tr>
      <w:tr w:rsidR="00DB4A05" w:rsidRPr="005D01D1" w14:paraId="74F0BC87" w14:textId="77777777" w:rsidTr="00DB4A05">
        <w:trPr>
          <w:trHeight w:val="930"/>
        </w:trPr>
        <w:tc>
          <w:tcPr>
            <w:tcW w:w="1985" w:type="dxa"/>
            <w:shd w:val="clear" w:color="auto" w:fill="auto"/>
            <w:noWrap/>
            <w:hideMark/>
          </w:tcPr>
          <w:p w14:paraId="7E8C82C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Ziziphus </w:t>
            </w:r>
            <w:proofErr w:type="spellStart"/>
            <w:r w:rsidRPr="005D01D1">
              <w:rPr>
                <w:rFonts w:ascii="Arial" w:eastAsia="Times New Roman" w:hAnsi="Arial" w:cs="Arial"/>
                <w:i/>
                <w:iCs/>
                <w:color w:val="000000"/>
                <w:sz w:val="20"/>
                <w:lang w:eastAsia="en-IN"/>
              </w:rPr>
              <w:t>mauritiana</w:t>
            </w:r>
            <w:proofErr w:type="spellEnd"/>
          </w:p>
        </w:tc>
        <w:tc>
          <w:tcPr>
            <w:tcW w:w="1412" w:type="dxa"/>
            <w:shd w:val="clear" w:color="auto" w:fill="auto"/>
            <w:noWrap/>
            <w:hideMark/>
          </w:tcPr>
          <w:p w14:paraId="6F8311D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125072C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350C22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3C35BF17"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17145FA0" w14:textId="77777777" w:rsidTr="00DB4A05">
        <w:trPr>
          <w:trHeight w:val="620"/>
        </w:trPr>
        <w:tc>
          <w:tcPr>
            <w:tcW w:w="1985" w:type="dxa"/>
            <w:shd w:val="clear" w:color="auto" w:fill="auto"/>
            <w:noWrap/>
            <w:hideMark/>
          </w:tcPr>
          <w:p w14:paraId="527D8BD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Ziziphus </w:t>
            </w:r>
            <w:proofErr w:type="spellStart"/>
            <w:r w:rsidRPr="005D01D1">
              <w:rPr>
                <w:rFonts w:ascii="Arial" w:eastAsia="Times New Roman" w:hAnsi="Arial" w:cs="Arial"/>
                <w:i/>
                <w:iCs/>
                <w:color w:val="000000"/>
                <w:sz w:val="20"/>
                <w:lang w:eastAsia="en-IN"/>
              </w:rPr>
              <w:t>nummularia</w:t>
            </w:r>
            <w:proofErr w:type="spellEnd"/>
          </w:p>
        </w:tc>
        <w:tc>
          <w:tcPr>
            <w:tcW w:w="1412" w:type="dxa"/>
            <w:shd w:val="clear" w:color="auto" w:fill="auto"/>
            <w:noWrap/>
            <w:hideMark/>
          </w:tcPr>
          <w:p w14:paraId="3569A5A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Aug-Sept</w:t>
            </w:r>
          </w:p>
        </w:tc>
        <w:tc>
          <w:tcPr>
            <w:tcW w:w="1560" w:type="dxa"/>
            <w:shd w:val="clear" w:color="auto" w:fill="auto"/>
            <w:noWrap/>
            <w:hideMark/>
          </w:tcPr>
          <w:p w14:paraId="31057BA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A66343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7DED63A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w:t>
            </w:r>
          </w:p>
        </w:tc>
      </w:tr>
      <w:tr w:rsidR="00DB4A05" w:rsidRPr="005D01D1" w14:paraId="5F7B699B" w14:textId="77777777" w:rsidTr="00DB4A05">
        <w:trPr>
          <w:trHeight w:val="1550"/>
        </w:trPr>
        <w:tc>
          <w:tcPr>
            <w:tcW w:w="1985" w:type="dxa"/>
            <w:shd w:val="clear" w:color="auto" w:fill="auto"/>
            <w:noWrap/>
            <w:hideMark/>
          </w:tcPr>
          <w:p w14:paraId="03A536E6"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Ziziphus </w:t>
            </w:r>
            <w:proofErr w:type="spellStart"/>
            <w:r w:rsidRPr="005D01D1">
              <w:rPr>
                <w:rFonts w:ascii="Arial" w:eastAsia="Times New Roman" w:hAnsi="Arial" w:cs="Arial"/>
                <w:i/>
                <w:iCs/>
                <w:color w:val="000000"/>
                <w:sz w:val="20"/>
                <w:lang w:eastAsia="en-IN"/>
              </w:rPr>
              <w:t>oenopolia</w:t>
            </w:r>
            <w:proofErr w:type="spellEnd"/>
          </w:p>
        </w:tc>
        <w:tc>
          <w:tcPr>
            <w:tcW w:w="1412" w:type="dxa"/>
            <w:shd w:val="clear" w:color="auto" w:fill="auto"/>
            <w:noWrap/>
            <w:hideMark/>
          </w:tcPr>
          <w:p w14:paraId="7437CAC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Oct-Jan</w:t>
            </w:r>
          </w:p>
        </w:tc>
        <w:tc>
          <w:tcPr>
            <w:tcW w:w="1560" w:type="dxa"/>
            <w:shd w:val="clear" w:color="auto" w:fill="auto"/>
            <w:noWrap/>
            <w:hideMark/>
          </w:tcPr>
          <w:p w14:paraId="1B6A269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257CFB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0DC87D4B"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w:t>
            </w: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Paul &amp; Kumar, 2021; Bhaskaran &amp; Desai, 2015; Bhaskaran &amp; Desai, 2015</w:t>
            </w:r>
          </w:p>
        </w:tc>
      </w:tr>
      <w:tr w:rsidR="00DB4A05" w:rsidRPr="005D01D1" w14:paraId="2E141BEE" w14:textId="77777777" w:rsidTr="00DB4A05">
        <w:trPr>
          <w:trHeight w:val="310"/>
        </w:trPr>
        <w:tc>
          <w:tcPr>
            <w:tcW w:w="1985" w:type="dxa"/>
            <w:shd w:val="clear" w:color="auto" w:fill="auto"/>
            <w:noWrap/>
            <w:hideMark/>
          </w:tcPr>
          <w:p w14:paraId="1C8F447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Ziziphus rugosa</w:t>
            </w:r>
          </w:p>
        </w:tc>
        <w:tc>
          <w:tcPr>
            <w:tcW w:w="1412" w:type="dxa"/>
            <w:shd w:val="clear" w:color="auto" w:fill="auto"/>
            <w:noWrap/>
            <w:hideMark/>
          </w:tcPr>
          <w:p w14:paraId="3F4244F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6C5BEF3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DF457F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41DF498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005EBAC" w14:textId="77777777" w:rsidTr="00DB4A05">
        <w:trPr>
          <w:trHeight w:val="310"/>
        </w:trPr>
        <w:tc>
          <w:tcPr>
            <w:tcW w:w="1985" w:type="dxa"/>
            <w:shd w:val="clear" w:color="auto" w:fill="auto"/>
            <w:noWrap/>
            <w:hideMark/>
          </w:tcPr>
          <w:p w14:paraId="54803E2B"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lastRenderedPageBreak/>
              <w:t xml:space="preserve">Ziziphus </w:t>
            </w:r>
            <w:proofErr w:type="spellStart"/>
            <w:r w:rsidRPr="005D01D1">
              <w:rPr>
                <w:rFonts w:ascii="Arial" w:eastAsia="Times New Roman" w:hAnsi="Arial" w:cs="Arial"/>
                <w:i/>
                <w:iCs/>
                <w:color w:val="000000"/>
                <w:sz w:val="20"/>
                <w:lang w:eastAsia="en-IN"/>
              </w:rPr>
              <w:t>xylopyrus</w:t>
            </w:r>
            <w:proofErr w:type="spellEnd"/>
          </w:p>
        </w:tc>
        <w:tc>
          <w:tcPr>
            <w:tcW w:w="1412" w:type="dxa"/>
            <w:shd w:val="clear" w:color="auto" w:fill="auto"/>
            <w:noWrap/>
            <w:hideMark/>
          </w:tcPr>
          <w:p w14:paraId="56DDE71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June-Dec</w:t>
            </w:r>
          </w:p>
        </w:tc>
        <w:tc>
          <w:tcPr>
            <w:tcW w:w="1560" w:type="dxa"/>
            <w:shd w:val="clear" w:color="auto" w:fill="auto"/>
            <w:noWrap/>
            <w:hideMark/>
          </w:tcPr>
          <w:p w14:paraId="19F8282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029AAE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398F0D81"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bl>
    <w:p w14:paraId="3E2F0F35" w14:textId="77777777" w:rsidR="00121F8D" w:rsidRPr="005D01D1" w:rsidRDefault="00121F8D" w:rsidP="005D01D1">
      <w:pPr>
        <w:spacing w:line="240" w:lineRule="auto"/>
        <w:rPr>
          <w:rFonts w:ascii="Arial" w:hAnsi="Arial" w:cs="Arial"/>
          <w:sz w:val="20"/>
        </w:rPr>
      </w:pPr>
    </w:p>
    <w:p w14:paraId="2E674969" w14:textId="77777777" w:rsidR="00855082" w:rsidRPr="005D01D1" w:rsidRDefault="00855082" w:rsidP="005D01D1">
      <w:pPr>
        <w:pStyle w:val="Heading2"/>
        <w:numPr>
          <w:ilvl w:val="1"/>
          <w:numId w:val="2"/>
        </w:numPr>
        <w:spacing w:before="0" w:after="160" w:line="240" w:lineRule="auto"/>
        <w:ind w:left="567" w:hanging="567"/>
        <w:rPr>
          <w:rFonts w:ascii="Arial" w:hAnsi="Arial" w:cs="Arial"/>
          <w:b/>
          <w:bCs/>
          <w:color w:val="000000" w:themeColor="text1"/>
          <w:sz w:val="20"/>
          <w:szCs w:val="20"/>
        </w:rPr>
      </w:pPr>
      <w:r w:rsidRPr="0051502E">
        <w:rPr>
          <w:rFonts w:ascii="Arial" w:hAnsi="Arial" w:cs="Arial"/>
          <w:b/>
          <w:bCs/>
          <w:color w:val="000000" w:themeColor="text1"/>
          <w:sz w:val="22"/>
          <w:szCs w:val="22"/>
        </w:rPr>
        <w:t>Habitat Suitability and Vegetation Mapping</w:t>
      </w:r>
    </w:p>
    <w:p w14:paraId="4B77FCDD" w14:textId="77777777" w:rsidR="00855082" w:rsidRPr="005D01D1" w:rsidRDefault="00855082" w:rsidP="005D01D1">
      <w:pPr>
        <w:spacing w:line="240" w:lineRule="auto"/>
        <w:jc w:val="both"/>
        <w:rPr>
          <w:rFonts w:ascii="Arial" w:hAnsi="Arial" w:cs="Arial"/>
          <w:sz w:val="20"/>
        </w:rPr>
      </w:pPr>
      <w:r w:rsidRPr="005D01D1">
        <w:rPr>
          <w:rFonts w:ascii="Arial" w:hAnsi="Arial" w:cs="Arial"/>
          <w:sz w:val="20"/>
        </w:rPr>
        <w:t xml:space="preserve">Habitat suitability </w:t>
      </w:r>
      <w:r w:rsidR="00121F8D" w:rsidRPr="005D01D1">
        <w:rPr>
          <w:rFonts w:ascii="Arial" w:hAnsi="Arial" w:cs="Arial"/>
          <w:sz w:val="20"/>
        </w:rPr>
        <w:t>modelling</w:t>
      </w:r>
      <w:r w:rsidRPr="005D01D1">
        <w:rPr>
          <w:rFonts w:ascii="Arial" w:hAnsi="Arial" w:cs="Arial"/>
          <w:sz w:val="20"/>
        </w:rPr>
        <w:t xml:space="preserve"> has become an indispensable tool in wildlife conservation and management, offering spatially explicit insights into species distributions under current and projected conditions</w:t>
      </w:r>
      <w:r w:rsidR="00121F8D" w:rsidRPr="005D01D1">
        <w:rPr>
          <w:rFonts w:ascii="Arial" w:hAnsi="Arial" w:cs="Arial"/>
          <w:sz w:val="20"/>
        </w:rPr>
        <w:t xml:space="preserve"> (</w:t>
      </w:r>
      <w:proofErr w:type="spellStart"/>
      <w:r w:rsidR="00121F8D" w:rsidRPr="005D01D1">
        <w:rPr>
          <w:rFonts w:ascii="Arial" w:hAnsi="Arial" w:cs="Arial"/>
          <w:sz w:val="20"/>
        </w:rPr>
        <w:t>Guisan</w:t>
      </w:r>
      <w:proofErr w:type="spellEnd"/>
      <w:r w:rsidR="00121F8D" w:rsidRPr="005D01D1">
        <w:rPr>
          <w:rFonts w:ascii="Arial" w:hAnsi="Arial" w:cs="Arial"/>
          <w:sz w:val="20"/>
        </w:rPr>
        <w:t xml:space="preserve"> &amp; Zimmermann, 2000; Elith &amp; </w:t>
      </w:r>
      <w:proofErr w:type="spellStart"/>
      <w:r w:rsidR="00121F8D" w:rsidRPr="005D01D1">
        <w:rPr>
          <w:rFonts w:ascii="Arial" w:hAnsi="Arial" w:cs="Arial"/>
          <w:sz w:val="20"/>
        </w:rPr>
        <w:t>Leathwick</w:t>
      </w:r>
      <w:proofErr w:type="spellEnd"/>
      <w:r w:rsidR="00121F8D" w:rsidRPr="005D01D1">
        <w:rPr>
          <w:rFonts w:ascii="Arial" w:hAnsi="Arial" w:cs="Arial"/>
          <w:sz w:val="20"/>
        </w:rPr>
        <w:t>, 2009; Franklin, 2010</w:t>
      </w:r>
      <w:r w:rsidR="00144FC3" w:rsidRPr="005D01D1">
        <w:rPr>
          <w:rFonts w:ascii="Arial" w:hAnsi="Arial" w:cs="Arial"/>
          <w:sz w:val="20"/>
        </w:rPr>
        <w:t>)</w:t>
      </w:r>
      <w:r w:rsidRPr="005D01D1">
        <w:rPr>
          <w:rFonts w:ascii="Arial" w:hAnsi="Arial" w:cs="Arial"/>
          <w:sz w:val="20"/>
        </w:rPr>
        <w:t>. For the sloth bear whose habitat preferences are closely tied to seasonal food resources and forest cover, remote sensing (RS) and geographic information sy</w:t>
      </w:r>
      <w:r w:rsidR="00121F8D" w:rsidRPr="005D01D1">
        <w:rPr>
          <w:rFonts w:ascii="Arial" w:hAnsi="Arial" w:cs="Arial"/>
          <w:sz w:val="20"/>
        </w:rPr>
        <w:t xml:space="preserve">stem (GIS)-based habitat models </w:t>
      </w:r>
      <w:r w:rsidRPr="005D01D1">
        <w:rPr>
          <w:rFonts w:ascii="Arial" w:hAnsi="Arial" w:cs="Arial"/>
          <w:sz w:val="20"/>
        </w:rPr>
        <w:t>particularly using Maximum Entropy (</w:t>
      </w:r>
      <w:proofErr w:type="spellStart"/>
      <w:r w:rsidRPr="005D01D1">
        <w:rPr>
          <w:rFonts w:ascii="Arial" w:hAnsi="Arial" w:cs="Arial"/>
          <w:sz w:val="20"/>
        </w:rPr>
        <w:t>MaxEnt</w:t>
      </w:r>
      <w:proofErr w:type="spellEnd"/>
      <w:r w:rsidRPr="005D01D1">
        <w:rPr>
          <w:rFonts w:ascii="Arial" w:hAnsi="Arial" w:cs="Arial"/>
          <w:sz w:val="20"/>
        </w:rPr>
        <w:t xml:space="preserve">) and other species distribution </w:t>
      </w:r>
      <w:r w:rsidR="00121F8D" w:rsidRPr="005D01D1">
        <w:rPr>
          <w:rFonts w:ascii="Arial" w:hAnsi="Arial" w:cs="Arial"/>
          <w:sz w:val="20"/>
        </w:rPr>
        <w:t>modelling</w:t>
      </w:r>
      <w:r w:rsidRPr="005D01D1">
        <w:rPr>
          <w:rFonts w:ascii="Arial" w:hAnsi="Arial" w:cs="Arial"/>
          <w:sz w:val="20"/>
        </w:rPr>
        <w:t xml:space="preserve"> (SDM) t</w:t>
      </w:r>
      <w:r w:rsidR="00121F8D" w:rsidRPr="005D01D1">
        <w:rPr>
          <w:rFonts w:ascii="Arial" w:hAnsi="Arial" w:cs="Arial"/>
          <w:sz w:val="20"/>
        </w:rPr>
        <w:t xml:space="preserve">echniques </w:t>
      </w:r>
      <w:r w:rsidRPr="005D01D1">
        <w:rPr>
          <w:rFonts w:ascii="Arial" w:hAnsi="Arial" w:cs="Arial"/>
          <w:sz w:val="20"/>
        </w:rPr>
        <w:t xml:space="preserve">have proven especially useful (Yoganand et al., 2006; </w:t>
      </w:r>
      <w:proofErr w:type="spellStart"/>
      <w:r w:rsidRPr="005D01D1">
        <w:rPr>
          <w:rFonts w:ascii="Arial" w:hAnsi="Arial" w:cs="Arial"/>
          <w:sz w:val="20"/>
        </w:rPr>
        <w:t>Ratnayeke</w:t>
      </w:r>
      <w:proofErr w:type="spellEnd"/>
      <w:r w:rsidRPr="005D01D1">
        <w:rPr>
          <w:rFonts w:ascii="Arial" w:hAnsi="Arial" w:cs="Arial"/>
          <w:sz w:val="20"/>
        </w:rPr>
        <w:t xml:space="preserve"> et al., 2007; Paul &amp; Kumar, 2021).</w:t>
      </w:r>
    </w:p>
    <w:p w14:paraId="552C7B35" w14:textId="77777777" w:rsidR="00855082" w:rsidRPr="0051502E" w:rsidRDefault="00855082"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 xml:space="preserve">Review of Habitat </w:t>
      </w:r>
      <w:proofErr w:type="spellStart"/>
      <w:r w:rsidRPr="0051502E">
        <w:rPr>
          <w:rFonts w:ascii="Arial" w:hAnsi="Arial" w:cs="Arial"/>
          <w:b/>
          <w:bCs/>
          <w:color w:val="000000" w:themeColor="text1"/>
          <w:sz w:val="20"/>
          <w:szCs w:val="20"/>
          <w:u w:val="single"/>
        </w:rPr>
        <w:t>Modeling</w:t>
      </w:r>
      <w:proofErr w:type="spellEnd"/>
      <w:r w:rsidRPr="0051502E">
        <w:rPr>
          <w:rFonts w:ascii="Arial" w:hAnsi="Arial" w:cs="Arial"/>
          <w:b/>
          <w:bCs/>
          <w:color w:val="000000" w:themeColor="text1"/>
          <w:sz w:val="20"/>
          <w:szCs w:val="20"/>
          <w:u w:val="single"/>
        </w:rPr>
        <w:t xml:space="preserve"> Studies (</w:t>
      </w:r>
      <w:proofErr w:type="spellStart"/>
      <w:r w:rsidRPr="0051502E">
        <w:rPr>
          <w:rFonts w:ascii="Arial" w:hAnsi="Arial" w:cs="Arial"/>
          <w:b/>
          <w:bCs/>
          <w:color w:val="000000" w:themeColor="text1"/>
          <w:sz w:val="20"/>
          <w:szCs w:val="20"/>
          <w:u w:val="single"/>
        </w:rPr>
        <w:t>MaxEnt</w:t>
      </w:r>
      <w:proofErr w:type="spellEnd"/>
      <w:r w:rsidRPr="0051502E">
        <w:rPr>
          <w:rFonts w:ascii="Arial" w:hAnsi="Arial" w:cs="Arial"/>
          <w:b/>
          <w:bCs/>
          <w:color w:val="000000" w:themeColor="text1"/>
          <w:sz w:val="20"/>
          <w:szCs w:val="20"/>
          <w:u w:val="single"/>
        </w:rPr>
        <w:t>, RS-GIS Based)</w:t>
      </w:r>
    </w:p>
    <w:p w14:paraId="267F80B0" w14:textId="77777777" w:rsidR="00855082" w:rsidRPr="005D01D1" w:rsidRDefault="00855082" w:rsidP="005D01D1">
      <w:pPr>
        <w:spacing w:line="240" w:lineRule="auto"/>
        <w:jc w:val="both"/>
        <w:rPr>
          <w:rFonts w:ascii="Arial" w:hAnsi="Arial" w:cs="Arial"/>
          <w:sz w:val="20"/>
        </w:rPr>
      </w:pPr>
      <w:r w:rsidRPr="005D01D1">
        <w:rPr>
          <w:rFonts w:ascii="Arial" w:hAnsi="Arial" w:cs="Arial"/>
          <w:sz w:val="20"/>
        </w:rPr>
        <w:t xml:space="preserve">Several studies have utilized </w:t>
      </w:r>
      <w:proofErr w:type="spellStart"/>
      <w:r w:rsidRPr="005D01D1">
        <w:rPr>
          <w:rFonts w:ascii="Arial" w:hAnsi="Arial" w:cs="Arial"/>
          <w:sz w:val="20"/>
        </w:rPr>
        <w:t>MaxEnt</w:t>
      </w:r>
      <w:proofErr w:type="spellEnd"/>
      <w:r w:rsidRPr="005D01D1">
        <w:rPr>
          <w:rFonts w:ascii="Arial" w:hAnsi="Arial" w:cs="Arial"/>
          <w:sz w:val="20"/>
        </w:rPr>
        <w:t xml:space="preserve"> to map sloth bear habitat suitability across varied ecological regions in India. For example, Srivathsa et al. (2018) used presence-only data to model sloth bear distribution in the Western Ghats and found that forest cover, distance from roads, and terrain ruggedness significantly predicted bear occurrence. Similarly, Rajwar &amp; Uniyal (2020) applied </w:t>
      </w:r>
      <w:proofErr w:type="spellStart"/>
      <w:r w:rsidRPr="005D01D1">
        <w:rPr>
          <w:rFonts w:ascii="Arial" w:hAnsi="Arial" w:cs="Arial"/>
          <w:sz w:val="20"/>
        </w:rPr>
        <w:t>MaxEnt</w:t>
      </w:r>
      <w:proofErr w:type="spellEnd"/>
      <w:r w:rsidRPr="005D01D1">
        <w:rPr>
          <w:rFonts w:ascii="Arial" w:hAnsi="Arial" w:cs="Arial"/>
          <w:sz w:val="20"/>
        </w:rPr>
        <w:t xml:space="preserve"> to model bear habitats in Uttarakhand and emphasized the importance of natural vegetation and proximity to water bodies. In Central India,</w:t>
      </w:r>
      <w:r w:rsidR="00144FC3" w:rsidRPr="005D01D1">
        <w:rPr>
          <w:rFonts w:ascii="Arial" w:hAnsi="Arial" w:cs="Arial"/>
          <w:sz w:val="20"/>
        </w:rPr>
        <w:t xml:space="preserve"> </w:t>
      </w:r>
      <w:proofErr w:type="gramStart"/>
      <w:r w:rsidR="00144FC3" w:rsidRPr="005D01D1">
        <w:rPr>
          <w:rFonts w:ascii="Arial" w:hAnsi="Arial" w:cs="Arial"/>
          <w:sz w:val="20"/>
        </w:rPr>
        <w:t>Rather</w:t>
      </w:r>
      <w:proofErr w:type="gramEnd"/>
      <w:r w:rsidR="00144FC3" w:rsidRPr="005D01D1">
        <w:rPr>
          <w:rFonts w:ascii="Arial" w:hAnsi="Arial" w:cs="Arial"/>
          <w:sz w:val="20"/>
        </w:rPr>
        <w:t xml:space="preserve"> et al., (2021), </w:t>
      </w:r>
      <w:r w:rsidRPr="005D01D1">
        <w:rPr>
          <w:rFonts w:ascii="Arial" w:hAnsi="Arial" w:cs="Arial"/>
          <w:sz w:val="20"/>
        </w:rPr>
        <w:t xml:space="preserve">incorporated vegetation type, elevation, and anthropogenic pressures into a </w:t>
      </w:r>
      <w:proofErr w:type="spellStart"/>
      <w:r w:rsidRPr="005D01D1">
        <w:rPr>
          <w:rFonts w:ascii="Arial" w:hAnsi="Arial" w:cs="Arial"/>
          <w:sz w:val="20"/>
        </w:rPr>
        <w:t>MaxEnt</w:t>
      </w:r>
      <w:proofErr w:type="spellEnd"/>
      <w:r w:rsidRPr="005D01D1">
        <w:rPr>
          <w:rFonts w:ascii="Arial" w:hAnsi="Arial" w:cs="Arial"/>
          <w:sz w:val="20"/>
        </w:rPr>
        <w:t xml:space="preserve"> framework and successfully identified habitat patches with high conservation priority.</w:t>
      </w:r>
      <w:r w:rsidR="00121F8D" w:rsidRPr="005D01D1">
        <w:rPr>
          <w:rFonts w:ascii="Arial" w:hAnsi="Arial" w:cs="Arial"/>
          <w:sz w:val="20"/>
        </w:rPr>
        <w:t xml:space="preserve"> </w:t>
      </w:r>
      <w:r w:rsidRPr="005D01D1">
        <w:rPr>
          <w:rFonts w:ascii="Arial" w:hAnsi="Arial" w:cs="Arial"/>
          <w:sz w:val="20"/>
        </w:rPr>
        <w:t>These models co</w:t>
      </w:r>
      <w:r w:rsidR="00144FC3" w:rsidRPr="005D01D1">
        <w:rPr>
          <w:rFonts w:ascii="Arial" w:hAnsi="Arial" w:cs="Arial"/>
          <w:sz w:val="20"/>
        </w:rPr>
        <w:t xml:space="preserve">nsistently highlight vegetation </w:t>
      </w:r>
      <w:r w:rsidRPr="005D01D1">
        <w:rPr>
          <w:rFonts w:ascii="Arial" w:hAnsi="Arial" w:cs="Arial"/>
          <w:sz w:val="20"/>
        </w:rPr>
        <w:t>both in</w:t>
      </w:r>
      <w:r w:rsidR="00121F8D" w:rsidRPr="005D01D1">
        <w:rPr>
          <w:rFonts w:ascii="Arial" w:hAnsi="Arial" w:cs="Arial"/>
          <w:sz w:val="20"/>
        </w:rPr>
        <w:t xml:space="preserve"> terms of cover and composition </w:t>
      </w:r>
      <w:r w:rsidRPr="005D01D1">
        <w:rPr>
          <w:rFonts w:ascii="Arial" w:hAnsi="Arial" w:cs="Arial"/>
          <w:sz w:val="20"/>
        </w:rPr>
        <w:t xml:space="preserve">as a primary determinant of sloth bear presence. For instance, models based on land use/land cover (LULC) classifications show that sloth bears prefer dense and moderately dense forests over degraded or open forest classes (Khanal &amp; Thapa, 2014). Moreover, forest fragmentation and canopy </w:t>
      </w:r>
      <w:proofErr w:type="gramStart"/>
      <w:r w:rsidRPr="005D01D1">
        <w:rPr>
          <w:rFonts w:ascii="Arial" w:hAnsi="Arial" w:cs="Arial"/>
          <w:sz w:val="20"/>
        </w:rPr>
        <w:t>breaks</w:t>
      </w:r>
      <w:proofErr w:type="gramEnd"/>
      <w:r w:rsidRPr="005D01D1">
        <w:rPr>
          <w:rFonts w:ascii="Arial" w:hAnsi="Arial" w:cs="Arial"/>
          <w:sz w:val="20"/>
        </w:rPr>
        <w:t xml:space="preserve"> due to mining, logging, and agriculture are often associated with decreased habitat suitability and increased human-bear conflict (</w:t>
      </w:r>
      <w:proofErr w:type="spellStart"/>
      <w:r w:rsidRPr="005D01D1">
        <w:rPr>
          <w:rFonts w:ascii="Arial" w:hAnsi="Arial" w:cs="Arial"/>
          <w:sz w:val="20"/>
        </w:rPr>
        <w:t>Suklhadiya</w:t>
      </w:r>
      <w:proofErr w:type="spellEnd"/>
      <w:r w:rsidRPr="005D01D1">
        <w:rPr>
          <w:rFonts w:ascii="Arial" w:hAnsi="Arial" w:cs="Arial"/>
          <w:sz w:val="20"/>
        </w:rPr>
        <w:t xml:space="preserve"> &amp; </w:t>
      </w:r>
      <w:proofErr w:type="spellStart"/>
      <w:r w:rsidRPr="005D01D1">
        <w:rPr>
          <w:rFonts w:ascii="Arial" w:hAnsi="Arial" w:cs="Arial"/>
          <w:sz w:val="20"/>
        </w:rPr>
        <w:t>Dharaiya</w:t>
      </w:r>
      <w:proofErr w:type="spellEnd"/>
      <w:r w:rsidRPr="005D01D1">
        <w:rPr>
          <w:rFonts w:ascii="Arial" w:hAnsi="Arial" w:cs="Arial"/>
          <w:sz w:val="20"/>
        </w:rPr>
        <w:t>, 2013).</w:t>
      </w:r>
    </w:p>
    <w:p w14:paraId="0478B104" w14:textId="77777777" w:rsidR="00855082" w:rsidRPr="0051502E" w:rsidRDefault="00855082"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 xml:space="preserve">Vegetation Indices Used </w:t>
      </w:r>
      <w:commentRangeStart w:id="8"/>
      <w:r w:rsidRPr="0051502E">
        <w:rPr>
          <w:rFonts w:ascii="Arial" w:hAnsi="Arial" w:cs="Arial"/>
          <w:b/>
          <w:bCs/>
          <w:color w:val="000000" w:themeColor="text1"/>
          <w:sz w:val="20"/>
          <w:szCs w:val="20"/>
          <w:u w:val="single"/>
        </w:rPr>
        <w:t xml:space="preserve">(NDVI, Canopy Density, </w:t>
      </w:r>
      <w:commentRangeEnd w:id="8"/>
      <w:r w:rsidR="00085909">
        <w:rPr>
          <w:rStyle w:val="CommentReference"/>
          <w:rFonts w:asciiTheme="minorHAnsi" w:eastAsiaTheme="minorHAnsi" w:hAnsiTheme="minorHAnsi" w:cstheme="minorBidi"/>
          <w:color w:val="auto"/>
        </w:rPr>
        <w:commentReference w:id="8"/>
      </w:r>
      <w:commentRangeStart w:id="9"/>
      <w:r w:rsidRPr="0051502E">
        <w:rPr>
          <w:rFonts w:ascii="Arial" w:hAnsi="Arial" w:cs="Arial"/>
          <w:b/>
          <w:bCs/>
          <w:color w:val="000000" w:themeColor="text1"/>
          <w:sz w:val="20"/>
          <w:szCs w:val="20"/>
          <w:u w:val="single"/>
        </w:rPr>
        <w:t>etc.</w:t>
      </w:r>
      <w:commentRangeEnd w:id="9"/>
      <w:r w:rsidR="00085909">
        <w:rPr>
          <w:rStyle w:val="CommentReference"/>
          <w:rFonts w:asciiTheme="minorHAnsi" w:eastAsiaTheme="minorHAnsi" w:hAnsiTheme="minorHAnsi" w:cstheme="minorBidi"/>
          <w:color w:val="auto"/>
        </w:rPr>
        <w:commentReference w:id="9"/>
      </w:r>
      <w:r w:rsidRPr="0051502E">
        <w:rPr>
          <w:rFonts w:ascii="Arial" w:hAnsi="Arial" w:cs="Arial"/>
          <w:b/>
          <w:bCs/>
          <w:color w:val="000000" w:themeColor="text1"/>
          <w:sz w:val="20"/>
          <w:szCs w:val="20"/>
          <w:u w:val="single"/>
        </w:rPr>
        <w:t>)</w:t>
      </w:r>
    </w:p>
    <w:p w14:paraId="252B8819" w14:textId="77777777" w:rsidR="00855082" w:rsidRPr="005D01D1" w:rsidRDefault="00855082" w:rsidP="005D01D1">
      <w:pPr>
        <w:spacing w:line="240" w:lineRule="auto"/>
        <w:jc w:val="both"/>
        <w:rPr>
          <w:rFonts w:ascii="Arial" w:hAnsi="Arial" w:cs="Arial"/>
          <w:sz w:val="20"/>
        </w:rPr>
      </w:pPr>
      <w:r w:rsidRPr="005D01D1">
        <w:rPr>
          <w:rFonts w:ascii="Arial" w:hAnsi="Arial" w:cs="Arial"/>
          <w:sz w:val="20"/>
        </w:rPr>
        <w:t>To quantify vegetation quality and productivity, most habitat models incorporate vegetation indices derived from satellite imagery. The Normalized Difference Vegetation Index (NDVI) is the most commonly used metric, as it provides an indirect measure of primary productivity, vegetation greenness, and forest health. Studies have shown that areas wi</w:t>
      </w:r>
      <w:r w:rsidR="00121F8D" w:rsidRPr="005D01D1">
        <w:rPr>
          <w:rFonts w:ascii="Arial" w:hAnsi="Arial" w:cs="Arial"/>
          <w:sz w:val="20"/>
        </w:rPr>
        <w:t xml:space="preserve">th moderate to high NDVI values </w:t>
      </w:r>
      <w:r w:rsidRPr="005D01D1">
        <w:rPr>
          <w:rFonts w:ascii="Arial" w:hAnsi="Arial" w:cs="Arial"/>
          <w:sz w:val="20"/>
        </w:rPr>
        <w:t>indicative o</w:t>
      </w:r>
      <w:r w:rsidR="00121F8D" w:rsidRPr="005D01D1">
        <w:rPr>
          <w:rFonts w:ascii="Arial" w:hAnsi="Arial" w:cs="Arial"/>
          <w:sz w:val="20"/>
        </w:rPr>
        <w:t xml:space="preserve">f productive and stable forests </w:t>
      </w:r>
      <w:r w:rsidRPr="005D01D1">
        <w:rPr>
          <w:rFonts w:ascii="Arial" w:hAnsi="Arial" w:cs="Arial"/>
          <w:sz w:val="20"/>
        </w:rPr>
        <w:t>are more frequently used by sloth bears</w:t>
      </w:r>
      <w:r w:rsidR="00144FC3" w:rsidRPr="005D01D1">
        <w:rPr>
          <w:rFonts w:ascii="Arial" w:hAnsi="Arial" w:cs="Arial"/>
          <w:sz w:val="20"/>
        </w:rPr>
        <w:t>.</w:t>
      </w:r>
      <w:r w:rsidRPr="005D01D1">
        <w:rPr>
          <w:rFonts w:ascii="Arial" w:hAnsi="Arial" w:cs="Arial"/>
          <w:sz w:val="20"/>
        </w:rPr>
        <w:t xml:space="preserve"> </w:t>
      </w:r>
      <w:r w:rsidR="00144FC3" w:rsidRPr="005D01D1">
        <w:rPr>
          <w:rFonts w:ascii="Arial" w:hAnsi="Arial" w:cs="Arial"/>
          <w:sz w:val="20"/>
        </w:rPr>
        <w:t xml:space="preserve">In Eastern India’s </w:t>
      </w:r>
      <w:proofErr w:type="spellStart"/>
      <w:r w:rsidR="00144FC3" w:rsidRPr="005D01D1">
        <w:rPr>
          <w:rFonts w:ascii="Arial" w:hAnsi="Arial" w:cs="Arial"/>
          <w:sz w:val="20"/>
        </w:rPr>
        <w:t>Nilgiri</w:t>
      </w:r>
      <w:proofErr w:type="spellEnd"/>
      <w:r w:rsidR="00144FC3" w:rsidRPr="005D01D1">
        <w:rPr>
          <w:rFonts w:ascii="Arial" w:hAnsi="Arial" w:cs="Arial"/>
          <w:sz w:val="20"/>
        </w:rPr>
        <w:t xml:space="preserve"> Wildlife Range, </w:t>
      </w:r>
      <w:proofErr w:type="spellStart"/>
      <w:r w:rsidR="00144FC3" w:rsidRPr="005D01D1">
        <w:rPr>
          <w:rFonts w:ascii="Arial" w:hAnsi="Arial" w:cs="Arial"/>
          <w:sz w:val="20"/>
        </w:rPr>
        <w:t>Mardaraj</w:t>
      </w:r>
      <w:proofErr w:type="spellEnd"/>
      <w:r w:rsidR="00144FC3" w:rsidRPr="005D01D1">
        <w:rPr>
          <w:rFonts w:ascii="Arial" w:hAnsi="Arial" w:cs="Arial"/>
          <w:sz w:val="20"/>
        </w:rPr>
        <w:t xml:space="preserve"> et al. (2023) used </w:t>
      </w:r>
      <w:proofErr w:type="spellStart"/>
      <w:r w:rsidR="00144FC3" w:rsidRPr="005D01D1">
        <w:rPr>
          <w:rFonts w:ascii="Arial" w:hAnsi="Arial" w:cs="Arial"/>
          <w:sz w:val="20"/>
        </w:rPr>
        <w:t>MaxEnt</w:t>
      </w:r>
      <w:proofErr w:type="spellEnd"/>
      <w:r w:rsidR="00144FC3" w:rsidRPr="005D01D1">
        <w:rPr>
          <w:rFonts w:ascii="Arial" w:hAnsi="Arial" w:cs="Arial"/>
          <w:sz w:val="20"/>
        </w:rPr>
        <w:t xml:space="preserve"> </w:t>
      </w:r>
      <w:proofErr w:type="spellStart"/>
      <w:r w:rsidR="00144FC3" w:rsidRPr="005D01D1">
        <w:rPr>
          <w:rFonts w:ascii="Arial" w:hAnsi="Arial" w:cs="Arial"/>
          <w:sz w:val="20"/>
        </w:rPr>
        <w:t>modeling</w:t>
      </w:r>
      <w:proofErr w:type="spellEnd"/>
      <w:r w:rsidR="00144FC3" w:rsidRPr="005D01D1">
        <w:rPr>
          <w:rFonts w:ascii="Arial" w:hAnsi="Arial" w:cs="Arial"/>
          <w:sz w:val="20"/>
        </w:rPr>
        <w:t xml:space="preserve"> and highlighted NDVI and Digital Elevation Model as key predictors for sloth bear distribution. </w:t>
      </w:r>
      <w:r w:rsidRPr="005D01D1">
        <w:rPr>
          <w:rFonts w:ascii="Arial" w:hAnsi="Arial" w:cs="Arial"/>
          <w:sz w:val="20"/>
        </w:rPr>
        <w:t>Apart from NDVI, other indices such as Enhanced Vegetation Index (EVI) and Leaf Area Index (LAI) have been applied in fine-scale analyses, although less commonly. Canopy cover or density maps (derived from high-resolution imagery or FSI datasets) also serve as useful proxies for cover availability, denning suitability, and thermal refuge, especially in dry deciduous landscapes. For example, bears are known to avoid open canopy or grassland areas during dry seasons due to exposure and lack of fruiting vegetation (</w:t>
      </w:r>
      <w:proofErr w:type="spellStart"/>
      <w:r w:rsidRPr="005D01D1">
        <w:rPr>
          <w:rFonts w:ascii="Arial" w:hAnsi="Arial" w:cs="Arial"/>
          <w:sz w:val="20"/>
        </w:rPr>
        <w:t>Bargali</w:t>
      </w:r>
      <w:proofErr w:type="spellEnd"/>
      <w:r w:rsidRPr="005D01D1">
        <w:rPr>
          <w:rFonts w:ascii="Arial" w:hAnsi="Arial" w:cs="Arial"/>
          <w:sz w:val="20"/>
        </w:rPr>
        <w:t xml:space="preserve"> et al., 2004).</w:t>
      </w:r>
    </w:p>
    <w:p w14:paraId="1210EFEA" w14:textId="77777777" w:rsidR="00855082" w:rsidRPr="0051502E" w:rsidRDefault="00855082"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 xml:space="preserve">Integration of </w:t>
      </w:r>
      <w:r w:rsidR="0059713E" w:rsidRPr="0051502E">
        <w:rPr>
          <w:rFonts w:ascii="Arial" w:hAnsi="Arial" w:cs="Arial"/>
          <w:b/>
          <w:bCs/>
          <w:color w:val="000000" w:themeColor="text1"/>
          <w:sz w:val="20"/>
          <w:szCs w:val="20"/>
          <w:u w:val="single"/>
        </w:rPr>
        <w:t>Vegetation</w:t>
      </w:r>
      <w:r w:rsidRPr="0051502E">
        <w:rPr>
          <w:rFonts w:ascii="Arial" w:hAnsi="Arial" w:cs="Arial"/>
          <w:b/>
          <w:bCs/>
          <w:color w:val="000000" w:themeColor="text1"/>
          <w:sz w:val="20"/>
          <w:szCs w:val="20"/>
          <w:u w:val="single"/>
        </w:rPr>
        <w:t xml:space="preserve"> Composition into </w:t>
      </w:r>
      <w:r w:rsidR="00121F8D" w:rsidRPr="0051502E">
        <w:rPr>
          <w:rFonts w:ascii="Arial" w:hAnsi="Arial" w:cs="Arial"/>
          <w:b/>
          <w:bCs/>
          <w:color w:val="000000" w:themeColor="text1"/>
          <w:sz w:val="20"/>
          <w:szCs w:val="20"/>
          <w:u w:val="single"/>
        </w:rPr>
        <w:t>Modelling</w:t>
      </w:r>
    </w:p>
    <w:p w14:paraId="2ED0ACC4" w14:textId="77777777" w:rsidR="0059713E" w:rsidRPr="005D01D1" w:rsidRDefault="00855082" w:rsidP="005D01D1">
      <w:pPr>
        <w:spacing w:line="240" w:lineRule="auto"/>
        <w:jc w:val="both"/>
        <w:rPr>
          <w:rFonts w:ascii="Arial" w:hAnsi="Arial" w:cs="Arial"/>
          <w:sz w:val="20"/>
        </w:rPr>
      </w:pPr>
      <w:r w:rsidRPr="005D01D1">
        <w:rPr>
          <w:rFonts w:ascii="Arial" w:hAnsi="Arial" w:cs="Arial"/>
          <w:sz w:val="20"/>
        </w:rPr>
        <w:t>While LULC and NDVI provide general indicators of vegetation presence, they often fail to capture floristic richness and species-specific food resource distribution, which are crucial to sloth bear ecology. Recent studies have addressed this limitation by in</w:t>
      </w:r>
      <w:r w:rsidR="00121F8D" w:rsidRPr="005D01D1">
        <w:rPr>
          <w:rFonts w:ascii="Arial" w:hAnsi="Arial" w:cs="Arial"/>
          <w:sz w:val="20"/>
        </w:rPr>
        <w:t>tegrating floristic</w:t>
      </w:r>
      <w:r w:rsidR="0059713E" w:rsidRPr="005D01D1">
        <w:rPr>
          <w:rFonts w:ascii="Arial" w:hAnsi="Arial" w:cs="Arial"/>
          <w:sz w:val="20"/>
        </w:rPr>
        <w:t xml:space="preserve"> (vegetation)</w:t>
      </w:r>
      <w:r w:rsidR="00121F8D" w:rsidRPr="005D01D1">
        <w:rPr>
          <w:rFonts w:ascii="Arial" w:hAnsi="Arial" w:cs="Arial"/>
          <w:sz w:val="20"/>
        </w:rPr>
        <w:t xml:space="preserve"> survey data </w:t>
      </w:r>
      <w:r w:rsidRPr="005D01D1">
        <w:rPr>
          <w:rFonts w:ascii="Arial" w:hAnsi="Arial" w:cs="Arial"/>
          <w:sz w:val="20"/>
        </w:rPr>
        <w:t xml:space="preserve">such as the presence of </w:t>
      </w:r>
      <w:r w:rsidRPr="005D01D1">
        <w:rPr>
          <w:rFonts w:ascii="Arial" w:hAnsi="Arial" w:cs="Arial"/>
          <w:i/>
          <w:iCs/>
          <w:sz w:val="20"/>
        </w:rPr>
        <w:t xml:space="preserve">Ziziphus </w:t>
      </w:r>
      <w:proofErr w:type="spellStart"/>
      <w:r w:rsidRPr="005D01D1">
        <w:rPr>
          <w:rFonts w:ascii="Arial" w:hAnsi="Arial" w:cs="Arial"/>
          <w:i/>
          <w:iCs/>
          <w:sz w:val="20"/>
        </w:rPr>
        <w:t>mauritiana</w:t>
      </w:r>
      <w:proofErr w:type="spellEnd"/>
      <w:r w:rsidRPr="005D01D1">
        <w:rPr>
          <w:rFonts w:ascii="Arial" w:hAnsi="Arial" w:cs="Arial"/>
          <w:sz w:val="20"/>
        </w:rPr>
        <w:t xml:space="preserve">, </w:t>
      </w:r>
      <w:r w:rsidRPr="005D01D1">
        <w:rPr>
          <w:rFonts w:ascii="Arial" w:hAnsi="Arial" w:cs="Arial"/>
          <w:i/>
          <w:iCs/>
          <w:sz w:val="20"/>
        </w:rPr>
        <w:t xml:space="preserve">Ficus spp., </w:t>
      </w:r>
      <w:proofErr w:type="spellStart"/>
      <w:r w:rsidRPr="005D01D1">
        <w:rPr>
          <w:rFonts w:ascii="Arial" w:hAnsi="Arial" w:cs="Arial"/>
          <w:i/>
          <w:iCs/>
          <w:sz w:val="20"/>
        </w:rPr>
        <w:t>Madhuca</w:t>
      </w:r>
      <w:proofErr w:type="spellEnd"/>
      <w:r w:rsidRPr="005D01D1">
        <w:rPr>
          <w:rFonts w:ascii="Arial" w:hAnsi="Arial" w:cs="Arial"/>
          <w:i/>
          <w:iCs/>
          <w:sz w:val="20"/>
        </w:rPr>
        <w:t xml:space="preserve"> indica, and Diospyros melanoxylon</w:t>
      </w:r>
      <w:r w:rsidR="00121F8D" w:rsidRPr="005D01D1">
        <w:rPr>
          <w:rFonts w:ascii="Arial" w:hAnsi="Arial" w:cs="Arial"/>
          <w:sz w:val="20"/>
        </w:rPr>
        <w:t xml:space="preserve"> </w:t>
      </w:r>
      <w:r w:rsidRPr="005D01D1">
        <w:rPr>
          <w:rFonts w:ascii="Arial" w:hAnsi="Arial" w:cs="Arial"/>
          <w:sz w:val="20"/>
        </w:rPr>
        <w:t>as habitat predictors.</w:t>
      </w:r>
      <w:r w:rsidR="00121F8D" w:rsidRPr="005D01D1">
        <w:rPr>
          <w:rFonts w:ascii="Arial" w:hAnsi="Arial" w:cs="Arial"/>
          <w:sz w:val="20"/>
        </w:rPr>
        <w:t xml:space="preserve"> </w:t>
      </w:r>
      <w:r w:rsidRPr="005D01D1">
        <w:rPr>
          <w:rFonts w:ascii="Arial" w:hAnsi="Arial" w:cs="Arial"/>
          <w:sz w:val="20"/>
        </w:rPr>
        <w:t xml:space="preserve">For example, </w:t>
      </w:r>
      <w:proofErr w:type="spellStart"/>
      <w:r w:rsidRPr="005D01D1">
        <w:rPr>
          <w:rFonts w:ascii="Arial" w:hAnsi="Arial" w:cs="Arial"/>
          <w:sz w:val="20"/>
        </w:rPr>
        <w:t>Bargali</w:t>
      </w:r>
      <w:proofErr w:type="spellEnd"/>
      <w:r w:rsidRPr="005D01D1">
        <w:rPr>
          <w:rFonts w:ascii="Arial" w:hAnsi="Arial" w:cs="Arial"/>
          <w:sz w:val="20"/>
        </w:rPr>
        <w:t xml:space="preserve"> et al. (2004) emphasized that the seasonal availability of native fruiting species was a strong determinant of bear foraging patterns in Central Indian forests. In </w:t>
      </w:r>
      <w:r w:rsidR="00121F8D" w:rsidRPr="005D01D1">
        <w:rPr>
          <w:rFonts w:ascii="Arial" w:hAnsi="Arial" w:cs="Arial"/>
          <w:sz w:val="20"/>
        </w:rPr>
        <w:t>modelling</w:t>
      </w:r>
      <w:r w:rsidRPr="005D01D1">
        <w:rPr>
          <w:rFonts w:ascii="Arial" w:hAnsi="Arial" w:cs="Arial"/>
          <w:sz w:val="20"/>
        </w:rPr>
        <w:t xml:space="preserve"> sloth bear presence, Areas rich in key food plants (such as </w:t>
      </w:r>
      <w:proofErr w:type="spellStart"/>
      <w:r w:rsidRPr="005D01D1">
        <w:rPr>
          <w:rFonts w:ascii="Arial" w:hAnsi="Arial" w:cs="Arial"/>
          <w:i/>
          <w:iCs/>
          <w:sz w:val="20"/>
        </w:rPr>
        <w:t>Buchanania</w:t>
      </w:r>
      <w:proofErr w:type="spellEnd"/>
      <w:r w:rsidRPr="005D01D1">
        <w:rPr>
          <w:rFonts w:ascii="Arial" w:hAnsi="Arial" w:cs="Arial"/>
          <w:i/>
          <w:iCs/>
          <w:sz w:val="20"/>
        </w:rPr>
        <w:t xml:space="preserve"> </w:t>
      </w:r>
      <w:proofErr w:type="spellStart"/>
      <w:r w:rsidRPr="005D01D1">
        <w:rPr>
          <w:rFonts w:ascii="Arial" w:hAnsi="Arial" w:cs="Arial"/>
          <w:i/>
          <w:iCs/>
          <w:sz w:val="20"/>
        </w:rPr>
        <w:t>lanzan</w:t>
      </w:r>
      <w:proofErr w:type="spellEnd"/>
      <w:r w:rsidRPr="005D01D1">
        <w:rPr>
          <w:rFonts w:ascii="Arial" w:hAnsi="Arial" w:cs="Arial"/>
          <w:i/>
          <w:iCs/>
          <w:sz w:val="20"/>
        </w:rPr>
        <w:t xml:space="preserve"> or Mangifera indica</w:t>
      </w:r>
      <w:r w:rsidRPr="005D01D1">
        <w:rPr>
          <w:rFonts w:ascii="Arial" w:hAnsi="Arial" w:cs="Arial"/>
          <w:sz w:val="20"/>
        </w:rPr>
        <w:t>) were shown to have significantly higher habitat suitability scores, especially during monsoon and post-monsoon periods.</w:t>
      </w:r>
      <w:r w:rsidR="00121F8D" w:rsidRPr="005D01D1">
        <w:rPr>
          <w:rFonts w:ascii="Arial" w:hAnsi="Arial" w:cs="Arial"/>
          <w:sz w:val="20"/>
        </w:rPr>
        <w:t xml:space="preserve"> </w:t>
      </w:r>
      <w:r w:rsidRPr="005D01D1">
        <w:rPr>
          <w:rFonts w:ascii="Arial" w:hAnsi="Arial" w:cs="Arial"/>
          <w:sz w:val="20"/>
        </w:rPr>
        <w:t>Some studies have even overlaid fruiting calendars and species presence grids with NDVI layers to distinguish between green biomass and actual food availability. This integration allows a more nuanced understanding of seasonal habitat use and can inform temporal conservation strategies like fruit-tree restoration or corridor planting (</w:t>
      </w:r>
      <w:proofErr w:type="spellStart"/>
      <w:r w:rsidRPr="005D01D1">
        <w:rPr>
          <w:rFonts w:ascii="Arial" w:hAnsi="Arial" w:cs="Arial"/>
          <w:sz w:val="20"/>
        </w:rPr>
        <w:t>Dharaiya</w:t>
      </w:r>
      <w:proofErr w:type="spellEnd"/>
      <w:r w:rsidRPr="005D01D1">
        <w:rPr>
          <w:rFonts w:ascii="Arial" w:hAnsi="Arial" w:cs="Arial"/>
          <w:sz w:val="20"/>
        </w:rPr>
        <w:t xml:space="preserve"> et al., 2020).</w:t>
      </w:r>
    </w:p>
    <w:p w14:paraId="16809CFE" w14:textId="77777777" w:rsidR="0059713E" w:rsidRPr="0051502E" w:rsidRDefault="0051502E" w:rsidP="005D01D1">
      <w:pPr>
        <w:pStyle w:val="Heading1"/>
        <w:numPr>
          <w:ilvl w:val="0"/>
          <w:numId w:val="4"/>
        </w:numPr>
        <w:spacing w:before="0" w:after="160" w:line="240" w:lineRule="auto"/>
        <w:ind w:left="567" w:hanging="567"/>
        <w:rPr>
          <w:rFonts w:ascii="Arial" w:hAnsi="Arial" w:cs="Arial"/>
          <w:b/>
          <w:bCs/>
          <w:color w:val="000000" w:themeColor="text1"/>
          <w:sz w:val="22"/>
          <w:szCs w:val="22"/>
        </w:rPr>
      </w:pPr>
      <w:commentRangeStart w:id="10"/>
      <w:r w:rsidRPr="0051502E">
        <w:rPr>
          <w:rFonts w:ascii="Arial" w:hAnsi="Arial" w:cs="Arial"/>
          <w:b/>
          <w:bCs/>
          <w:color w:val="000000" w:themeColor="text1"/>
          <w:sz w:val="22"/>
          <w:szCs w:val="22"/>
        </w:rPr>
        <w:lastRenderedPageBreak/>
        <w:t>CONSERVATION IMPLICATIONS</w:t>
      </w:r>
      <w:commentRangeEnd w:id="10"/>
      <w:r w:rsidR="00085909">
        <w:rPr>
          <w:rStyle w:val="CommentReference"/>
          <w:rFonts w:asciiTheme="minorHAnsi" w:eastAsiaTheme="minorHAnsi" w:hAnsiTheme="minorHAnsi" w:cstheme="minorBidi"/>
          <w:color w:val="auto"/>
        </w:rPr>
        <w:commentReference w:id="10"/>
      </w:r>
    </w:p>
    <w:p w14:paraId="5F13822E" w14:textId="77777777" w:rsidR="0059713E" w:rsidRPr="0051502E" w:rsidRDefault="004E1E57" w:rsidP="005D01D1">
      <w:pPr>
        <w:pStyle w:val="Heading2"/>
        <w:numPr>
          <w:ilvl w:val="1"/>
          <w:numId w:val="4"/>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Habitat Restoration Needs</w:t>
      </w:r>
    </w:p>
    <w:p w14:paraId="0A760A9C" w14:textId="77777777" w:rsidR="0059713E" w:rsidRPr="005D01D1" w:rsidRDefault="0059713E" w:rsidP="005D01D1">
      <w:pPr>
        <w:spacing w:line="240" w:lineRule="auto"/>
        <w:jc w:val="both"/>
        <w:rPr>
          <w:rFonts w:ascii="Arial" w:hAnsi="Arial" w:cs="Arial"/>
          <w:sz w:val="20"/>
        </w:rPr>
      </w:pPr>
      <w:r w:rsidRPr="005D01D1">
        <w:rPr>
          <w:rFonts w:ascii="Arial" w:hAnsi="Arial" w:cs="Arial"/>
          <w:sz w:val="20"/>
        </w:rPr>
        <w:t xml:space="preserve">Given the sloth bear's strong dependence on specific fruiting and tuber-bearing plants, habitat restoration efforts must prioritize floristically diverse and seasonally productive native species. Field studies across Central and Eastern India highlight several tree species crucial to sloth bear foraging ecology, including </w:t>
      </w:r>
      <w:r w:rsidRPr="005D01D1">
        <w:rPr>
          <w:rFonts w:ascii="Arial" w:hAnsi="Arial" w:cs="Arial"/>
          <w:i/>
          <w:iCs/>
          <w:sz w:val="20"/>
        </w:rPr>
        <w:t xml:space="preserve">Ziziphus </w:t>
      </w:r>
      <w:proofErr w:type="spellStart"/>
      <w:r w:rsidRPr="005D01D1">
        <w:rPr>
          <w:rFonts w:ascii="Arial" w:hAnsi="Arial" w:cs="Arial"/>
          <w:i/>
          <w:iCs/>
          <w:sz w:val="20"/>
        </w:rPr>
        <w:t>mauritiana</w:t>
      </w:r>
      <w:proofErr w:type="spellEnd"/>
      <w:r w:rsidRPr="005D01D1">
        <w:rPr>
          <w:rFonts w:ascii="Arial" w:hAnsi="Arial" w:cs="Arial"/>
          <w:i/>
          <w:iCs/>
          <w:sz w:val="20"/>
        </w:rPr>
        <w:t xml:space="preserve">, </w:t>
      </w:r>
      <w:proofErr w:type="spellStart"/>
      <w:r w:rsidRPr="005D01D1">
        <w:rPr>
          <w:rFonts w:ascii="Arial" w:hAnsi="Arial" w:cs="Arial"/>
          <w:i/>
          <w:iCs/>
          <w:sz w:val="20"/>
        </w:rPr>
        <w:t>Madhuca</w:t>
      </w:r>
      <w:proofErr w:type="spellEnd"/>
      <w:r w:rsidRPr="005D01D1">
        <w:rPr>
          <w:rFonts w:ascii="Arial" w:hAnsi="Arial" w:cs="Arial"/>
          <w:i/>
          <w:iCs/>
          <w:sz w:val="20"/>
        </w:rPr>
        <w:t xml:space="preserve"> indica, Diospyros melanoxylon, </w:t>
      </w:r>
      <w:proofErr w:type="spellStart"/>
      <w:r w:rsidRPr="005D01D1">
        <w:rPr>
          <w:rFonts w:ascii="Arial" w:hAnsi="Arial" w:cs="Arial"/>
          <w:i/>
          <w:iCs/>
          <w:sz w:val="20"/>
        </w:rPr>
        <w:t>Buchanania</w:t>
      </w:r>
      <w:proofErr w:type="spellEnd"/>
      <w:r w:rsidRPr="005D01D1">
        <w:rPr>
          <w:rFonts w:ascii="Arial" w:hAnsi="Arial" w:cs="Arial"/>
          <w:i/>
          <w:iCs/>
          <w:sz w:val="20"/>
        </w:rPr>
        <w:t xml:space="preserve"> </w:t>
      </w:r>
      <w:proofErr w:type="spellStart"/>
      <w:r w:rsidRPr="005D01D1">
        <w:rPr>
          <w:rFonts w:ascii="Arial" w:hAnsi="Arial" w:cs="Arial"/>
          <w:i/>
          <w:iCs/>
          <w:sz w:val="20"/>
        </w:rPr>
        <w:t>lanzan</w:t>
      </w:r>
      <w:proofErr w:type="spellEnd"/>
      <w:r w:rsidRPr="005D01D1">
        <w:rPr>
          <w:rFonts w:ascii="Arial" w:hAnsi="Arial" w:cs="Arial"/>
          <w:i/>
          <w:iCs/>
          <w:sz w:val="20"/>
        </w:rPr>
        <w:t xml:space="preserve">, Ficus racemosa, and </w:t>
      </w:r>
      <w:proofErr w:type="spellStart"/>
      <w:r w:rsidRPr="005D01D1">
        <w:rPr>
          <w:rFonts w:ascii="Arial" w:hAnsi="Arial" w:cs="Arial"/>
          <w:i/>
          <w:iCs/>
          <w:sz w:val="20"/>
        </w:rPr>
        <w:t>Syzygium</w:t>
      </w:r>
      <w:proofErr w:type="spellEnd"/>
      <w:r w:rsidRPr="005D01D1">
        <w:rPr>
          <w:rFonts w:ascii="Arial" w:hAnsi="Arial" w:cs="Arial"/>
          <w:i/>
          <w:iCs/>
          <w:sz w:val="20"/>
        </w:rPr>
        <w:t xml:space="preserve"> </w:t>
      </w:r>
      <w:proofErr w:type="spellStart"/>
      <w:r w:rsidRPr="005D01D1">
        <w:rPr>
          <w:rFonts w:ascii="Arial" w:hAnsi="Arial" w:cs="Arial"/>
          <w:i/>
          <w:iCs/>
          <w:sz w:val="20"/>
        </w:rPr>
        <w:t>cumini</w:t>
      </w:r>
      <w:proofErr w:type="spellEnd"/>
      <w:r w:rsidRPr="005D01D1">
        <w:rPr>
          <w:rFonts w:ascii="Arial" w:hAnsi="Arial" w:cs="Arial"/>
          <w:sz w:val="20"/>
        </w:rPr>
        <w:t xml:space="preserve"> (</w:t>
      </w:r>
      <w:proofErr w:type="spellStart"/>
      <w:r w:rsidRPr="005D01D1">
        <w:rPr>
          <w:rFonts w:ascii="Arial" w:hAnsi="Arial" w:cs="Arial"/>
          <w:sz w:val="20"/>
        </w:rPr>
        <w:t>Bargali</w:t>
      </w:r>
      <w:proofErr w:type="spellEnd"/>
      <w:r w:rsidRPr="005D01D1">
        <w:rPr>
          <w:rFonts w:ascii="Arial" w:hAnsi="Arial" w:cs="Arial"/>
          <w:sz w:val="20"/>
        </w:rPr>
        <w:t xml:space="preserve"> et al., 2004; </w:t>
      </w:r>
      <w:proofErr w:type="spellStart"/>
      <w:r w:rsidRPr="005D01D1">
        <w:rPr>
          <w:rFonts w:ascii="Arial" w:hAnsi="Arial" w:cs="Arial"/>
          <w:sz w:val="20"/>
        </w:rPr>
        <w:t>Mewata</w:t>
      </w:r>
      <w:proofErr w:type="spellEnd"/>
      <w:r w:rsidRPr="005D01D1">
        <w:rPr>
          <w:rFonts w:ascii="Arial" w:hAnsi="Arial" w:cs="Arial"/>
          <w:sz w:val="20"/>
        </w:rPr>
        <w:t xml:space="preserve"> et al., 2019; Paul &amp; Kumar, 2021). These species provide critical food during pre-monsoon and post-monsoon months, which are often periods of natural scarcity. </w:t>
      </w:r>
      <w:commentRangeStart w:id="11"/>
      <w:r w:rsidRPr="005D01D1">
        <w:rPr>
          <w:rFonts w:ascii="Arial" w:hAnsi="Arial" w:cs="Arial"/>
          <w:sz w:val="20"/>
        </w:rPr>
        <w:t xml:space="preserve">Restoration interventions should focus not only on planting these keystone fruiting species but also on ensuring spatial continuity </w:t>
      </w:r>
      <w:commentRangeEnd w:id="11"/>
      <w:r w:rsidR="007D3757">
        <w:rPr>
          <w:rStyle w:val="CommentReference"/>
        </w:rPr>
        <w:commentReference w:id="11"/>
      </w:r>
      <w:r w:rsidRPr="005D01D1">
        <w:rPr>
          <w:rFonts w:ascii="Arial" w:hAnsi="Arial" w:cs="Arial"/>
          <w:sz w:val="20"/>
        </w:rPr>
        <w:t>a</w:t>
      </w:r>
      <w:r w:rsidR="004E1E57" w:rsidRPr="005D01D1">
        <w:rPr>
          <w:rFonts w:ascii="Arial" w:hAnsi="Arial" w:cs="Arial"/>
          <w:sz w:val="20"/>
        </w:rPr>
        <w:t xml:space="preserve">nd phonological complementarity </w:t>
      </w:r>
      <w:r w:rsidRPr="005D01D1">
        <w:rPr>
          <w:rFonts w:ascii="Arial" w:hAnsi="Arial" w:cs="Arial"/>
          <w:sz w:val="20"/>
        </w:rPr>
        <w:t xml:space="preserve">i.e., mixing species that fruit at different times to provide year-round food availability. Additionally, in areas degraded by mining or monoculture plantations, rewilding efforts must incorporate multi-layered vegetation, including shrubs and tubers such as </w:t>
      </w:r>
      <w:r w:rsidRPr="005D01D1">
        <w:rPr>
          <w:rFonts w:ascii="Arial" w:hAnsi="Arial" w:cs="Arial"/>
          <w:i/>
          <w:iCs/>
          <w:sz w:val="20"/>
        </w:rPr>
        <w:t>Pueraria tuberosa</w:t>
      </w:r>
      <w:r w:rsidRPr="005D01D1">
        <w:rPr>
          <w:rFonts w:ascii="Arial" w:hAnsi="Arial" w:cs="Arial"/>
          <w:sz w:val="20"/>
        </w:rPr>
        <w:t xml:space="preserve"> and </w:t>
      </w:r>
      <w:r w:rsidRPr="005D01D1">
        <w:rPr>
          <w:rFonts w:ascii="Arial" w:hAnsi="Arial" w:cs="Arial"/>
          <w:i/>
          <w:iCs/>
          <w:sz w:val="20"/>
        </w:rPr>
        <w:t>Curcuma spp.</w:t>
      </w:r>
      <w:r w:rsidRPr="005D01D1">
        <w:rPr>
          <w:rFonts w:ascii="Arial" w:hAnsi="Arial" w:cs="Arial"/>
          <w:sz w:val="20"/>
        </w:rPr>
        <w:t xml:space="preserve"> that are also consumed by bears.</w:t>
      </w:r>
    </w:p>
    <w:p w14:paraId="6D81CBB9" w14:textId="77777777" w:rsidR="0059713E" w:rsidRPr="0051502E" w:rsidRDefault="0059713E" w:rsidP="005D01D1">
      <w:pPr>
        <w:pStyle w:val="Heading2"/>
        <w:numPr>
          <w:ilvl w:val="1"/>
          <w:numId w:val="4"/>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Mitigating Seasonal Food Shortages</w:t>
      </w:r>
    </w:p>
    <w:p w14:paraId="27717C3C" w14:textId="77777777" w:rsidR="0059713E" w:rsidRPr="005D01D1" w:rsidRDefault="0059713E" w:rsidP="005D01D1">
      <w:pPr>
        <w:spacing w:line="240" w:lineRule="auto"/>
        <w:jc w:val="both"/>
        <w:rPr>
          <w:rFonts w:ascii="Arial" w:hAnsi="Arial" w:cs="Arial"/>
          <w:sz w:val="20"/>
        </w:rPr>
      </w:pPr>
      <w:r w:rsidRPr="005D01D1">
        <w:rPr>
          <w:rFonts w:ascii="Arial" w:hAnsi="Arial" w:cs="Arial"/>
          <w:sz w:val="20"/>
        </w:rPr>
        <w:t>Sloth bears experience natural bottlenecks in food availability, particularly during the dry season when insect prey is reduced, and fruits are less abundant. This shortage often pushes bears into human-dominated landscapes, where they raid crops and come into conflict with local communities (</w:t>
      </w:r>
      <w:proofErr w:type="spellStart"/>
      <w:r w:rsidRPr="005D01D1">
        <w:rPr>
          <w:rFonts w:ascii="Arial" w:hAnsi="Arial" w:cs="Arial"/>
          <w:sz w:val="20"/>
        </w:rPr>
        <w:t>Dharaiya</w:t>
      </w:r>
      <w:proofErr w:type="spellEnd"/>
      <w:r w:rsidRPr="005D01D1">
        <w:rPr>
          <w:rFonts w:ascii="Arial" w:hAnsi="Arial" w:cs="Arial"/>
          <w:sz w:val="20"/>
        </w:rPr>
        <w:t xml:space="preserve"> et al., 2020; </w:t>
      </w:r>
      <w:proofErr w:type="spellStart"/>
      <w:r w:rsidRPr="005D01D1">
        <w:rPr>
          <w:rFonts w:ascii="Arial" w:hAnsi="Arial" w:cs="Arial"/>
          <w:sz w:val="20"/>
        </w:rPr>
        <w:t>Suklhadiya</w:t>
      </w:r>
      <w:proofErr w:type="spellEnd"/>
      <w:r w:rsidRPr="005D01D1">
        <w:rPr>
          <w:rFonts w:ascii="Arial" w:hAnsi="Arial" w:cs="Arial"/>
          <w:sz w:val="20"/>
        </w:rPr>
        <w:t xml:space="preserve"> &amp; </w:t>
      </w:r>
      <w:proofErr w:type="spellStart"/>
      <w:r w:rsidRPr="005D01D1">
        <w:rPr>
          <w:rFonts w:ascii="Arial" w:hAnsi="Arial" w:cs="Arial"/>
          <w:sz w:val="20"/>
        </w:rPr>
        <w:t>Dharaiya</w:t>
      </w:r>
      <w:proofErr w:type="spellEnd"/>
      <w:r w:rsidRPr="005D01D1">
        <w:rPr>
          <w:rFonts w:ascii="Arial" w:hAnsi="Arial" w:cs="Arial"/>
          <w:sz w:val="20"/>
        </w:rPr>
        <w:t>, 2013). To mitigate this, conservation programs should promote the protection and augmentation of seasonal food trees inside core forest areas. Establishing seasonal resource buffers</w:t>
      </w:r>
      <w:r w:rsidR="004E1E57" w:rsidRPr="005D01D1">
        <w:rPr>
          <w:rFonts w:ascii="Arial" w:hAnsi="Arial" w:cs="Arial"/>
          <w:sz w:val="20"/>
        </w:rPr>
        <w:t xml:space="preserve"> </w:t>
      </w:r>
      <w:r w:rsidRPr="005D01D1">
        <w:rPr>
          <w:rFonts w:ascii="Arial" w:hAnsi="Arial" w:cs="Arial"/>
          <w:sz w:val="20"/>
        </w:rPr>
        <w:t>small patches of fruiting and flowering spec</w:t>
      </w:r>
      <w:r w:rsidR="004E1E57" w:rsidRPr="005D01D1">
        <w:rPr>
          <w:rFonts w:ascii="Arial" w:hAnsi="Arial" w:cs="Arial"/>
          <w:sz w:val="20"/>
        </w:rPr>
        <w:t xml:space="preserve">ies near critical bear habitats </w:t>
      </w:r>
      <w:r w:rsidRPr="005D01D1">
        <w:rPr>
          <w:rFonts w:ascii="Arial" w:hAnsi="Arial" w:cs="Arial"/>
          <w:sz w:val="20"/>
        </w:rPr>
        <w:t>can reduce foraging pressure on fringe areas. In some landscapes, solar-powered electric fencing combined with fruit tree enrichment within forest interiors has helped reduce crop raiding incidents (Bhaskaran &amp; Desai, 2015).</w:t>
      </w:r>
    </w:p>
    <w:p w14:paraId="47B7BF5F" w14:textId="77777777" w:rsidR="0059713E" w:rsidRPr="0051502E" w:rsidRDefault="0059713E" w:rsidP="005D01D1">
      <w:pPr>
        <w:pStyle w:val="Heading2"/>
        <w:numPr>
          <w:ilvl w:val="1"/>
          <w:numId w:val="4"/>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Recommendations for Forest Management</w:t>
      </w:r>
    </w:p>
    <w:p w14:paraId="6F35747A" w14:textId="77777777" w:rsidR="0059713E" w:rsidRPr="005D01D1" w:rsidRDefault="0059713E" w:rsidP="005D01D1">
      <w:pPr>
        <w:spacing w:line="240" w:lineRule="auto"/>
        <w:jc w:val="both"/>
        <w:rPr>
          <w:rFonts w:ascii="Arial" w:hAnsi="Arial" w:cs="Arial"/>
          <w:sz w:val="20"/>
        </w:rPr>
      </w:pPr>
      <w:r w:rsidRPr="005D01D1">
        <w:rPr>
          <w:rFonts w:ascii="Arial" w:hAnsi="Arial" w:cs="Arial"/>
          <w:sz w:val="20"/>
        </w:rPr>
        <w:t>Effective forest management for sloth bear conservation requires a shift from generic green cover targets to qualitative vegetation assessments. Forest working plans and afforestation schemes should integrate sloth bear–centric habitat parameters, including:</w:t>
      </w:r>
    </w:p>
    <w:p w14:paraId="70C26BC5" w14:textId="77777777" w:rsidR="0059713E" w:rsidRPr="005D01D1" w:rsidRDefault="0059713E" w:rsidP="005D01D1">
      <w:pPr>
        <w:pStyle w:val="ListParagraph"/>
        <w:numPr>
          <w:ilvl w:val="0"/>
          <w:numId w:val="5"/>
        </w:numPr>
        <w:spacing w:line="240" w:lineRule="auto"/>
        <w:jc w:val="both"/>
        <w:rPr>
          <w:rFonts w:ascii="Arial" w:hAnsi="Arial" w:cs="Arial"/>
          <w:sz w:val="20"/>
        </w:rPr>
      </w:pPr>
      <w:r w:rsidRPr="005D01D1">
        <w:rPr>
          <w:rFonts w:ascii="Arial" w:hAnsi="Arial" w:cs="Arial"/>
          <w:sz w:val="20"/>
        </w:rPr>
        <w:t>Retention and regeneration of key fruiting trees</w:t>
      </w:r>
    </w:p>
    <w:p w14:paraId="6DAD63B8" w14:textId="77777777" w:rsidR="0059713E" w:rsidRPr="005D01D1" w:rsidRDefault="0059713E" w:rsidP="005D01D1">
      <w:pPr>
        <w:pStyle w:val="ListParagraph"/>
        <w:numPr>
          <w:ilvl w:val="0"/>
          <w:numId w:val="5"/>
        </w:numPr>
        <w:spacing w:line="240" w:lineRule="auto"/>
        <w:jc w:val="both"/>
        <w:rPr>
          <w:rFonts w:ascii="Arial" w:hAnsi="Arial" w:cs="Arial"/>
          <w:sz w:val="20"/>
        </w:rPr>
      </w:pPr>
      <w:r w:rsidRPr="005D01D1">
        <w:rPr>
          <w:rFonts w:ascii="Arial" w:hAnsi="Arial" w:cs="Arial"/>
          <w:sz w:val="20"/>
        </w:rPr>
        <w:t>Mapping and protection of denning and resting sites (rocky outcrops, dense shrub areas)</w:t>
      </w:r>
    </w:p>
    <w:p w14:paraId="2FD76D20" w14:textId="77777777" w:rsidR="0059713E" w:rsidRPr="005D01D1" w:rsidRDefault="0059713E" w:rsidP="005D01D1">
      <w:pPr>
        <w:pStyle w:val="ListParagraph"/>
        <w:numPr>
          <w:ilvl w:val="0"/>
          <w:numId w:val="5"/>
        </w:numPr>
        <w:spacing w:line="240" w:lineRule="auto"/>
        <w:jc w:val="both"/>
        <w:rPr>
          <w:rFonts w:ascii="Arial" w:hAnsi="Arial" w:cs="Arial"/>
          <w:sz w:val="20"/>
        </w:rPr>
      </w:pPr>
      <w:r w:rsidRPr="005D01D1">
        <w:rPr>
          <w:rFonts w:ascii="Arial" w:hAnsi="Arial" w:cs="Arial"/>
          <w:sz w:val="20"/>
        </w:rPr>
        <w:t>Control of invasive species like Lantana camara, which suppress native understory flora</w:t>
      </w:r>
    </w:p>
    <w:p w14:paraId="76823206" w14:textId="77777777" w:rsidR="0059713E" w:rsidRPr="005D01D1" w:rsidRDefault="0059713E" w:rsidP="005D01D1">
      <w:pPr>
        <w:pStyle w:val="ListParagraph"/>
        <w:numPr>
          <w:ilvl w:val="0"/>
          <w:numId w:val="5"/>
        </w:numPr>
        <w:spacing w:line="240" w:lineRule="auto"/>
        <w:jc w:val="both"/>
        <w:rPr>
          <w:rFonts w:ascii="Arial" w:hAnsi="Arial" w:cs="Arial"/>
          <w:sz w:val="20"/>
        </w:rPr>
      </w:pPr>
      <w:r w:rsidRPr="005D01D1">
        <w:rPr>
          <w:rFonts w:ascii="Arial" w:hAnsi="Arial" w:cs="Arial"/>
          <w:sz w:val="20"/>
        </w:rPr>
        <w:t>Avoidance of monoculture plantations (e.g., teak, eucalyptus) in sloth bear corridors</w:t>
      </w:r>
    </w:p>
    <w:p w14:paraId="7BC6025E" w14:textId="77777777" w:rsidR="0059713E" w:rsidRDefault="004E1E57" w:rsidP="005D01D1">
      <w:pPr>
        <w:spacing w:line="240" w:lineRule="auto"/>
        <w:jc w:val="both"/>
        <w:rPr>
          <w:rFonts w:ascii="Arial" w:hAnsi="Arial" w:cs="Arial"/>
          <w:sz w:val="20"/>
        </w:rPr>
      </w:pPr>
      <w:proofErr w:type="gramStart"/>
      <w:r w:rsidRPr="005D01D1">
        <w:rPr>
          <w:rFonts w:ascii="Arial" w:hAnsi="Arial" w:cs="Arial"/>
          <w:sz w:val="20"/>
        </w:rPr>
        <w:t>Also</w:t>
      </w:r>
      <w:proofErr w:type="gramEnd"/>
      <w:r w:rsidR="0059713E" w:rsidRPr="005D01D1">
        <w:rPr>
          <w:rFonts w:ascii="Arial" w:hAnsi="Arial" w:cs="Arial"/>
          <w:sz w:val="20"/>
        </w:rPr>
        <w:t xml:space="preserve"> community involvement is vital. Many forest fringe communities rely on the same fruit species (Mahua, Tendu, </w:t>
      </w:r>
      <w:proofErr w:type="spellStart"/>
      <w:r w:rsidR="0059713E" w:rsidRPr="005D01D1">
        <w:rPr>
          <w:rFonts w:ascii="Arial" w:hAnsi="Arial" w:cs="Arial"/>
          <w:sz w:val="20"/>
        </w:rPr>
        <w:t>Chironji</w:t>
      </w:r>
      <w:proofErr w:type="spellEnd"/>
      <w:r w:rsidR="0059713E" w:rsidRPr="005D01D1">
        <w:rPr>
          <w:rFonts w:ascii="Arial" w:hAnsi="Arial" w:cs="Arial"/>
          <w:sz w:val="20"/>
        </w:rPr>
        <w:t xml:space="preserve">) for subsistence. Promoting community-led forest stewardship and NTFP-based livelihoods can foster coexistence while preserving critical bear food resources (Khanal &amp; Thapa, 2014). Integrating sloth bear habitat priorities into Joint Forest Management (JFM) programs, eco-development committees, and state-level conservation action plans will strengthen the ecological integrity of forested landscapes where sloth bears </w:t>
      </w:r>
      <w:commentRangeStart w:id="12"/>
      <w:r w:rsidR="0059713E" w:rsidRPr="005D01D1">
        <w:rPr>
          <w:rFonts w:ascii="Arial" w:hAnsi="Arial" w:cs="Arial"/>
          <w:sz w:val="20"/>
        </w:rPr>
        <w:t>reside</w:t>
      </w:r>
      <w:commentRangeEnd w:id="12"/>
      <w:r w:rsidR="00BE0472">
        <w:rPr>
          <w:rStyle w:val="CommentReference"/>
        </w:rPr>
        <w:commentReference w:id="12"/>
      </w:r>
      <w:r w:rsidR="0059713E" w:rsidRPr="005D01D1">
        <w:rPr>
          <w:rFonts w:ascii="Arial" w:hAnsi="Arial" w:cs="Arial"/>
          <w:sz w:val="20"/>
        </w:rPr>
        <w:t>.</w:t>
      </w:r>
    </w:p>
    <w:p w14:paraId="3FCA8290" w14:textId="77777777" w:rsidR="00007C57" w:rsidRDefault="00007C57" w:rsidP="005D01D1">
      <w:pPr>
        <w:spacing w:line="240" w:lineRule="auto"/>
        <w:jc w:val="both"/>
        <w:rPr>
          <w:rFonts w:ascii="Arial" w:hAnsi="Arial" w:cs="Arial"/>
          <w:b/>
          <w:bCs/>
          <w:szCs w:val="22"/>
        </w:rPr>
      </w:pPr>
    </w:p>
    <w:p w14:paraId="61AB1477" w14:textId="405CB64D" w:rsidR="00F21605" w:rsidRPr="0051502E" w:rsidRDefault="0051502E" w:rsidP="005D01D1">
      <w:pPr>
        <w:spacing w:line="240" w:lineRule="auto"/>
        <w:jc w:val="both"/>
        <w:rPr>
          <w:rFonts w:ascii="Arial" w:hAnsi="Arial" w:cs="Arial"/>
          <w:b/>
          <w:bCs/>
          <w:szCs w:val="22"/>
        </w:rPr>
      </w:pPr>
      <w:r w:rsidRPr="0051502E">
        <w:rPr>
          <w:rFonts w:ascii="Arial" w:hAnsi="Arial" w:cs="Arial"/>
          <w:b/>
          <w:bCs/>
          <w:szCs w:val="22"/>
        </w:rPr>
        <w:t>REFERENCES</w:t>
      </w:r>
    </w:p>
    <w:p w14:paraId="7B3CF251"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Akhtar, N., </w:t>
      </w:r>
      <w:proofErr w:type="spellStart"/>
      <w:r w:rsidRPr="005D01D1">
        <w:rPr>
          <w:rFonts w:ascii="Arial" w:hAnsi="Arial" w:cs="Arial"/>
          <w:sz w:val="20"/>
        </w:rPr>
        <w:t>Bargali</w:t>
      </w:r>
      <w:proofErr w:type="spellEnd"/>
      <w:r w:rsidRPr="005D01D1">
        <w:rPr>
          <w:rFonts w:ascii="Arial" w:hAnsi="Arial" w:cs="Arial"/>
          <w:sz w:val="20"/>
        </w:rPr>
        <w:t>, H. S., &amp; Chauhan, N. P. S. (2004). Sloth bear habitat use in disturbed and unprotected areas of Madhya Pradesh, India. Ursus, 15(2), 203–211.</w:t>
      </w:r>
    </w:p>
    <w:p w14:paraId="6C290C80"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Bargali</w:t>
      </w:r>
      <w:proofErr w:type="spellEnd"/>
      <w:r w:rsidRPr="005D01D1">
        <w:rPr>
          <w:rFonts w:ascii="Arial" w:hAnsi="Arial" w:cs="Arial"/>
          <w:sz w:val="20"/>
        </w:rPr>
        <w:t>, H. S., Akhtar, N., &amp; Chauhan, N. P. S. (2004). Feeding ecology of sloth bears in a disturbed area in central India. Ursus, 15(2), 212–217.</w:t>
      </w:r>
    </w:p>
    <w:p w14:paraId="7DD18D19"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Bargali</w:t>
      </w:r>
      <w:proofErr w:type="spellEnd"/>
      <w:r w:rsidRPr="005D01D1">
        <w:rPr>
          <w:rFonts w:ascii="Arial" w:hAnsi="Arial" w:cs="Arial"/>
          <w:sz w:val="20"/>
        </w:rPr>
        <w:t>, H. S., Akhtar, N., &amp; Chauhan, N. P. S. (2012). The sloth bear activity and movement in highly fragmented and disturbed habitat in central India.</w:t>
      </w:r>
    </w:p>
    <w:p w14:paraId="6B1EE8FF"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Baskaran, N., Venkatesh, S., &amp; </w:t>
      </w:r>
      <w:proofErr w:type="spellStart"/>
      <w:r w:rsidRPr="005D01D1">
        <w:rPr>
          <w:rFonts w:ascii="Arial" w:hAnsi="Arial" w:cs="Arial"/>
          <w:sz w:val="20"/>
        </w:rPr>
        <w:t>Srivasthava</w:t>
      </w:r>
      <w:proofErr w:type="spellEnd"/>
      <w:r w:rsidRPr="005D01D1">
        <w:rPr>
          <w:rFonts w:ascii="Arial" w:hAnsi="Arial" w:cs="Arial"/>
          <w:sz w:val="20"/>
        </w:rPr>
        <w:t xml:space="preserve">, S. K. (2015). On the behavioural ecology of sloth bear (Melursus ursinus Shaw 1791) in </w:t>
      </w:r>
      <w:proofErr w:type="spellStart"/>
      <w:r w:rsidRPr="005D01D1">
        <w:rPr>
          <w:rFonts w:ascii="Arial" w:hAnsi="Arial" w:cs="Arial"/>
          <w:sz w:val="20"/>
        </w:rPr>
        <w:t>Mudumalai</w:t>
      </w:r>
      <w:proofErr w:type="spellEnd"/>
      <w:r w:rsidRPr="005D01D1">
        <w:rPr>
          <w:rFonts w:ascii="Arial" w:hAnsi="Arial" w:cs="Arial"/>
          <w:sz w:val="20"/>
        </w:rPr>
        <w:t xml:space="preserve"> Wildlife Sanctuary, Western Ghats, India. Field Study Report.</w:t>
      </w:r>
    </w:p>
    <w:p w14:paraId="1BDD74A7"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Clever, N. (2023). Implementation of seasonal diets through seasonal diet surveys in sloth bears (Melursus ursinus): A case study at Idaho Falls Zoo. Otterbein University Honor Theses.</w:t>
      </w:r>
    </w:p>
    <w:p w14:paraId="19D0E171"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lastRenderedPageBreak/>
        <w:t>Dharaiya</w:t>
      </w:r>
      <w:proofErr w:type="spellEnd"/>
      <w:r w:rsidRPr="005D01D1">
        <w:rPr>
          <w:rFonts w:ascii="Arial" w:hAnsi="Arial" w:cs="Arial"/>
          <w:sz w:val="20"/>
        </w:rPr>
        <w:t>, N., &amp; Rabari, V. (2022). A systematic review on the feeding ecology of Sloth Bear Melursus ursinus Shaw, 1791 in its distribution range in the Indian subcontinent. Journal of Threatened Taxa. https://doi.org/10.11609/jott.8092.14.12.22329-22336</w:t>
      </w:r>
    </w:p>
    <w:p w14:paraId="7D657D6B"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Dharaiya</w:t>
      </w:r>
      <w:proofErr w:type="spellEnd"/>
      <w:r w:rsidRPr="005D01D1">
        <w:rPr>
          <w:rFonts w:ascii="Arial" w:hAnsi="Arial" w:cs="Arial"/>
          <w:sz w:val="20"/>
        </w:rPr>
        <w:t xml:space="preserve">, N., </w:t>
      </w:r>
      <w:proofErr w:type="spellStart"/>
      <w:r w:rsidRPr="005D01D1">
        <w:rPr>
          <w:rFonts w:ascii="Arial" w:hAnsi="Arial" w:cs="Arial"/>
          <w:sz w:val="20"/>
        </w:rPr>
        <w:t>Bargali</w:t>
      </w:r>
      <w:proofErr w:type="spellEnd"/>
      <w:r w:rsidRPr="005D01D1">
        <w:rPr>
          <w:rFonts w:ascii="Arial" w:hAnsi="Arial" w:cs="Arial"/>
          <w:sz w:val="20"/>
        </w:rPr>
        <w:t>, H. S., &amp; Sharp, T. R. (2020). Sloth Bears: Ecology, Threats, and Conservation. Academic Press.</w:t>
      </w:r>
    </w:p>
    <w:p w14:paraId="39897C1D"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Elith, J., &amp; </w:t>
      </w:r>
      <w:proofErr w:type="spellStart"/>
      <w:r w:rsidRPr="005D01D1">
        <w:rPr>
          <w:rFonts w:ascii="Arial" w:hAnsi="Arial" w:cs="Arial"/>
          <w:sz w:val="20"/>
        </w:rPr>
        <w:t>Leathwick</w:t>
      </w:r>
      <w:proofErr w:type="spellEnd"/>
      <w:r w:rsidRPr="005D01D1">
        <w:rPr>
          <w:rFonts w:ascii="Arial" w:hAnsi="Arial" w:cs="Arial"/>
          <w:sz w:val="20"/>
        </w:rPr>
        <w:t>, J. R. (2009). Species distribution models: Ecological explanation and prediction across space and time. Annual Review of Ecology, Evolution, and Systematics, 40, 677–697. https://doi.org/10.1146/annurev.ecolsys.110308.120159</w:t>
      </w:r>
    </w:p>
    <w:p w14:paraId="6A6B4351"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Franklin, J. (2010). Mapping species distributions: Spatial inference and prediction. Cambridge University Press. https://doi.org/10.1017/CBO9780511810602</w:t>
      </w:r>
    </w:p>
    <w:p w14:paraId="30027203"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Garshelis, D. L., Joshi, A. R., Smith, J. L. D., &amp; Rice, C. G. (1999). Sloth bear conservation action plan. In C. Servheen, S. Herrero, &amp; B. Peyton (Eds.), Bears: Status Survey and Conservation Action Plan. IUCN, Gland, Switzerland.</w:t>
      </w:r>
    </w:p>
    <w:p w14:paraId="68DCB308"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Ghimire, D., &amp; Thapa, T. B. (2014). Distribution and habitat preference of sloth bear in Chitwan National Park, Nepal. Journal of Natural History Museum. https://doi.org/10.3126/jnhm.v28i0.14163</w:t>
      </w:r>
    </w:p>
    <w:p w14:paraId="75CD20DB"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Joshi, A. R., Garshelis, D. L., &amp; Smith, J. L. D. (1997). Seasonal and habitat-related diets of sloth </w:t>
      </w:r>
      <w:proofErr w:type="gramStart"/>
      <w:r w:rsidRPr="005D01D1">
        <w:rPr>
          <w:rFonts w:ascii="Arial" w:hAnsi="Arial" w:cs="Arial"/>
          <w:sz w:val="20"/>
        </w:rPr>
        <w:t>bears</w:t>
      </w:r>
      <w:proofErr w:type="gramEnd"/>
      <w:r w:rsidRPr="005D01D1">
        <w:rPr>
          <w:rFonts w:ascii="Arial" w:hAnsi="Arial" w:cs="Arial"/>
          <w:sz w:val="20"/>
        </w:rPr>
        <w:t xml:space="preserve"> in Nepal. Journal of Mammalogy, 78(2), 584–597.</w:t>
      </w:r>
    </w:p>
    <w:p w14:paraId="5972616D"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Khanal, S., &amp; Thapa, T. B. (2014). Habitat suitability mapping of sloth bear (Melursus ursinus) in Chitwan National Park, Nepal. Zoology and Ecology, 24(4), 327–333.</w:t>
      </w:r>
    </w:p>
    <w:p w14:paraId="141073C8"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Kumar, G., &amp; Paul, D. K. (2021). Feeding ecology of sloth bear (Melursus ursinus) in </w:t>
      </w:r>
      <w:proofErr w:type="spellStart"/>
      <w:r w:rsidRPr="005D01D1">
        <w:rPr>
          <w:rFonts w:ascii="Arial" w:hAnsi="Arial" w:cs="Arial"/>
          <w:sz w:val="20"/>
        </w:rPr>
        <w:t>Nawada</w:t>
      </w:r>
      <w:proofErr w:type="spellEnd"/>
      <w:r w:rsidRPr="005D01D1">
        <w:rPr>
          <w:rFonts w:ascii="Arial" w:hAnsi="Arial" w:cs="Arial"/>
          <w:sz w:val="20"/>
        </w:rPr>
        <w:t xml:space="preserve"> Forest Division (Bihar) by scats analysis. Environment and Ecology, 39(1), 1–9.</w:t>
      </w:r>
    </w:p>
    <w:p w14:paraId="563689AF"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Kumara, R. R., Lohith, P. C., &amp; Manohara, T. N. (2023). Feeding ecology of sloth bear (Melursus ursinus) and its role in seed dispersal. Van Sangyan, 10(9), 18–24.</w:t>
      </w:r>
    </w:p>
    <w:p w14:paraId="054CEA1A"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Laurie, A., &amp; Seidensticker, J. (1977). Behavioural ecology of the sloth bear (Melursus ursinus). Journal of Zoology. https://doi.org/10.1111/j.1469-7998.1977.tb04155.x</w:t>
      </w:r>
    </w:p>
    <w:p w14:paraId="72BD8DA8"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Mardaraj, P. C., Panda, A., Pirie, T. J., Sethy, J., &amp; Fellowes, M. D. E. (2023). Identifying suitable habitats for sloth bear conservation in Eastern India. Nature </w:t>
      </w:r>
      <w:proofErr w:type="spellStart"/>
      <w:r w:rsidRPr="005D01D1">
        <w:rPr>
          <w:rFonts w:ascii="Arial" w:hAnsi="Arial" w:cs="Arial"/>
          <w:sz w:val="20"/>
        </w:rPr>
        <w:t>Croatica</w:t>
      </w:r>
      <w:proofErr w:type="spellEnd"/>
      <w:r w:rsidRPr="005D01D1">
        <w:rPr>
          <w:rFonts w:ascii="Arial" w:hAnsi="Arial" w:cs="Arial"/>
          <w:sz w:val="20"/>
        </w:rPr>
        <w:t>, 32(1), 1–15. https://doi.org/10.20302/NC.2023.32.1</w:t>
      </w:r>
    </w:p>
    <w:p w14:paraId="6CF0584B"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Mewada</w:t>
      </w:r>
      <w:proofErr w:type="spellEnd"/>
      <w:r w:rsidRPr="005D01D1">
        <w:rPr>
          <w:rFonts w:ascii="Arial" w:hAnsi="Arial" w:cs="Arial"/>
          <w:sz w:val="20"/>
        </w:rPr>
        <w:t xml:space="preserve">, T. P. (2015). Index of relative importance of the dietary proportions of sloth bear (Melursus ursinus) in semi-arid region. </w:t>
      </w:r>
      <w:proofErr w:type="spellStart"/>
      <w:r w:rsidRPr="005D01D1">
        <w:rPr>
          <w:rFonts w:ascii="Arial" w:hAnsi="Arial" w:cs="Arial"/>
          <w:sz w:val="20"/>
        </w:rPr>
        <w:t>Notulae</w:t>
      </w:r>
      <w:proofErr w:type="spellEnd"/>
      <w:r w:rsidRPr="005D01D1">
        <w:rPr>
          <w:rFonts w:ascii="Arial" w:hAnsi="Arial" w:cs="Arial"/>
          <w:sz w:val="20"/>
        </w:rPr>
        <w:t xml:space="preserve"> Scientia </w:t>
      </w:r>
      <w:proofErr w:type="spellStart"/>
      <w:r w:rsidRPr="005D01D1">
        <w:rPr>
          <w:rFonts w:ascii="Arial" w:hAnsi="Arial" w:cs="Arial"/>
          <w:sz w:val="20"/>
        </w:rPr>
        <w:t>Biologicae</w:t>
      </w:r>
      <w:proofErr w:type="spellEnd"/>
      <w:r w:rsidRPr="005D01D1">
        <w:rPr>
          <w:rFonts w:ascii="Arial" w:hAnsi="Arial" w:cs="Arial"/>
          <w:sz w:val="20"/>
        </w:rPr>
        <w:t>, 7(3), 405–410.</w:t>
      </w:r>
    </w:p>
    <w:p w14:paraId="5B783599"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Palei, H. S., </w:t>
      </w:r>
      <w:proofErr w:type="spellStart"/>
      <w:r w:rsidRPr="005D01D1">
        <w:rPr>
          <w:rFonts w:ascii="Arial" w:hAnsi="Arial" w:cs="Arial"/>
          <w:sz w:val="20"/>
        </w:rPr>
        <w:t>Debata</w:t>
      </w:r>
      <w:proofErr w:type="spellEnd"/>
      <w:r w:rsidRPr="005D01D1">
        <w:rPr>
          <w:rFonts w:ascii="Arial" w:hAnsi="Arial" w:cs="Arial"/>
          <w:sz w:val="20"/>
        </w:rPr>
        <w:t>, S., &amp; Sahu, H. K. (2020). Diet of sloth bear in an agroforest landscape in eastern India. Agroforestry Systems, 94, 1077–1086.</w:t>
      </w:r>
    </w:p>
    <w:p w14:paraId="2DAD0E44"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Rajwar, G., &amp; Uniyal, V. P. (2020). Habitat suitability model for sloth bears in Uttarakhand using </w:t>
      </w:r>
      <w:proofErr w:type="spellStart"/>
      <w:r w:rsidRPr="005D01D1">
        <w:rPr>
          <w:rFonts w:ascii="Arial" w:hAnsi="Arial" w:cs="Arial"/>
          <w:sz w:val="20"/>
        </w:rPr>
        <w:t>MaxEnt</w:t>
      </w:r>
      <w:proofErr w:type="spellEnd"/>
      <w:r w:rsidRPr="005D01D1">
        <w:rPr>
          <w:rFonts w:ascii="Arial" w:hAnsi="Arial" w:cs="Arial"/>
          <w:sz w:val="20"/>
        </w:rPr>
        <w:t>. Journal of Wildlife Research, 68(2), 145–154.</w:t>
      </w:r>
    </w:p>
    <w:p w14:paraId="63091ED1"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Rather, T. A., Kumar, S., &amp; Khan, J. A. (2021). Using machine learning to predict habitat suitability of sloth bears at multiple spatial scales. Ecological Processes.</w:t>
      </w:r>
    </w:p>
    <w:p w14:paraId="6FF02924"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Ramesh, T., Kalle, R., Sankar, K., &amp; Qureshi, Q. (2012). Factors affecting habitat patch use by sloth bears in </w:t>
      </w:r>
      <w:proofErr w:type="spellStart"/>
      <w:r w:rsidRPr="005D01D1">
        <w:rPr>
          <w:rFonts w:ascii="Arial" w:hAnsi="Arial" w:cs="Arial"/>
          <w:sz w:val="20"/>
        </w:rPr>
        <w:t>Mudumalai</w:t>
      </w:r>
      <w:proofErr w:type="spellEnd"/>
      <w:r w:rsidRPr="005D01D1">
        <w:rPr>
          <w:rFonts w:ascii="Arial" w:hAnsi="Arial" w:cs="Arial"/>
          <w:sz w:val="20"/>
        </w:rPr>
        <w:t xml:space="preserve"> Tiger Reserve, Western Ghats, India. Ursus, 23(1), 78–85.</w:t>
      </w:r>
    </w:p>
    <w:p w14:paraId="6B673586"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Ramesh, T., Kalle, R., Sankar, K., &amp; Qureshi, Q. (2013). Diet composition of the sloth bear in </w:t>
      </w:r>
      <w:proofErr w:type="spellStart"/>
      <w:r w:rsidRPr="005D01D1">
        <w:rPr>
          <w:rFonts w:ascii="Arial" w:hAnsi="Arial" w:cs="Arial"/>
          <w:sz w:val="20"/>
        </w:rPr>
        <w:t>Mudumalai</w:t>
      </w:r>
      <w:proofErr w:type="spellEnd"/>
      <w:r w:rsidRPr="005D01D1">
        <w:rPr>
          <w:rFonts w:ascii="Arial" w:hAnsi="Arial" w:cs="Arial"/>
          <w:sz w:val="20"/>
        </w:rPr>
        <w:t xml:space="preserve"> Tiger Reserve, southern India. Ursus, 24(1), 45–52.</w:t>
      </w:r>
    </w:p>
    <w:p w14:paraId="717D41CC"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Ratnayeke</w:t>
      </w:r>
      <w:proofErr w:type="spellEnd"/>
      <w:r w:rsidRPr="005D01D1">
        <w:rPr>
          <w:rFonts w:ascii="Arial" w:hAnsi="Arial" w:cs="Arial"/>
          <w:sz w:val="20"/>
        </w:rPr>
        <w:t xml:space="preserve">, S., Van Manen, F. T., &amp; </w:t>
      </w:r>
      <w:proofErr w:type="spellStart"/>
      <w:r w:rsidRPr="005D01D1">
        <w:rPr>
          <w:rFonts w:ascii="Arial" w:hAnsi="Arial" w:cs="Arial"/>
          <w:sz w:val="20"/>
        </w:rPr>
        <w:t>Padmalal</w:t>
      </w:r>
      <w:proofErr w:type="spellEnd"/>
      <w:r w:rsidRPr="005D01D1">
        <w:rPr>
          <w:rFonts w:ascii="Arial" w:hAnsi="Arial" w:cs="Arial"/>
          <w:sz w:val="20"/>
        </w:rPr>
        <w:t xml:space="preserve">, U. K. G. K. (2007). Home ranges and habitat use of sloth bears in </w:t>
      </w:r>
      <w:proofErr w:type="spellStart"/>
      <w:r w:rsidRPr="005D01D1">
        <w:rPr>
          <w:rFonts w:ascii="Arial" w:hAnsi="Arial" w:cs="Arial"/>
          <w:sz w:val="20"/>
        </w:rPr>
        <w:t>Wasgomuwa</w:t>
      </w:r>
      <w:proofErr w:type="spellEnd"/>
      <w:r w:rsidRPr="005D01D1">
        <w:rPr>
          <w:rFonts w:ascii="Arial" w:hAnsi="Arial" w:cs="Arial"/>
          <w:sz w:val="20"/>
        </w:rPr>
        <w:t xml:space="preserve"> National Park, Sri Lanka. Wildlife Biology, 13(3), 272–284.</w:t>
      </w:r>
    </w:p>
    <w:p w14:paraId="6D523381"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Seidensticker, J., &amp; Yoganand, K. (2011). Sloth bears living in seasonally dry tropical and moist broadleaf forests and their conservation.</w:t>
      </w:r>
    </w:p>
    <w:p w14:paraId="058EDA92"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Sukhadiya</w:t>
      </w:r>
      <w:proofErr w:type="spellEnd"/>
      <w:r w:rsidRPr="005D01D1">
        <w:rPr>
          <w:rFonts w:ascii="Arial" w:hAnsi="Arial" w:cs="Arial"/>
          <w:sz w:val="20"/>
        </w:rPr>
        <w:t xml:space="preserve">, D., Joshi, J. U., &amp; </w:t>
      </w:r>
      <w:proofErr w:type="spellStart"/>
      <w:r w:rsidRPr="005D01D1">
        <w:rPr>
          <w:rFonts w:ascii="Arial" w:hAnsi="Arial" w:cs="Arial"/>
          <w:sz w:val="20"/>
        </w:rPr>
        <w:t>Dharaiya</w:t>
      </w:r>
      <w:proofErr w:type="spellEnd"/>
      <w:r w:rsidRPr="005D01D1">
        <w:rPr>
          <w:rFonts w:ascii="Arial" w:hAnsi="Arial" w:cs="Arial"/>
          <w:sz w:val="20"/>
        </w:rPr>
        <w:t xml:space="preserve">, N. (2013). Feeding ecology and habitat use of sloth bear (Melursus ursinus) in </w:t>
      </w:r>
      <w:proofErr w:type="spellStart"/>
      <w:r w:rsidRPr="005D01D1">
        <w:rPr>
          <w:rFonts w:ascii="Arial" w:hAnsi="Arial" w:cs="Arial"/>
          <w:sz w:val="20"/>
        </w:rPr>
        <w:t>Jassore</w:t>
      </w:r>
      <w:proofErr w:type="spellEnd"/>
      <w:r w:rsidRPr="005D01D1">
        <w:rPr>
          <w:rFonts w:ascii="Arial" w:hAnsi="Arial" w:cs="Arial"/>
          <w:sz w:val="20"/>
        </w:rPr>
        <w:t xml:space="preserve"> Wildlife Sanctuary, Gujarat, India. In: Soil Arthropod Extraction Tullgren Funnel Method, p. 17.</w:t>
      </w:r>
    </w:p>
    <w:p w14:paraId="5463CC82"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lastRenderedPageBreak/>
        <w:t xml:space="preserve">Srivathsa, A., Puri, M., Karanth, K. K., &amp; Kumar, N. S. (2018). Examining human–sloth bear interactions in a fragmented landscape of the Western Ghats, India. </w:t>
      </w:r>
      <w:proofErr w:type="spellStart"/>
      <w:r w:rsidRPr="005D01D1">
        <w:rPr>
          <w:rFonts w:ascii="Arial" w:hAnsi="Arial" w:cs="Arial"/>
          <w:sz w:val="20"/>
        </w:rPr>
        <w:t>PLoS</w:t>
      </w:r>
      <w:proofErr w:type="spellEnd"/>
      <w:r w:rsidRPr="005D01D1">
        <w:rPr>
          <w:rFonts w:ascii="Arial" w:hAnsi="Arial" w:cs="Arial"/>
          <w:sz w:val="20"/>
        </w:rPr>
        <w:t xml:space="preserve"> ONE, 13(5), e0198038.</w:t>
      </w:r>
    </w:p>
    <w:p w14:paraId="13A97D48"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Yoganand, K., Rice, C. G., &amp; </w:t>
      </w:r>
      <w:proofErr w:type="spellStart"/>
      <w:r w:rsidRPr="005D01D1">
        <w:rPr>
          <w:rFonts w:ascii="Arial" w:hAnsi="Arial" w:cs="Arial"/>
          <w:sz w:val="20"/>
        </w:rPr>
        <w:t>Johnsingh</w:t>
      </w:r>
      <w:proofErr w:type="spellEnd"/>
      <w:r w:rsidRPr="005D01D1">
        <w:rPr>
          <w:rFonts w:ascii="Arial" w:hAnsi="Arial" w:cs="Arial"/>
          <w:sz w:val="20"/>
        </w:rPr>
        <w:t>, A. J. T. (2006). Distribution and habitat use of sloth bears in India. Biological Conservation, 130(2), 218–225.</w:t>
      </w:r>
    </w:p>
    <w:p w14:paraId="6837F5C4"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Yoganand, K., &amp; Rice, C. G. (2005). Evaluating Panna National Park with special reference to ecology of sloth bear (Melursus ursinus). Field Report.</w:t>
      </w:r>
    </w:p>
    <w:p w14:paraId="45DC4C66"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IUCN Sloth Bear Expert Team. (2016). Melursus ursinus. The IUCN Red List of Threatened Species. Version 2025–1. https://www.iucnredlist.org</w:t>
      </w:r>
    </w:p>
    <w:sectPr w:rsidR="00B46C9A" w:rsidRPr="005D01D1" w:rsidSect="004E1E57">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pgMar w:top="993"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k" w:date="2025-07-04T09:15:00Z" w:initials="p">
    <w:p w14:paraId="2208C55A" w14:textId="1BF449EF" w:rsidR="00250A5D" w:rsidRDefault="00250A5D">
      <w:pPr>
        <w:pStyle w:val="CommentText"/>
      </w:pPr>
      <w:r>
        <w:rPr>
          <w:rStyle w:val="CommentReference"/>
        </w:rPr>
        <w:annotationRef/>
      </w:r>
      <w:r>
        <w:t xml:space="preserve">Also mention </w:t>
      </w:r>
      <w:r w:rsidR="00312CEE">
        <w:t xml:space="preserve">threatened category by IUCN </w:t>
      </w:r>
      <w:proofErr w:type="spellStart"/>
      <w:r w:rsidR="00312CEE">
        <w:t>i.e</w:t>
      </w:r>
      <w:proofErr w:type="spellEnd"/>
      <w:r w:rsidR="00312CEE">
        <w:t xml:space="preserve"> Vulnerable. </w:t>
      </w:r>
    </w:p>
  </w:comment>
  <w:comment w:id="1" w:author="pk" w:date="2025-07-04T09:10:00Z" w:initials="p">
    <w:p w14:paraId="23BE58D4" w14:textId="3FEA7EA1" w:rsidR="00250A5D" w:rsidRDefault="00250A5D">
      <w:pPr>
        <w:pStyle w:val="CommentText"/>
      </w:pPr>
      <w:r>
        <w:rPr>
          <w:rStyle w:val="CommentReference"/>
        </w:rPr>
        <w:annotationRef/>
      </w:r>
      <w:r>
        <w:t xml:space="preserve">Mention all the databases used. Do not use etc. </w:t>
      </w:r>
    </w:p>
  </w:comment>
  <w:comment w:id="2" w:author="pk" w:date="2025-07-04T09:19:00Z" w:initials="p">
    <w:p w14:paraId="05C5149E" w14:textId="708CF803" w:rsidR="00312CEE" w:rsidRDefault="00312CEE">
      <w:pPr>
        <w:pStyle w:val="CommentText"/>
      </w:pPr>
      <w:r>
        <w:rPr>
          <w:rStyle w:val="CommentReference"/>
        </w:rPr>
        <w:annotationRef/>
      </w:r>
      <w:r>
        <w:t xml:space="preserve">Please refer latest assessment: </w:t>
      </w:r>
      <w:proofErr w:type="spellStart"/>
      <w:r>
        <w:rPr>
          <w:rFonts w:ascii="roboto-regular" w:hAnsi="roboto-regular"/>
          <w:color w:val="080100"/>
          <w:sz w:val="26"/>
          <w:szCs w:val="26"/>
          <w:shd w:val="clear" w:color="auto" w:fill="FFFFFF"/>
        </w:rPr>
        <w:t>Dharaiya</w:t>
      </w:r>
      <w:proofErr w:type="spellEnd"/>
      <w:r>
        <w:rPr>
          <w:rFonts w:ascii="roboto-regular" w:hAnsi="roboto-regular"/>
          <w:color w:val="080100"/>
          <w:sz w:val="26"/>
          <w:szCs w:val="26"/>
          <w:shd w:val="clear" w:color="auto" w:fill="FFFFFF"/>
        </w:rPr>
        <w:t xml:space="preserve">, N., </w:t>
      </w:r>
      <w:proofErr w:type="spellStart"/>
      <w:r>
        <w:rPr>
          <w:rFonts w:ascii="roboto-regular" w:hAnsi="roboto-regular"/>
          <w:color w:val="080100"/>
          <w:sz w:val="26"/>
          <w:szCs w:val="26"/>
          <w:shd w:val="clear" w:color="auto" w:fill="FFFFFF"/>
        </w:rPr>
        <w:t>Bargali</w:t>
      </w:r>
      <w:proofErr w:type="spellEnd"/>
      <w:r>
        <w:rPr>
          <w:rFonts w:ascii="roboto-regular" w:hAnsi="roboto-regular"/>
          <w:color w:val="080100"/>
          <w:sz w:val="26"/>
          <w:szCs w:val="26"/>
          <w:shd w:val="clear" w:color="auto" w:fill="FFFFFF"/>
        </w:rPr>
        <w:t>, H.S. &amp; Sharp, T. </w:t>
      </w:r>
      <w:r>
        <w:rPr>
          <w:rStyle w:val="text-ellipsis--remove"/>
          <w:rFonts w:ascii="roboto-regular" w:hAnsi="roboto-regular"/>
          <w:color w:val="080100"/>
          <w:sz w:val="26"/>
          <w:szCs w:val="26"/>
          <w:bdr w:val="none" w:sz="0" w:space="0" w:color="auto" w:frame="1"/>
          <w:shd w:val="clear" w:color="auto" w:fill="FFFFFF"/>
        </w:rPr>
        <w:t>2020. </w:t>
      </w:r>
      <w:r>
        <w:rPr>
          <w:rStyle w:val="text-ellipsis--remove"/>
          <w:rFonts w:ascii="inherit" w:hAnsi="inherit"/>
          <w:i/>
          <w:iCs/>
          <w:color w:val="080100"/>
          <w:sz w:val="26"/>
          <w:szCs w:val="26"/>
          <w:bdr w:val="none" w:sz="0" w:space="0" w:color="auto" w:frame="1"/>
          <w:shd w:val="clear" w:color="auto" w:fill="FFFFFF"/>
        </w:rPr>
        <w:t>Melursus ursinus</w:t>
      </w:r>
      <w:r>
        <w:rPr>
          <w:rStyle w:val="text-ellipsis--remove"/>
          <w:rFonts w:ascii="roboto-regular" w:hAnsi="roboto-regular"/>
          <w:color w:val="080100"/>
          <w:sz w:val="26"/>
          <w:szCs w:val="26"/>
          <w:bdr w:val="none" w:sz="0" w:space="0" w:color="auto" w:frame="1"/>
          <w:shd w:val="clear" w:color="auto" w:fill="FFFFFF"/>
        </w:rPr>
        <w:t> (amended version of 2016 assessment). </w:t>
      </w:r>
      <w:r>
        <w:rPr>
          <w:rStyle w:val="text-ellipsis--remove"/>
          <w:rFonts w:ascii="inherit" w:hAnsi="inherit"/>
          <w:i/>
          <w:iCs/>
          <w:color w:val="080100"/>
          <w:sz w:val="26"/>
          <w:szCs w:val="26"/>
          <w:bdr w:val="none" w:sz="0" w:space="0" w:color="auto" w:frame="1"/>
          <w:shd w:val="clear" w:color="auto" w:fill="FFFFFF"/>
        </w:rPr>
        <w:t>The IUCN Red List of Threatened Species</w:t>
      </w:r>
      <w:r>
        <w:rPr>
          <w:rStyle w:val="text-ellipsis--remove"/>
          <w:rFonts w:ascii="roboto-regular" w:hAnsi="roboto-regular"/>
          <w:color w:val="080100"/>
          <w:sz w:val="26"/>
          <w:szCs w:val="26"/>
          <w:bdr w:val="none" w:sz="0" w:space="0" w:color="auto" w:frame="1"/>
          <w:shd w:val="clear" w:color="auto" w:fill="FFFFFF"/>
        </w:rPr>
        <w:t> 2020: e.T13143A166519315. </w:t>
      </w:r>
      <w:hyperlink r:id="rId1" w:history="1">
        <w:r>
          <w:rPr>
            <w:rStyle w:val="Hyperlink"/>
            <w:rFonts w:ascii="roboto-regular" w:hAnsi="roboto-regular"/>
            <w:color w:val="080100"/>
            <w:sz w:val="26"/>
            <w:szCs w:val="26"/>
            <w:u w:val="none"/>
            <w:bdr w:val="none" w:sz="0" w:space="0" w:color="auto" w:frame="1"/>
            <w:shd w:val="clear" w:color="auto" w:fill="FFFFFF"/>
          </w:rPr>
          <w:t>https://dx.doi.org/10.2305/IUCN.UK.2020-1.RLTS.T13143A166519315.en</w:t>
        </w:r>
      </w:hyperlink>
      <w:r>
        <w:rPr>
          <w:rFonts w:ascii="roboto-regular" w:hAnsi="roboto-regular"/>
          <w:color w:val="080100"/>
          <w:sz w:val="26"/>
          <w:szCs w:val="26"/>
          <w:bdr w:val="none" w:sz="0" w:space="0" w:color="auto" w:frame="1"/>
          <w:shd w:val="clear" w:color="auto" w:fill="FFFFFF"/>
        </w:rPr>
        <w:t>. </w:t>
      </w:r>
      <w:r>
        <w:rPr>
          <w:rFonts w:ascii="roboto-regular" w:hAnsi="roboto-regular"/>
          <w:color w:val="080100"/>
          <w:sz w:val="26"/>
          <w:szCs w:val="26"/>
          <w:shd w:val="clear" w:color="auto" w:fill="FFFFFF"/>
        </w:rPr>
        <w:t>Accessed on 04 July 2025.</w:t>
      </w:r>
    </w:p>
  </w:comment>
  <w:comment w:id="3" w:author="pk" w:date="2025-07-04T09:24:00Z" w:initials="p">
    <w:p w14:paraId="290F2BD2" w14:textId="2F793497" w:rsidR="00C85E27" w:rsidRDefault="00C85E27">
      <w:pPr>
        <w:pStyle w:val="CommentText"/>
      </w:pPr>
      <w:r>
        <w:rPr>
          <w:rStyle w:val="CommentReference"/>
        </w:rPr>
        <w:annotationRef/>
      </w:r>
      <w:r>
        <w:t xml:space="preserve">Table 1 is nowhere in the text. Refer it accordingly </w:t>
      </w:r>
    </w:p>
  </w:comment>
  <w:comment w:id="4" w:author="pk" w:date="2025-07-04T09:27:00Z" w:initials="p">
    <w:p w14:paraId="027501D0" w14:textId="5DC33D60" w:rsidR="00052AE0" w:rsidRDefault="00052AE0">
      <w:pPr>
        <w:pStyle w:val="CommentText"/>
      </w:pPr>
      <w:r>
        <w:rPr>
          <w:rStyle w:val="CommentReference"/>
        </w:rPr>
        <w:annotationRef/>
      </w:r>
      <w:r>
        <w:t xml:space="preserve">Please add this to the table title itself. </w:t>
      </w:r>
    </w:p>
  </w:comment>
  <w:comment w:id="5" w:author="pk" w:date="2025-07-04T09:45:00Z" w:initials="p">
    <w:p w14:paraId="14990FDB" w14:textId="5C576552" w:rsidR="002E360B" w:rsidRDefault="002E360B">
      <w:pPr>
        <w:pStyle w:val="CommentText"/>
      </w:pPr>
      <w:r>
        <w:rPr>
          <w:rStyle w:val="CommentReference"/>
        </w:rPr>
        <w:annotationRef/>
      </w:r>
      <w:r>
        <w:t xml:space="preserve">This table shows almost all plants and not the key food plants. You may think of keeping the top 10-15 here and giving a supplement for others. </w:t>
      </w:r>
    </w:p>
  </w:comment>
  <w:comment w:id="6" w:author="pk" w:date="2025-07-04T09:48:00Z" w:initials="p">
    <w:p w14:paraId="1FD6E56A" w14:textId="23B9E2B0" w:rsidR="002E360B" w:rsidRDefault="002E360B">
      <w:pPr>
        <w:pStyle w:val="CommentText"/>
      </w:pPr>
      <w:r>
        <w:rPr>
          <w:rStyle w:val="CommentReference"/>
        </w:rPr>
        <w:annotationRef/>
      </w:r>
      <w:r>
        <w:t xml:space="preserve">Mention the criteria for this categorization </w:t>
      </w:r>
      <w:proofErr w:type="spellStart"/>
      <w:r>
        <w:t>separatly</w:t>
      </w:r>
      <w:proofErr w:type="spellEnd"/>
    </w:p>
  </w:comment>
  <w:comment w:id="7" w:author="pk" w:date="2025-07-04T09:49:00Z" w:initials="p">
    <w:p w14:paraId="2D3A3F9F" w14:textId="7AC21DA6" w:rsidR="002E360B" w:rsidRDefault="002E360B">
      <w:pPr>
        <w:pStyle w:val="CommentText"/>
      </w:pPr>
      <w:r>
        <w:rPr>
          <w:rStyle w:val="CommentReference"/>
        </w:rPr>
        <w:annotationRef/>
      </w:r>
      <w:r>
        <w:t>Check the references formatting across the MS</w:t>
      </w:r>
    </w:p>
  </w:comment>
  <w:comment w:id="8" w:author="pk" w:date="2025-07-04T09:51:00Z" w:initials="p">
    <w:p w14:paraId="1FF33C69" w14:textId="2958F4E0" w:rsidR="00085909" w:rsidRDefault="00085909">
      <w:pPr>
        <w:pStyle w:val="CommentText"/>
      </w:pPr>
      <w:r>
        <w:rPr>
          <w:rStyle w:val="CommentReference"/>
        </w:rPr>
        <w:annotationRef/>
      </w:r>
      <w:r>
        <w:t>Not required</w:t>
      </w:r>
    </w:p>
  </w:comment>
  <w:comment w:id="9" w:author="pk" w:date="2025-07-04T09:50:00Z" w:initials="p">
    <w:p w14:paraId="689972C5" w14:textId="6D137EC5" w:rsidR="00085909" w:rsidRDefault="00085909">
      <w:pPr>
        <w:pStyle w:val="CommentText"/>
      </w:pPr>
      <w:r>
        <w:rPr>
          <w:rStyle w:val="CommentReference"/>
        </w:rPr>
        <w:annotationRef/>
      </w:r>
      <w:r>
        <w:t xml:space="preserve">Never use etc in scientific literature. </w:t>
      </w:r>
    </w:p>
  </w:comment>
  <w:comment w:id="10" w:author="pk" w:date="2025-07-04T09:56:00Z" w:initials="p">
    <w:p w14:paraId="146F8979" w14:textId="57FC4DB0" w:rsidR="00085909" w:rsidRDefault="00085909">
      <w:pPr>
        <w:pStyle w:val="CommentText"/>
      </w:pPr>
      <w:r>
        <w:rPr>
          <w:rStyle w:val="CommentReference"/>
        </w:rPr>
        <w:annotationRef/>
      </w:r>
      <w:r>
        <w:t>The main goal here is to highlight the recommendations</w:t>
      </w:r>
      <w:r w:rsidR="007D3757">
        <w:t xml:space="preserve"> or conclusions</w:t>
      </w:r>
      <w:r>
        <w:t xml:space="preserve"> of these </w:t>
      </w:r>
      <w:r w:rsidR="007D3757">
        <w:t xml:space="preserve">studies from the </w:t>
      </w:r>
      <w:r>
        <w:t xml:space="preserve">reviewed papers. Provide habitat-wise, region-wise recommended actions with references. </w:t>
      </w:r>
      <w:r>
        <w:t xml:space="preserve">Cover all </w:t>
      </w:r>
      <w:r w:rsidR="007D3757">
        <w:t>sections</w:t>
      </w:r>
      <w:r>
        <w:t xml:space="preserve"> that you wrote above in </w:t>
      </w:r>
      <w:r w:rsidR="007D3757">
        <w:t xml:space="preserve">this section. Club common recommendation and cite. For other recommendations or conclusions, provide in short with the citation. </w:t>
      </w:r>
    </w:p>
  </w:comment>
  <w:comment w:id="11" w:author="pk" w:date="2025-07-04T10:01:00Z" w:initials="p">
    <w:p w14:paraId="053D2C09" w14:textId="7AAFA035" w:rsidR="007D3757" w:rsidRDefault="007D3757">
      <w:pPr>
        <w:pStyle w:val="CommentText"/>
      </w:pPr>
      <w:r>
        <w:rPr>
          <w:rStyle w:val="CommentReference"/>
        </w:rPr>
        <w:annotationRef/>
      </w:r>
      <w:r>
        <w:t>Add reference. Follow it for all arguments in this section</w:t>
      </w:r>
      <w:r w:rsidR="00BE0472">
        <w:t>. Enrich this with citations</w:t>
      </w:r>
    </w:p>
  </w:comment>
  <w:comment w:id="12" w:author="pk" w:date="2025-07-04T10:04:00Z" w:initials="p">
    <w:p w14:paraId="3EA2076B" w14:textId="45800F25" w:rsidR="00BE0472" w:rsidRDefault="00BE0472">
      <w:pPr>
        <w:pStyle w:val="CommentText"/>
      </w:pPr>
      <w:r>
        <w:rPr>
          <w:rStyle w:val="CommentReference"/>
        </w:rPr>
        <w:annotationRef/>
      </w:r>
      <w:r>
        <w:t xml:space="preserve">Overall, rewrite the conservation implication section for a better understanding of recommendations for the conservation of the sloth bear from these studies with citations.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08C55A" w15:done="0"/>
  <w15:commentEx w15:paraId="23BE58D4" w15:done="0"/>
  <w15:commentEx w15:paraId="05C5149E" w15:done="0"/>
  <w15:commentEx w15:paraId="290F2BD2" w15:done="0"/>
  <w15:commentEx w15:paraId="027501D0" w15:done="0"/>
  <w15:commentEx w15:paraId="14990FDB" w15:done="0"/>
  <w15:commentEx w15:paraId="1FD6E56A" w15:done="0"/>
  <w15:commentEx w15:paraId="2D3A3F9F" w15:done="0"/>
  <w15:commentEx w15:paraId="1FF33C69" w15:done="0"/>
  <w15:commentEx w15:paraId="689972C5" w15:done="0"/>
  <w15:commentEx w15:paraId="146F8979" w15:done="0"/>
  <w15:commentEx w15:paraId="053D2C09" w15:done="0"/>
  <w15:commentEx w15:paraId="3EA207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FD3AC6" w16cex:dateUtc="2025-07-04T03:45:00Z"/>
  <w16cex:commentExtensible w16cex:durableId="14C5FB24" w16cex:dateUtc="2025-07-04T03:40:00Z"/>
  <w16cex:commentExtensible w16cex:durableId="23E1401D" w16cex:dateUtc="2025-07-04T03:49:00Z"/>
  <w16cex:commentExtensible w16cex:durableId="27FBA9B5" w16cex:dateUtc="2025-07-04T03:54:00Z"/>
  <w16cex:commentExtensible w16cex:durableId="329DB677" w16cex:dateUtc="2025-07-04T03:57:00Z"/>
  <w16cex:commentExtensible w16cex:durableId="4F45BE89" w16cex:dateUtc="2025-07-04T04:15:00Z"/>
  <w16cex:commentExtensible w16cex:durableId="7E96D610" w16cex:dateUtc="2025-07-04T04:18:00Z"/>
  <w16cex:commentExtensible w16cex:durableId="4DFDC9DD" w16cex:dateUtc="2025-07-04T04:19:00Z"/>
  <w16cex:commentExtensible w16cex:durableId="4057A697" w16cex:dateUtc="2025-07-04T04:21:00Z"/>
  <w16cex:commentExtensible w16cex:durableId="5A72E9CA" w16cex:dateUtc="2025-07-04T04:20:00Z"/>
  <w16cex:commentExtensible w16cex:durableId="0646DE89" w16cex:dateUtc="2025-07-04T04:26:00Z"/>
  <w16cex:commentExtensible w16cex:durableId="7B9645AB" w16cex:dateUtc="2025-07-04T04:31:00Z"/>
  <w16cex:commentExtensible w16cex:durableId="33B8499A" w16cex:dateUtc="2025-07-04T0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08C55A" w16cid:durableId="0BFD3AC6"/>
  <w16cid:commentId w16cid:paraId="23BE58D4" w16cid:durableId="14C5FB24"/>
  <w16cid:commentId w16cid:paraId="05C5149E" w16cid:durableId="23E1401D"/>
  <w16cid:commentId w16cid:paraId="290F2BD2" w16cid:durableId="27FBA9B5"/>
  <w16cid:commentId w16cid:paraId="027501D0" w16cid:durableId="329DB677"/>
  <w16cid:commentId w16cid:paraId="14990FDB" w16cid:durableId="4F45BE89"/>
  <w16cid:commentId w16cid:paraId="1FD6E56A" w16cid:durableId="7E96D610"/>
  <w16cid:commentId w16cid:paraId="2D3A3F9F" w16cid:durableId="4DFDC9DD"/>
  <w16cid:commentId w16cid:paraId="1FF33C69" w16cid:durableId="4057A697"/>
  <w16cid:commentId w16cid:paraId="689972C5" w16cid:durableId="5A72E9CA"/>
  <w16cid:commentId w16cid:paraId="146F8979" w16cid:durableId="0646DE89"/>
  <w16cid:commentId w16cid:paraId="053D2C09" w16cid:durableId="7B9645AB"/>
  <w16cid:commentId w16cid:paraId="3EA2076B" w16cid:durableId="33B84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B74AE" w14:textId="77777777" w:rsidR="00041793" w:rsidRDefault="00041793" w:rsidP="004E1E57">
      <w:pPr>
        <w:spacing w:after="0" w:line="240" w:lineRule="auto"/>
      </w:pPr>
      <w:r>
        <w:separator/>
      </w:r>
    </w:p>
  </w:endnote>
  <w:endnote w:type="continuationSeparator" w:id="0">
    <w:p w14:paraId="4128FDC1" w14:textId="77777777" w:rsidR="00041793" w:rsidRDefault="00041793" w:rsidP="004E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Roboto"/>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60859" w14:textId="77777777" w:rsidR="00007C57" w:rsidRDefault="00007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2294" w14:textId="77777777" w:rsidR="00007C57" w:rsidRDefault="00007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72B6" w14:textId="77777777" w:rsidR="00007C57" w:rsidRDefault="00007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3A9FD" w14:textId="77777777" w:rsidR="00041793" w:rsidRDefault="00041793" w:rsidP="004E1E57">
      <w:pPr>
        <w:spacing w:after="0" w:line="240" w:lineRule="auto"/>
      </w:pPr>
      <w:r>
        <w:separator/>
      </w:r>
    </w:p>
  </w:footnote>
  <w:footnote w:type="continuationSeparator" w:id="0">
    <w:p w14:paraId="1175958A" w14:textId="77777777" w:rsidR="00041793" w:rsidRDefault="00041793" w:rsidP="004E1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03D3" w14:textId="4239325A" w:rsidR="00007C57" w:rsidRDefault="00000000">
    <w:pPr>
      <w:pStyle w:val="Header"/>
    </w:pPr>
    <w:r>
      <w:rPr>
        <w:noProof/>
      </w:rPr>
      <w:pict w14:anchorId="08446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218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8423" w14:textId="03F3CBF7" w:rsidR="00007C57" w:rsidRDefault="00000000">
    <w:pPr>
      <w:pStyle w:val="Header"/>
    </w:pPr>
    <w:r>
      <w:rPr>
        <w:noProof/>
      </w:rPr>
      <w:pict w14:anchorId="028A0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218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CEAC" w14:textId="2AFE443F" w:rsidR="00007C57" w:rsidRDefault="00000000">
    <w:pPr>
      <w:pStyle w:val="Header"/>
    </w:pPr>
    <w:r>
      <w:rPr>
        <w:noProof/>
      </w:rPr>
      <w:pict w14:anchorId="0B788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218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321C8"/>
    <w:multiLevelType w:val="multilevel"/>
    <w:tmpl w:val="A8F2EE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080" w:hanging="720"/>
      </w:pPr>
      <w:rPr>
        <w:rFonts w:hint="default"/>
        <w:b/>
        <w:bCs/>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AE103C"/>
    <w:multiLevelType w:val="multilevel"/>
    <w:tmpl w:val="BEF8E54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C906B9"/>
    <w:multiLevelType w:val="hybridMultilevel"/>
    <w:tmpl w:val="0ACC9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CE2A3B"/>
    <w:multiLevelType w:val="hybridMultilevel"/>
    <w:tmpl w:val="9DA0A3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F045C0"/>
    <w:multiLevelType w:val="hybridMultilevel"/>
    <w:tmpl w:val="325C5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69793887">
    <w:abstractNumId w:val="3"/>
  </w:num>
  <w:num w:numId="2" w16cid:durableId="1119841625">
    <w:abstractNumId w:val="0"/>
  </w:num>
  <w:num w:numId="3" w16cid:durableId="461965947">
    <w:abstractNumId w:val="4"/>
  </w:num>
  <w:num w:numId="4" w16cid:durableId="956761874">
    <w:abstractNumId w:val="1"/>
  </w:num>
  <w:num w:numId="5" w16cid:durableId="10835261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k">
    <w15:presenceInfo w15:providerId="None" w15:userId="p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BEF"/>
    <w:rsid w:val="00007C57"/>
    <w:rsid w:val="00041793"/>
    <w:rsid w:val="00052AE0"/>
    <w:rsid w:val="00085909"/>
    <w:rsid w:val="000B26D2"/>
    <w:rsid w:val="00121F8D"/>
    <w:rsid w:val="0012249E"/>
    <w:rsid w:val="00122D7C"/>
    <w:rsid w:val="00144FC3"/>
    <w:rsid w:val="001B2763"/>
    <w:rsid w:val="001C18F7"/>
    <w:rsid w:val="001C5446"/>
    <w:rsid w:val="001F7BF5"/>
    <w:rsid w:val="00225131"/>
    <w:rsid w:val="00250A5D"/>
    <w:rsid w:val="00280A96"/>
    <w:rsid w:val="002E360B"/>
    <w:rsid w:val="002F5838"/>
    <w:rsid w:val="0030211C"/>
    <w:rsid w:val="00312CEE"/>
    <w:rsid w:val="003A1786"/>
    <w:rsid w:val="003C76F9"/>
    <w:rsid w:val="003D01CA"/>
    <w:rsid w:val="003E26DA"/>
    <w:rsid w:val="004B4597"/>
    <w:rsid w:val="004D05E6"/>
    <w:rsid w:val="004E1E57"/>
    <w:rsid w:val="004F35FE"/>
    <w:rsid w:val="0051502E"/>
    <w:rsid w:val="00535565"/>
    <w:rsid w:val="0053620C"/>
    <w:rsid w:val="005849B5"/>
    <w:rsid w:val="0059713E"/>
    <w:rsid w:val="005C2CF6"/>
    <w:rsid w:val="005D01D1"/>
    <w:rsid w:val="005F4E64"/>
    <w:rsid w:val="006171E2"/>
    <w:rsid w:val="006A0DA0"/>
    <w:rsid w:val="00775F66"/>
    <w:rsid w:val="007D3757"/>
    <w:rsid w:val="00824C56"/>
    <w:rsid w:val="00855082"/>
    <w:rsid w:val="008666ED"/>
    <w:rsid w:val="00894DE1"/>
    <w:rsid w:val="008F2164"/>
    <w:rsid w:val="00942BEF"/>
    <w:rsid w:val="00A21431"/>
    <w:rsid w:val="00A6243B"/>
    <w:rsid w:val="00AD0742"/>
    <w:rsid w:val="00AF6808"/>
    <w:rsid w:val="00B44DCB"/>
    <w:rsid w:val="00B46C9A"/>
    <w:rsid w:val="00B95C64"/>
    <w:rsid w:val="00BD3F7C"/>
    <w:rsid w:val="00BE0472"/>
    <w:rsid w:val="00C462A7"/>
    <w:rsid w:val="00C636D7"/>
    <w:rsid w:val="00C85E27"/>
    <w:rsid w:val="00CB219C"/>
    <w:rsid w:val="00CD62D7"/>
    <w:rsid w:val="00CE61FB"/>
    <w:rsid w:val="00D006A1"/>
    <w:rsid w:val="00D057EC"/>
    <w:rsid w:val="00D47BD0"/>
    <w:rsid w:val="00DB4A05"/>
    <w:rsid w:val="00DF045A"/>
    <w:rsid w:val="00ED6FFB"/>
    <w:rsid w:val="00F21605"/>
    <w:rsid w:val="00F935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E4B0D"/>
  <w15:chartTrackingRefBased/>
  <w15:docId w15:val="{6393C28D-F819-4A97-8D83-1415A6E4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DA0"/>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unhideWhenUsed/>
    <w:qFormat/>
    <w:rsid w:val="006A0DA0"/>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next w:val="Normal"/>
    <w:link w:val="Heading3Char"/>
    <w:uiPriority w:val="9"/>
    <w:unhideWhenUsed/>
    <w:qFormat/>
    <w:rsid w:val="00CB219C"/>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semiHidden/>
    <w:unhideWhenUsed/>
    <w:qFormat/>
    <w:rsid w:val="00CB21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1E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171E2"/>
    <w:rPr>
      <w:i/>
      <w:iCs/>
    </w:rPr>
  </w:style>
  <w:style w:type="character" w:styleId="Hyperlink">
    <w:name w:val="Hyperlink"/>
    <w:basedOn w:val="DefaultParagraphFont"/>
    <w:uiPriority w:val="99"/>
    <w:unhideWhenUsed/>
    <w:rsid w:val="006171E2"/>
    <w:rPr>
      <w:color w:val="0000FF"/>
      <w:u w:val="single"/>
    </w:rPr>
  </w:style>
  <w:style w:type="paragraph" w:styleId="ListParagraph">
    <w:name w:val="List Paragraph"/>
    <w:basedOn w:val="Normal"/>
    <w:uiPriority w:val="34"/>
    <w:qFormat/>
    <w:rsid w:val="00D47BD0"/>
    <w:pPr>
      <w:ind w:left="720"/>
      <w:contextualSpacing/>
    </w:pPr>
  </w:style>
  <w:style w:type="character" w:customStyle="1" w:styleId="Heading1Char">
    <w:name w:val="Heading 1 Char"/>
    <w:basedOn w:val="DefaultParagraphFont"/>
    <w:link w:val="Heading1"/>
    <w:uiPriority w:val="9"/>
    <w:rsid w:val="006A0DA0"/>
    <w:rPr>
      <w:rFonts w:asciiTheme="majorHAnsi" w:eastAsiaTheme="majorEastAsia" w:hAnsiTheme="majorHAnsi" w:cstheme="majorBidi"/>
      <w:color w:val="2E74B5" w:themeColor="accent1" w:themeShade="BF"/>
      <w:sz w:val="32"/>
      <w:szCs w:val="29"/>
    </w:rPr>
  </w:style>
  <w:style w:type="character" w:customStyle="1" w:styleId="Heading2Char">
    <w:name w:val="Heading 2 Char"/>
    <w:basedOn w:val="DefaultParagraphFont"/>
    <w:link w:val="Heading2"/>
    <w:uiPriority w:val="9"/>
    <w:rsid w:val="006A0DA0"/>
    <w:rPr>
      <w:rFonts w:asciiTheme="majorHAnsi" w:eastAsiaTheme="majorEastAsia" w:hAnsiTheme="majorHAnsi" w:cstheme="majorBidi"/>
      <w:color w:val="2E74B5" w:themeColor="accent1" w:themeShade="BF"/>
      <w:sz w:val="26"/>
      <w:szCs w:val="23"/>
    </w:rPr>
  </w:style>
  <w:style w:type="character" w:customStyle="1" w:styleId="Heading3Char">
    <w:name w:val="Heading 3 Char"/>
    <w:basedOn w:val="DefaultParagraphFont"/>
    <w:link w:val="Heading3"/>
    <w:uiPriority w:val="9"/>
    <w:rsid w:val="00CB219C"/>
    <w:rPr>
      <w:rFonts w:asciiTheme="majorHAnsi" w:eastAsiaTheme="majorEastAsia" w:hAnsiTheme="majorHAnsi" w:cstheme="majorBidi"/>
      <w:color w:val="1F4D78" w:themeColor="accent1" w:themeShade="7F"/>
      <w:sz w:val="24"/>
      <w:szCs w:val="21"/>
    </w:rPr>
  </w:style>
  <w:style w:type="character" w:customStyle="1" w:styleId="Heading4Char">
    <w:name w:val="Heading 4 Char"/>
    <w:basedOn w:val="DefaultParagraphFont"/>
    <w:link w:val="Heading4"/>
    <w:uiPriority w:val="9"/>
    <w:semiHidden/>
    <w:rsid w:val="00CB219C"/>
    <w:rPr>
      <w:rFonts w:asciiTheme="majorHAnsi" w:eastAsiaTheme="majorEastAsia" w:hAnsiTheme="majorHAnsi" w:cstheme="majorBidi"/>
      <w:i/>
      <w:iCs/>
      <w:color w:val="2E74B5" w:themeColor="accent1" w:themeShade="BF"/>
    </w:rPr>
  </w:style>
  <w:style w:type="paragraph" w:styleId="NoSpacing">
    <w:name w:val="No Spacing"/>
    <w:uiPriority w:val="1"/>
    <w:qFormat/>
    <w:rsid w:val="0059713E"/>
    <w:pPr>
      <w:spacing w:after="0" w:line="240" w:lineRule="auto"/>
    </w:pPr>
  </w:style>
  <w:style w:type="paragraph" w:styleId="Header">
    <w:name w:val="header"/>
    <w:basedOn w:val="Normal"/>
    <w:link w:val="HeaderChar"/>
    <w:uiPriority w:val="99"/>
    <w:unhideWhenUsed/>
    <w:rsid w:val="004E1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E57"/>
  </w:style>
  <w:style w:type="paragraph" w:styleId="Footer">
    <w:name w:val="footer"/>
    <w:basedOn w:val="Normal"/>
    <w:link w:val="FooterChar"/>
    <w:uiPriority w:val="99"/>
    <w:unhideWhenUsed/>
    <w:rsid w:val="004E1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E57"/>
  </w:style>
  <w:style w:type="paragraph" w:styleId="FootnoteText">
    <w:name w:val="footnote text"/>
    <w:basedOn w:val="Normal"/>
    <w:link w:val="FootnoteTextChar"/>
    <w:uiPriority w:val="99"/>
    <w:semiHidden/>
    <w:unhideWhenUsed/>
    <w:rsid w:val="00B44DC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B44DCB"/>
    <w:rPr>
      <w:sz w:val="20"/>
      <w:szCs w:val="18"/>
    </w:rPr>
  </w:style>
  <w:style w:type="character" w:styleId="FootnoteReference">
    <w:name w:val="footnote reference"/>
    <w:basedOn w:val="DefaultParagraphFont"/>
    <w:uiPriority w:val="99"/>
    <w:semiHidden/>
    <w:unhideWhenUsed/>
    <w:rsid w:val="00B44DCB"/>
    <w:rPr>
      <w:vertAlign w:val="superscript"/>
    </w:rPr>
  </w:style>
  <w:style w:type="character" w:styleId="UnresolvedMention">
    <w:name w:val="Unresolved Mention"/>
    <w:basedOn w:val="DefaultParagraphFont"/>
    <w:uiPriority w:val="99"/>
    <w:semiHidden/>
    <w:unhideWhenUsed/>
    <w:rsid w:val="005F4E64"/>
    <w:rPr>
      <w:color w:val="605E5C"/>
      <w:shd w:val="clear" w:color="auto" w:fill="E1DFDD"/>
    </w:rPr>
  </w:style>
  <w:style w:type="character" w:styleId="CommentReference">
    <w:name w:val="annotation reference"/>
    <w:basedOn w:val="DefaultParagraphFont"/>
    <w:uiPriority w:val="99"/>
    <w:semiHidden/>
    <w:unhideWhenUsed/>
    <w:rsid w:val="00250A5D"/>
    <w:rPr>
      <w:sz w:val="16"/>
      <w:szCs w:val="16"/>
    </w:rPr>
  </w:style>
  <w:style w:type="paragraph" w:styleId="CommentText">
    <w:name w:val="annotation text"/>
    <w:basedOn w:val="Normal"/>
    <w:link w:val="CommentTextChar"/>
    <w:uiPriority w:val="99"/>
    <w:unhideWhenUsed/>
    <w:rsid w:val="00250A5D"/>
    <w:pPr>
      <w:spacing w:line="240" w:lineRule="auto"/>
    </w:pPr>
    <w:rPr>
      <w:sz w:val="20"/>
      <w:szCs w:val="18"/>
    </w:rPr>
  </w:style>
  <w:style w:type="character" w:customStyle="1" w:styleId="CommentTextChar">
    <w:name w:val="Comment Text Char"/>
    <w:basedOn w:val="DefaultParagraphFont"/>
    <w:link w:val="CommentText"/>
    <w:uiPriority w:val="99"/>
    <w:rsid w:val="00250A5D"/>
    <w:rPr>
      <w:sz w:val="20"/>
      <w:szCs w:val="18"/>
    </w:rPr>
  </w:style>
  <w:style w:type="paragraph" w:styleId="CommentSubject">
    <w:name w:val="annotation subject"/>
    <w:basedOn w:val="CommentText"/>
    <w:next w:val="CommentText"/>
    <w:link w:val="CommentSubjectChar"/>
    <w:uiPriority w:val="99"/>
    <w:semiHidden/>
    <w:unhideWhenUsed/>
    <w:rsid w:val="00250A5D"/>
    <w:rPr>
      <w:b/>
      <w:bCs/>
    </w:rPr>
  </w:style>
  <w:style w:type="character" w:customStyle="1" w:styleId="CommentSubjectChar">
    <w:name w:val="Comment Subject Char"/>
    <w:basedOn w:val="CommentTextChar"/>
    <w:link w:val="CommentSubject"/>
    <w:uiPriority w:val="99"/>
    <w:semiHidden/>
    <w:rsid w:val="00250A5D"/>
    <w:rPr>
      <w:b/>
      <w:bCs/>
      <w:sz w:val="20"/>
      <w:szCs w:val="18"/>
    </w:rPr>
  </w:style>
  <w:style w:type="character" w:customStyle="1" w:styleId="text-ellipsis--remove">
    <w:name w:val="text-ellipsis--remove"/>
    <w:basedOn w:val="DefaultParagraphFont"/>
    <w:rsid w:val="00312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2575">
      <w:bodyDiv w:val="1"/>
      <w:marLeft w:val="0"/>
      <w:marRight w:val="0"/>
      <w:marTop w:val="0"/>
      <w:marBottom w:val="0"/>
      <w:divBdr>
        <w:top w:val="none" w:sz="0" w:space="0" w:color="auto"/>
        <w:left w:val="none" w:sz="0" w:space="0" w:color="auto"/>
        <w:bottom w:val="none" w:sz="0" w:space="0" w:color="auto"/>
        <w:right w:val="none" w:sz="0" w:space="0" w:color="auto"/>
      </w:divBdr>
    </w:div>
    <w:div w:id="287131659">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15904712">
      <w:bodyDiv w:val="1"/>
      <w:marLeft w:val="0"/>
      <w:marRight w:val="0"/>
      <w:marTop w:val="0"/>
      <w:marBottom w:val="0"/>
      <w:divBdr>
        <w:top w:val="none" w:sz="0" w:space="0" w:color="auto"/>
        <w:left w:val="none" w:sz="0" w:space="0" w:color="auto"/>
        <w:bottom w:val="none" w:sz="0" w:space="0" w:color="auto"/>
        <w:right w:val="none" w:sz="0" w:space="0" w:color="auto"/>
      </w:divBdr>
    </w:div>
    <w:div w:id="456264934">
      <w:bodyDiv w:val="1"/>
      <w:marLeft w:val="0"/>
      <w:marRight w:val="0"/>
      <w:marTop w:val="0"/>
      <w:marBottom w:val="0"/>
      <w:divBdr>
        <w:top w:val="none" w:sz="0" w:space="0" w:color="auto"/>
        <w:left w:val="none" w:sz="0" w:space="0" w:color="auto"/>
        <w:bottom w:val="none" w:sz="0" w:space="0" w:color="auto"/>
        <w:right w:val="none" w:sz="0" w:space="0" w:color="auto"/>
      </w:divBdr>
    </w:div>
    <w:div w:id="500393073">
      <w:bodyDiv w:val="1"/>
      <w:marLeft w:val="0"/>
      <w:marRight w:val="0"/>
      <w:marTop w:val="0"/>
      <w:marBottom w:val="0"/>
      <w:divBdr>
        <w:top w:val="none" w:sz="0" w:space="0" w:color="auto"/>
        <w:left w:val="none" w:sz="0" w:space="0" w:color="auto"/>
        <w:bottom w:val="none" w:sz="0" w:space="0" w:color="auto"/>
        <w:right w:val="none" w:sz="0" w:space="0" w:color="auto"/>
      </w:divBdr>
    </w:div>
    <w:div w:id="507183592">
      <w:bodyDiv w:val="1"/>
      <w:marLeft w:val="0"/>
      <w:marRight w:val="0"/>
      <w:marTop w:val="0"/>
      <w:marBottom w:val="0"/>
      <w:divBdr>
        <w:top w:val="none" w:sz="0" w:space="0" w:color="auto"/>
        <w:left w:val="none" w:sz="0" w:space="0" w:color="auto"/>
        <w:bottom w:val="none" w:sz="0" w:space="0" w:color="auto"/>
        <w:right w:val="none" w:sz="0" w:space="0" w:color="auto"/>
      </w:divBdr>
    </w:div>
    <w:div w:id="539317140">
      <w:bodyDiv w:val="1"/>
      <w:marLeft w:val="0"/>
      <w:marRight w:val="0"/>
      <w:marTop w:val="0"/>
      <w:marBottom w:val="0"/>
      <w:divBdr>
        <w:top w:val="none" w:sz="0" w:space="0" w:color="auto"/>
        <w:left w:val="none" w:sz="0" w:space="0" w:color="auto"/>
        <w:bottom w:val="none" w:sz="0" w:space="0" w:color="auto"/>
        <w:right w:val="none" w:sz="0" w:space="0" w:color="auto"/>
      </w:divBdr>
    </w:div>
    <w:div w:id="555165360">
      <w:bodyDiv w:val="1"/>
      <w:marLeft w:val="0"/>
      <w:marRight w:val="0"/>
      <w:marTop w:val="0"/>
      <w:marBottom w:val="0"/>
      <w:divBdr>
        <w:top w:val="none" w:sz="0" w:space="0" w:color="auto"/>
        <w:left w:val="none" w:sz="0" w:space="0" w:color="auto"/>
        <w:bottom w:val="none" w:sz="0" w:space="0" w:color="auto"/>
        <w:right w:val="none" w:sz="0" w:space="0" w:color="auto"/>
      </w:divBdr>
    </w:div>
    <w:div w:id="595987841">
      <w:bodyDiv w:val="1"/>
      <w:marLeft w:val="0"/>
      <w:marRight w:val="0"/>
      <w:marTop w:val="0"/>
      <w:marBottom w:val="0"/>
      <w:divBdr>
        <w:top w:val="none" w:sz="0" w:space="0" w:color="auto"/>
        <w:left w:val="none" w:sz="0" w:space="0" w:color="auto"/>
        <w:bottom w:val="none" w:sz="0" w:space="0" w:color="auto"/>
        <w:right w:val="none" w:sz="0" w:space="0" w:color="auto"/>
      </w:divBdr>
    </w:div>
    <w:div w:id="604769663">
      <w:bodyDiv w:val="1"/>
      <w:marLeft w:val="0"/>
      <w:marRight w:val="0"/>
      <w:marTop w:val="0"/>
      <w:marBottom w:val="0"/>
      <w:divBdr>
        <w:top w:val="none" w:sz="0" w:space="0" w:color="auto"/>
        <w:left w:val="none" w:sz="0" w:space="0" w:color="auto"/>
        <w:bottom w:val="none" w:sz="0" w:space="0" w:color="auto"/>
        <w:right w:val="none" w:sz="0" w:space="0" w:color="auto"/>
      </w:divBdr>
    </w:div>
    <w:div w:id="627509058">
      <w:bodyDiv w:val="1"/>
      <w:marLeft w:val="0"/>
      <w:marRight w:val="0"/>
      <w:marTop w:val="0"/>
      <w:marBottom w:val="0"/>
      <w:divBdr>
        <w:top w:val="none" w:sz="0" w:space="0" w:color="auto"/>
        <w:left w:val="none" w:sz="0" w:space="0" w:color="auto"/>
        <w:bottom w:val="none" w:sz="0" w:space="0" w:color="auto"/>
        <w:right w:val="none" w:sz="0" w:space="0" w:color="auto"/>
      </w:divBdr>
    </w:div>
    <w:div w:id="1011297715">
      <w:bodyDiv w:val="1"/>
      <w:marLeft w:val="0"/>
      <w:marRight w:val="0"/>
      <w:marTop w:val="0"/>
      <w:marBottom w:val="0"/>
      <w:divBdr>
        <w:top w:val="none" w:sz="0" w:space="0" w:color="auto"/>
        <w:left w:val="none" w:sz="0" w:space="0" w:color="auto"/>
        <w:bottom w:val="none" w:sz="0" w:space="0" w:color="auto"/>
        <w:right w:val="none" w:sz="0" w:space="0" w:color="auto"/>
      </w:divBdr>
    </w:div>
    <w:div w:id="1244534530">
      <w:bodyDiv w:val="1"/>
      <w:marLeft w:val="0"/>
      <w:marRight w:val="0"/>
      <w:marTop w:val="0"/>
      <w:marBottom w:val="0"/>
      <w:divBdr>
        <w:top w:val="none" w:sz="0" w:space="0" w:color="auto"/>
        <w:left w:val="none" w:sz="0" w:space="0" w:color="auto"/>
        <w:bottom w:val="none" w:sz="0" w:space="0" w:color="auto"/>
        <w:right w:val="none" w:sz="0" w:space="0" w:color="auto"/>
      </w:divBdr>
    </w:div>
    <w:div w:id="1595698884">
      <w:bodyDiv w:val="1"/>
      <w:marLeft w:val="0"/>
      <w:marRight w:val="0"/>
      <w:marTop w:val="0"/>
      <w:marBottom w:val="0"/>
      <w:divBdr>
        <w:top w:val="none" w:sz="0" w:space="0" w:color="auto"/>
        <w:left w:val="none" w:sz="0" w:space="0" w:color="auto"/>
        <w:bottom w:val="none" w:sz="0" w:space="0" w:color="auto"/>
        <w:right w:val="none" w:sz="0" w:space="0" w:color="auto"/>
      </w:divBdr>
    </w:div>
    <w:div w:id="1641423026">
      <w:bodyDiv w:val="1"/>
      <w:marLeft w:val="0"/>
      <w:marRight w:val="0"/>
      <w:marTop w:val="0"/>
      <w:marBottom w:val="0"/>
      <w:divBdr>
        <w:top w:val="none" w:sz="0" w:space="0" w:color="auto"/>
        <w:left w:val="none" w:sz="0" w:space="0" w:color="auto"/>
        <w:bottom w:val="none" w:sz="0" w:space="0" w:color="auto"/>
        <w:right w:val="none" w:sz="0" w:space="0" w:color="auto"/>
      </w:divBdr>
    </w:div>
    <w:div w:id="1737436243">
      <w:bodyDiv w:val="1"/>
      <w:marLeft w:val="0"/>
      <w:marRight w:val="0"/>
      <w:marTop w:val="0"/>
      <w:marBottom w:val="0"/>
      <w:divBdr>
        <w:top w:val="none" w:sz="0" w:space="0" w:color="auto"/>
        <w:left w:val="none" w:sz="0" w:space="0" w:color="auto"/>
        <w:bottom w:val="none" w:sz="0" w:space="0" w:color="auto"/>
        <w:right w:val="none" w:sz="0" w:space="0" w:color="auto"/>
      </w:divBdr>
    </w:div>
    <w:div w:id="1830638407">
      <w:bodyDiv w:val="1"/>
      <w:marLeft w:val="0"/>
      <w:marRight w:val="0"/>
      <w:marTop w:val="0"/>
      <w:marBottom w:val="0"/>
      <w:divBdr>
        <w:top w:val="none" w:sz="0" w:space="0" w:color="auto"/>
        <w:left w:val="none" w:sz="0" w:space="0" w:color="auto"/>
        <w:bottom w:val="none" w:sz="0" w:space="0" w:color="auto"/>
        <w:right w:val="none" w:sz="0" w:space="0" w:color="auto"/>
      </w:divBdr>
    </w:div>
    <w:div w:id="1888907626">
      <w:bodyDiv w:val="1"/>
      <w:marLeft w:val="0"/>
      <w:marRight w:val="0"/>
      <w:marTop w:val="0"/>
      <w:marBottom w:val="0"/>
      <w:divBdr>
        <w:top w:val="none" w:sz="0" w:space="0" w:color="auto"/>
        <w:left w:val="none" w:sz="0" w:space="0" w:color="auto"/>
        <w:bottom w:val="none" w:sz="0" w:space="0" w:color="auto"/>
        <w:right w:val="none" w:sz="0" w:space="0" w:color="auto"/>
      </w:divBdr>
    </w:div>
    <w:div w:id="2040813359">
      <w:bodyDiv w:val="1"/>
      <w:marLeft w:val="0"/>
      <w:marRight w:val="0"/>
      <w:marTop w:val="0"/>
      <w:marBottom w:val="0"/>
      <w:divBdr>
        <w:top w:val="none" w:sz="0" w:space="0" w:color="auto"/>
        <w:left w:val="none" w:sz="0" w:space="0" w:color="auto"/>
        <w:bottom w:val="none" w:sz="0" w:space="0" w:color="auto"/>
        <w:right w:val="none" w:sz="0" w:space="0" w:color="auto"/>
      </w:divBdr>
    </w:div>
    <w:div w:id="2107917879">
      <w:bodyDiv w:val="1"/>
      <w:marLeft w:val="0"/>
      <w:marRight w:val="0"/>
      <w:marTop w:val="0"/>
      <w:marBottom w:val="0"/>
      <w:divBdr>
        <w:top w:val="none" w:sz="0" w:space="0" w:color="auto"/>
        <w:left w:val="none" w:sz="0" w:space="0" w:color="auto"/>
        <w:bottom w:val="none" w:sz="0" w:space="0" w:color="auto"/>
        <w:right w:val="none" w:sz="0" w:space="0" w:color="auto"/>
      </w:divBdr>
    </w:div>
    <w:div w:id="21332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x.doi.org/10.2305/IUCN.UK.2020-1.RLTS.T13143A166519315.e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2A029-7262-448C-9804-530353B9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5631</Words>
  <Characters>33338</Characters>
  <Application>Microsoft Office Word</Application>
  <DocSecurity>0</DocSecurity>
  <Lines>1075</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dc:creator>
  <cp:keywords/>
  <dc:description/>
  <cp:lastModifiedBy>pk</cp:lastModifiedBy>
  <cp:revision>10</cp:revision>
  <dcterms:created xsi:type="dcterms:W3CDTF">2025-07-02T13:20:00Z</dcterms:created>
  <dcterms:modified xsi:type="dcterms:W3CDTF">2025-07-04T04:36:00Z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4ee382fa-0f73-46c2-8f70-62b6a42be880</vt:lpwstr>
  </property>
</Properties>
</file>