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2120B" w14:textId="1192EC6C" w:rsidR="00F93F91" w:rsidRDefault="00F93F91">
      <w:pPr>
        <w:jc w:val="right"/>
        <w:rPr>
          <w:rFonts w:ascii="Arial" w:eastAsia="SimSun" w:hAnsi="Arial" w:cs="Arial"/>
          <w:b/>
          <w:bCs/>
          <w:sz w:val="40"/>
          <w:szCs w:val="40"/>
        </w:rPr>
      </w:pPr>
      <w:bookmarkStart w:id="0" w:name="_GoBack"/>
      <w:bookmarkEnd w:id="0"/>
      <w:r w:rsidRPr="00F93F91">
        <w:rPr>
          <w:rFonts w:ascii="Arial" w:eastAsia="SimSun" w:hAnsi="Arial" w:cs="Arial"/>
          <w:b/>
          <w:bCs/>
          <w:i/>
          <w:sz w:val="40"/>
          <w:szCs w:val="40"/>
          <w:u w:val="single"/>
        </w:rPr>
        <w:t>Original Research Article</w:t>
      </w:r>
      <w:r w:rsidRPr="00F93F91">
        <w:rPr>
          <w:rFonts w:ascii="Arial" w:eastAsia="SimSun" w:hAnsi="Arial" w:cs="Arial"/>
          <w:b/>
          <w:bCs/>
          <w:sz w:val="40"/>
          <w:szCs w:val="40"/>
        </w:rPr>
        <w:t xml:space="preserve"> </w:t>
      </w:r>
    </w:p>
    <w:p w14:paraId="4C84B437" w14:textId="77777777" w:rsidR="00F93F91" w:rsidRPr="00F93F91" w:rsidRDefault="00F93F91">
      <w:pPr>
        <w:jc w:val="right"/>
        <w:rPr>
          <w:rFonts w:ascii="Arial" w:eastAsia="SimSun" w:hAnsi="Arial" w:cs="Arial"/>
          <w:b/>
          <w:bCs/>
          <w:sz w:val="40"/>
          <w:szCs w:val="40"/>
        </w:rPr>
      </w:pPr>
    </w:p>
    <w:p w14:paraId="0D185147" w14:textId="7EE0ED07" w:rsidR="002F52FB" w:rsidRPr="005D7961" w:rsidRDefault="00F868F8">
      <w:pPr>
        <w:jc w:val="right"/>
        <w:rPr>
          <w:rFonts w:ascii="Arial" w:eastAsia="SimSun" w:hAnsi="Arial" w:cs="Arial"/>
          <w:b/>
          <w:bCs/>
          <w:sz w:val="36"/>
          <w:szCs w:val="36"/>
        </w:rPr>
      </w:pPr>
      <w:r w:rsidRPr="00F868F8">
        <w:rPr>
          <w:rFonts w:ascii="Arial" w:eastAsia="SimSun" w:hAnsi="Arial" w:cs="Arial"/>
          <w:b/>
          <w:bCs/>
          <w:sz w:val="36"/>
          <w:szCs w:val="36"/>
        </w:rPr>
        <w:t xml:space="preserve">Unveiling the Drivers of Stock Prices: The Mediating Role of Intrinsic Value in Indonesia's Consumer Non-Cyclical Sector </w:t>
      </w:r>
    </w:p>
    <w:p w14:paraId="78F2BF3F" w14:textId="1EC7FBF7" w:rsidR="002F52FB" w:rsidRPr="005D7961" w:rsidRDefault="002F52FB" w:rsidP="00DC0933">
      <w:pPr>
        <w:rPr>
          <w:rFonts w:ascii="Arial" w:eastAsia="SimSun" w:hAnsi="Arial" w:cs="Arial"/>
          <w:sz w:val="24"/>
          <w:szCs w:val="24"/>
        </w:rPr>
      </w:pPr>
    </w:p>
    <w:p w14:paraId="139FC568" w14:textId="77777777" w:rsidR="002F52FB" w:rsidRPr="005D7961" w:rsidRDefault="002F52FB">
      <w:pPr>
        <w:pStyle w:val="Author"/>
        <w:spacing w:line="240" w:lineRule="auto"/>
        <w:rPr>
          <w:rFonts w:ascii="Arial" w:hAnsi="Arial" w:cs="Arial"/>
        </w:rPr>
      </w:pPr>
    </w:p>
    <w:p w14:paraId="5B98B22C" w14:textId="77777777" w:rsidR="002F52FB" w:rsidRPr="005D7961" w:rsidRDefault="002F52FB">
      <w:pPr>
        <w:rPr>
          <w:rFonts w:ascii="Arial" w:hAnsi="Arial" w:cs="Arial"/>
          <w:i/>
          <w:vertAlign w:val="superscript"/>
        </w:rPr>
      </w:pPr>
    </w:p>
    <w:p w14:paraId="0BF81AB4" w14:textId="77777777" w:rsidR="002F52FB" w:rsidRPr="005D7961" w:rsidRDefault="002F52FB">
      <w:pPr>
        <w:rPr>
          <w:rFonts w:ascii="Arial" w:eastAsia="SimSun" w:hAnsi="Arial" w:cs="Arial"/>
          <w:sz w:val="24"/>
          <w:szCs w:val="24"/>
        </w:rPr>
      </w:pPr>
    </w:p>
    <w:p w14:paraId="48252144" w14:textId="77777777" w:rsidR="002F52FB" w:rsidRPr="005D7961" w:rsidRDefault="0092538B">
      <w:pPr>
        <w:rPr>
          <w:rFonts w:ascii="Arial" w:eastAsia="SimSun" w:hAnsi="Arial" w:cs="Arial"/>
          <w:sz w:val="24"/>
          <w:szCs w:val="24"/>
        </w:rPr>
      </w:pPr>
      <w:r w:rsidRPr="005D7961">
        <w:rPr>
          <w:rFonts w:ascii="Arial" w:hAnsi="Arial" w:cs="Arial"/>
          <w:noProof/>
          <w:lang w:val="en-US" w:eastAsia="en-US"/>
        </w:rPr>
        <mc:AlternateContent>
          <mc:Choice Requires="wps">
            <w:drawing>
              <wp:inline distT="0" distB="0" distL="114300" distR="114300" wp14:anchorId="5B908AF5" wp14:editId="532FBFBB">
                <wp:extent cx="5050155" cy="45085"/>
                <wp:effectExtent l="0" t="0" r="36195" b="31115"/>
                <wp:docPr id="3" name="Straight Arrow Connector 3"/>
                <wp:cNvGraphicFramePr/>
                <a:graphic xmlns:a="http://schemas.openxmlformats.org/drawingml/2006/main">
                  <a:graphicData uri="http://schemas.microsoft.com/office/word/2010/wordprocessingShape">
                    <wps:wsp>
                      <wps:cNvCnPr/>
                      <wps:spPr>
                        <a:xfrm>
                          <a:off x="0" y="0"/>
                          <a:ext cx="5050302" cy="45719"/>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1057A2C3" id="_x0000_t32" coordsize="21600,21600" o:spt="32" o:oned="t" path="m,l21600,21600e" filled="f">
                <v:path arrowok="t" fillok="f" o:connecttype="none"/>
                <o:lock v:ext="edit" shapetype="t"/>
              </v:shapetype>
              <v:shape id="Straight Arrow Connector 3" o:spid="_x0000_s1026" type="#_x0000_t32" style="width:397.65pt;height:3.5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" strokeweight="1.5pt">
                <w10:anchorlock/>
              </v:shape>
            </w:pict>
          </mc:Fallback>
        </mc:AlternateContent>
      </w:r>
    </w:p>
    <w:p w14:paraId="5379F82E" w14:textId="77777777" w:rsidR="002F52FB" w:rsidRPr="005D7961" w:rsidRDefault="0092538B">
      <w:pPr>
        <w:spacing w:beforeLines="100" w:before="240" w:afterLines="100" w:after="240"/>
        <w:rPr>
          <w:rFonts w:ascii="Arial" w:eastAsia="SimSun" w:hAnsi="Arial" w:cs="Arial"/>
          <w:b/>
          <w:bCs/>
          <w:sz w:val="24"/>
          <w:szCs w:val="24"/>
        </w:rPr>
      </w:pPr>
      <w:r w:rsidRPr="005D7961">
        <w:rPr>
          <w:rFonts w:ascii="Arial" w:eastAsia="SimSun" w:hAnsi="Arial" w:cs="Arial"/>
          <w:b/>
          <w:bCs/>
          <w:sz w:val="24"/>
          <w:szCs w:val="24"/>
        </w:rPr>
        <w:t>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Change w:id="1" w:author="Maher" w:date="2025-07-21T10:3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PrChange>
      </w:tblPr>
      <w:tblGrid>
        <w:gridCol w:w="8086"/>
        <w:tblGridChange w:id="2">
          <w:tblGrid>
            <w:gridCol w:w="7860"/>
          </w:tblGrid>
        </w:tblGridChange>
      </w:tblGrid>
      <w:tr w:rsidR="002F52FB" w:rsidRPr="005D7961" w14:paraId="4EB1B54F" w14:textId="77777777">
        <w:tc>
          <w:tcPr>
            <w:tcW w:w="9576" w:type="dxa"/>
            <w:shd w:val="clear" w:color="auto" w:fill="F2F2F2"/>
            <w:tcPrChange w:id="3" w:author="Maher" w:date="2025-07-21T10:39:00Z">
              <w:tcPr>
                <w:tcW w:w="9576" w:type="dxa"/>
                <w:shd w:val="clear" w:color="auto" w:fill="F2F2F2"/>
              </w:tcPr>
            </w:tcPrChange>
          </w:tcPr>
          <w:p w14:paraId="1FE30A02" w14:textId="400A2ABD" w:rsidR="006E30A5" w:rsidRPr="006E30A5" w:rsidRDefault="006E30A5" w:rsidP="006E30A5">
            <w:pPr>
              <w:pStyle w:val="Body"/>
              <w:spacing w:after="0"/>
              <w:rPr>
                <w:rFonts w:ascii="Arial" w:eastAsia="Calibri" w:hAnsi="Arial" w:cs="Arial"/>
                <w:b/>
                <w:bCs/>
                <w:szCs w:val="22"/>
                <w:lang w:val="en-ID"/>
              </w:rPr>
            </w:pPr>
            <w:r w:rsidRPr="006E30A5">
              <w:rPr>
                <w:rFonts w:ascii="Arial" w:eastAsia="Calibri" w:hAnsi="Arial" w:cs="Arial"/>
                <w:b/>
                <w:bCs/>
                <w:szCs w:val="22"/>
                <w:lang w:val="en-ID"/>
              </w:rPr>
              <w:t>Aims:</w:t>
            </w:r>
            <w:r w:rsidRPr="006E30A5">
              <w:rPr>
                <w:rFonts w:ascii="Arial" w:eastAsia="Calibri" w:hAnsi="Arial" w:cs="Arial"/>
                <w:szCs w:val="22"/>
                <w:lang w:val="en-ID"/>
              </w:rPr>
              <w:t>This study examines how profitability, leverage, liquidity, and asset efficiency affect stock prices, and whether intrinsic value mediates these relationships in non-cyclical consumer sector companies listed on the Indonesia Stock Exchange (IDX).</w:t>
            </w:r>
          </w:p>
          <w:p w14:paraId="6403A400" w14:textId="3277CEBF" w:rsidR="006E30A5" w:rsidRPr="006E30A5" w:rsidRDefault="006E30A5" w:rsidP="006E30A5">
            <w:pPr>
              <w:pStyle w:val="Body"/>
              <w:spacing w:after="0"/>
              <w:rPr>
                <w:rFonts w:ascii="Arial" w:eastAsia="Calibri" w:hAnsi="Arial" w:cs="Arial"/>
                <w:szCs w:val="22"/>
                <w:lang w:val="en-ID"/>
              </w:rPr>
            </w:pPr>
            <w:r w:rsidRPr="006E30A5">
              <w:rPr>
                <w:rFonts w:ascii="Arial" w:eastAsia="Calibri" w:hAnsi="Arial" w:cs="Arial"/>
                <w:b/>
                <w:bCs/>
                <w:szCs w:val="22"/>
                <w:lang w:val="en-ID"/>
              </w:rPr>
              <w:t>Study Design:</w:t>
            </w:r>
            <w:r>
              <w:rPr>
                <w:rFonts w:ascii="Arial" w:eastAsia="Calibri" w:hAnsi="Arial" w:cs="Arial"/>
                <w:b/>
                <w:bCs/>
                <w:szCs w:val="22"/>
                <w:lang w:val="en-ID"/>
              </w:rPr>
              <w:t xml:space="preserve"> </w:t>
            </w:r>
            <w:r w:rsidRPr="006E30A5">
              <w:rPr>
                <w:rFonts w:ascii="Arial" w:eastAsia="Calibri" w:hAnsi="Arial" w:cs="Arial"/>
                <w:szCs w:val="22"/>
                <w:lang w:val="en-ID"/>
              </w:rPr>
              <w:t>A quantitative, causal method is employed, using path analysis and the Sobel test to assess mediation. Company size is included as a control variable.</w:t>
            </w:r>
          </w:p>
          <w:p w14:paraId="7AB77375" w14:textId="280307D4" w:rsidR="006E30A5" w:rsidRPr="006E30A5" w:rsidRDefault="006E30A5" w:rsidP="006E30A5">
            <w:pPr>
              <w:pStyle w:val="Body"/>
              <w:spacing w:after="0"/>
              <w:rPr>
                <w:rFonts w:ascii="Arial" w:eastAsia="Calibri" w:hAnsi="Arial" w:cs="Arial"/>
                <w:b/>
                <w:bCs/>
                <w:szCs w:val="22"/>
                <w:lang w:val="en-ID"/>
              </w:rPr>
            </w:pPr>
            <w:r w:rsidRPr="006E30A5">
              <w:rPr>
                <w:rFonts w:ascii="Arial" w:eastAsia="Calibri" w:hAnsi="Arial" w:cs="Arial"/>
                <w:b/>
                <w:bCs/>
                <w:szCs w:val="22"/>
                <w:lang w:val="en-ID"/>
              </w:rPr>
              <w:t>Place and Duration of Study:</w:t>
            </w:r>
            <w:r>
              <w:rPr>
                <w:rFonts w:ascii="Arial" w:eastAsia="Calibri" w:hAnsi="Arial" w:cs="Arial"/>
                <w:b/>
                <w:bCs/>
                <w:szCs w:val="22"/>
                <w:lang w:val="en-ID"/>
              </w:rPr>
              <w:t xml:space="preserve"> </w:t>
            </w:r>
            <w:r w:rsidRPr="006E30A5">
              <w:rPr>
                <w:rFonts w:ascii="Arial" w:eastAsia="Calibri" w:hAnsi="Arial" w:cs="Arial"/>
                <w:szCs w:val="22"/>
                <w:lang w:val="en-ID"/>
              </w:rPr>
              <w:t xml:space="preserve">The study covers non-cyclical consumer sector companies listed on the IDX </w:t>
            </w:r>
            <w:r w:rsidR="00590B16">
              <w:rPr>
                <w:rFonts w:ascii="Arial" w:eastAsia="Calibri" w:hAnsi="Arial" w:cs="Arial"/>
                <w:szCs w:val="22"/>
                <w:lang w:val="en-ID"/>
              </w:rPr>
              <w:t>during</w:t>
            </w:r>
            <w:r w:rsidRPr="006E30A5">
              <w:rPr>
                <w:rFonts w:ascii="Arial" w:eastAsia="Calibri" w:hAnsi="Arial" w:cs="Arial"/>
                <w:szCs w:val="22"/>
                <w:lang w:val="en-ID"/>
              </w:rPr>
              <w:t xml:space="preserve"> 2019–2023.</w:t>
            </w:r>
          </w:p>
          <w:p w14:paraId="6AD53913" w14:textId="473E6684" w:rsidR="006E30A5" w:rsidRPr="006E30A5" w:rsidRDefault="006E30A5" w:rsidP="006E30A5">
            <w:pPr>
              <w:pStyle w:val="Body"/>
              <w:spacing w:after="0"/>
              <w:rPr>
                <w:rFonts w:ascii="Arial" w:eastAsia="Calibri" w:hAnsi="Arial" w:cs="Arial"/>
                <w:b/>
                <w:bCs/>
                <w:szCs w:val="22"/>
                <w:lang w:val="en-ID"/>
              </w:rPr>
            </w:pPr>
            <w:r w:rsidRPr="006E30A5">
              <w:rPr>
                <w:rFonts w:ascii="Arial" w:eastAsia="Calibri" w:hAnsi="Arial" w:cs="Arial"/>
                <w:b/>
                <w:bCs/>
                <w:szCs w:val="22"/>
                <w:lang w:val="en-ID"/>
              </w:rPr>
              <w:t>Methodology:</w:t>
            </w:r>
            <w:r>
              <w:rPr>
                <w:rFonts w:ascii="Arial" w:eastAsia="Calibri" w:hAnsi="Arial" w:cs="Arial"/>
                <w:b/>
                <w:bCs/>
                <w:szCs w:val="22"/>
                <w:lang w:val="en-ID"/>
              </w:rPr>
              <w:t xml:space="preserve"> </w:t>
            </w:r>
            <w:r w:rsidRPr="006E30A5">
              <w:rPr>
                <w:rFonts w:ascii="Arial" w:eastAsia="Calibri" w:hAnsi="Arial" w:cs="Arial"/>
                <w:szCs w:val="22"/>
                <w:lang w:val="en-ID"/>
              </w:rPr>
              <w:t>Data are sourced from company financial reports and stock price records. Using purposive sampling, 121 companies were selected, yielding 474 unbalanced panel observations. The analysis applies Fixed Effects and Random Effects panel data models using STATA.</w:t>
            </w:r>
          </w:p>
          <w:p w14:paraId="10FB8B8F" w14:textId="6A124696" w:rsidR="006E30A5" w:rsidRPr="006E30A5" w:rsidRDefault="006E30A5" w:rsidP="006E30A5">
            <w:pPr>
              <w:pStyle w:val="Body"/>
              <w:spacing w:after="0"/>
              <w:rPr>
                <w:rFonts w:ascii="Arial" w:eastAsia="Calibri" w:hAnsi="Arial" w:cs="Arial"/>
                <w:b/>
                <w:bCs/>
                <w:szCs w:val="22"/>
                <w:lang w:val="en-ID"/>
              </w:rPr>
            </w:pPr>
            <w:r w:rsidRPr="006E30A5">
              <w:rPr>
                <w:rFonts w:ascii="Arial" w:eastAsia="Calibri" w:hAnsi="Arial" w:cs="Arial"/>
                <w:b/>
                <w:bCs/>
                <w:szCs w:val="22"/>
                <w:lang w:val="en-ID"/>
              </w:rPr>
              <w:t>Results:</w:t>
            </w:r>
            <w:r>
              <w:rPr>
                <w:rFonts w:ascii="Arial" w:eastAsia="Calibri" w:hAnsi="Arial" w:cs="Arial"/>
                <w:b/>
                <w:bCs/>
                <w:szCs w:val="22"/>
                <w:lang w:val="en-ID"/>
              </w:rPr>
              <w:t xml:space="preserve"> </w:t>
            </w:r>
            <w:r w:rsidRPr="006E30A5">
              <w:rPr>
                <w:rFonts w:ascii="Arial" w:eastAsia="Calibri" w:hAnsi="Arial" w:cs="Arial"/>
                <w:szCs w:val="22"/>
                <w:lang w:val="en-ID"/>
              </w:rPr>
              <w:t>Profitability, liquidity, and asset efficiency significantly and positively influence stock prices, while leverage shows no significant effect. Intrinsic value does not mediate the impact of these variables on stock prices. However, leverage and profitability are found to enhance intrinsic value.</w:t>
            </w:r>
          </w:p>
          <w:p w14:paraId="1D25B7F4" w14:textId="3A2B11FA" w:rsidR="006E30A5" w:rsidRPr="006E30A5" w:rsidRDefault="006E30A5" w:rsidP="006E30A5">
            <w:pPr>
              <w:pStyle w:val="Body"/>
              <w:spacing w:after="0"/>
              <w:rPr>
                <w:rFonts w:ascii="Arial" w:eastAsia="Calibri" w:hAnsi="Arial" w:cs="Arial"/>
                <w:szCs w:val="22"/>
                <w:lang w:val="en-ID"/>
              </w:rPr>
            </w:pPr>
            <w:r w:rsidRPr="006E30A5">
              <w:rPr>
                <w:rFonts w:ascii="Arial" w:eastAsia="Calibri" w:hAnsi="Arial" w:cs="Arial"/>
                <w:b/>
                <w:bCs/>
                <w:szCs w:val="22"/>
                <w:lang w:val="en-ID"/>
              </w:rPr>
              <w:t>Conclusion:</w:t>
            </w:r>
            <w:r>
              <w:rPr>
                <w:rFonts w:ascii="Arial" w:eastAsia="Calibri" w:hAnsi="Arial" w:cs="Arial"/>
                <w:b/>
                <w:bCs/>
                <w:szCs w:val="22"/>
                <w:lang w:val="en-ID"/>
              </w:rPr>
              <w:t xml:space="preserve"> </w:t>
            </w:r>
            <w:r w:rsidRPr="006E30A5">
              <w:rPr>
                <w:rFonts w:ascii="Arial" w:eastAsia="Calibri" w:hAnsi="Arial" w:cs="Arial"/>
                <w:szCs w:val="22"/>
                <w:lang w:val="en-ID"/>
              </w:rPr>
              <w:t>Stock prices in this sector are more influenced by financial performance and market sentiment than by intrinsic valuation. Therefore, management should focus on improving key financial indicators. Investors are advised to use financial ratios as primary tools in making investment decisions in this defensive sector.</w:t>
            </w:r>
          </w:p>
          <w:p w14:paraId="304E80D8" w14:textId="79F0A47B" w:rsidR="002F52FB" w:rsidRPr="005D7961" w:rsidRDefault="002F52FB">
            <w:pPr>
              <w:pStyle w:val="Body"/>
              <w:spacing w:after="0"/>
              <w:rPr>
                <w:rFonts w:ascii="Arial" w:eastAsia="Calibri" w:hAnsi="Arial" w:cs="Arial"/>
                <w:szCs w:val="22"/>
              </w:rPr>
            </w:pPr>
          </w:p>
        </w:tc>
      </w:tr>
    </w:tbl>
    <w:p w14:paraId="1285858C" w14:textId="77777777" w:rsidR="002F52FB" w:rsidRPr="005D7961" w:rsidRDefault="002F52FB">
      <w:pPr>
        <w:jc w:val="both"/>
        <w:rPr>
          <w:rFonts w:ascii="Arial" w:eastAsia="SimSun" w:hAnsi="Arial" w:cs="Arial"/>
        </w:rPr>
      </w:pPr>
    </w:p>
    <w:p w14:paraId="27610A47" w14:textId="77777777" w:rsidR="002F52FB" w:rsidRPr="005D7961" w:rsidRDefault="0092538B">
      <w:pPr>
        <w:rPr>
          <w:rFonts w:ascii="Arial" w:eastAsia="SimSun" w:hAnsi="Arial" w:cs="Arial"/>
          <w:i/>
          <w:iCs/>
        </w:rPr>
      </w:pPr>
      <w:r w:rsidRPr="005D7961">
        <w:rPr>
          <w:rFonts w:ascii="Arial" w:eastAsia="SimSun" w:hAnsi="Arial" w:cs="Arial"/>
          <w:i/>
          <w:iCs/>
        </w:rPr>
        <w:t>Keywords; Profitability, Leverage, Liquidity, Asset Efficiency, Intrinsic Value, Stock Price.</w:t>
      </w:r>
      <w:bookmarkStart w:id="4" w:name="_Hlk201422850"/>
      <w:bookmarkEnd w:id="4"/>
    </w:p>
    <w:p w14:paraId="50D40508" w14:textId="77777777" w:rsidR="002F52FB" w:rsidRPr="005D7961" w:rsidRDefault="002F52FB">
      <w:pPr>
        <w:jc w:val="both"/>
        <w:rPr>
          <w:rFonts w:ascii="Arial" w:eastAsia="SimSun" w:hAnsi="Arial" w:cs="Arial"/>
        </w:rPr>
      </w:pPr>
    </w:p>
    <w:p w14:paraId="70D1E96E" w14:textId="77777777" w:rsidR="002F52FB" w:rsidRPr="005D7961" w:rsidRDefault="002F52FB">
      <w:pPr>
        <w:jc w:val="both"/>
        <w:rPr>
          <w:rFonts w:ascii="Arial" w:eastAsia="SimSun" w:hAnsi="Arial" w:cs="Arial"/>
        </w:rPr>
      </w:pPr>
    </w:p>
    <w:p w14:paraId="3FF525E2" w14:textId="77777777" w:rsidR="002F52FB" w:rsidRPr="005D7961" w:rsidRDefault="002F52FB">
      <w:pPr>
        <w:jc w:val="both"/>
        <w:rPr>
          <w:rFonts w:ascii="Arial" w:eastAsia="SimSun" w:hAnsi="Arial" w:cs="Arial"/>
        </w:rPr>
      </w:pPr>
    </w:p>
    <w:p w14:paraId="3ABB31EF" w14:textId="77777777" w:rsidR="002F52FB" w:rsidRPr="005D7961" w:rsidRDefault="002F52FB">
      <w:pPr>
        <w:jc w:val="both"/>
        <w:rPr>
          <w:rFonts w:ascii="Arial" w:eastAsia="SimSun" w:hAnsi="Arial" w:cs="Arial"/>
        </w:rPr>
      </w:pPr>
    </w:p>
    <w:p w14:paraId="3A7767B4" w14:textId="77777777" w:rsidR="002F52FB" w:rsidRPr="005D7961" w:rsidRDefault="002F52FB">
      <w:pPr>
        <w:jc w:val="both"/>
        <w:rPr>
          <w:rFonts w:ascii="Arial" w:eastAsia="SimSun" w:hAnsi="Arial" w:cs="Arial"/>
        </w:rPr>
      </w:pPr>
    </w:p>
    <w:p w14:paraId="11D241FB" w14:textId="77777777" w:rsidR="002F52FB" w:rsidRPr="005D7961" w:rsidRDefault="002F52FB">
      <w:pPr>
        <w:jc w:val="both"/>
        <w:rPr>
          <w:rFonts w:ascii="Arial" w:eastAsia="SimSun" w:hAnsi="Arial" w:cs="Arial"/>
        </w:rPr>
      </w:pPr>
    </w:p>
    <w:p w14:paraId="7C2680BD" w14:textId="77777777" w:rsidR="002F52FB" w:rsidRDefault="002F52FB" w:rsidP="005D7961">
      <w:pPr>
        <w:spacing w:beforeLines="100" w:before="240"/>
        <w:rPr>
          <w:rFonts w:ascii="Arial" w:eastAsia="SimSun" w:hAnsi="Arial" w:cs="Arial"/>
          <w:b/>
          <w:bCs/>
          <w:sz w:val="22"/>
          <w:szCs w:val="22"/>
        </w:rPr>
      </w:pPr>
    </w:p>
    <w:p w14:paraId="50406368" w14:textId="77777777" w:rsidR="005D7961" w:rsidRDefault="005D7961" w:rsidP="005D7961">
      <w:pPr>
        <w:spacing w:beforeLines="100" w:before="240"/>
        <w:rPr>
          <w:rFonts w:ascii="Arial" w:eastAsia="SimSun" w:hAnsi="Arial" w:cs="Arial"/>
          <w:b/>
          <w:bCs/>
          <w:sz w:val="22"/>
          <w:szCs w:val="22"/>
        </w:rPr>
      </w:pPr>
    </w:p>
    <w:p w14:paraId="14CE7C7D" w14:textId="77777777" w:rsidR="005D7961" w:rsidRDefault="005D7961" w:rsidP="005D7961">
      <w:pPr>
        <w:spacing w:beforeLines="100" w:before="240"/>
        <w:rPr>
          <w:rFonts w:ascii="Arial" w:eastAsia="SimSun" w:hAnsi="Arial" w:cs="Arial"/>
          <w:b/>
          <w:bCs/>
          <w:sz w:val="22"/>
          <w:szCs w:val="22"/>
        </w:rPr>
      </w:pPr>
    </w:p>
    <w:p w14:paraId="6E848682" w14:textId="77777777" w:rsidR="005D7961" w:rsidRDefault="005D7961" w:rsidP="005D7961">
      <w:pPr>
        <w:spacing w:beforeLines="100" w:before="240"/>
        <w:rPr>
          <w:rFonts w:ascii="Arial" w:eastAsia="SimSun" w:hAnsi="Arial" w:cs="Arial"/>
          <w:b/>
          <w:bCs/>
          <w:sz w:val="22"/>
          <w:szCs w:val="22"/>
        </w:rPr>
      </w:pPr>
    </w:p>
    <w:p w14:paraId="1929D9CB" w14:textId="77777777" w:rsidR="00121569" w:rsidRDefault="00121569" w:rsidP="005D7961">
      <w:pPr>
        <w:spacing w:beforeLines="100" w:before="240"/>
        <w:rPr>
          <w:rFonts w:ascii="Arial" w:eastAsia="SimSun" w:hAnsi="Arial" w:cs="Arial"/>
          <w:b/>
          <w:bCs/>
          <w:sz w:val="22"/>
          <w:szCs w:val="22"/>
        </w:rPr>
      </w:pPr>
    </w:p>
    <w:p w14:paraId="4A39E8A4" w14:textId="77777777" w:rsidR="005D7961" w:rsidRPr="005D7961" w:rsidRDefault="005D7961" w:rsidP="005D7961">
      <w:pPr>
        <w:spacing w:beforeLines="100" w:before="240"/>
        <w:rPr>
          <w:rFonts w:ascii="Arial" w:eastAsia="SimSun" w:hAnsi="Arial" w:cs="Arial"/>
          <w:b/>
          <w:bCs/>
          <w:sz w:val="22"/>
          <w:szCs w:val="22"/>
        </w:rPr>
        <w:sectPr w:rsidR="005D7961" w:rsidRPr="005D7961">
          <w:headerReference w:type="even" r:id="rId9"/>
          <w:headerReference w:type="default" r:id="rId10"/>
          <w:footerReference w:type="even" r:id="rId11"/>
          <w:footerReference w:type="default" r:id="rId12"/>
          <w:headerReference w:type="first" r:id="rId13"/>
          <w:footerReference w:type="first" r:id="rId14"/>
          <w:pgSz w:w="11906" w:h="16838"/>
          <w:pgMar w:top="1440" w:right="2018" w:bottom="2018" w:left="2018" w:header="720" w:footer="1298" w:gutter="0"/>
          <w:cols w:space="0"/>
          <w:titlePg/>
          <w:docGrid w:linePitch="360"/>
        </w:sectPr>
      </w:pPr>
    </w:p>
    <w:p w14:paraId="2A9EA6BC" w14:textId="77777777" w:rsidR="002F52FB" w:rsidRPr="005D7961" w:rsidRDefault="0092538B">
      <w:pPr>
        <w:spacing w:beforeLines="100" w:before="240"/>
        <w:rPr>
          <w:rFonts w:ascii="Arial" w:eastAsia="SimSun" w:hAnsi="Arial" w:cs="Arial"/>
          <w:b/>
          <w:bCs/>
          <w:sz w:val="22"/>
          <w:szCs w:val="22"/>
        </w:rPr>
        <w:sectPr w:rsidR="002F52FB" w:rsidRPr="005D7961">
          <w:type w:val="continuous"/>
          <w:pgSz w:w="11906" w:h="16838"/>
          <w:pgMar w:top="1440" w:right="2018" w:bottom="2018" w:left="2018" w:header="720" w:footer="1298" w:gutter="0"/>
          <w:cols w:num="2" w:space="709"/>
          <w:titlePg/>
          <w:docGrid w:linePitch="360"/>
        </w:sectPr>
      </w:pPr>
      <w:bookmarkStart w:id="5" w:name="_Hlk201422943"/>
      <w:r w:rsidRPr="005D7961">
        <w:rPr>
          <w:rFonts w:ascii="Arial" w:eastAsia="SimSun" w:hAnsi="Arial" w:cs="Arial"/>
          <w:b/>
          <w:bCs/>
          <w:sz w:val="22"/>
          <w:szCs w:val="22"/>
        </w:rPr>
        <w:t>1. INTRODUCTION</w:t>
      </w:r>
    </w:p>
    <w:p w14:paraId="236F34E5" w14:textId="207A1CBA" w:rsidR="002F52FB" w:rsidRPr="005D7961" w:rsidRDefault="0092538B">
      <w:pPr>
        <w:ind w:firstLine="720"/>
        <w:jc w:val="both"/>
        <w:rPr>
          <w:rFonts w:ascii="Arial" w:eastAsia="SimSun" w:hAnsi="Arial" w:cs="Arial"/>
        </w:rPr>
        <w:sectPr w:rsidR="002F52FB" w:rsidRPr="005D7961">
          <w:type w:val="continuous"/>
          <w:pgSz w:w="11906" w:h="16838"/>
          <w:pgMar w:top="1440" w:right="2018" w:bottom="2018" w:left="2018" w:header="720" w:footer="720" w:gutter="0"/>
          <w:cols w:num="2" w:space="709"/>
          <w:docGrid w:linePitch="360"/>
        </w:sectPr>
      </w:pPr>
      <w:r w:rsidRPr="005D7961">
        <w:rPr>
          <w:rFonts w:ascii="Arial" w:eastAsia="SimSun" w:hAnsi="Arial" w:cs="Arial"/>
        </w:rPr>
        <w:t xml:space="preserve">The capital market can be considered as a key indicator that reflects macroeconomic conditions as well as investor sentiment </w:t>
      </w:r>
      <w:sdt>
        <w:sdtPr>
          <w:rPr>
            <w:rFonts w:ascii="Arial" w:eastAsia="SimSun" w:hAnsi="Arial" w:cs="Arial"/>
            <w:color w:val="000000"/>
          </w:rPr>
          <w:tag w:val="MENDELEY_CITATION_v3_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"/>
          <w:id w:val="-411624360"/>
          <w:placeholder>
            <w:docPart w:val="DefaultPlaceholder_-1854013440"/>
          </w:placeholder>
        </w:sdtPr>
        <w:sdtEndPr/>
        <w:sdtContent>
          <w:r w:rsidR="007E0157" w:rsidRPr="005D7961">
            <w:rPr>
              <w:rFonts w:ascii="Arial" w:eastAsia="Times New Roman" w:hAnsi="Arial" w:cs="Arial"/>
              <w:color w:val="000000"/>
            </w:rPr>
            <w:t>(Waryati &amp; Solaiman, 2022).</w:t>
          </w:r>
        </w:sdtContent>
      </w:sdt>
      <w:r w:rsidRPr="005D7961">
        <w:rPr>
          <w:rFonts w:ascii="Arial" w:eastAsia="SimSun" w:hAnsi="Arial" w:cs="Arial"/>
        </w:rPr>
        <w:t xml:space="preserve"> In the last five years, the Composite Stock Price Index (JCI) has shown quite good development, indicating a national economic recovery after the pandemic. However, when viewed from a sectoral perspective, there are irregularities in the </w:t>
      </w:r>
      <w:r w:rsidRPr="005D7961">
        <w:rPr>
          <w:rFonts w:ascii="Arial" w:eastAsia="SimSun" w:hAnsi="Arial" w:cs="Arial"/>
          <w:i/>
          <w:iCs/>
        </w:rPr>
        <w:t>non-cyclical consumer sector</w:t>
      </w:r>
      <w:r w:rsidR="003852F3" w:rsidRPr="005D7961">
        <w:rPr>
          <w:rFonts w:ascii="Arial" w:eastAsia="SimSun" w:hAnsi="Arial" w:cs="Arial"/>
          <w:i/>
          <w:iCs/>
        </w:rPr>
        <w:t xml:space="preserve"> </w:t>
      </w:r>
      <w:r w:rsidRPr="005D7961">
        <w:rPr>
          <w:rFonts w:ascii="Arial" w:eastAsia="SimSun" w:hAnsi="Arial" w:cs="Arial"/>
        </w:rPr>
        <w:t xml:space="preserve">which actually experienced a decline in the performance of the index. This phenomenon is interesting because the non-cyclical consumer sector is generally considered defensive and stable against economic shocks </w:t>
      </w:r>
      <w:sdt>
        <w:sdtPr>
          <w:rPr>
            <w:rFonts w:ascii="Arial" w:eastAsia="SimSun" w:hAnsi="Arial" w:cs="Arial"/>
            <w:color w:val="000000"/>
          </w:rPr>
          <w:tag w:val="MENDELEY_CITATION_v3_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"/>
          <w:id w:val="1433864479"/>
          <w:placeholder>
            <w:docPart w:val="DefaultPlaceholder_-1854013440"/>
          </w:placeholder>
        </w:sdtPr>
        <w:sdtEndPr/>
        <w:sdtContent>
          <w:r w:rsidR="007E0157" w:rsidRPr="005D7961">
            <w:rPr>
              <w:rFonts w:ascii="Arial" w:eastAsia="SimSun" w:hAnsi="Arial" w:cs="Arial"/>
              <w:color w:val="000000"/>
            </w:rPr>
            <w:t>(Rokhyani et al., 2023).</w:t>
          </w:r>
        </w:sdtContent>
      </w:sdt>
    </w:p>
    <w:p w14:paraId="7C4CEA50" w14:textId="77777777" w:rsidR="002F52FB" w:rsidRPr="005D7961" w:rsidRDefault="002F52FB">
      <w:pPr>
        <w:jc w:val="center"/>
        <w:rPr>
          <w:rFonts w:ascii="Arial" w:eastAsia="SimSun" w:hAnsi="Arial" w:cs="Arial"/>
          <w:i/>
          <w:iCs/>
          <w:sz w:val="13"/>
          <w:szCs w:val="13"/>
        </w:rPr>
      </w:pPr>
    </w:p>
    <w:p w14:paraId="2DC5F6F3" w14:textId="77777777" w:rsidR="002F52FB" w:rsidRPr="005D7961" w:rsidRDefault="0092538B">
      <w:pPr>
        <w:jc w:val="center"/>
        <w:rPr>
          <w:rFonts w:ascii="Arial" w:eastAsia="SimSun" w:hAnsi="Arial" w:cs="Arial"/>
          <w:i/>
          <w:iCs/>
          <w:sz w:val="13"/>
          <w:szCs w:val="13"/>
        </w:rPr>
      </w:pPr>
      <w:r w:rsidRPr="005D7961">
        <w:rPr>
          <w:rFonts w:ascii="Arial" w:eastAsia="SimSun" w:hAnsi="Arial" w:cs="Arial"/>
          <w:i/>
          <w:iCs/>
          <w:noProof/>
          <w:sz w:val="13"/>
          <w:szCs w:val="13"/>
          <w:lang w:val="en-US" w:eastAsia="en-US"/>
        </w:rPr>
        <w:drawing>
          <wp:inline distT="0" distB="0" distL="0" distR="0" wp14:anchorId="69DB43E5" wp14:editId="17500A9D">
            <wp:extent cx="3892550" cy="2162175"/>
            <wp:effectExtent l="19050" t="19050" r="12700" b="28575"/>
            <wp:docPr id="159803005" name="Picture 2" descr="A graph of different color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3005" name="Picture 2" descr="A graph of different colored lines"/>
                    <pic:cNvPicPr>
                      <a:picLocks noChangeAspect="1"/>
                    </pic:cNvPicPr>
                  </pic:nvPicPr>
                  <pic:blipFill>
                    <a:blip r:embed="rId15" cstate="print">
                      <a:extLst>
                        <a:ext uri="{28A0092B-C50C-407E-A947-70E740481C1C}">
                          <a14:useLocalDpi xmlns:a14="http://schemas.microsoft.com/office/drawing/2010/main" val="0"/>
                        </a:ext>
                      </a:extLst>
                    </a:blip>
                    <a:srcRect t="12165"/>
                    <a:stretch>
                      <a:fillRect/>
                    </a:stretch>
                  </pic:blipFill>
                  <pic:spPr>
                    <a:xfrm>
                      <a:off x="0" y="0"/>
                      <a:ext cx="3955325" cy="2197424"/>
                    </a:xfrm>
                    <a:prstGeom prst="rect">
                      <a:avLst/>
                    </a:prstGeom>
                    <a:ln>
                      <a:solidFill>
                        <a:schemeClr val="tx1"/>
                      </a:solidFill>
                    </a:ln>
                  </pic:spPr>
                </pic:pic>
              </a:graphicData>
            </a:graphic>
          </wp:inline>
        </w:drawing>
      </w:r>
    </w:p>
    <w:p w14:paraId="1E9F93BC" w14:textId="77777777" w:rsidR="002F52FB" w:rsidRPr="005D7961" w:rsidRDefault="0092538B">
      <w:pPr>
        <w:jc w:val="center"/>
        <w:rPr>
          <w:rFonts w:ascii="Arial" w:eastAsia="SimSun" w:hAnsi="Arial" w:cs="Arial"/>
          <w:i/>
          <w:iCs/>
          <w:sz w:val="16"/>
          <w:szCs w:val="16"/>
        </w:rPr>
      </w:pPr>
      <w:r w:rsidRPr="005D7961">
        <w:rPr>
          <w:rFonts w:ascii="Arial" w:eastAsia="SimSun" w:hAnsi="Arial" w:cs="Arial"/>
          <w:i/>
          <w:iCs/>
          <w:sz w:val="16"/>
          <w:szCs w:val="16"/>
        </w:rPr>
        <w:t>Source; Indonesia Stock Exchange</w:t>
      </w:r>
    </w:p>
    <w:p w14:paraId="6AF34366" w14:textId="77777777" w:rsidR="002F52FB" w:rsidRPr="005D7961" w:rsidRDefault="0092538B">
      <w:pPr>
        <w:jc w:val="center"/>
        <w:rPr>
          <w:rFonts w:ascii="Arial" w:eastAsia="SimSun" w:hAnsi="Arial" w:cs="Arial"/>
          <w:sz w:val="16"/>
          <w:szCs w:val="16"/>
        </w:rPr>
        <w:sectPr w:rsidR="002F52FB" w:rsidRPr="005D7961">
          <w:type w:val="continuous"/>
          <w:pgSz w:w="11906" w:h="16838"/>
          <w:pgMar w:top="1440" w:right="2018" w:bottom="2018" w:left="2018" w:header="720" w:footer="720" w:gutter="0"/>
          <w:cols w:space="0"/>
          <w:docGrid w:linePitch="360"/>
        </w:sectPr>
      </w:pPr>
      <w:r w:rsidRPr="005D7961">
        <w:rPr>
          <w:rFonts w:ascii="Arial" w:eastAsia="SimSun" w:hAnsi="Arial" w:cs="Arial"/>
          <w:i/>
          <w:iCs/>
          <w:sz w:val="16"/>
          <w:szCs w:val="16"/>
        </w:rPr>
        <w:t>Figure 1. Historical Statistics of the Performance of the AALI, UNVR, and INDF</w:t>
      </w:r>
    </w:p>
    <w:p w14:paraId="116D916D" w14:textId="77777777" w:rsidR="002F52FB" w:rsidRPr="005D7961" w:rsidRDefault="002F52FB">
      <w:pPr>
        <w:jc w:val="both"/>
        <w:rPr>
          <w:rFonts w:ascii="Arial" w:eastAsia="SimSun" w:hAnsi="Arial" w:cs="Arial"/>
        </w:rPr>
      </w:pPr>
    </w:p>
    <w:p w14:paraId="3370AF55" w14:textId="77777777" w:rsidR="002F52FB" w:rsidRPr="005D7961" w:rsidRDefault="002F52FB">
      <w:pPr>
        <w:jc w:val="both"/>
        <w:rPr>
          <w:rFonts w:ascii="Arial" w:eastAsia="SimSun" w:hAnsi="Arial" w:cs="Arial"/>
        </w:rPr>
        <w:sectPr w:rsidR="002F52FB" w:rsidRPr="005D7961">
          <w:type w:val="continuous"/>
          <w:pgSz w:w="11906" w:h="16838"/>
          <w:pgMar w:top="1440" w:right="2018" w:bottom="2018" w:left="2018" w:header="720" w:footer="720" w:gutter="0"/>
          <w:cols w:space="0"/>
          <w:docGrid w:linePitch="360"/>
        </w:sectPr>
      </w:pPr>
    </w:p>
    <w:p w14:paraId="05031438" w14:textId="50CDEA4E" w:rsidR="002F52FB" w:rsidRPr="005D7961" w:rsidRDefault="0092538B">
      <w:pPr>
        <w:ind w:firstLine="720"/>
        <w:jc w:val="both"/>
        <w:rPr>
          <w:rFonts w:ascii="Arial" w:eastAsia="SimSun" w:hAnsi="Arial" w:cs="Arial"/>
        </w:rPr>
      </w:pPr>
      <w:r w:rsidRPr="005D7961">
        <w:rPr>
          <w:rFonts w:ascii="Arial" w:eastAsia="SimSun" w:hAnsi="Arial" w:cs="Arial"/>
        </w:rPr>
        <w:t xml:space="preserve">Based on data from Google Finance (2020–2025), JCI recorded significant growth of +43.82%, up from 4,942.27 to 7,107.79. On the other hand, the non-cyclical consumer index actually weakened by -8.53%, from 737 down to 674.75, contrary to market expectations. This trend is strengthened by the performance of stocks for the 2019–2024 period which showed significant weakness. The </w:t>
      </w:r>
      <w:r w:rsidR="006E30A5">
        <w:rPr>
          <w:rFonts w:ascii="Arial" w:eastAsia="SimSun" w:hAnsi="Arial" w:cs="Arial"/>
        </w:rPr>
        <w:t>figure .1</w:t>
      </w:r>
      <w:r w:rsidRPr="005D7961">
        <w:rPr>
          <w:rFonts w:ascii="Arial" w:eastAsia="SimSun" w:hAnsi="Arial" w:cs="Arial"/>
        </w:rPr>
        <w:t xml:space="preserve"> noted a sharp and consistent decline in AALI shares, from around IDR 14,575 to IDR 6,200, and UNVR which declined from IDR 8,400 to IDR 1,885. On the other hand, INDF shares are relatively stable; Although it had fallen, the price recovered near the initial level in 2024. This condition indicates that there is great pressure in the non-cyclical consumer sector even though the JCI as a whole strengthened. Although theoretically the sector is defensive, these findings suggest that stock prices remain influenced by fundamental factors and dynamic economic conditions </w:t>
      </w:r>
      <w:sdt>
        <w:sdtPr>
          <w:rPr>
            <w:rFonts w:ascii="Arial" w:eastAsia="SimSun" w:hAnsi="Arial" w:cs="Arial"/>
            <w:color w:val="000000"/>
          </w:rPr>
          <w:tag w:val="MENDELEY_CITATION_v3_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"/>
          <w:id w:val="-649058057"/>
          <w:placeholder>
            <w:docPart w:val="DefaultPlaceholder_-1854013440"/>
          </w:placeholder>
        </w:sdtPr>
        <w:sdtEndPr/>
        <w:sdtContent>
          <w:r w:rsidR="007E0157" w:rsidRPr="005D7961">
            <w:rPr>
              <w:rFonts w:ascii="Arial" w:eastAsia="Times New Roman" w:hAnsi="Arial" w:cs="Arial"/>
              <w:color w:val="000000"/>
            </w:rPr>
            <w:t>(Barsyah &amp; Hermi, 2025).</w:t>
          </w:r>
        </w:sdtContent>
      </w:sdt>
      <w:r w:rsidRPr="005D7961">
        <w:rPr>
          <w:rFonts w:ascii="Arial" w:eastAsia="SimSun" w:hAnsi="Arial" w:cs="Arial"/>
        </w:rPr>
        <w:t xml:space="preserve"> In the context of investment, financial ratios are the main tool in assessing a company's fundamental performance, such as profitability, solvency, liquidity, and activity </w:t>
      </w:r>
      <w:sdt>
        <w:sdtPr>
          <w:rPr>
            <w:rFonts w:ascii="Arial" w:eastAsia="SimSun" w:hAnsi="Arial" w:cs="Arial"/>
            <w:color w:val="000000"/>
          </w:rPr>
          <w:tag w:val="MENDELEY_CITATION_v3_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"/>
          <w:id w:val="779141298"/>
          <w:placeholder>
            <w:docPart w:val="DefaultPlaceholder_-1854013440"/>
          </w:placeholder>
        </w:sdtPr>
        <w:sdtEndPr/>
        <w:sdtContent>
          <w:r w:rsidR="007E0157" w:rsidRPr="005D7961">
            <w:rPr>
              <w:rFonts w:ascii="Arial" w:eastAsia="Times New Roman" w:hAnsi="Arial" w:cs="Arial"/>
              <w:color w:val="000000"/>
            </w:rPr>
            <w:t>(Salsabila &amp; Miranti, 2021)</w:t>
          </w:r>
        </w:sdtContent>
      </w:sdt>
      <w:r w:rsidRPr="005D7961">
        <w:rPr>
          <w:rFonts w:ascii="Arial" w:eastAsia="SimSun" w:hAnsi="Arial" w:cs="Arial"/>
        </w:rPr>
        <w:t>.</w:t>
      </w:r>
    </w:p>
    <w:p w14:paraId="622B4EA1" w14:textId="0BFADC74" w:rsidR="002F52FB" w:rsidRPr="005D7961" w:rsidRDefault="0092538B">
      <w:pPr>
        <w:ind w:firstLine="720"/>
        <w:jc w:val="both"/>
        <w:rPr>
          <w:rFonts w:ascii="Arial" w:eastAsia="Helvetica" w:hAnsi="Arial" w:cs="Arial"/>
          <w:lang w:val="zh-CN" w:bidi="ar"/>
        </w:rPr>
      </w:pPr>
      <w:r w:rsidRPr="005D7961">
        <w:rPr>
          <w:rFonts w:ascii="Arial" w:eastAsia="Helvetica" w:hAnsi="Arial" w:cs="Arial"/>
          <w:lang w:bidi="ar"/>
        </w:rPr>
        <w:t xml:space="preserve">A key ratio that investors focus on the most is profitability. </w:t>
      </w:r>
      <w:r w:rsidRPr="005D7961">
        <w:rPr>
          <w:rFonts w:ascii="Arial" w:eastAsia="Helvetica" w:hAnsi="Arial" w:cs="Arial"/>
          <w:lang w:val="zh-CN" w:bidi="ar"/>
        </w:rPr>
        <w:t xml:space="preserve">Profitability indicates a company's capacity to produce profits and demonstrates the efficiency of asset management over a specific period </w:t>
      </w:r>
      <w:sdt>
        <w:sdtPr>
          <w:rPr>
            <w:rFonts w:ascii="Arial" w:hAnsi="Arial" w:cs="Arial"/>
            <w:color w:val="000000"/>
          </w:rPr>
          <w:tag w:val="MENDELEY_CITATION_v3_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"/>
          <w:id w:val="104859613"/>
          <w:placeholder>
            <w:docPart w:val="DefaultPlaceholder_-1854013440"/>
          </w:placeholder>
        </w:sdtPr>
        <w:sdtEndPr/>
        <w:sdtContent>
          <w:r w:rsidR="007E0157" w:rsidRPr="005D7961">
            <w:rPr>
              <w:rFonts w:ascii="Arial" w:hAnsi="Arial" w:cs="Arial"/>
              <w:color w:val="000000"/>
            </w:rPr>
            <w:t>(Suwandani et al., 2017).</w:t>
          </w:r>
        </w:sdtContent>
      </w:sdt>
      <w:r w:rsidRPr="005D7961">
        <w:rPr>
          <w:rFonts w:ascii="Arial" w:eastAsia="Helvetica" w:hAnsi="Arial" w:cs="Arial"/>
          <w:lang w:bidi="ar"/>
        </w:rPr>
        <w:t xml:space="preserve"> This ratio is an important indicator for investors because it provides an overview of potential returns and managerial efficiency </w:t>
      </w:r>
      <w:sdt>
        <w:sdtPr>
          <w:rPr>
            <w:rFonts w:ascii="Arial" w:eastAsia="Helvetica" w:hAnsi="Arial" w:cs="Arial"/>
            <w:color w:val="000000"/>
            <w:lang w:bidi="ar"/>
          </w:rPr>
          <w:tag w:val="MENDELEY_CITATION_v3_eyJjaXRhdGlvbklEIjoiTUVOREVMRVlfQ0lUQVRJT05fN2M5Y2IzYmItMzgwYy00NmM5LWE3MDMtYjM3ODVjMmJiMTg0IiwicHJvcGVydGllcyI6eyJub3RlSW5kZXgiOjB9LCJpc0VkaXRlZCI6ZmFsc2UsIm1hbnVhbE92ZXJyaWRlIjp7ImlzTWFudWFsbHlPdmVycmlkZGVuIjp0cnVlLCJjaXRlcHJvY1RleHQiOiIoV2FoeXVuaW5ncnVtICYjMzg7IFN1bmFydG8sIDIwMjMpIiwibWFudWFsT3ZlcnJpZGVUZXh0IjoiKFdhaHl1bmluZ3J1bSAmIFN1bmFydG8sIDIwMjMpLi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
          <w:id w:val="1249392027"/>
          <w:placeholder>
            <w:docPart w:val="DefaultPlaceholder_-1854013440"/>
          </w:placeholder>
        </w:sdtPr>
        <w:sdtEndPr/>
        <w:sdtContent>
          <w:r w:rsidR="007E0157" w:rsidRPr="005D7961">
            <w:rPr>
              <w:rFonts w:ascii="Arial" w:eastAsia="Times New Roman" w:hAnsi="Arial" w:cs="Arial"/>
              <w:color w:val="000000"/>
            </w:rPr>
            <w:t>(Wahyuningrum &amp; Sunarto, 2023).</w:t>
          </w:r>
        </w:sdtContent>
      </w:sdt>
      <w:r w:rsidRPr="005D7961">
        <w:rPr>
          <w:rFonts w:ascii="Arial" w:eastAsia="Helvetica" w:hAnsi="Arial" w:cs="Arial"/>
          <w:lang w:bidi="ar"/>
        </w:rPr>
        <w:t xml:space="preserve"> A number of studies show that stock prices increase because</w:t>
      </w:r>
      <w:r w:rsidR="003852F3" w:rsidRPr="005D7961">
        <w:rPr>
          <w:rFonts w:ascii="Arial" w:eastAsia="Helvetica" w:hAnsi="Arial" w:cs="Arial"/>
          <w:lang w:bidi="ar"/>
        </w:rPr>
        <w:t xml:space="preserve"> </w:t>
      </w:r>
      <w:r w:rsidRPr="005D7961">
        <w:rPr>
          <w:rFonts w:ascii="Arial" w:eastAsia="Helvetica" w:hAnsi="Arial" w:cs="Arial"/>
          <w:lang w:bidi="ar"/>
        </w:rPr>
        <w:t xml:space="preserve">high profitability reinforces a positive perception of the company's prospects. </w:t>
      </w:r>
      <w:sdt>
        <w:sdtPr>
          <w:rPr>
            <w:rFonts w:ascii="Arial" w:eastAsia="Helvetica" w:hAnsi="Arial" w:cs="Arial"/>
            <w:color w:val="000000"/>
            <w:lang w:bidi="ar"/>
          </w:rPr>
          <w:tag w:val="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"/>
          <w:id w:val="543260384"/>
          <w:placeholder>
            <w:docPart w:val="DefaultPlaceholder_-1854013440"/>
          </w:placeholder>
        </w:sdtPr>
        <w:sdtEndPr/>
        <w:sdtContent>
          <w:r w:rsidR="007E0157" w:rsidRPr="005D7961">
            <w:rPr>
              <w:rFonts w:ascii="Arial" w:eastAsia="Times New Roman" w:hAnsi="Arial" w:cs="Arial"/>
              <w:color w:val="000000"/>
            </w:rPr>
            <w:t>(Puspitasari et al., 2025; Putra &amp; Sari, 2023; Saputra, 2022; Sukesti et al., 2021).</w:t>
          </w:r>
        </w:sdtContent>
      </w:sdt>
      <w:r w:rsidRPr="005D7961">
        <w:rPr>
          <w:rFonts w:ascii="Arial" w:eastAsia="Helvetica" w:hAnsi="Arial" w:cs="Arial"/>
          <w:lang w:bidi="ar"/>
        </w:rPr>
        <w:t xml:space="preserve"> However, some studies have also found that profitability can negatively impact stock prices </w:t>
      </w:r>
      <w:sdt>
        <w:sdtPr>
          <w:rPr>
            <w:rFonts w:ascii="Arial" w:eastAsia="Helvetica" w:hAnsi="Arial" w:cs="Arial"/>
            <w:color w:val="000000"/>
            <w:lang w:bidi="ar"/>
          </w:rPr>
          <w:tag w:val="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"/>
          <w:id w:val="1044636534"/>
          <w:placeholder>
            <w:docPart w:val="DefaultPlaceholder_-1854013440"/>
          </w:placeholder>
        </w:sdtPr>
        <w:sdtEndPr/>
        <w:sdtContent>
          <w:r w:rsidR="007E0157" w:rsidRPr="005D7961">
            <w:rPr>
              <w:rFonts w:ascii="Arial" w:eastAsia="Times New Roman" w:hAnsi="Arial" w:cs="Arial"/>
              <w:color w:val="000000"/>
            </w:rPr>
            <w:t>(Ginting et al., 2024; Kusumaningrum &amp; Iswara, 2022; Muktiadji &amp; Pamungkas, 2022).</w:t>
          </w:r>
        </w:sdtContent>
      </w:sdt>
      <w:r w:rsidRPr="005D7961">
        <w:rPr>
          <w:rFonts w:ascii="Arial" w:eastAsia="Helvetica" w:hAnsi="Arial" w:cs="Arial"/>
          <w:lang w:bidi="ar"/>
        </w:rPr>
        <w:t xml:space="preserve"> </w:t>
      </w:r>
    </w:p>
    <w:p w14:paraId="32746FB9" w14:textId="6F20E29D" w:rsidR="002F52FB" w:rsidRPr="005D7961" w:rsidRDefault="0092538B">
      <w:pPr>
        <w:ind w:firstLine="720"/>
        <w:jc w:val="both"/>
        <w:rPr>
          <w:rFonts w:ascii="Arial" w:hAnsi="Arial" w:cs="Arial"/>
        </w:rPr>
      </w:pPr>
      <w:r w:rsidRPr="005D7961">
        <w:rPr>
          <w:rFonts w:ascii="Arial" w:hAnsi="Arial" w:cs="Arial"/>
        </w:rPr>
        <w:t xml:space="preserve">In addition to profitability, the capital structure reflected through leverage is also the focus of investors in assessing the company's performance. Leverage reflects the proportion of a company's financing sourced from debt </w:t>
      </w:r>
      <w:sdt>
        <w:sdtPr>
          <w:rPr>
            <w:rFonts w:ascii="Arial" w:hAnsi="Arial" w:cs="Arial"/>
            <w:color w:val="000000"/>
          </w:rPr>
          <w:tag w:val="MENDELEY_CITATION_v3_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"/>
          <w:id w:val="1673131468"/>
          <w:placeholder>
            <w:docPart w:val="DefaultPlaceholder_-1854013440"/>
          </w:placeholder>
        </w:sdtPr>
        <w:sdtEndPr/>
        <w:sdtContent>
          <w:r w:rsidR="007E0157" w:rsidRPr="005D7961">
            <w:rPr>
              <w:rFonts w:ascii="Arial" w:eastAsia="Times New Roman" w:hAnsi="Arial" w:cs="Arial"/>
              <w:color w:val="000000"/>
            </w:rPr>
            <w:t>(Arhinful &amp; Radmehr, 2023).</w:t>
          </w:r>
        </w:sdtContent>
      </w:sdt>
      <w:r w:rsidRPr="005D7961">
        <w:rPr>
          <w:rFonts w:ascii="Arial" w:hAnsi="Arial" w:cs="Arial"/>
        </w:rPr>
        <w:t xml:space="preserve"> High leverage can reflect managerial ability to manage risk and take advantage of tax benefits through a debt tax shield strategy </w:t>
      </w:r>
      <w:sdt>
        <w:sdtPr>
          <w:rPr>
            <w:rFonts w:ascii="Arial" w:hAnsi="Arial" w:cs="Arial"/>
            <w:color w:val="000000"/>
          </w:rPr>
          <w:tag w:val="MENDELEY_CITATION_v3_eyJjaXRhdGlvbklEIjoiTUVOREVMRVlfQ0lUQVRJT05fM2RkNzY3ZTUtOTY0Yi00NTAzLThmOGEtYWQzMDBhMWUyZDVhIiwicHJvcGVydGllcyI6eyJub3RlSW5kZXgiOjB9LCJpc0VkaXRlZCI6ZmFsc2UsIm1hbnVhbE92ZXJyaWRlIjp7ImlzTWFudWFsbHlPdmVycmlkZGVuIjp0cnVlLCJjaXRlcHJvY1RleHQiOiIoS2ltIGV0IGFsLiwgMjAyMykiLCJtYW51YWxPdmVycmlkZVRleHQiOiIoS2ltIGV0IGFsLiwgMjAyMyks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
          <w:id w:val="1457063665"/>
          <w:placeholder>
            <w:docPart w:val="DefaultPlaceholder_-1854013440"/>
          </w:placeholder>
        </w:sdtPr>
        <w:sdtEndPr/>
        <w:sdtContent>
          <w:r w:rsidR="007E0157" w:rsidRPr="005D7961">
            <w:rPr>
              <w:rFonts w:ascii="Arial" w:hAnsi="Arial" w:cs="Arial"/>
              <w:color w:val="000000"/>
            </w:rPr>
            <w:t>(Kim et al., 2023),</w:t>
          </w:r>
        </w:sdtContent>
      </w:sdt>
      <w:r w:rsidRPr="005D7961">
        <w:rPr>
          <w:rFonts w:ascii="Arial" w:hAnsi="Arial" w:cs="Arial"/>
        </w:rPr>
        <w:t xml:space="preserve"> which has an impact on increasing net profit </w:t>
      </w:r>
      <w:sdt>
        <w:sdtPr>
          <w:rPr>
            <w:rFonts w:ascii="Arial" w:hAnsi="Arial" w:cs="Arial"/>
            <w:color w:val="000000"/>
          </w:rPr>
          <w:tag w:val="MENDELEY_CITATION_v3_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"/>
          <w:id w:val="-214735454"/>
          <w:placeholder>
            <w:docPart w:val="DefaultPlaceholder_-1854013440"/>
          </w:placeholder>
        </w:sdtPr>
        <w:sdtEndPr/>
        <w:sdtContent>
          <w:r w:rsidR="007E0157" w:rsidRPr="005D7961">
            <w:rPr>
              <w:rFonts w:ascii="Arial" w:hAnsi="Arial" w:cs="Arial"/>
              <w:color w:val="000000"/>
            </w:rPr>
            <w:t>(Silas et al., 2025).</w:t>
          </w:r>
        </w:sdtContent>
      </w:sdt>
      <w:r w:rsidRPr="005D7961">
        <w:rPr>
          <w:rFonts w:ascii="Arial" w:hAnsi="Arial" w:cs="Arial"/>
        </w:rPr>
        <w:t xml:space="preserve"> Certain studies have discovered that leverage positively affects stock prices, as it is believed to enhance profitability </w:t>
      </w:r>
      <w:sdt>
        <w:sdtPr>
          <w:rPr>
            <w:rFonts w:ascii="Arial" w:hAnsi="Arial" w:cs="Arial"/>
            <w:color w:val="000000"/>
          </w:rPr>
          <w:tag w:val="MENDELEY_CITATION_v3_eyJjaXRhdGlvbklEIjoiTUVOREVMRVlfQ0lUQVRJT05fMDllN2Y4ZTctNDEyZS00ZDRjLWEwZTQtNWQzYzZmMDI5MGM4IiwicHJvcGVydGllcyI6eyJub3RlSW5kZXgiOjB9LCJpc0VkaXRlZCI6ZmFsc2UsIm1hbnVhbE92ZXJyaWRlIjp7ImlzTWFudWFsbHlPdmVycmlkZGVuIjp0cnVlLCJjaXRlcHJvY1RleHQiOiIoRW1hbnVlICYjMzg7IFJpd2F5YXRpLCAyMDI0OyBLdXN1bWEgZXQgYWwuLCAyMDI0OyBTdXdhcm5vICYjMzg7IE11dGhtYWlubmFoLCAyMDI0KSIsIm1hbnVhbE92ZXJyaWRlVGV4dCI6IihFbWFudWUgJiBSaXdheWF0aSwgMjAyNDsgS3VzdW1hIGV0IGFsLiwgMjAyNDsgU3V3YXJubyAmIE11dGhtYWlubmFoLCAyMDI0KS4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
          <w:id w:val="-458798545"/>
          <w:placeholder>
            <w:docPart w:val="DefaultPlaceholder_-1854013440"/>
          </w:placeholder>
        </w:sdtPr>
        <w:sdtEndPr/>
        <w:sdtContent>
          <w:r w:rsidR="007E0157" w:rsidRPr="005D7961">
            <w:rPr>
              <w:rFonts w:ascii="Arial" w:eastAsia="Times New Roman" w:hAnsi="Arial" w:cs="Arial"/>
              <w:color w:val="000000"/>
            </w:rPr>
            <w:t>(Emanue &amp; Riwayati, 2024; Kusuma et al., 2024; Suwarno &amp; Muthmainnah, 2024).</w:t>
          </w:r>
        </w:sdtContent>
      </w:sdt>
      <w:r w:rsidRPr="005D7961">
        <w:rPr>
          <w:rFonts w:ascii="Arial" w:hAnsi="Arial" w:cs="Arial"/>
        </w:rPr>
        <w:t xml:space="preserve"> However, other findings show a negative influence, as high debt is also perceived to increase financial risk </w:t>
      </w:r>
      <w:sdt>
        <w:sdtPr>
          <w:rPr>
            <w:rFonts w:ascii="Arial" w:hAnsi="Arial" w:cs="Arial"/>
            <w:color w:val="000000"/>
          </w:rPr>
          <w:tag w:val="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"/>
          <w:id w:val="1175769563"/>
          <w:placeholder>
            <w:docPart w:val="DefaultPlaceholder_-1854013440"/>
          </w:placeholder>
        </w:sdtPr>
        <w:sdtEndPr/>
        <w:sdtContent>
          <w:r w:rsidR="007E0157" w:rsidRPr="005D7961">
            <w:rPr>
              <w:rFonts w:ascii="Arial" w:eastAsia="Times New Roman" w:hAnsi="Arial" w:cs="Arial"/>
              <w:color w:val="000000"/>
            </w:rPr>
            <w:t>(Argyanezar &amp; Damayanti, 2024; Arifin et al., 2024; Sukesti et al., 2021; Supriadi et al., 2024).</w:t>
          </w:r>
        </w:sdtContent>
      </w:sdt>
    </w:p>
    <w:p w14:paraId="37EEE200" w14:textId="05F55776" w:rsidR="002F52FB" w:rsidRPr="005D7961" w:rsidRDefault="0092538B">
      <w:pPr>
        <w:ind w:firstLine="720"/>
        <w:jc w:val="both"/>
        <w:rPr>
          <w:rFonts w:ascii="Arial" w:eastAsia="SimSun" w:hAnsi="Arial" w:cs="Arial"/>
          <w:lang w:bidi="ar"/>
        </w:rPr>
      </w:pPr>
      <w:r w:rsidRPr="005D7961">
        <w:rPr>
          <w:rFonts w:ascii="Arial" w:eastAsia="SimSun" w:hAnsi="Arial" w:cs="Arial"/>
          <w:lang w:bidi="ar"/>
        </w:rPr>
        <w:t>Liquidity describes how well a company is meeting short-term obligations that</w:t>
      </w:r>
      <w:r w:rsidR="003852F3" w:rsidRPr="005D7961">
        <w:rPr>
          <w:rFonts w:ascii="Arial" w:eastAsia="SimSun" w:hAnsi="Arial" w:cs="Arial"/>
          <w:lang w:bidi="ar"/>
        </w:rPr>
        <w:t xml:space="preserve"> </w:t>
      </w:r>
      <w:r w:rsidRPr="005D7961">
        <w:rPr>
          <w:rFonts w:ascii="Arial" w:eastAsia="SimSun" w:hAnsi="Arial" w:cs="Arial"/>
          <w:lang w:bidi="ar"/>
        </w:rPr>
        <w:t xml:space="preserve">are about to mature </w:t>
      </w:r>
      <w:sdt>
        <w:sdtPr>
          <w:rPr>
            <w:rFonts w:ascii="Arial" w:eastAsia="SimSun" w:hAnsi="Arial" w:cs="Arial"/>
            <w:color w:val="000000"/>
            <w:lang w:bidi="ar"/>
          </w:rPr>
          <w:tag w:val="MENDELEY_CITATION_v3_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"/>
          <w:id w:val="-1380396084"/>
          <w:placeholder>
            <w:docPart w:val="DefaultPlaceholder_-1854013440"/>
          </w:placeholder>
        </w:sdtPr>
        <w:sdtEndPr/>
        <w:sdtContent>
          <w:r w:rsidR="007E0157" w:rsidRPr="005D7961">
            <w:rPr>
              <w:rFonts w:ascii="Arial" w:eastAsia="Times New Roman" w:hAnsi="Arial" w:cs="Arial"/>
              <w:color w:val="000000"/>
            </w:rPr>
            <w:t>(Rendiyansyah &amp; Kresandra, 2025).</w:t>
          </w:r>
        </w:sdtContent>
      </w:sdt>
      <w:r w:rsidRPr="005D7961">
        <w:rPr>
          <w:rFonts w:ascii="Arial" w:eastAsia="Segoe UI Emoji" w:hAnsi="Arial" w:cs="Arial"/>
        </w:rPr>
        <w:t xml:space="preserve"> The high and low liquidity of a company describes the company's effectiveness in meeting its present obligations </w:t>
      </w:r>
      <w:sdt>
        <w:sdtPr>
          <w:rPr>
            <w:rFonts w:ascii="Arial" w:eastAsia="Segoe UI Emoji" w:hAnsi="Arial" w:cs="Arial"/>
            <w:color w:val="000000"/>
          </w:rPr>
          <w:tag w:val="MENDELEY_CITATION_v3_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"/>
          <w:id w:val="-1337522576"/>
          <w:placeholder>
            <w:docPart w:val="DefaultPlaceholder_-1854013440"/>
          </w:placeholder>
        </w:sdtPr>
        <w:sdtEndPr>
          <w:rPr>
            <w:rFonts w:eastAsia="SimSun"/>
            <w:lang w:bidi="ar"/>
          </w:rPr>
        </w:sdtEndPr>
        <w:sdtContent>
          <w:r w:rsidR="007E0157" w:rsidRPr="005D7961">
            <w:rPr>
              <w:rFonts w:ascii="Arial" w:eastAsia="Times New Roman" w:hAnsi="Arial" w:cs="Arial"/>
              <w:color w:val="000000"/>
            </w:rPr>
            <w:t>(Marcelina &amp; Cahyono, 2022).</w:t>
          </w:r>
        </w:sdtContent>
      </w:sdt>
      <w:r w:rsidRPr="005D7961">
        <w:rPr>
          <w:rFonts w:ascii="Arial" w:eastAsia="SimSun" w:hAnsi="Arial" w:cs="Arial"/>
          <w:lang w:bidi="ar"/>
        </w:rPr>
        <w:t xml:space="preserve"> Several studies have shown that liquidity positively impacts stock prices, because the stability of companies in the ability to meet short-term obligations is indicated by the company's liquidity level</w:t>
      </w:r>
      <w:r w:rsidR="003852F3" w:rsidRPr="005D7961">
        <w:rPr>
          <w:rFonts w:ascii="Arial" w:eastAsia="SimSun" w:hAnsi="Arial" w:cs="Arial"/>
          <w:lang w:bidi="ar"/>
        </w:rPr>
        <w:t>.</w:t>
      </w:r>
      <w:r w:rsidRPr="005D7961">
        <w:rPr>
          <w:rFonts w:ascii="Arial" w:eastAsia="SimSun" w:hAnsi="Arial" w:cs="Arial"/>
          <w:lang w:bidi="ar"/>
        </w:rPr>
        <w:t xml:space="preserve"> </w:t>
      </w:r>
      <w:sdt>
        <w:sdtPr>
          <w:rPr>
            <w:rFonts w:ascii="Arial" w:eastAsia="SimSun" w:hAnsi="Arial" w:cs="Arial"/>
            <w:color w:val="000000"/>
            <w:lang w:bidi="ar"/>
          </w:rPr>
          <w:tag w:val="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"/>
          <w:id w:val="-571193718"/>
          <w:placeholder>
            <w:docPart w:val="DefaultPlaceholder_-1854013440"/>
          </w:placeholder>
        </w:sdtPr>
        <w:sdtEndPr/>
        <w:sdtContent>
          <w:r w:rsidR="007E0157" w:rsidRPr="005D7961">
            <w:rPr>
              <w:rFonts w:ascii="Arial" w:eastAsia="Times New Roman" w:hAnsi="Arial" w:cs="Arial"/>
              <w:color w:val="000000"/>
            </w:rPr>
            <w:t>(Argyanezar &amp; Damayanti, 2024; Purwanto &amp; Perkasa, 2024; Wulansari et al., 2023).</w:t>
          </w:r>
        </w:sdtContent>
      </w:sdt>
      <w:r w:rsidRPr="005D7961">
        <w:rPr>
          <w:rFonts w:ascii="Arial" w:eastAsia="SimSun" w:hAnsi="Arial" w:cs="Arial"/>
          <w:lang w:bidi="ar"/>
        </w:rPr>
        <w:t xml:space="preserve"> In contrast, some other studies have found that liquidity exerts a negative impact on stock prices </w:t>
      </w:r>
      <w:sdt>
        <w:sdtPr>
          <w:rPr>
            <w:rFonts w:ascii="Arial" w:eastAsia="SimSun" w:hAnsi="Arial" w:cs="Arial"/>
            <w:color w:val="000000"/>
            <w:lang w:bidi="ar"/>
          </w:rPr>
          <w:tag w:val="MENDELEY_CITATION_v3_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"/>
          <w:id w:val="-574437476"/>
          <w:placeholder>
            <w:docPart w:val="DefaultPlaceholder_-1854013440"/>
          </w:placeholder>
        </w:sdtPr>
        <w:sdtEndPr/>
        <w:sdtContent>
          <w:r w:rsidR="007E0157" w:rsidRPr="005D7961">
            <w:rPr>
              <w:rFonts w:ascii="Arial" w:eastAsia="Times New Roman" w:hAnsi="Arial" w:cs="Arial"/>
              <w:color w:val="000000"/>
            </w:rPr>
            <w:t>(Kusuma et al., 2024; Nugraha &amp; Artini, 2022; Sa’adah et al., 2024).</w:t>
          </w:r>
        </w:sdtContent>
      </w:sdt>
    </w:p>
    <w:p w14:paraId="6260F303" w14:textId="5C8618FA" w:rsidR="002F52FB" w:rsidRPr="005D7961" w:rsidRDefault="0092538B">
      <w:pPr>
        <w:ind w:firstLine="720"/>
        <w:jc w:val="both"/>
        <w:rPr>
          <w:rFonts w:ascii="Arial" w:eastAsia="SimSun" w:hAnsi="Arial" w:cs="Arial"/>
          <w:lang w:bidi="ar"/>
        </w:rPr>
      </w:pPr>
      <w:r w:rsidRPr="005D7961">
        <w:rPr>
          <w:rFonts w:ascii="Arial" w:eastAsia="sans-serif" w:hAnsi="Arial" w:cs="Arial"/>
          <w:shd w:val="clear" w:color="auto" w:fill="FFFFFF"/>
          <w:lang w:bidi="ar"/>
        </w:rPr>
        <w:t xml:space="preserve">Meanwhile, asset efficiency is a form of activity ratio. Total Asset Turnover measures how a company generates sales through the use of those assets </w:t>
      </w:r>
      <w:sdt>
        <w:sdtPr>
          <w:rPr>
            <w:rFonts w:ascii="Arial" w:eastAsia="SimSun" w:hAnsi="Arial" w:cs="Arial"/>
            <w:color w:val="000000"/>
            <w:lang w:bidi="ar"/>
          </w:rPr>
          <w:tag w:val="MENDELEY_CITATION_v3_eyJjaXRhdGlvbklEIjoiTUVOREVMRVlfQ0lUQVRJT05fMjg5YWU4MWEtNDFlNC00YWMzLWE3Y2YtNjMwMGFiODNhNGU4IiwicHJvcGVydGllcyI6eyJub3RlSW5kZXgiOjB9LCJpc0VkaXRlZCI6ZmFsc2UsIm1hbnVhbE92ZXJyaWRlIjp7ImlzTWFudWFsbHlPdmVycmlkZGVuIjp0cnVlLCJjaXRlcHJvY1RleHQiOiIoVGFudG9yaW8gZXQgYWwuLCAyMDIzKSIsIm1hbnVhbE92ZXJyaWRlVGV4dCI6IihUYW50b3JpbyBldCBhbC4sIDIwMjMpLi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
          <w:id w:val="-491408497"/>
          <w:placeholder>
            <w:docPart w:val="DefaultPlaceholder_-1854013440"/>
          </w:placeholder>
        </w:sdtPr>
        <w:sdtEndPr/>
        <w:sdtContent>
          <w:r w:rsidR="007E0157" w:rsidRPr="005D7961">
            <w:rPr>
              <w:rFonts w:ascii="Arial" w:eastAsia="SimSun" w:hAnsi="Arial" w:cs="Arial"/>
              <w:color w:val="000000"/>
              <w:lang w:bidi="ar"/>
            </w:rPr>
            <w:t>(Tantorio et al., 2023).</w:t>
          </w:r>
        </w:sdtContent>
      </w:sdt>
      <w:r w:rsidRPr="005D7961">
        <w:rPr>
          <w:rFonts w:ascii="Arial" w:eastAsia="sans-serif" w:hAnsi="Arial" w:cs="Arial"/>
          <w:shd w:val="clear" w:color="auto" w:fill="FFFFFF"/>
          <w:lang w:bidi="ar"/>
        </w:rPr>
        <w:t xml:space="preserve"> Some studies show that asset efficiency exerts a favorable impact on stock prices because it reflects the capability of a company to effectively utilize its assets to drive sales </w:t>
      </w:r>
      <w:sdt>
        <w:sdtPr>
          <w:rPr>
            <w:rFonts w:ascii="Arial" w:eastAsia="sans-serif" w:hAnsi="Arial" w:cs="Arial"/>
            <w:color w:val="000000"/>
            <w:shd w:val="clear" w:color="auto" w:fill="FFFFFF"/>
            <w:lang w:bidi="ar"/>
          </w:rPr>
          <w:tag w:val="MENDELEY_CITATION_v3_eyJjaXRhdGlvbklEIjoiTUVOREVMRVlfQ0lUQVRJT05fYjRjY2Y1NmUtN2U5NC00ZTY3LWEyY2YtNDdjN2UzYjFlNzQz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
          <w:id w:val="-1952546275"/>
          <w:placeholder>
            <w:docPart w:val="DefaultPlaceholder_-1854013440"/>
          </w:placeholder>
        </w:sdtPr>
        <w:sdtEndPr>
          <w:rPr>
            <w:rFonts w:eastAsia="SimSun"/>
            <w:shd w:val="clear" w:color="auto" w:fill="auto"/>
          </w:rPr>
        </w:sdtEndPr>
        <w:sdtContent>
          <w:r w:rsidR="007E0157" w:rsidRPr="005D7961">
            <w:rPr>
              <w:rFonts w:ascii="Arial" w:eastAsia="Times New Roman" w:hAnsi="Arial" w:cs="Arial"/>
              <w:color w:val="000000"/>
            </w:rPr>
            <w:t>(Argyanezar &amp; Damayanti, 2024; Nurcholis et al., 2024; Tantorio et al., 2023).</w:t>
          </w:r>
        </w:sdtContent>
      </w:sdt>
      <w:r w:rsidRPr="005D7961">
        <w:rPr>
          <w:rFonts w:ascii="Arial" w:eastAsia="SimSun" w:hAnsi="Arial" w:cs="Arial"/>
          <w:lang w:bidi="ar"/>
        </w:rPr>
        <w:t xml:space="preserve"> On the other hand, a number of other studies have found that</w:t>
      </w:r>
      <w:r w:rsidR="003852F3" w:rsidRPr="005D7961">
        <w:rPr>
          <w:rFonts w:ascii="Arial" w:eastAsia="SimSun" w:hAnsi="Arial" w:cs="Arial"/>
          <w:lang w:bidi="ar"/>
        </w:rPr>
        <w:t xml:space="preserve"> </w:t>
      </w:r>
      <w:r w:rsidRPr="005D7961">
        <w:rPr>
          <w:rFonts w:ascii="Arial" w:eastAsia="SimSun" w:hAnsi="Arial" w:cs="Arial"/>
          <w:lang w:bidi="ar"/>
        </w:rPr>
        <w:t xml:space="preserve">the efficiency of </w:t>
      </w:r>
      <w:r w:rsidR="003852F3" w:rsidRPr="005D7961">
        <w:rPr>
          <w:rFonts w:ascii="Arial" w:eastAsia="SimSun" w:hAnsi="Arial" w:cs="Arial"/>
          <w:lang w:bidi="ar"/>
        </w:rPr>
        <w:t>productive</w:t>
      </w:r>
      <w:r w:rsidRPr="005D7961">
        <w:rPr>
          <w:rFonts w:ascii="Arial" w:eastAsia="SimSun" w:hAnsi="Arial" w:cs="Arial"/>
          <w:lang w:bidi="ar"/>
        </w:rPr>
        <w:t xml:space="preserve"> assets lowers stock prices </w:t>
      </w:r>
      <w:sdt>
        <w:sdtPr>
          <w:rPr>
            <w:rFonts w:ascii="Arial" w:eastAsia="SimSun" w:hAnsi="Arial" w:cs="Arial"/>
            <w:color w:val="000000"/>
            <w:lang w:bidi="ar"/>
          </w:rPr>
          <w:tag w:val="MENDELEY_CITATION_v3_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"/>
          <w:id w:val="618576142"/>
          <w:placeholder>
            <w:docPart w:val="DefaultPlaceholder_-1854013440"/>
          </w:placeholder>
        </w:sdtPr>
        <w:sdtEndPr/>
        <w:sdtContent>
          <w:r w:rsidR="007E0157" w:rsidRPr="005D7961">
            <w:rPr>
              <w:rFonts w:ascii="Arial" w:eastAsia="Times New Roman" w:hAnsi="Arial" w:cs="Arial"/>
              <w:color w:val="000000"/>
            </w:rPr>
            <w:t>(Aanggraini &amp; Kardinal, 2023; Nurbaiti &amp; Mardiati, 2024; Sihombing &amp; Zakchona, 2024).</w:t>
          </w:r>
        </w:sdtContent>
      </w:sdt>
    </w:p>
    <w:p w14:paraId="3C57B233" w14:textId="733B3E53" w:rsidR="002F52FB" w:rsidRPr="005D7961" w:rsidRDefault="003852F3">
      <w:pPr>
        <w:ind w:firstLine="720"/>
        <w:jc w:val="both"/>
        <w:rPr>
          <w:rFonts w:ascii="Arial" w:eastAsia="SimSun" w:hAnsi="Arial" w:cs="Arial"/>
          <w:lang w:val="zh-CN" w:bidi="ar"/>
        </w:rPr>
      </w:pPr>
      <w:r w:rsidRPr="005D7961">
        <w:rPr>
          <w:rFonts w:ascii="Arial" w:eastAsia="SimSun" w:hAnsi="Arial" w:cs="Arial"/>
          <w:lang w:bidi="ar"/>
        </w:rPr>
        <w:t xml:space="preserve">  A number of studies have shown that financial ratios not only affect stock prices, but also affect the intrinsic value of companies. High profitability can increase intrinsic value because it reflects managerial efficiency as well as a strong profit prospect</w:t>
      </w:r>
      <w:r w:rsidRPr="005D7961">
        <w:rPr>
          <w:rFonts w:ascii="Arial" w:eastAsia="SimSun" w:hAnsi="Arial" w:cs="Arial"/>
          <w:u w:val="single"/>
          <w:lang w:bidi="ar"/>
        </w:rPr>
        <w:t xml:space="preserve"> </w:t>
      </w:r>
      <w:sdt>
        <w:sdtPr>
          <w:rPr>
            <w:rFonts w:ascii="Arial" w:eastAsia="SimSun" w:hAnsi="Arial" w:cs="Arial"/>
            <w:color w:val="000000"/>
            <w:lang w:bidi="ar"/>
          </w:rPr>
          <w:tag w:val="MENDELEY_CITATION_v3_eyJjaXRhdGlvbklEIjoiTUVOREVMRVlfQ0lUQVRJT05fYWYzZThiN2EtMzNkNi00YzcyLTgxMDItZjNkYTJmODRhZTAz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"/>
          <w:id w:val="537790555"/>
          <w:placeholder>
            <w:docPart w:val="D8171AB6C13C41D28FC502E0FCF281E6"/>
          </w:placeholder>
        </w:sdtPr>
        <w:sdtEndPr/>
        <w:sdtContent>
          <w:r w:rsidR="007E0157" w:rsidRPr="005D7961">
            <w:rPr>
              <w:rFonts w:ascii="Arial" w:eastAsia="Times New Roman" w:hAnsi="Arial" w:cs="Arial"/>
              <w:color w:val="000000"/>
            </w:rPr>
            <w:t>(Novita &amp; Aminah, 2024; Pertiwi &amp; Sukoco, 2022).</w:t>
          </w:r>
        </w:sdtContent>
      </w:sdt>
      <w:r w:rsidRPr="005D7961">
        <w:rPr>
          <w:rFonts w:ascii="Arial" w:eastAsia="SimSun" w:hAnsi="Arial" w:cs="Arial"/>
          <w:lang w:bidi="ar"/>
        </w:rPr>
        <w:t xml:space="preserve"> Effectively managed leverage also contributes to an increase in intrinsic value through tax saving mechanisms </w:t>
      </w:r>
      <w:sdt>
        <w:sdtPr>
          <w:rPr>
            <w:rFonts w:ascii="Arial" w:eastAsia="SimSun" w:hAnsi="Arial" w:cs="Arial"/>
            <w:color w:val="000000"/>
            <w:lang w:bidi="ar"/>
          </w:rPr>
          <w:tag w:val="MENDELEY_CITATION_v3_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
          <w:id w:val="300578814"/>
          <w:placeholder>
            <w:docPart w:val="DefaultPlaceholder_-1854013440"/>
          </w:placeholder>
        </w:sdtPr>
        <w:sdtEndPr/>
        <w:sdtContent>
          <w:r w:rsidR="007E0157" w:rsidRPr="005D7961">
            <w:rPr>
              <w:rFonts w:ascii="Arial" w:eastAsia="Times New Roman" w:hAnsi="Arial" w:cs="Arial"/>
              <w:color w:val="000000"/>
            </w:rPr>
            <w:t>(Kim et al., 2023; Novita &amp; Aminah, 2024; Pertiwi &amp; Sukoco, 2022)</w:t>
          </w:r>
        </w:sdtContent>
      </w:sdt>
      <w:r w:rsidRPr="005D7961">
        <w:rPr>
          <w:rFonts w:ascii="Arial" w:eastAsia="SimSun" w:hAnsi="Arial" w:cs="Arial"/>
          <w:lang w:bidi="ar"/>
        </w:rPr>
        <w:t xml:space="preserve">. High liquidity reflects financial stability and is seen as a positive signal by investors, thereby enhancing the company's intrinsic value </w:t>
      </w:r>
      <w:sdt>
        <w:sdtPr>
          <w:rPr>
            <w:rFonts w:ascii="Arial" w:eastAsia="SimSun" w:hAnsi="Arial" w:cs="Arial"/>
            <w:color w:val="000000"/>
            <w:lang w:bidi="ar"/>
          </w:rPr>
          <w:tag w:val="MENDELEY_CITATION_v3_eyJjaXRhdGlvbklEIjoiTUVOREVMRVlfQ0lUQVRJT05fYTY2YjA1OTQtNDQ5My00NzhkLWE5NzUtZjkwN2U0NWQ0NzNk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uIn0sImNpdGF0aW9uSXRlbXMiOlt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
          <w:id w:val="-1876687746"/>
          <w:placeholder>
            <w:docPart w:val="87D40D9D003C405E953F65716E5FFDB8"/>
          </w:placeholder>
        </w:sdtPr>
        <w:sdtEndPr/>
        <w:sdtContent>
          <w:r w:rsidR="007E0157" w:rsidRPr="005D7961">
            <w:rPr>
              <w:rFonts w:ascii="Arial" w:eastAsia="Times New Roman" w:hAnsi="Arial" w:cs="Arial"/>
              <w:color w:val="000000"/>
            </w:rPr>
            <w:t>(Novita &amp; Aminah, 2024; Pertiwi &amp; Sukoco, 2022).</w:t>
          </w:r>
        </w:sdtContent>
      </w:sdt>
      <w:r w:rsidRPr="005D7961">
        <w:rPr>
          <w:rFonts w:ascii="Arial" w:eastAsia="SimSun" w:hAnsi="Arial" w:cs="Arial"/>
          <w:lang w:bidi="ar"/>
        </w:rPr>
        <w:t xml:space="preserve"> Meanwhile, optimal asset efficiency provides a positive signal on </w:t>
      </w:r>
      <w:r w:rsidRPr="005D7961">
        <w:rPr>
          <w:rFonts w:ascii="Arial" w:eastAsia="SimSun" w:hAnsi="Arial" w:cs="Arial"/>
          <w:lang w:val="zh-CN" w:bidi="ar"/>
        </w:rPr>
        <w:t xml:space="preserve">The business's </w:t>
      </w:r>
      <w:r w:rsidRPr="005D7961">
        <w:rPr>
          <w:rFonts w:ascii="Arial" w:eastAsia="SimSun" w:hAnsi="Arial" w:cs="Arial"/>
          <w:lang w:bidi="ar"/>
        </w:rPr>
        <w:t xml:space="preserve">operational performance, which in turn reinforces its intrinsic value </w:t>
      </w:r>
      <w:sdt>
        <w:sdtPr>
          <w:rPr>
            <w:rFonts w:ascii="Arial" w:eastAsia="SimSun" w:hAnsi="Arial" w:cs="Arial"/>
            <w:color w:val="000000"/>
            <w:lang w:bidi="ar"/>
          </w:rPr>
          <w:tag w:val="MENDELEY_CITATION_v3_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"/>
          <w:id w:val="467709248"/>
          <w:placeholder>
            <w:docPart w:val="DefaultPlaceholder_-1854013440"/>
          </w:placeholder>
        </w:sdtPr>
        <w:sdtEndPr/>
        <w:sdtContent>
          <w:r w:rsidR="007E0157" w:rsidRPr="005D7961">
            <w:rPr>
              <w:rFonts w:ascii="Arial" w:eastAsia="SimSun" w:hAnsi="Arial" w:cs="Arial"/>
              <w:color w:val="000000"/>
              <w:lang w:bidi="ar"/>
            </w:rPr>
            <w:t>(Hasangapon et al., 2021; Rachmawati et al., 2022).</w:t>
          </w:r>
        </w:sdtContent>
      </w:sdt>
      <w:r w:rsidRPr="005D7961">
        <w:rPr>
          <w:rFonts w:ascii="Arial" w:eastAsia="SimSun" w:hAnsi="Arial" w:cs="Arial"/>
          <w:lang w:bidi="ar"/>
        </w:rPr>
        <w:t xml:space="preserve"> </w:t>
      </w:r>
    </w:p>
    <w:p w14:paraId="0B5C2EE3" w14:textId="69B2DCF1" w:rsidR="002F52FB" w:rsidRPr="005D7961" w:rsidRDefault="0092538B">
      <w:pPr>
        <w:ind w:firstLine="720"/>
        <w:jc w:val="both"/>
        <w:rPr>
          <w:rFonts w:ascii="Arial" w:eastAsia="SimSun" w:hAnsi="Arial" w:cs="Arial"/>
          <w:lang w:val="zh-CN" w:bidi="ar"/>
        </w:rPr>
      </w:pPr>
      <w:r w:rsidRPr="005D7961">
        <w:rPr>
          <w:rFonts w:ascii="Arial" w:eastAsia="SimSun" w:hAnsi="Arial" w:cs="Arial"/>
          <w:lang w:bidi="ar"/>
        </w:rPr>
        <w:t xml:space="preserve">In several previous studies, researchers have investigated how financial ratios such as profitability, solvency, liquidity, and asset efficiency </w:t>
      </w:r>
      <w:r w:rsidRPr="005D7961">
        <w:rPr>
          <w:rFonts w:ascii="Arial" w:eastAsia="SimSun" w:hAnsi="Arial" w:cs="Arial"/>
          <w:lang w:val="zh-CN" w:bidi="ar"/>
        </w:rPr>
        <w:t>impact the price of stocks</w:t>
      </w:r>
      <w:r w:rsidRPr="005D7961">
        <w:rPr>
          <w:rFonts w:ascii="Arial" w:eastAsia="SimSun" w:hAnsi="Arial" w:cs="Arial"/>
          <w:lang w:bidi="ar"/>
        </w:rPr>
        <w:t xml:space="preserve">. The results of this study tend to vary between studies, which suggests that there are empirical inconsistencies that are important to explore further to gain an in-depth understanding of financial ratios and stock prices. For this reason, this study adds a mediation variable in the form of intrinsic value </w:t>
      </w:r>
      <w:r w:rsidRPr="005D7961">
        <w:rPr>
          <w:rFonts w:ascii="Arial" w:eastAsia="SimSun" w:hAnsi="Arial" w:cs="Arial"/>
          <w:lang w:val="zh-CN" w:bidi="ar"/>
        </w:rPr>
        <w:t xml:space="preserve">This is quantified via </w:t>
      </w:r>
      <w:r w:rsidRPr="005D7961">
        <w:rPr>
          <w:rFonts w:ascii="Arial" w:eastAsia="SimSun" w:hAnsi="Arial" w:cs="Arial"/>
          <w:lang w:bidi="ar"/>
        </w:rPr>
        <w:t xml:space="preserve">Price to Book Value, because Price to Book Value is considered more appropriate in assessing stock valuations between similar companies </w:t>
      </w:r>
      <w:sdt>
        <w:sdtPr>
          <w:rPr>
            <w:rFonts w:ascii="Arial" w:eastAsia="SimSun" w:hAnsi="Arial" w:cs="Arial"/>
            <w:color w:val="000000"/>
            <w:lang w:bidi="ar"/>
          </w:rPr>
          <w:tag w:val="MENDELEY_CITATION_v3_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"/>
          <w:id w:val="-346484461"/>
          <w:placeholder>
            <w:docPart w:val="DefaultPlaceholder_-1854013440"/>
          </w:placeholder>
        </w:sdtPr>
        <w:sdtEndPr/>
        <w:sdtContent>
          <w:r w:rsidR="007E0157" w:rsidRPr="005D7961">
            <w:rPr>
              <w:rFonts w:ascii="Arial" w:eastAsia="Times New Roman" w:hAnsi="Arial" w:cs="Arial"/>
              <w:color w:val="000000"/>
            </w:rPr>
            <w:t>(Hasanah &amp; Rusliati, 2017).</w:t>
          </w:r>
        </w:sdtContent>
      </w:sdt>
      <w:r w:rsidRPr="005D7961">
        <w:rPr>
          <w:rFonts w:ascii="Arial" w:eastAsia="SimSun" w:hAnsi="Arial" w:cs="Arial"/>
          <w:lang w:bidi="ar"/>
        </w:rPr>
        <w:t xml:space="preserve"> In this study, the researcher included company size as a control variable, considering that large companies generally have operational stability and easy access to financing </w:t>
      </w:r>
      <w:sdt>
        <w:sdtPr>
          <w:rPr>
            <w:rFonts w:ascii="Arial" w:eastAsia="SimSun" w:hAnsi="Arial" w:cs="Arial"/>
            <w:color w:val="000000"/>
            <w:lang w:bidi="ar"/>
          </w:rPr>
          <w:tag w:val="MENDELEY_CITATION_v3_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"/>
          <w:id w:val="-1580207671"/>
          <w:placeholder>
            <w:docPart w:val="DefaultPlaceholder_-1854013440"/>
          </w:placeholder>
        </w:sdtPr>
        <w:sdtEndPr/>
        <w:sdtContent>
          <w:r w:rsidR="007E0157" w:rsidRPr="005D7961">
            <w:rPr>
              <w:rFonts w:ascii="Arial" w:eastAsia="Times New Roman" w:hAnsi="Arial" w:cs="Arial"/>
              <w:color w:val="000000"/>
            </w:rPr>
            <w:t>(Handayani &amp; Arif, 2021).</w:t>
          </w:r>
        </w:sdtContent>
      </w:sdt>
      <w:r w:rsidRPr="005D7961">
        <w:rPr>
          <w:rFonts w:ascii="Arial" w:eastAsia="SimSun" w:hAnsi="Arial" w:cs="Arial"/>
          <w:color w:val="000000"/>
          <w:lang w:bidi="ar"/>
        </w:rPr>
        <w:t xml:space="preserve"> </w:t>
      </w:r>
      <w:bookmarkEnd w:id="5"/>
      <w:r w:rsidRPr="005D7961">
        <w:rPr>
          <w:rFonts w:ascii="Arial" w:eastAsia="SimSun" w:hAnsi="Arial" w:cs="Arial"/>
          <w:lang w:bidi="ar"/>
        </w:rPr>
        <w:t>In addition, the scope of the research was expanded from previously only covering retail companies, to the entire non-cyclical consumer sector, so that the results obtained are more representative of the overall industry conditions.</w:t>
      </w:r>
    </w:p>
    <w:p w14:paraId="6A7F8491" w14:textId="6A9C4A1F" w:rsidR="002F52FB" w:rsidRPr="005D7961" w:rsidRDefault="0092538B">
      <w:pPr>
        <w:ind w:firstLine="720"/>
        <w:jc w:val="both"/>
        <w:rPr>
          <w:rFonts w:ascii="Arial" w:eastAsia="SimSun" w:hAnsi="Arial" w:cs="Arial"/>
          <w:lang w:val="zh-CN" w:bidi="ar"/>
        </w:rPr>
      </w:pPr>
      <w:r w:rsidRPr="005D7961">
        <w:rPr>
          <w:rFonts w:ascii="Arial" w:eastAsia="SimSun" w:hAnsi="Arial" w:cs="Arial"/>
          <w:lang w:bidi="ar"/>
        </w:rPr>
        <w:t xml:space="preserve">Referring to the background explanation, </w:t>
      </w:r>
      <w:r w:rsidRPr="005D7961">
        <w:rPr>
          <w:rFonts w:ascii="Arial" w:eastAsia="SimSun" w:hAnsi="Arial" w:cs="Arial"/>
          <w:lang w:val="zh-CN" w:bidi="ar"/>
        </w:rPr>
        <w:t xml:space="preserve">The purpose of this study is to </w:t>
      </w:r>
      <w:r w:rsidRPr="005D7961">
        <w:rPr>
          <w:rFonts w:ascii="Arial" w:eastAsia="SimSun" w:hAnsi="Arial" w:cs="Arial"/>
          <w:lang w:bidi="ar"/>
        </w:rPr>
        <w:t>evaluate the influence</w:t>
      </w:r>
      <w:r w:rsidR="003852F3" w:rsidRPr="005D7961">
        <w:rPr>
          <w:rFonts w:ascii="Arial" w:eastAsia="SimSun" w:hAnsi="Arial" w:cs="Arial"/>
          <w:lang w:bidi="ar"/>
        </w:rPr>
        <w:t xml:space="preserve"> </w:t>
      </w:r>
      <w:r w:rsidRPr="005D7961">
        <w:rPr>
          <w:rFonts w:ascii="Arial" w:eastAsia="SimSun" w:hAnsi="Arial" w:cs="Arial"/>
          <w:lang w:bidi="ar"/>
        </w:rPr>
        <w:t xml:space="preserve">of profitability, leverage, liquidity, and asset efficiency </w:t>
      </w:r>
      <w:r w:rsidRPr="005D7961">
        <w:rPr>
          <w:rFonts w:ascii="Arial" w:eastAsia="SimSun" w:hAnsi="Arial" w:cs="Arial"/>
          <w:lang w:val="zh-CN" w:bidi="ar"/>
        </w:rPr>
        <w:t xml:space="preserve">affects stock prices of non-cyclical consumer sector businesses listed on the IDX, with intrinsic value acting as a mediating variable. </w:t>
      </w:r>
      <w:r w:rsidRPr="005D7961">
        <w:rPr>
          <w:rFonts w:ascii="Arial" w:eastAsia="SimSun" w:hAnsi="Arial" w:cs="Arial"/>
          <w:lang w:bidi="ar"/>
        </w:rPr>
        <w:t xml:space="preserve">This research is expected to make an empirical contribution to strengthening signaling theory and become a practical reference for investors and </w:t>
      </w:r>
      <w:r w:rsidRPr="005D7961">
        <w:rPr>
          <w:rFonts w:ascii="Arial" w:eastAsia="SimSun" w:hAnsi="Arial" w:cs="Arial"/>
          <w:lang w:val="zh-CN" w:bidi="ar"/>
        </w:rPr>
        <w:t>finance managers in comprehending defensive sector stock dynamics.</w:t>
      </w:r>
    </w:p>
    <w:p w14:paraId="390DA12B" w14:textId="77777777" w:rsidR="002F52FB" w:rsidRPr="005D7961" w:rsidRDefault="0092538B">
      <w:pPr>
        <w:ind w:firstLine="720"/>
        <w:jc w:val="both"/>
        <w:rPr>
          <w:rFonts w:ascii="Arial" w:eastAsia="SimSun" w:hAnsi="Arial" w:cs="Arial"/>
          <w:lang w:val="zh-CN" w:bidi="ar"/>
        </w:rPr>
      </w:pPr>
      <w:r w:rsidRPr="005D7961">
        <w:rPr>
          <w:rFonts w:ascii="Arial" w:eastAsia="SimSun" w:hAnsi="Arial" w:cs="Arial"/>
          <w:lang w:bidi="ar"/>
        </w:rPr>
        <w:tab/>
      </w:r>
    </w:p>
    <w:p w14:paraId="5AECB713" w14:textId="77777777" w:rsidR="002F52FB" w:rsidRPr="005D7961" w:rsidRDefault="0092538B">
      <w:pPr>
        <w:numPr>
          <w:ilvl w:val="0"/>
          <w:numId w:val="2"/>
        </w:numPr>
        <w:rPr>
          <w:rFonts w:ascii="Arial" w:eastAsia="SimSun" w:hAnsi="Arial" w:cs="Arial"/>
          <w:b/>
          <w:bCs/>
          <w:sz w:val="22"/>
          <w:szCs w:val="22"/>
        </w:rPr>
      </w:pPr>
      <w:r w:rsidRPr="005D7961">
        <w:rPr>
          <w:rFonts w:ascii="Arial" w:eastAsia="SimSun" w:hAnsi="Arial" w:cs="Arial"/>
          <w:b/>
          <w:bCs/>
          <w:sz w:val="22"/>
          <w:szCs w:val="22"/>
        </w:rPr>
        <w:t>MATERIALS AND METHOD</w:t>
      </w:r>
    </w:p>
    <w:p w14:paraId="4638468B" w14:textId="77777777" w:rsidR="002F52FB" w:rsidRPr="005D7961" w:rsidRDefault="0092538B">
      <w:pPr>
        <w:shd w:val="clear" w:color="auto" w:fill="FFFFFF"/>
        <w:rPr>
          <w:rFonts w:ascii="Arial" w:eastAsia="SimSun" w:hAnsi="Arial" w:cs="Arial"/>
          <w:b/>
          <w:bCs/>
        </w:rPr>
      </w:pPr>
      <w:bookmarkStart w:id="6" w:name="_Hlk201423006"/>
      <w:r w:rsidRPr="005D7961">
        <w:rPr>
          <w:rFonts w:ascii="Arial" w:eastAsia="SimSun" w:hAnsi="Arial" w:cs="Arial"/>
          <w:b/>
          <w:bCs/>
        </w:rPr>
        <w:t>2.1 Literature Review</w:t>
      </w:r>
    </w:p>
    <w:p w14:paraId="77F718E3" w14:textId="0B94ADF6" w:rsidR="002F52FB" w:rsidRPr="005D7961" w:rsidRDefault="0092538B">
      <w:pPr>
        <w:ind w:firstLine="720"/>
        <w:jc w:val="both"/>
        <w:rPr>
          <w:rFonts w:ascii="Arial" w:hAnsi="Arial" w:cs="Arial"/>
          <w:highlight w:val="lightGray"/>
        </w:rPr>
      </w:pPr>
      <w:r w:rsidRPr="005D7961">
        <w:rPr>
          <w:rFonts w:ascii="Arial" w:hAnsi="Arial" w:cs="Arial"/>
        </w:rPr>
        <w:t xml:space="preserve">Signaling theory was introduced by Michael Spence (1973). This theory explains that management that has more complete information can send signals to investors through the company's financial information. This signal serves to reduce information asymmetry and assist investors in making decisions to make investments. According to </w:t>
      </w:r>
      <w:sdt>
        <w:sdtPr>
          <w:rPr>
            <w:rFonts w:ascii="Arial" w:hAnsi="Arial" w:cs="Arial"/>
            <w:color w:val="000000"/>
          </w:rPr>
          <w:tag w:val="MENDELEY_CITATION_v3_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"/>
          <w:id w:val="1984577567"/>
          <w:placeholder>
            <w:docPart w:val="DefaultPlaceholder_-1854013440"/>
          </w:placeholder>
        </w:sdtPr>
        <w:sdtEndPr/>
        <w:sdtContent>
          <w:r w:rsidR="007E0157" w:rsidRPr="005D7961">
            <w:rPr>
              <w:rFonts w:ascii="Arial" w:hAnsi="Arial" w:cs="Arial"/>
              <w:color w:val="000000"/>
            </w:rPr>
            <w:t>Connelly et al.,( 2011)</w:t>
          </w:r>
        </w:sdtContent>
      </w:sdt>
      <w:r w:rsidRPr="005D7961">
        <w:rPr>
          <w:rFonts w:ascii="Arial" w:hAnsi="Arial" w:cs="Arial"/>
        </w:rPr>
        <w:t xml:space="preserve">, Effective signals are those that are trusted and relevant, and can influence investors' perception of stock prices. However, the effectiveness of such signals is influenced by the sectoral context with high growth and risk </w:t>
      </w:r>
      <w:sdt>
        <w:sdtPr>
          <w:rPr>
            <w:rFonts w:ascii="Arial" w:hAnsi="Arial" w:cs="Arial"/>
            <w:color w:val="000000"/>
          </w:rPr>
          <w:tag w:val="MENDELEY_CITATION_v3_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"/>
          <w:id w:val="-2034797559"/>
          <w:placeholder>
            <w:docPart w:val="DefaultPlaceholder_-1854013440"/>
          </w:placeholder>
        </w:sdtPr>
        <w:sdtEndPr/>
        <w:sdtContent>
          <w:r w:rsidR="007E0157" w:rsidRPr="005D7961">
            <w:rPr>
              <w:rFonts w:ascii="Arial" w:hAnsi="Arial" w:cs="Arial"/>
              <w:color w:val="000000"/>
            </w:rPr>
            <w:t>(Wu et al., 2025),</w:t>
          </w:r>
        </w:sdtContent>
      </w:sdt>
      <w:r w:rsidRPr="005D7961">
        <w:rPr>
          <w:rFonts w:ascii="Arial" w:hAnsi="Arial" w:cs="Arial"/>
        </w:rPr>
        <w:t xml:space="preserve"> Because they focus on long-term prospects. In contrast, in a stable and defensive non-cyclical consumer sector, investors are more responsive to operational signals. While this theory remains relevant, the dominant types of signals tend to be different.</w:t>
      </w:r>
    </w:p>
    <w:p w14:paraId="5D82A6DD" w14:textId="77777777" w:rsidR="002F52FB" w:rsidRPr="005D7961" w:rsidRDefault="002F52FB">
      <w:pPr>
        <w:rPr>
          <w:rFonts w:ascii="Arial" w:hAnsi="Arial" w:cs="Arial"/>
        </w:rPr>
      </w:pPr>
    </w:p>
    <w:p w14:paraId="7848436C" w14:textId="20B59670" w:rsidR="002F52FB" w:rsidRPr="005D7961" w:rsidRDefault="0092538B">
      <w:pPr>
        <w:ind w:firstLine="720"/>
        <w:jc w:val="both"/>
        <w:rPr>
          <w:rFonts w:ascii="Arial" w:eastAsia="SimSun" w:hAnsi="Arial" w:cs="Arial"/>
          <w:lang w:val="zh-CN"/>
        </w:rPr>
      </w:pPr>
      <w:r w:rsidRPr="005D7961">
        <w:rPr>
          <w:rFonts w:ascii="Arial" w:eastAsia="SimSun" w:hAnsi="Arial" w:cs="Arial"/>
          <w:lang w:val="zh-CN"/>
        </w:rPr>
        <w:t>When evaluating a company's financial success, profitability is a crucial metric.</w:t>
      </w:r>
      <w:r w:rsidRPr="005D7961">
        <w:rPr>
          <w:rFonts w:ascii="Arial" w:eastAsia="SimSun" w:hAnsi="Arial" w:cs="Arial"/>
        </w:rPr>
        <w:t xml:space="preserve"> </w:t>
      </w:r>
      <w:sdt>
        <w:sdtPr>
          <w:rPr>
            <w:rFonts w:ascii="Arial" w:eastAsia="SimSun" w:hAnsi="Arial" w:cs="Arial"/>
            <w:color w:val="000000"/>
          </w:rPr>
          <w:tag w:val="MENDELEY_CITATION_v3_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"/>
          <w:id w:val="-883482605"/>
          <w:placeholder>
            <w:docPart w:val="DefaultPlaceholder_-1854013440"/>
          </w:placeholder>
        </w:sdtPr>
        <w:sdtEndPr/>
        <w:sdtContent>
          <w:r w:rsidR="007E0157" w:rsidRPr="005D7961">
            <w:rPr>
              <w:rFonts w:ascii="Arial" w:eastAsia="Times New Roman" w:hAnsi="Arial" w:cs="Arial"/>
              <w:color w:val="000000"/>
            </w:rPr>
            <w:t>(Innayah &amp; Pratama, 2022),</w:t>
          </w:r>
        </w:sdtContent>
      </w:sdt>
      <w:r w:rsidRPr="005D7961">
        <w:rPr>
          <w:rFonts w:ascii="Arial" w:eastAsia="SimSun" w:hAnsi="Arial" w:cs="Arial"/>
        </w:rPr>
        <w:t xml:space="preserve"> This indicator </w:t>
      </w:r>
      <w:r w:rsidRPr="005D7961">
        <w:rPr>
          <w:rFonts w:ascii="Arial" w:eastAsia="SimSun" w:hAnsi="Arial" w:cs="Arial"/>
          <w:lang w:val="zh-CN"/>
        </w:rPr>
        <w:t xml:space="preserve">is employed to </w:t>
      </w:r>
      <w:r w:rsidRPr="005D7961">
        <w:rPr>
          <w:rFonts w:ascii="Arial" w:eastAsia="SimSun" w:hAnsi="Arial" w:cs="Arial"/>
        </w:rPr>
        <w:t xml:space="preserve">evaluate a company's ability to profit from operational activities over a </w:t>
      </w:r>
      <w:r w:rsidRPr="005D7961">
        <w:rPr>
          <w:rFonts w:ascii="Arial" w:eastAsia="SimSun" w:hAnsi="Arial" w:cs="Arial"/>
          <w:lang w:val="zh-CN"/>
        </w:rPr>
        <w:t>a specific time frame</w:t>
      </w:r>
      <w:r w:rsidRPr="005D7961">
        <w:rPr>
          <w:rFonts w:ascii="Arial" w:eastAsia="SimSun" w:hAnsi="Arial" w:cs="Arial"/>
        </w:rPr>
        <w:t xml:space="preserve"> </w:t>
      </w:r>
      <w:sdt>
        <w:sdtPr>
          <w:rPr>
            <w:rFonts w:ascii="Arial" w:eastAsia="SimSun" w:hAnsi="Arial" w:cs="Arial"/>
            <w:color w:val="000000"/>
          </w:rPr>
          <w:tag w:val="MENDELEY_CITATION_v3_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"/>
          <w:id w:val="-112365983"/>
          <w:placeholder>
            <w:docPart w:val="DefaultPlaceholder_-1854013440"/>
          </w:placeholder>
        </w:sdtPr>
        <w:sdtEndPr>
          <w:rPr>
            <w:lang w:bidi="ar"/>
          </w:rPr>
        </w:sdtEndPr>
        <w:sdtContent>
          <w:r w:rsidR="007E0157" w:rsidRPr="005D7961">
            <w:rPr>
              <w:rFonts w:ascii="Arial" w:eastAsia="SimSun" w:hAnsi="Arial" w:cs="Arial"/>
              <w:color w:val="000000"/>
              <w:lang w:bidi="ar"/>
            </w:rPr>
            <w:t>(Sa’adah et al., 2024).</w:t>
          </w:r>
        </w:sdtContent>
      </w:sdt>
      <w:r w:rsidRPr="005D7961">
        <w:rPr>
          <w:rFonts w:ascii="Arial" w:eastAsia="SimSun" w:hAnsi="Arial" w:cs="Arial"/>
        </w:rPr>
        <w:t xml:space="preserve"> This ability reflects the company's effectiveness in managing capital resources into the overall assets </w:t>
      </w:r>
      <w:sdt>
        <w:sdtPr>
          <w:rPr>
            <w:rFonts w:ascii="Arial" w:eastAsia="SimSun" w:hAnsi="Arial" w:cs="Arial"/>
            <w:color w:val="000000"/>
          </w:rPr>
          <w:tag w:val="MENDELEY_CITATION_v3_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"/>
          <w:id w:val="865638531"/>
          <w:placeholder>
            <w:docPart w:val="DefaultPlaceholder_-1854013440"/>
          </w:placeholder>
        </w:sdtPr>
        <w:sdtEndPr>
          <w:rPr>
            <w:lang w:bidi="ar"/>
          </w:rPr>
        </w:sdtEndPr>
        <w:sdtContent>
          <w:r w:rsidR="007E0157" w:rsidRPr="005D7961">
            <w:rPr>
              <w:rFonts w:ascii="Arial" w:eastAsia="Times New Roman" w:hAnsi="Arial" w:cs="Arial"/>
              <w:color w:val="000000"/>
            </w:rPr>
            <w:t>(Kusumaningrum &amp; Iswara, 2022)</w:t>
          </w:r>
        </w:sdtContent>
      </w:sdt>
      <w:r w:rsidRPr="005D7961">
        <w:rPr>
          <w:rFonts w:ascii="Arial" w:eastAsia="SimSun" w:hAnsi="Arial" w:cs="Arial"/>
          <w:color w:val="000000"/>
          <w:lang w:bidi="ar"/>
        </w:rPr>
        <w:t xml:space="preserve">, which then reflects the sustainability of the company </w:t>
      </w:r>
      <w:sdt>
        <w:sdtPr>
          <w:rPr>
            <w:rFonts w:ascii="Arial" w:eastAsia="SimSun" w:hAnsi="Arial" w:cs="Arial"/>
            <w:color w:val="000000"/>
            <w:lang w:bidi="ar"/>
          </w:rPr>
          <w:tag w:val="MENDELEY_CITATION_v3_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"/>
          <w:id w:val="1092352516"/>
          <w:placeholder>
            <w:docPart w:val="DefaultPlaceholder_-1854013440"/>
          </w:placeholder>
        </w:sdtPr>
        <w:sdtEndPr/>
        <w:sdtContent>
          <w:r w:rsidR="007E0157" w:rsidRPr="005D7961">
            <w:rPr>
              <w:rFonts w:ascii="Arial" w:eastAsia="Times New Roman" w:hAnsi="Arial" w:cs="Arial"/>
              <w:color w:val="000000"/>
            </w:rPr>
            <w:t>(Tubastuvi &amp; Cinintya Pratama, 2020).</w:t>
          </w:r>
        </w:sdtContent>
      </w:sdt>
      <w:r w:rsidRPr="005D7961">
        <w:rPr>
          <w:rFonts w:ascii="Arial" w:hAnsi="Arial" w:cs="Arial"/>
        </w:rPr>
        <w:t xml:space="preserve"> </w:t>
      </w:r>
      <w:r w:rsidRPr="005D7961">
        <w:rPr>
          <w:rFonts w:ascii="Arial" w:eastAsia="SimSun" w:hAnsi="Arial" w:cs="Arial"/>
          <w:lang w:bidi="ar"/>
        </w:rPr>
        <w:t xml:space="preserve">In the perspective of signaling theory, high profits can be a strong signal that management sends to investors to show </w:t>
      </w:r>
      <w:r w:rsidRPr="005D7961">
        <w:rPr>
          <w:rFonts w:ascii="Arial" w:eastAsia="SimSun" w:hAnsi="Arial" w:cs="Arial"/>
          <w:lang w:val="zh-CN" w:bidi="ar"/>
        </w:rPr>
        <w:t>The performance and future prospects of the firm</w:t>
      </w:r>
      <w:r w:rsidRPr="005D7961">
        <w:rPr>
          <w:rFonts w:ascii="Arial" w:eastAsia="SimSun" w:hAnsi="Arial" w:cs="Arial"/>
          <w:lang w:bidi="ar"/>
        </w:rPr>
        <w:t xml:space="preserve"> so as to increase the attractiveness of stocks in the eyes of investors. The above explanation is supported by several studies that have found that </w:t>
      </w:r>
      <w:r w:rsidRPr="005D7961">
        <w:rPr>
          <w:rFonts w:ascii="Arial" w:eastAsia="SimSun" w:hAnsi="Arial" w:cs="Arial"/>
          <w:lang w:val="zh-CN"/>
        </w:rPr>
        <w:t>Stock prices are positively impacted by profitability.</w:t>
      </w:r>
      <w:sdt>
        <w:sdtPr>
          <w:rPr>
            <w:rFonts w:ascii="Arial" w:eastAsia="SimSun" w:hAnsi="Arial" w:cs="Arial"/>
            <w:color w:val="000000"/>
          </w:rPr>
          <w:tag w:val="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"/>
          <w:id w:val="2043242282"/>
          <w:placeholder>
            <w:docPart w:val="DefaultPlaceholder_-1854013440"/>
          </w:placeholder>
        </w:sdtPr>
        <w:sdtEndPr/>
        <w:sdtContent>
          <w:r w:rsidR="007E0157" w:rsidRPr="005D7961">
            <w:rPr>
              <w:rFonts w:ascii="Arial" w:eastAsia="SimSun" w:hAnsi="Arial" w:cs="Arial"/>
              <w:color w:val="000000"/>
            </w:rPr>
            <w:t>(Puspitasari et al., 2025; Putri et al., 2024; Saputra, 2022; Sukesti et al., 2021).</w:t>
          </w:r>
        </w:sdtContent>
      </w:sdt>
      <w:r w:rsidRPr="005D7961">
        <w:rPr>
          <w:rFonts w:ascii="Arial" w:eastAsia="SimSun" w:hAnsi="Arial" w:cs="Arial"/>
        </w:rPr>
        <w:t xml:space="preserve"> </w:t>
      </w:r>
      <w:r w:rsidRPr="005D7961">
        <w:rPr>
          <w:rFonts w:ascii="Arial" w:hAnsi="Arial" w:cs="Arial"/>
        </w:rPr>
        <w:t>So the hypothesis proposed is as follows:</w:t>
      </w:r>
    </w:p>
    <w:p w14:paraId="074F8FF5" w14:textId="77777777" w:rsidR="002F52FB" w:rsidRPr="005D7961" w:rsidRDefault="002F52FB">
      <w:pPr>
        <w:jc w:val="both"/>
        <w:rPr>
          <w:rFonts w:ascii="Arial" w:eastAsia="SimSun" w:hAnsi="Arial" w:cs="Arial"/>
        </w:rPr>
      </w:pPr>
    </w:p>
    <w:p w14:paraId="12525817" w14:textId="77777777" w:rsidR="002F52FB" w:rsidRPr="005D7961" w:rsidRDefault="0092538B" w:rsidP="005D7961">
      <w:pPr>
        <w:rPr>
          <w:rFonts w:ascii="Arial" w:eastAsia="SimSun" w:hAnsi="Arial" w:cs="Arial"/>
          <w:b/>
          <w:bCs/>
        </w:rPr>
      </w:pPr>
      <w:r w:rsidRPr="005D7961">
        <w:rPr>
          <w:rFonts w:ascii="Arial" w:eastAsia="SimSun" w:hAnsi="Arial" w:cs="Arial"/>
          <w:b/>
          <w:bCs/>
        </w:rPr>
        <w:t xml:space="preserve">H1: Profitability has a significant positive effect on the stock price </w:t>
      </w:r>
    </w:p>
    <w:p w14:paraId="7C0A12AA" w14:textId="77777777" w:rsidR="002F52FB" w:rsidRPr="005D7961" w:rsidRDefault="002F52FB">
      <w:pPr>
        <w:ind w:firstLine="720"/>
        <w:jc w:val="both"/>
        <w:rPr>
          <w:rFonts w:ascii="Arial" w:eastAsia="SimSun" w:hAnsi="Arial" w:cs="Arial"/>
          <w:lang w:bidi="ar"/>
        </w:rPr>
      </w:pPr>
    </w:p>
    <w:p w14:paraId="297AF952" w14:textId="1CD1367C" w:rsidR="002F52FB" w:rsidRPr="005D7961" w:rsidRDefault="0092538B">
      <w:pPr>
        <w:ind w:firstLine="720"/>
        <w:jc w:val="both"/>
        <w:rPr>
          <w:rFonts w:ascii="Arial" w:eastAsia="SimSun" w:hAnsi="Arial" w:cs="Arial"/>
          <w:lang w:val="zh-CN" w:bidi="ar"/>
        </w:rPr>
      </w:pPr>
      <w:r w:rsidRPr="005D7961">
        <w:rPr>
          <w:rFonts w:ascii="Arial" w:eastAsia="SimSun" w:hAnsi="Arial" w:cs="Arial"/>
          <w:lang w:bidi="ar"/>
        </w:rPr>
        <w:t xml:space="preserve">Leverage shows the extent to which a company relies on debt rather than its own capital in its funding structure </w:t>
      </w:r>
      <w:sdt>
        <w:sdtPr>
          <w:rPr>
            <w:rFonts w:ascii="Arial" w:eastAsia="SimSun" w:hAnsi="Arial" w:cs="Arial"/>
            <w:color w:val="000000"/>
            <w:lang w:bidi="ar"/>
          </w:rPr>
          <w:tag w:val="MENDELEY_CITATION_v3_eyJjaXRhdGlvbklEIjoiTUVOREVMRVlfQ0lUQVRJT05fZmMwZjQxODAtOTEzZC00N2FhLTg5YjItZWZhMDdhOGZlMGYyIiwicHJvcGVydGllcyI6eyJub3RlSW5kZXgiOjB9LCJpc0VkaXRlZCI6ZmFsc2UsIm1hbnVhbE92ZXJyaWRlIjp7ImlzTWFudWFsbHlPdmVycmlkZGVuIjp0cnVlLCJjaXRlcHJvY1RleHQiOiIoV2FoeXVuaW5ncnVtICYjMzg7IFN1bmFydG8sIDIwMjMpIiwibWFudWFsT3ZlcnJpZGVUZXh0IjoiKFdhaHl1bmluZ3J1bSAmIFN1bmFydG8sIDIwMjMpLi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
          <w:id w:val="-1311252506"/>
          <w:placeholder>
            <w:docPart w:val="DefaultPlaceholder_-1854013440"/>
          </w:placeholder>
        </w:sdtPr>
        <w:sdtEndPr/>
        <w:sdtContent>
          <w:r w:rsidR="007E0157" w:rsidRPr="005D7961">
            <w:rPr>
              <w:rFonts w:ascii="Arial" w:eastAsia="Times New Roman" w:hAnsi="Arial" w:cs="Arial"/>
              <w:color w:val="000000"/>
            </w:rPr>
            <w:t>(Wahyuningrum &amp; Sunarto, 2023).</w:t>
          </w:r>
        </w:sdtContent>
      </w:sdt>
      <w:r w:rsidRPr="005D7961">
        <w:rPr>
          <w:rFonts w:ascii="Arial" w:eastAsia="SimSun" w:hAnsi="Arial" w:cs="Arial"/>
          <w:lang w:bidi="ar"/>
        </w:rPr>
        <w:t xml:space="preserve"> The high use of debt can demonstrate managerial ability to manage financing and increase net profit through the benefits of tax savings </w:t>
      </w:r>
      <w:sdt>
        <w:sdtPr>
          <w:rPr>
            <w:rFonts w:ascii="Arial" w:eastAsia="SimSun" w:hAnsi="Arial" w:cs="Arial"/>
            <w:color w:val="000000"/>
            <w:lang w:bidi="ar"/>
          </w:rPr>
          <w:tag w:val="MENDELEY_CITATION_v3_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"/>
          <w:id w:val="-1949994172"/>
          <w:placeholder>
            <w:docPart w:val="DefaultPlaceholder_-1854013440"/>
          </w:placeholder>
        </w:sdtPr>
        <w:sdtEndPr/>
        <w:sdtContent>
          <w:r w:rsidR="007E0157" w:rsidRPr="005D7961">
            <w:rPr>
              <w:rFonts w:ascii="Arial" w:eastAsia="SimSun" w:hAnsi="Arial" w:cs="Arial"/>
              <w:color w:val="000000"/>
              <w:lang w:bidi="ar"/>
            </w:rPr>
            <w:t>(Silas et al., 2025).</w:t>
          </w:r>
        </w:sdtContent>
      </w:sdt>
      <w:r w:rsidRPr="005D7961">
        <w:rPr>
          <w:rFonts w:ascii="Arial" w:eastAsia="SimSun" w:hAnsi="Arial" w:cs="Arial"/>
          <w:lang w:bidi="ar"/>
        </w:rPr>
        <w:t xml:space="preserve"> From a signaling theory perspective, this tax efficiency is a positive signal that reduces information asymmetry and </w:t>
      </w:r>
      <w:r w:rsidRPr="005D7961">
        <w:rPr>
          <w:rFonts w:ascii="Arial" w:eastAsia="SimSun" w:hAnsi="Arial" w:cs="Arial"/>
          <w:lang w:val="zh-CN" w:bidi="ar"/>
        </w:rPr>
        <w:t>increases the trust that investors have in the company's future. Consequently</w:t>
      </w:r>
      <w:r w:rsidRPr="005D7961">
        <w:rPr>
          <w:rFonts w:ascii="Arial" w:eastAsia="SimSun" w:hAnsi="Arial" w:cs="Arial"/>
          <w:lang w:bidi="ar"/>
        </w:rPr>
        <w:t xml:space="preserve">, the demand for stocks may increase. Several studies support </w:t>
      </w:r>
      <w:r w:rsidRPr="005D7961">
        <w:rPr>
          <w:rFonts w:ascii="Arial" w:eastAsia="SimSun" w:hAnsi="Arial" w:cs="Arial"/>
          <w:lang w:val="zh-CN" w:bidi="ar"/>
        </w:rPr>
        <w:t xml:space="preserve">leverage's beneficial impact on stock prices </w:t>
      </w:r>
      <w:sdt>
        <w:sdtPr>
          <w:rPr>
            <w:rFonts w:ascii="Arial" w:eastAsia="SimSun" w:hAnsi="Arial" w:cs="Arial"/>
            <w:color w:val="000000"/>
            <w:lang w:bidi="ar"/>
          </w:rPr>
          <w:tag w:val="MENDELEY_CITATION_v3_eyJjaXRhdGlvbklEIjoiTUVOREVMRVlfQ0lUQVRJT05fZWIyNGUxYjctZmQ5Zi00NTUyLTgyMmUtYmRmYzY2OGM5ZDNhIiwicHJvcGVydGllcyI6eyJub3RlSW5kZXgiOjB9LCJpc0VkaXRlZCI6ZmFsc2UsIm1hbnVhbE92ZXJyaWRlIjp7ImlzTWFudWFsbHlPdmVycmlkZGVuIjp0cnVlLCJjaXRlcHJvY1RleHQiOiIoRW1hbnVlICYjMzg7IFJpd2F5YXRpLCAyMDI0OyBLdXN1bWEgZXQgYWwuLCAyMDI0OyBTdXdhcm5vICYjMzg7IE11dGhtYWlubmFoLCAyMDI0KSIsIm1hbnVhbE92ZXJyaWRlVGV4dCI6IihFbWFudWUgJiBSaXdheWF0aSwgMjAyNDsgS3VzdW1hIGV0IGFsLiwgMjAyNDsgU3V3YXJubyAmIE11dGhtYWlubmFoLCAyMDI0KS4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
          <w:id w:val="-219055507"/>
          <w:placeholder>
            <w:docPart w:val="DefaultPlaceholder_-1854013440"/>
          </w:placeholder>
        </w:sdtPr>
        <w:sdtEndPr/>
        <w:sdtContent>
          <w:r w:rsidR="007E0157" w:rsidRPr="005D7961">
            <w:rPr>
              <w:rFonts w:ascii="Arial" w:eastAsia="Times New Roman" w:hAnsi="Arial" w:cs="Arial"/>
              <w:color w:val="000000"/>
            </w:rPr>
            <w:t>(Emanue &amp; Riwayati, 2024; Kusuma et al., 2024; Suwarno &amp; Muthmainnah, 2024).</w:t>
          </w:r>
        </w:sdtContent>
      </w:sdt>
      <w:r w:rsidRPr="005D7961">
        <w:rPr>
          <w:rFonts w:ascii="Arial" w:eastAsia="SimSun" w:hAnsi="Arial" w:cs="Arial"/>
          <w:lang w:bidi="ar"/>
        </w:rPr>
        <w:t xml:space="preserve"> </w:t>
      </w:r>
      <w:r w:rsidRPr="005D7961">
        <w:rPr>
          <w:rFonts w:ascii="Arial" w:hAnsi="Arial" w:cs="Arial"/>
        </w:rPr>
        <w:t>Therefore, the hypotheses proposed are as follows:</w:t>
      </w:r>
    </w:p>
    <w:p w14:paraId="6DBB987A" w14:textId="77777777" w:rsidR="002F52FB" w:rsidRPr="005D7961" w:rsidRDefault="002F52FB">
      <w:pPr>
        <w:jc w:val="both"/>
        <w:rPr>
          <w:rFonts w:ascii="Arial" w:eastAsia="SimSun" w:hAnsi="Arial" w:cs="Arial"/>
        </w:rPr>
      </w:pPr>
    </w:p>
    <w:p w14:paraId="50D56A6B" w14:textId="77777777" w:rsidR="002F52FB" w:rsidRPr="005D7961" w:rsidRDefault="0092538B" w:rsidP="005D7961">
      <w:pPr>
        <w:rPr>
          <w:rFonts w:ascii="Arial" w:eastAsia="SimSun" w:hAnsi="Arial" w:cs="Arial"/>
        </w:rPr>
      </w:pPr>
      <w:r w:rsidRPr="005D7961">
        <w:rPr>
          <w:rFonts w:ascii="Arial" w:eastAsia="SimSun" w:hAnsi="Arial" w:cs="Arial"/>
          <w:b/>
          <w:bCs/>
        </w:rPr>
        <w:t>H2 : Leverage has a significant positive effect on the stock price</w:t>
      </w:r>
    </w:p>
    <w:p w14:paraId="26606C81" w14:textId="77777777" w:rsidR="002F52FB" w:rsidRPr="005D7961" w:rsidRDefault="002F52FB">
      <w:pPr>
        <w:rPr>
          <w:rFonts w:ascii="Arial" w:eastAsia="SimSun" w:hAnsi="Arial" w:cs="Arial"/>
          <w:lang w:bidi="ar"/>
        </w:rPr>
      </w:pPr>
    </w:p>
    <w:p w14:paraId="5C2F5E56" w14:textId="4FA0A87E" w:rsidR="002F52FB" w:rsidRPr="005D7961" w:rsidRDefault="0092538B">
      <w:pPr>
        <w:ind w:firstLine="720"/>
        <w:jc w:val="both"/>
        <w:rPr>
          <w:rFonts w:ascii="Arial" w:hAnsi="Arial" w:cs="Arial"/>
          <w:lang w:val="zh-CN"/>
        </w:rPr>
      </w:pPr>
      <w:r w:rsidRPr="005D7961">
        <w:rPr>
          <w:rFonts w:ascii="Arial" w:hAnsi="Arial" w:cs="Arial"/>
        </w:rPr>
        <w:t xml:space="preserve">Liquidity measures a company's ability to meet its short-term obligations </w:t>
      </w:r>
      <w:sdt>
        <w:sdtPr>
          <w:rPr>
            <w:rFonts w:ascii="Arial" w:hAnsi="Arial" w:cs="Arial"/>
            <w:color w:val="000000"/>
          </w:rPr>
          <w:tag w:val="MENDELEY_CITATION_v3_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"/>
          <w:id w:val="-1901431759"/>
          <w:placeholder>
            <w:docPart w:val="DefaultPlaceholder_-1854013440"/>
          </w:placeholder>
        </w:sdtPr>
        <w:sdtEndPr/>
        <w:sdtContent>
          <w:r w:rsidR="007E0157" w:rsidRPr="005D7961">
            <w:rPr>
              <w:rFonts w:ascii="Arial" w:eastAsia="Times New Roman" w:hAnsi="Arial" w:cs="Arial"/>
              <w:color w:val="000000"/>
            </w:rPr>
            <w:t>(Rendiyansyah &amp; Kresandra, 2025).</w:t>
          </w:r>
        </w:sdtContent>
      </w:sdt>
      <w:r w:rsidRPr="005D7961">
        <w:rPr>
          <w:rFonts w:ascii="Arial" w:eastAsia="SimSun" w:hAnsi="Arial" w:cs="Arial"/>
          <w:lang w:bidi="ar"/>
        </w:rPr>
        <w:t xml:space="preserve"> A company with</w:t>
      </w:r>
      <w:r w:rsidR="003852F3" w:rsidRPr="005D7961">
        <w:rPr>
          <w:rFonts w:ascii="Arial" w:eastAsia="SimSun" w:hAnsi="Arial" w:cs="Arial"/>
          <w:lang w:bidi="ar"/>
        </w:rPr>
        <w:t xml:space="preserve"> </w:t>
      </w:r>
      <w:r w:rsidRPr="005D7961">
        <w:rPr>
          <w:rFonts w:ascii="Arial" w:eastAsia="SimSun" w:hAnsi="Arial" w:cs="Arial"/>
          <w:lang w:bidi="ar"/>
        </w:rPr>
        <w:t>high liquidity indicates the company's</w:t>
      </w:r>
      <w:r w:rsidR="003852F3" w:rsidRPr="005D7961">
        <w:rPr>
          <w:rFonts w:ascii="Arial" w:eastAsia="SimSun" w:hAnsi="Arial" w:cs="Arial"/>
          <w:lang w:bidi="ar"/>
        </w:rPr>
        <w:t xml:space="preserve"> </w:t>
      </w:r>
      <w:r w:rsidRPr="005D7961">
        <w:rPr>
          <w:rFonts w:ascii="Arial" w:eastAsia="SimSun" w:hAnsi="Arial" w:cs="Arial"/>
          <w:lang w:bidi="ar"/>
        </w:rPr>
        <w:t xml:space="preserve">ability to pay off its obligations </w:t>
      </w:r>
      <w:sdt>
        <w:sdtPr>
          <w:rPr>
            <w:rFonts w:ascii="Arial" w:eastAsia="SimSun" w:hAnsi="Arial" w:cs="Arial"/>
            <w:color w:val="000000"/>
            <w:lang w:bidi="ar"/>
          </w:rPr>
          <w:tag w:val="MENDELEY_CITATION_v3_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"/>
          <w:id w:val="1178936035"/>
          <w:placeholder>
            <w:docPart w:val="DefaultPlaceholder_-1854013440"/>
          </w:placeholder>
        </w:sdtPr>
        <w:sdtEndPr/>
        <w:sdtContent>
          <w:r w:rsidR="007E0157" w:rsidRPr="005D7961">
            <w:rPr>
              <w:rFonts w:ascii="Arial" w:eastAsia="SimSun" w:hAnsi="Arial" w:cs="Arial"/>
              <w:color w:val="000000"/>
              <w:lang w:bidi="ar"/>
            </w:rPr>
            <w:t>(Rahmawati et al., 2023).</w:t>
          </w:r>
        </w:sdtContent>
      </w:sdt>
      <w:r w:rsidRPr="005D7961">
        <w:rPr>
          <w:rFonts w:ascii="Arial" w:eastAsia="SimSun" w:hAnsi="Arial" w:cs="Arial"/>
          <w:lang w:bidi="ar"/>
        </w:rPr>
        <w:t xml:space="preserve"> It can be concluded that better conditions occur when the company has more assets compared to its liabilities. These assets can be optimized to generate profits that can be enjoyed by the company as well as its stakeholders </w:t>
      </w:r>
      <w:sdt>
        <w:sdtPr>
          <w:rPr>
            <w:rFonts w:ascii="Arial" w:eastAsia="SimSun" w:hAnsi="Arial" w:cs="Arial"/>
            <w:color w:val="000000"/>
            <w:lang w:bidi="ar"/>
          </w:rPr>
          <w:tag w:val="MENDELEY_CITATION_v3_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"/>
          <w:id w:val="209230094"/>
          <w:placeholder>
            <w:docPart w:val="DefaultPlaceholder_-1854013440"/>
          </w:placeholder>
        </w:sdtPr>
        <w:sdtEndPr/>
        <w:sdtContent>
          <w:r w:rsidR="007E0157" w:rsidRPr="005D7961">
            <w:rPr>
              <w:rFonts w:ascii="Arial" w:eastAsia="SimSun" w:hAnsi="Arial" w:cs="Arial"/>
              <w:color w:val="000000"/>
              <w:lang w:bidi="ar"/>
            </w:rPr>
            <w:t>(Zahra et al., n.d.).</w:t>
          </w:r>
        </w:sdtContent>
      </w:sdt>
      <w:r w:rsidRPr="005D7961">
        <w:rPr>
          <w:rFonts w:ascii="Arial" w:eastAsia="SimSun" w:hAnsi="Arial" w:cs="Arial"/>
          <w:lang w:bidi="ar"/>
        </w:rPr>
        <w:t xml:space="preserve"> An</w:t>
      </w:r>
      <w:r w:rsidR="003852F3" w:rsidRPr="005D7961">
        <w:rPr>
          <w:rFonts w:ascii="Arial" w:eastAsia="SimSun" w:hAnsi="Arial" w:cs="Arial"/>
          <w:lang w:bidi="ar"/>
        </w:rPr>
        <w:t xml:space="preserve"> </w:t>
      </w:r>
      <w:r w:rsidRPr="005D7961">
        <w:rPr>
          <w:rFonts w:ascii="Arial" w:eastAsia="SimSun" w:hAnsi="Arial" w:cs="Arial"/>
          <w:lang w:bidi="ar"/>
        </w:rPr>
        <w:t xml:space="preserve">adequate level of liquidity is also an important indicator for investors in assessing the overall financial stability of the company </w:t>
      </w:r>
      <w:sdt>
        <w:sdtPr>
          <w:rPr>
            <w:rFonts w:ascii="Arial" w:eastAsia="SimSun" w:hAnsi="Arial" w:cs="Arial"/>
            <w:color w:val="000000"/>
            <w:lang w:bidi="ar"/>
          </w:rPr>
          <w:tag w:val="MENDELEY_CITATION_v3_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"/>
          <w:id w:val="-739703598"/>
          <w:placeholder>
            <w:docPart w:val="DefaultPlaceholder_-1854013440"/>
          </w:placeholder>
        </w:sdtPr>
        <w:sdtEndPr/>
        <w:sdtContent>
          <w:r w:rsidR="007E0157" w:rsidRPr="005D7961">
            <w:rPr>
              <w:rFonts w:ascii="Arial" w:eastAsia="SimSun" w:hAnsi="Arial" w:cs="Arial"/>
              <w:color w:val="000000"/>
              <w:lang w:bidi="ar"/>
            </w:rPr>
            <w:t>(Ferli et al., 2022).</w:t>
          </w:r>
        </w:sdtContent>
      </w:sdt>
      <w:r w:rsidRPr="005D7961">
        <w:rPr>
          <w:rFonts w:ascii="Arial" w:eastAsia="SimSun" w:hAnsi="Arial" w:cs="Arial"/>
          <w:lang w:bidi="ar"/>
        </w:rPr>
        <w:t xml:space="preserve"> In the perspective of</w:t>
      </w:r>
      <w:r w:rsidR="003852F3" w:rsidRPr="005D7961">
        <w:rPr>
          <w:rFonts w:ascii="Arial" w:eastAsia="SimSun" w:hAnsi="Arial" w:cs="Arial"/>
          <w:lang w:bidi="ar"/>
        </w:rPr>
        <w:t xml:space="preserve"> </w:t>
      </w:r>
      <w:r w:rsidRPr="005D7961">
        <w:rPr>
          <w:rFonts w:ascii="Arial" w:eastAsia="SimSun" w:hAnsi="Arial" w:cs="Arial"/>
          <w:lang w:bidi="ar"/>
        </w:rPr>
        <w:t>signaling theory,</w:t>
      </w:r>
      <w:r w:rsidR="003852F3" w:rsidRPr="005D7961">
        <w:rPr>
          <w:rFonts w:ascii="Arial" w:eastAsia="SimSun" w:hAnsi="Arial" w:cs="Arial"/>
          <w:lang w:bidi="ar"/>
        </w:rPr>
        <w:t xml:space="preserve"> </w:t>
      </w:r>
      <w:r w:rsidRPr="005D7961">
        <w:rPr>
          <w:rFonts w:ascii="Arial" w:eastAsia="SimSun" w:hAnsi="Arial" w:cs="Arial"/>
          <w:lang w:bidi="ar"/>
        </w:rPr>
        <w:t xml:space="preserve">high liquidity provides a strong signal of short-term financial stability. </w:t>
      </w:r>
      <w:r w:rsidRPr="005D7961">
        <w:rPr>
          <w:rFonts w:ascii="Arial" w:eastAsia="SimSun" w:hAnsi="Arial" w:cs="Arial"/>
          <w:lang w:val="zh-CN" w:bidi="ar"/>
        </w:rPr>
        <w:t xml:space="preserve">Investors' opinion of the company's capacity to endure in unpredictable market conditions may be improved as a result. Numerous research has demonstrated that liquidity has a favorable impact on stock prices, which supports these conclusions </w:t>
      </w:r>
      <w:sdt>
        <w:sdtPr>
          <w:rPr>
            <w:rFonts w:ascii="Arial" w:eastAsia="SimSun" w:hAnsi="Arial" w:cs="Arial"/>
            <w:color w:val="000000"/>
            <w:lang w:bidi="ar"/>
          </w:rPr>
          <w:tag w:val="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"/>
          <w:id w:val="1990126235"/>
          <w:placeholder>
            <w:docPart w:val="DefaultPlaceholder_-1854013440"/>
          </w:placeholder>
        </w:sdtPr>
        <w:sdtEndPr/>
        <w:sdtContent>
          <w:r w:rsidR="007E0157" w:rsidRPr="005D7961">
            <w:rPr>
              <w:rFonts w:ascii="Arial" w:eastAsia="Times New Roman" w:hAnsi="Arial" w:cs="Arial"/>
              <w:color w:val="000000"/>
            </w:rPr>
            <w:t>(Argyanezar &amp; Damayanti, 2024; Purwanto &amp; Perkasa, 2024; Wulansari et al., 2023).</w:t>
          </w:r>
        </w:sdtContent>
      </w:sdt>
      <w:r w:rsidRPr="005D7961">
        <w:rPr>
          <w:rFonts w:ascii="Arial" w:eastAsia="SimSun" w:hAnsi="Arial" w:cs="Arial"/>
          <w:lang w:bidi="ar"/>
        </w:rPr>
        <w:t xml:space="preserve"> </w:t>
      </w:r>
      <w:r w:rsidRPr="005D7961">
        <w:rPr>
          <w:rFonts w:ascii="Arial" w:hAnsi="Arial" w:cs="Arial"/>
          <w:lang w:val="zh-CN"/>
        </w:rPr>
        <w:t>With reference to this explanation, the following hypothesis is put forth:</w:t>
      </w:r>
      <w:r w:rsidR="003852F3" w:rsidRPr="005D7961">
        <w:rPr>
          <w:rFonts w:ascii="Arial" w:eastAsia="SimSun" w:hAnsi="Arial" w:cs="Arial"/>
          <w:lang w:bidi="ar"/>
        </w:rPr>
        <w:t xml:space="preserve">  </w:t>
      </w:r>
    </w:p>
    <w:p w14:paraId="20430267" w14:textId="77777777" w:rsidR="002F52FB" w:rsidRPr="005D7961" w:rsidRDefault="002F52FB">
      <w:pPr>
        <w:jc w:val="both"/>
        <w:rPr>
          <w:rFonts w:ascii="Arial" w:eastAsia="SimSun" w:hAnsi="Arial" w:cs="Arial"/>
          <w:b/>
          <w:bCs/>
          <w:lang w:bidi="ar"/>
        </w:rPr>
      </w:pPr>
    </w:p>
    <w:p w14:paraId="45BFF83E" w14:textId="77777777" w:rsidR="002F52FB" w:rsidRPr="005D7961" w:rsidRDefault="0092538B" w:rsidP="005D7961">
      <w:pPr>
        <w:rPr>
          <w:rFonts w:ascii="Arial" w:eastAsia="SimSun" w:hAnsi="Arial" w:cs="Arial"/>
          <w:b/>
          <w:bCs/>
          <w:lang w:bidi="ar"/>
        </w:rPr>
      </w:pPr>
      <w:r w:rsidRPr="005D7961">
        <w:rPr>
          <w:rFonts w:ascii="Arial" w:eastAsia="SimSun" w:hAnsi="Arial" w:cs="Arial"/>
          <w:b/>
          <w:bCs/>
          <w:lang w:bidi="ar"/>
        </w:rPr>
        <w:t>H3 : Liquidity has a significant positive effect on the stock price</w:t>
      </w:r>
    </w:p>
    <w:p w14:paraId="70A33FA8" w14:textId="77777777" w:rsidR="002F52FB" w:rsidRPr="005D7961" w:rsidRDefault="002F52FB">
      <w:pPr>
        <w:jc w:val="both"/>
        <w:rPr>
          <w:rFonts w:ascii="Arial" w:eastAsia="SimSun" w:hAnsi="Arial" w:cs="Arial"/>
          <w:lang w:bidi="ar"/>
        </w:rPr>
      </w:pPr>
    </w:p>
    <w:p w14:paraId="41CE07C4" w14:textId="50EA131C" w:rsidR="002F52FB" w:rsidRPr="005D7961" w:rsidRDefault="0092538B">
      <w:pPr>
        <w:ind w:firstLineChars="409" w:firstLine="818"/>
        <w:jc w:val="both"/>
        <w:rPr>
          <w:rFonts w:ascii="Arial" w:eastAsia="SimSun" w:hAnsi="Arial" w:cs="Arial"/>
          <w:lang w:val="zh-CN" w:bidi="ar"/>
        </w:rPr>
      </w:pPr>
      <w:r w:rsidRPr="005D7961">
        <w:rPr>
          <w:rFonts w:ascii="Arial" w:eastAsia="SimSun" w:hAnsi="Arial" w:cs="Arial"/>
          <w:lang w:bidi="ar"/>
        </w:rPr>
        <w:t xml:space="preserve">Asset efficiency describes </w:t>
      </w:r>
      <w:r w:rsidRPr="005D7961">
        <w:rPr>
          <w:rFonts w:ascii="Arial" w:eastAsia="SimSun" w:hAnsi="Arial" w:cs="Arial"/>
          <w:lang w:val="zh-CN" w:bidi="ar"/>
        </w:rPr>
        <w:t>How well a business uses its resources to produce revenue</w:t>
      </w:r>
      <w:r w:rsidRPr="005D7961">
        <w:rPr>
          <w:rFonts w:ascii="Arial" w:eastAsia="SimSun" w:hAnsi="Arial" w:cs="Arial"/>
          <w:lang w:bidi="ar"/>
        </w:rPr>
        <w:t xml:space="preserve"> </w:t>
      </w:r>
      <w:sdt>
        <w:sdtPr>
          <w:rPr>
            <w:rFonts w:ascii="Arial" w:eastAsia="SimSun" w:hAnsi="Arial" w:cs="Arial"/>
            <w:color w:val="000000"/>
            <w:lang w:bidi="ar"/>
          </w:rPr>
          <w:tag w:val="MENDELEY_CITATION_v3_eyJjaXRhdGlvbklEIjoiTUVOREVMRVlfQ0lUQVRJT05fMDM4OTcyMzItOTk1Zi00NjMwLTg5MDUtODhkODQwNGRiZGZjIiwicHJvcGVydGllcyI6eyJub3RlSW5kZXgiOjB9LCJpc0VkaXRlZCI6ZmFsc2UsIm1hbnVhbE92ZXJyaWRlIjp7ImlzTWFudWFsbHlPdmVycmlkZGVuIjp0cnVlLCJjaXRlcHJvY1RleHQiOiIoVGFudG9yaW8gZXQgYWwuLCAyMDIzKSIsIm1hbnVhbE92ZXJyaWRlVGV4dCI6IihUYW50b3JpbyBldCBhbC4sIDIwMjMpLi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
          <w:id w:val="-7225166"/>
          <w:placeholder>
            <w:docPart w:val="DefaultPlaceholder_-1854013440"/>
          </w:placeholder>
        </w:sdtPr>
        <w:sdtEndPr/>
        <w:sdtContent>
          <w:r w:rsidR="007E0157" w:rsidRPr="005D7961">
            <w:rPr>
              <w:rFonts w:ascii="Arial" w:eastAsia="SimSun" w:hAnsi="Arial" w:cs="Arial"/>
              <w:color w:val="000000"/>
              <w:lang w:bidi="ar"/>
            </w:rPr>
            <w:t>(Tantorio et al., 2023).</w:t>
          </w:r>
        </w:sdtContent>
      </w:sdt>
      <w:r w:rsidRPr="005D7961">
        <w:rPr>
          <w:rFonts w:ascii="Arial" w:eastAsia="SimSun" w:hAnsi="Arial" w:cs="Arial"/>
          <w:lang w:bidi="ar"/>
        </w:rPr>
        <w:t xml:space="preserve"> </w:t>
      </w:r>
      <w:r w:rsidRPr="005D7961">
        <w:rPr>
          <w:rFonts w:ascii="Arial" w:eastAsia="SimSun" w:hAnsi="Arial" w:cs="Arial"/>
          <w:lang w:val="zh-CN" w:bidi="ar"/>
        </w:rPr>
        <w:t xml:space="preserve">Because steady sales result in increased earnings, the more efficient the asset, the better the financial performance </w:t>
      </w:r>
      <w:sdt>
        <w:sdtPr>
          <w:rPr>
            <w:rFonts w:ascii="Arial" w:eastAsia="SimSun" w:hAnsi="Arial" w:cs="Arial"/>
            <w:color w:val="000000"/>
            <w:lang w:bidi="ar"/>
          </w:rPr>
          <w:tag w:val="MENDELEY_CITATION_v3_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"/>
          <w:id w:val="-1706714379"/>
          <w:placeholder>
            <w:docPart w:val="DefaultPlaceholder_-1854013440"/>
          </w:placeholder>
        </w:sdtPr>
        <w:sdtEndPr/>
        <w:sdtContent>
          <w:r w:rsidR="007E0157" w:rsidRPr="005D7961">
            <w:rPr>
              <w:rFonts w:ascii="Arial" w:eastAsia="Times New Roman" w:hAnsi="Arial" w:cs="Arial"/>
              <w:color w:val="000000"/>
            </w:rPr>
            <w:t>(Dini &amp; Pasaribu, 2021).</w:t>
          </w:r>
        </w:sdtContent>
      </w:sdt>
      <w:r w:rsidRPr="005D7961">
        <w:rPr>
          <w:rFonts w:ascii="Arial" w:eastAsia="SimSun" w:hAnsi="Arial" w:cs="Arial"/>
          <w:lang w:bidi="ar"/>
        </w:rPr>
        <w:t xml:space="preserve"> From the perspective of signaling theory, high asset efficiency can be a reliable signal for the company's managerial performance, which is a positive signal for investors and encourages stock price appreciation. This explanation is strengthened by the finding that asset efficiency is able to appreciate the stock price </w:t>
      </w:r>
      <w:sdt>
        <w:sdtPr>
          <w:rPr>
            <w:rFonts w:ascii="Arial" w:eastAsia="SimSun" w:hAnsi="Arial" w:cs="Arial"/>
            <w:color w:val="000000"/>
            <w:lang w:bidi="ar"/>
          </w:rPr>
          <w:tag w:val="MENDELEY_CITATION_v3_eyJjaXRhdGlvbklEIjoiTUVOREVMRVlfQ0lUQVRJT05fOTA4YmY2NjUtZGNiNi00NmE3LTkwY2EtN2EzNDYyYmYyNzVl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
          <w:id w:val="-1959334520"/>
          <w:placeholder>
            <w:docPart w:val="DefaultPlaceholder_-1854013440"/>
          </w:placeholder>
        </w:sdtPr>
        <w:sdtEndPr/>
        <w:sdtContent>
          <w:r w:rsidR="007E0157" w:rsidRPr="005D7961">
            <w:rPr>
              <w:rFonts w:ascii="Arial" w:eastAsia="Times New Roman" w:hAnsi="Arial" w:cs="Arial"/>
              <w:color w:val="000000"/>
            </w:rPr>
            <w:t>(Argyanezar &amp; Damayanti, 2024; Nurcholis et al., 2024; Tantorio et al., 2023).</w:t>
          </w:r>
        </w:sdtContent>
      </w:sdt>
      <w:r w:rsidRPr="005D7961">
        <w:rPr>
          <w:rFonts w:ascii="Arial" w:eastAsia="SimSun" w:hAnsi="Arial" w:cs="Arial"/>
          <w:lang w:bidi="ar"/>
        </w:rPr>
        <w:t xml:space="preserve"> </w:t>
      </w:r>
      <w:r w:rsidRPr="005D7961">
        <w:rPr>
          <w:rFonts w:ascii="Arial" w:hAnsi="Arial" w:cs="Arial"/>
        </w:rPr>
        <w:t>Referring to this explanation, the hypothesis proposed is:</w:t>
      </w:r>
    </w:p>
    <w:p w14:paraId="180CCE3C" w14:textId="77777777" w:rsidR="002F52FB" w:rsidRPr="005D7961" w:rsidRDefault="002F52FB">
      <w:pPr>
        <w:rPr>
          <w:rFonts w:ascii="Arial" w:hAnsi="Arial" w:cs="Arial"/>
        </w:rPr>
      </w:pPr>
    </w:p>
    <w:p w14:paraId="3E509A14" w14:textId="77777777" w:rsidR="002F52FB" w:rsidRPr="005D7961" w:rsidRDefault="0092538B">
      <w:pPr>
        <w:rPr>
          <w:rFonts w:ascii="Arial" w:hAnsi="Arial" w:cs="Arial"/>
          <w:b/>
          <w:bCs/>
        </w:rPr>
      </w:pPr>
      <w:r w:rsidRPr="005D7961">
        <w:rPr>
          <w:rFonts w:ascii="Arial" w:hAnsi="Arial" w:cs="Arial"/>
          <w:b/>
          <w:bCs/>
        </w:rPr>
        <w:t>H4 : Asset Efficiency has a significant positive effect on the stock price</w:t>
      </w:r>
      <w:r w:rsidRPr="005D7961">
        <w:rPr>
          <w:rFonts w:ascii="Arial" w:hAnsi="Arial" w:cs="Arial"/>
          <w:b/>
          <w:bCs/>
        </w:rPr>
        <w:tab/>
      </w:r>
    </w:p>
    <w:p w14:paraId="3533D9A4" w14:textId="77777777" w:rsidR="002F52FB" w:rsidRPr="005D7961" w:rsidRDefault="002F52FB">
      <w:pPr>
        <w:ind w:firstLine="720"/>
        <w:jc w:val="both"/>
        <w:rPr>
          <w:rFonts w:ascii="Arial" w:eastAsia="SimSun" w:hAnsi="Arial" w:cs="Arial"/>
        </w:rPr>
      </w:pPr>
    </w:p>
    <w:p w14:paraId="21314365" w14:textId="3692F1D7" w:rsidR="002F52FB" w:rsidRPr="005D7961" w:rsidRDefault="0092538B">
      <w:pPr>
        <w:ind w:firstLine="720"/>
        <w:jc w:val="both"/>
        <w:rPr>
          <w:rFonts w:ascii="Arial" w:hAnsi="Arial" w:cs="Arial"/>
          <w:lang w:val="zh-CN"/>
        </w:rPr>
      </w:pPr>
      <w:r w:rsidRPr="005D7961">
        <w:rPr>
          <w:rFonts w:ascii="Arial" w:eastAsia="SimSun" w:hAnsi="Arial" w:cs="Arial"/>
        </w:rPr>
        <w:t>The fair value of a stock, or intrinsic value, reflects the fundamental condition of the company and is often also called true value by investors. Intrinsic value in this study is proxied through</w:t>
      </w:r>
      <w:r w:rsidR="003852F3" w:rsidRPr="005D7961">
        <w:rPr>
          <w:rFonts w:ascii="Arial" w:eastAsia="SimSun" w:hAnsi="Arial" w:cs="Arial"/>
        </w:rPr>
        <w:t xml:space="preserve"> </w:t>
      </w:r>
      <w:r w:rsidRPr="005D7961">
        <w:rPr>
          <w:rFonts w:ascii="Arial" w:eastAsia="SimSun" w:hAnsi="Arial" w:cs="Arial"/>
        </w:rPr>
        <w:t xml:space="preserve">the Price to Book Value ratio, which compares the market value to its book value </w:t>
      </w:r>
      <w:sdt>
        <w:sdtPr>
          <w:rPr>
            <w:rFonts w:ascii="Arial" w:eastAsia="SimSun" w:hAnsi="Arial" w:cs="Arial"/>
            <w:color w:val="000000"/>
          </w:rPr>
          <w:tag w:val="MENDELEY_CITATION_v3_eyJjaXRhdGlvbklEIjoiTUVOREVMRVlfQ0lUQVRJT05fOTUyMGYzMTMtYzJjOS00NWY0LTgyNGMtYjkwMzA0OTZkZWYzIiwicHJvcGVydGllcyI6eyJub3RlSW5kZXgiOjB9LCJpc0VkaXRlZCI6ZmFsc2UsIm1hbnVhbE92ZXJyaWRlIjp7ImlzTWFudWFsbHlPdmVycmlkZGVuIjp0cnVlLCJjaXRlcHJvY1RleHQiOiIoVmVyb25pY2EsIDIwMjIpIiwibWFudWFsT3ZlcnJpZGVUZXh0IjoiKFZlcm9uaWNhLCAyMDIyKS4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
          <w:id w:val="942500390"/>
          <w:placeholder>
            <w:docPart w:val="DefaultPlaceholder_-1854013440"/>
          </w:placeholder>
        </w:sdtPr>
        <w:sdtEndPr/>
        <w:sdtContent>
          <w:r w:rsidR="007E0157" w:rsidRPr="005D7961">
            <w:rPr>
              <w:rFonts w:ascii="Arial" w:eastAsia="SimSun" w:hAnsi="Arial" w:cs="Arial"/>
              <w:color w:val="000000"/>
            </w:rPr>
            <w:t>(Veronica, 2022).</w:t>
          </w:r>
        </w:sdtContent>
      </w:sdt>
      <w:r w:rsidRPr="005D7961">
        <w:rPr>
          <w:rFonts w:ascii="Arial" w:eastAsia="SimSun" w:hAnsi="Arial" w:cs="Arial"/>
          <w:lang w:bidi="ar"/>
        </w:rPr>
        <w:t xml:space="preserve"> This ratio is often used in relative valuations to identify </w:t>
      </w:r>
      <w:r w:rsidRPr="005D7961">
        <w:rPr>
          <w:rFonts w:ascii="Arial" w:eastAsia="SimSun" w:hAnsi="Arial" w:cs="Arial"/>
          <w:lang w:val="zh-CN" w:bidi="ar"/>
        </w:rPr>
        <w:t>if a stock is overpriced or undervalued</w:t>
      </w:r>
      <w:r w:rsidRPr="005D7961">
        <w:rPr>
          <w:rFonts w:ascii="Arial" w:eastAsia="SimSun" w:hAnsi="Arial" w:cs="Arial"/>
          <w:lang w:bidi="ar"/>
        </w:rPr>
        <w:t>. High intrinsic value reflects the market's positive expectations of a company's prospects, while low intrinsic value can reflect uncertainty or negative market perception</w:t>
      </w:r>
      <w:r w:rsidRPr="005D7961">
        <w:rPr>
          <w:rFonts w:ascii="Arial" w:eastAsia="SimSun" w:hAnsi="Arial" w:cs="Arial"/>
        </w:rPr>
        <w:t xml:space="preserve"> </w:t>
      </w:r>
      <w:sdt>
        <w:sdtPr>
          <w:rPr>
            <w:rFonts w:ascii="Arial" w:eastAsia="SimSun" w:hAnsi="Arial" w:cs="Arial"/>
            <w:color w:val="000000"/>
          </w:rPr>
          <w:tag w:val="MENDELEY_CITATION_v3_eyJjaXRhdGlvbklEIjoiTUVOREVMRVlfQ0lUQVRJT05fY2FmODFiMmUtZDU0YS00ZDJkLTk1MWUtZDZhMmY2MzU0Nzkz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
          <w:id w:val="246541589"/>
          <w:placeholder>
            <w:docPart w:val="DefaultPlaceholder_-1854013440"/>
          </w:placeholder>
        </w:sdtPr>
        <w:sdtEndPr/>
        <w:sdtContent>
          <w:r w:rsidR="007E0157" w:rsidRPr="005D7961">
            <w:rPr>
              <w:rFonts w:ascii="Arial" w:eastAsia="Times New Roman" w:hAnsi="Arial" w:cs="Arial"/>
              <w:color w:val="000000"/>
            </w:rPr>
            <w:t>(Digdowiseiso &amp; Fadillah, 2022).</w:t>
          </w:r>
        </w:sdtContent>
      </w:sdt>
      <w:r w:rsidRPr="005D7961">
        <w:rPr>
          <w:rFonts w:ascii="Arial" w:eastAsia="SimSun" w:hAnsi="Arial" w:cs="Arial"/>
          <w:lang w:bidi="ar"/>
        </w:rPr>
        <w:t xml:space="preserve"> In signaling theory,</w:t>
      </w:r>
      <w:r w:rsidR="003852F3" w:rsidRPr="005D7961">
        <w:rPr>
          <w:rFonts w:ascii="Arial" w:eastAsia="SimSun" w:hAnsi="Arial" w:cs="Arial"/>
          <w:lang w:bidi="ar"/>
        </w:rPr>
        <w:t xml:space="preserve"> </w:t>
      </w:r>
      <w:r w:rsidRPr="005D7961">
        <w:rPr>
          <w:rFonts w:ascii="Arial" w:eastAsia="SimSun" w:hAnsi="Arial" w:cs="Arial"/>
          <w:lang w:val="zh-CN" w:bidi="ar"/>
        </w:rPr>
        <w:t>A high price to book ratio indicates that the market is confident in the company's core competencies.</w:t>
      </w:r>
      <w:r w:rsidRPr="005D7961">
        <w:rPr>
          <w:rStyle w:val="Strong"/>
          <w:rFonts w:ascii="Arial" w:hAnsi="Arial" w:cs="Arial"/>
          <w:b w:val="0"/>
          <w:bCs w:val="0"/>
        </w:rPr>
        <w:t xml:space="preserve"> With this signal, investors' confidence in the company increased and the stock price appreciated. </w:t>
      </w:r>
      <w:r w:rsidRPr="005D7961">
        <w:rPr>
          <w:rFonts w:ascii="Arial" w:hAnsi="Arial" w:cs="Arial"/>
          <w:lang w:val="zh-CN"/>
        </w:rPr>
        <w:t>Numerous research that has shown that intrinsic value influences stock prices favourably support this theory</w:t>
      </w:r>
      <w:r w:rsidRPr="005D7961">
        <w:rPr>
          <w:rStyle w:val="Strong"/>
          <w:rFonts w:ascii="Arial" w:hAnsi="Arial" w:cs="Arial"/>
          <w:b w:val="0"/>
          <w:bCs w:val="0"/>
        </w:rPr>
        <w:t xml:space="preserve"> </w:t>
      </w:r>
      <w:sdt>
        <w:sdtPr>
          <w:rPr>
            <w:rFonts w:ascii="Arial" w:hAnsi="Arial" w:cs="Arial"/>
            <w:color w:val="000000"/>
          </w:rPr>
          <w:tag w:val="MENDELEY_CITATION_v3_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"/>
          <w:id w:val="95988827"/>
          <w:placeholder>
            <w:docPart w:val="DefaultPlaceholder_-1854013440"/>
          </w:placeholder>
        </w:sdtPr>
        <w:sdtEndPr>
          <w:rPr>
            <w:rStyle w:val="Strong"/>
            <w:b/>
            <w:bCs/>
          </w:rPr>
        </w:sdtEndPr>
        <w:sdtContent>
          <w:r w:rsidR="007E0157" w:rsidRPr="005D7961">
            <w:rPr>
              <w:rFonts w:ascii="Arial" w:eastAsia="Times New Roman" w:hAnsi="Arial" w:cs="Arial"/>
              <w:color w:val="000000"/>
            </w:rPr>
            <w:t>(Elieser et al., 2022; Muktiadji &amp; Pamungkas, 2022; Surjanto &amp; Sugiharto, 2021).</w:t>
          </w:r>
        </w:sdtContent>
      </w:sdt>
      <w:r w:rsidRPr="005D7961">
        <w:rPr>
          <w:rFonts w:ascii="Arial" w:hAnsi="Arial" w:cs="Arial"/>
        </w:rPr>
        <w:t xml:space="preserve"> So the hypothesis proposed is as follows:</w:t>
      </w:r>
    </w:p>
    <w:p w14:paraId="79F332DC" w14:textId="77777777" w:rsidR="002F52FB" w:rsidRPr="005D7961" w:rsidRDefault="002F52FB">
      <w:pPr>
        <w:jc w:val="both"/>
        <w:rPr>
          <w:rFonts w:ascii="Arial" w:hAnsi="Arial" w:cs="Arial"/>
        </w:rPr>
      </w:pPr>
    </w:p>
    <w:p w14:paraId="01F31278" w14:textId="77777777" w:rsidR="002F52FB" w:rsidRPr="005D7961" w:rsidRDefault="0092538B" w:rsidP="005D7961">
      <w:pPr>
        <w:rPr>
          <w:rFonts w:ascii="Arial" w:hAnsi="Arial" w:cs="Arial"/>
          <w:b/>
          <w:bCs/>
        </w:rPr>
      </w:pPr>
      <w:r w:rsidRPr="005D7961">
        <w:rPr>
          <w:rFonts w:ascii="Arial" w:hAnsi="Arial" w:cs="Arial"/>
          <w:b/>
          <w:bCs/>
        </w:rPr>
        <w:t>H5 : Intrinsic Value has a significant positive effect on the Stock Price</w:t>
      </w:r>
    </w:p>
    <w:p w14:paraId="65183279" w14:textId="77777777" w:rsidR="002F52FB" w:rsidRPr="005D7961" w:rsidRDefault="002F52FB">
      <w:pPr>
        <w:rPr>
          <w:rFonts w:ascii="Arial" w:eastAsia="SimSun" w:hAnsi="Arial" w:cs="Arial"/>
          <w:lang w:bidi="ar"/>
        </w:rPr>
      </w:pPr>
    </w:p>
    <w:p w14:paraId="6C554497" w14:textId="419C1777" w:rsidR="002F52FB" w:rsidRPr="005D7961" w:rsidRDefault="0092538B">
      <w:pPr>
        <w:ind w:firstLine="720"/>
        <w:jc w:val="both"/>
        <w:rPr>
          <w:rFonts w:ascii="Arial" w:hAnsi="Arial" w:cs="Arial"/>
        </w:rPr>
      </w:pPr>
      <w:r w:rsidRPr="005D7961">
        <w:rPr>
          <w:rFonts w:ascii="Arial" w:hAnsi="Arial" w:cs="Arial"/>
        </w:rPr>
        <w:t xml:space="preserve">Profitability reflects the efficiency of asset management and the company's operational ability to generate profits </w:t>
      </w:r>
      <w:sdt>
        <w:sdtPr>
          <w:rPr>
            <w:rFonts w:ascii="Arial" w:hAnsi="Arial" w:cs="Arial"/>
            <w:color w:val="000000"/>
          </w:rPr>
          <w:tag w:val="MENDELEY_CITATION_v3_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"/>
          <w:id w:val="-511141393"/>
          <w:placeholder>
            <w:docPart w:val="DefaultPlaceholder_-1854013440"/>
          </w:placeholder>
        </w:sdtPr>
        <w:sdtEndPr/>
        <w:sdtContent>
          <w:r w:rsidR="007E0157" w:rsidRPr="005D7961">
            <w:rPr>
              <w:rFonts w:ascii="Arial" w:hAnsi="Arial" w:cs="Arial"/>
              <w:color w:val="000000"/>
            </w:rPr>
            <w:t>(Meisaroh et al., 2023).</w:t>
          </w:r>
        </w:sdtContent>
      </w:sdt>
      <w:r w:rsidRPr="005D7961">
        <w:rPr>
          <w:rFonts w:ascii="Arial" w:hAnsi="Arial" w:cs="Arial"/>
        </w:rPr>
        <w:t xml:space="preserve"> In the view of the market, profitability is a prospective signal that shows the performance of the fundamental </w:t>
      </w:r>
      <w:sdt>
        <w:sdtPr>
          <w:rPr>
            <w:rFonts w:ascii="Arial" w:hAnsi="Arial" w:cs="Arial"/>
            <w:color w:val="000000"/>
          </w:rPr>
          <w:tag w:val="MENDELEY_CITATION_v3_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"/>
          <w:id w:val="552123395"/>
          <w:placeholder>
            <w:docPart w:val="DefaultPlaceholder_-1854013440"/>
          </w:placeholder>
        </w:sdtPr>
        <w:sdtEndPr/>
        <w:sdtContent>
          <w:r w:rsidR="007E0157" w:rsidRPr="005D7961">
            <w:rPr>
              <w:rFonts w:ascii="Arial" w:eastAsia="Times New Roman" w:hAnsi="Arial" w:cs="Arial"/>
              <w:color w:val="000000"/>
            </w:rPr>
            <w:t>(Innayah &amp; Pratama, 2021)</w:t>
          </w:r>
        </w:sdtContent>
      </w:sdt>
      <w:r w:rsidRPr="005D7961">
        <w:rPr>
          <w:rFonts w:ascii="Arial" w:hAnsi="Arial" w:cs="Arial"/>
        </w:rPr>
        <w:t xml:space="preserve">. Based on signaling theory, high profits strengthen investors' confidence in the company's long-term potential, which is reflected in the increase in intrinsic value </w:t>
      </w:r>
      <w:sdt>
        <w:sdtPr>
          <w:rPr>
            <w:rFonts w:ascii="Arial" w:hAnsi="Arial" w:cs="Arial"/>
            <w:color w:val="000000"/>
          </w:rPr>
          <w:tag w:val="MENDELEY_CITATION_v3_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"/>
          <w:id w:val="1812199479"/>
          <w:placeholder>
            <w:docPart w:val="DefaultPlaceholder_-1854013440"/>
          </w:placeholder>
        </w:sdtPr>
        <w:sdtEndPr/>
        <w:sdtContent>
          <w:r w:rsidR="007E0157" w:rsidRPr="005D7961">
            <w:rPr>
              <w:rFonts w:ascii="Arial" w:hAnsi="Arial" w:cs="Arial"/>
              <w:color w:val="000000"/>
            </w:rPr>
            <w:t>(Berry, 2023)</w:t>
          </w:r>
        </w:sdtContent>
      </w:sdt>
      <w:r w:rsidRPr="005D7961">
        <w:rPr>
          <w:rFonts w:ascii="Arial" w:hAnsi="Arial" w:cs="Arial"/>
        </w:rPr>
        <w:t xml:space="preserve"> Investors tend to value stocks higher than their book value if the company's profitability is considered superior.</w:t>
      </w:r>
    </w:p>
    <w:p w14:paraId="1E3556A2" w14:textId="77777777" w:rsidR="002F52FB" w:rsidRPr="005D7961" w:rsidRDefault="002F52FB">
      <w:pPr>
        <w:jc w:val="both"/>
        <w:rPr>
          <w:rFonts w:ascii="Arial" w:eastAsia="Segoe UI Emoji" w:hAnsi="Arial" w:cs="Arial"/>
          <w:b/>
          <w:bCs/>
          <w:shd w:val="clear" w:color="auto" w:fill="FFFFFF"/>
        </w:rPr>
      </w:pPr>
    </w:p>
    <w:p w14:paraId="7F494F67" w14:textId="77777777" w:rsidR="002F52FB" w:rsidRPr="005D7961" w:rsidRDefault="0092538B" w:rsidP="005D7961">
      <w:pPr>
        <w:rPr>
          <w:rFonts w:ascii="Arial" w:hAnsi="Arial" w:cs="Arial"/>
        </w:rPr>
      </w:pPr>
      <w:r w:rsidRPr="005D7961">
        <w:rPr>
          <w:rFonts w:ascii="Arial" w:eastAsia="Segoe UI Emoji" w:hAnsi="Arial" w:cs="Arial"/>
          <w:b/>
          <w:bCs/>
          <w:shd w:val="clear" w:color="auto" w:fill="FFFFFF"/>
        </w:rPr>
        <w:t>H6 : Profitability has a significant positive effect on Intrinsic Value</w:t>
      </w:r>
    </w:p>
    <w:p w14:paraId="3A78185B" w14:textId="77777777" w:rsidR="002F52FB" w:rsidRPr="005D7961" w:rsidRDefault="002F52FB">
      <w:pPr>
        <w:ind w:firstLine="720"/>
        <w:jc w:val="both"/>
        <w:rPr>
          <w:rFonts w:ascii="Arial" w:hAnsi="Arial" w:cs="Arial"/>
        </w:rPr>
      </w:pPr>
    </w:p>
    <w:p w14:paraId="2C4B314D" w14:textId="4A0A02E0" w:rsidR="002F52FB" w:rsidRPr="005D7961" w:rsidRDefault="0092538B">
      <w:pPr>
        <w:ind w:firstLine="720"/>
        <w:jc w:val="both"/>
        <w:rPr>
          <w:rFonts w:ascii="Arial" w:hAnsi="Arial" w:cs="Arial"/>
        </w:rPr>
      </w:pPr>
      <w:r w:rsidRPr="005D7961">
        <w:rPr>
          <w:rFonts w:ascii="Arial" w:hAnsi="Arial" w:cs="Arial"/>
        </w:rPr>
        <w:t xml:space="preserve">Leverage shows the proportion of a company's funding that comes from debt compared to its own capital </w:t>
      </w:r>
      <w:sdt>
        <w:sdtPr>
          <w:rPr>
            <w:rFonts w:ascii="Arial" w:hAnsi="Arial" w:cs="Arial"/>
            <w:color w:val="000000"/>
          </w:rPr>
          <w:tag w:val="MENDELEY_CITATION_v3_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"/>
          <w:id w:val="-1940904025"/>
          <w:placeholder>
            <w:docPart w:val="DefaultPlaceholder_-1854013440"/>
          </w:placeholder>
        </w:sdtPr>
        <w:sdtEndPr/>
        <w:sdtContent>
          <w:r w:rsidR="007E0157" w:rsidRPr="005D7961">
            <w:rPr>
              <w:rFonts w:ascii="Arial" w:hAnsi="Arial" w:cs="Arial"/>
              <w:color w:val="000000"/>
            </w:rPr>
            <w:t>(Kyissima et al., 2020).</w:t>
          </w:r>
        </w:sdtContent>
      </w:sdt>
      <w:r w:rsidRPr="005D7961">
        <w:rPr>
          <w:rFonts w:ascii="Arial" w:hAnsi="Arial" w:cs="Arial"/>
        </w:rPr>
        <w:t xml:space="preserve"> In the framework of signaling theory,</w:t>
      </w:r>
      <w:r w:rsidR="003852F3" w:rsidRPr="005D7961">
        <w:rPr>
          <w:rFonts w:ascii="Arial" w:hAnsi="Arial" w:cs="Arial"/>
        </w:rPr>
        <w:t xml:space="preserve"> </w:t>
      </w:r>
      <w:r w:rsidRPr="005D7961">
        <w:rPr>
          <w:rFonts w:ascii="Arial" w:hAnsi="Arial" w:cs="Arial"/>
        </w:rPr>
        <w:t xml:space="preserve">high leverage can be perceived as a signal of management credibility and optimism towards profit prospects. The efficient use of debt also results in tax benefits (tax shield), which increases net profit and strengthens the intrinsic value of the company </w:t>
      </w:r>
      <w:sdt>
        <w:sdtPr>
          <w:rPr>
            <w:rFonts w:ascii="Arial" w:hAnsi="Arial" w:cs="Arial"/>
            <w:color w:val="000000"/>
          </w:rPr>
          <w:tag w:val="MENDELEY_CITATION_v3_eyJjaXRhdGlvbklEIjoiTUVOREVMRVlfQ0lUQVRJT05fMzU0Yjk4N2EtNmYzZC00Zjg2LTkxOWUtNzQyZWIwZDYwM2M1IiwicHJvcGVydGllcyI6eyJub3RlSW5kZXgiOjB9LCJpc0VkaXRlZCI6ZmFsc2UsIm1hbnVhbE92ZXJyaWRlIjp7ImlzTWFudWFsbHlPdmVycmlkZGVuIjpmYWxzZSwiY2l0ZXByb2NUZXh0IjoiKEtpbSBldCBhbC4sIDIwMjMpIiwibWFudWFsT3ZlcnJpZGVUZXh0Ijoi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
          <w:id w:val="111867067"/>
          <w:placeholder>
            <w:docPart w:val="DefaultPlaceholder_-1854013440"/>
          </w:placeholder>
        </w:sdtPr>
        <w:sdtEndPr/>
        <w:sdtContent>
          <w:r w:rsidR="007E0157" w:rsidRPr="005D7961">
            <w:rPr>
              <w:rFonts w:ascii="Arial" w:hAnsi="Arial" w:cs="Arial"/>
              <w:color w:val="000000"/>
            </w:rPr>
            <w:t>(Kim et al., 2023)</w:t>
          </w:r>
        </w:sdtContent>
      </w:sdt>
      <w:r w:rsidRPr="005D7961">
        <w:rPr>
          <w:rFonts w:ascii="Arial" w:hAnsi="Arial" w:cs="Arial"/>
        </w:rPr>
        <w:t xml:space="preserve"> Investors tend to take this signal as an indication of competent management in managing external resources. Referring to the explanation above, so that the hypothesis proposed is:</w:t>
      </w:r>
    </w:p>
    <w:p w14:paraId="5BAF336F" w14:textId="77777777" w:rsidR="002F52FB" w:rsidRPr="005D7961" w:rsidRDefault="002F52FB">
      <w:pPr>
        <w:ind w:firstLine="720"/>
        <w:jc w:val="both"/>
        <w:rPr>
          <w:rFonts w:ascii="Arial" w:hAnsi="Arial" w:cs="Arial"/>
        </w:rPr>
      </w:pPr>
    </w:p>
    <w:p w14:paraId="6B5508B5" w14:textId="77777777" w:rsidR="002F52FB" w:rsidRPr="005D7961" w:rsidRDefault="0092538B">
      <w:pPr>
        <w:rPr>
          <w:rFonts w:ascii="Arial" w:hAnsi="Arial" w:cs="Arial"/>
        </w:rPr>
      </w:pPr>
      <w:r w:rsidRPr="005D7961">
        <w:rPr>
          <w:rFonts w:ascii="Arial" w:hAnsi="Arial" w:cs="Arial"/>
          <w:b/>
          <w:bCs/>
        </w:rPr>
        <w:t xml:space="preserve">H7: Leverage has a significant positive effect on Intrinsic Value </w:t>
      </w:r>
    </w:p>
    <w:p w14:paraId="383BEA5C" w14:textId="77777777" w:rsidR="002F52FB" w:rsidRPr="005D7961" w:rsidRDefault="002F52FB">
      <w:pPr>
        <w:rPr>
          <w:rFonts w:ascii="Arial" w:eastAsia="Segoe UI Emoji" w:hAnsi="Arial" w:cs="Arial"/>
          <w:b/>
          <w:bCs/>
        </w:rPr>
      </w:pPr>
    </w:p>
    <w:p w14:paraId="6D9AA6C2" w14:textId="467A53CC" w:rsidR="002F52FB" w:rsidRPr="005D7961" w:rsidRDefault="0092538B">
      <w:pPr>
        <w:ind w:firstLine="720"/>
        <w:jc w:val="both"/>
        <w:rPr>
          <w:rFonts w:ascii="Arial" w:hAnsi="Arial" w:cs="Arial"/>
        </w:rPr>
      </w:pPr>
      <w:r w:rsidRPr="005D7961">
        <w:rPr>
          <w:rFonts w:ascii="Arial" w:hAnsi="Arial" w:cs="Arial"/>
        </w:rPr>
        <w:t xml:space="preserve">Liquidity reflects whether a company is able to meet its short-term obligations to create its current assets </w:t>
      </w:r>
      <w:sdt>
        <w:sdtPr>
          <w:rPr>
            <w:rFonts w:ascii="Arial" w:hAnsi="Arial" w:cs="Arial"/>
            <w:color w:val="000000"/>
          </w:rPr>
          <w:tag w:val="MENDELEY_CITATION_v3_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"/>
          <w:id w:val="1410277572"/>
          <w:placeholder>
            <w:docPart w:val="DefaultPlaceholder_-1854013440"/>
          </w:placeholder>
        </w:sdtPr>
        <w:sdtEndPr/>
        <w:sdtContent>
          <w:r w:rsidR="007E0157" w:rsidRPr="005D7961">
            <w:rPr>
              <w:rFonts w:ascii="Arial" w:hAnsi="Arial" w:cs="Arial"/>
              <w:color w:val="000000"/>
            </w:rPr>
            <w:t>(Tanapuan et al., 2022)</w:t>
          </w:r>
        </w:sdtContent>
      </w:sdt>
      <w:r w:rsidRPr="005D7961">
        <w:rPr>
          <w:rFonts w:ascii="Arial" w:hAnsi="Arial" w:cs="Arial"/>
        </w:rPr>
        <w:t xml:space="preserve">. Liquid companies are considered to have good financial resilience and a low risk of default </w:t>
      </w:r>
      <w:sdt>
        <w:sdtPr>
          <w:rPr>
            <w:rFonts w:ascii="Arial" w:hAnsi="Arial" w:cs="Arial"/>
            <w:color w:val="000000"/>
          </w:rPr>
          <w:tag w:val="MENDELEY_CITATION_v3_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"/>
          <w:id w:val="-669706663"/>
          <w:placeholder>
            <w:docPart w:val="DefaultPlaceholder_-1854013440"/>
          </w:placeholder>
        </w:sdtPr>
        <w:sdtEndPr/>
        <w:sdtContent>
          <w:r w:rsidR="007E0157" w:rsidRPr="005D7961">
            <w:rPr>
              <w:rFonts w:ascii="Arial" w:hAnsi="Arial" w:cs="Arial"/>
              <w:color w:val="000000"/>
            </w:rPr>
            <w:t>(Tanri et al., 2020).</w:t>
          </w:r>
        </w:sdtContent>
      </w:sdt>
      <w:r w:rsidRPr="005D7961">
        <w:rPr>
          <w:rFonts w:ascii="Arial" w:hAnsi="Arial" w:cs="Arial"/>
        </w:rPr>
        <w:t xml:space="preserve"> From the perspective of signaling theory,</w:t>
      </w:r>
      <w:r w:rsidR="003852F3" w:rsidRPr="005D7961">
        <w:rPr>
          <w:rFonts w:ascii="Arial" w:hAnsi="Arial" w:cs="Arial"/>
        </w:rPr>
        <w:t xml:space="preserve"> </w:t>
      </w:r>
      <w:r w:rsidRPr="005D7961">
        <w:rPr>
          <w:rFonts w:ascii="Arial" w:hAnsi="Arial" w:cs="Arial"/>
        </w:rPr>
        <w:t>high liquidity is a positive signal for investors regarding the company's financial stability, so that it can increase market perception and the company's intrinsic value. Referring to this explanation, the hypothesis proposed is:</w:t>
      </w:r>
    </w:p>
    <w:p w14:paraId="60FC4A6C" w14:textId="77777777" w:rsidR="002F52FB" w:rsidRPr="005D7961" w:rsidRDefault="002F52FB">
      <w:pPr>
        <w:rPr>
          <w:rFonts w:ascii="Arial" w:hAnsi="Arial" w:cs="Arial"/>
          <w:b/>
          <w:bCs/>
        </w:rPr>
      </w:pPr>
    </w:p>
    <w:p w14:paraId="49C00B71" w14:textId="77777777" w:rsidR="002F52FB" w:rsidRPr="005D7961" w:rsidRDefault="0092538B">
      <w:pPr>
        <w:rPr>
          <w:rFonts w:ascii="Arial" w:hAnsi="Arial" w:cs="Arial"/>
          <w:b/>
          <w:bCs/>
        </w:rPr>
      </w:pPr>
      <w:r w:rsidRPr="005D7961">
        <w:rPr>
          <w:rFonts w:ascii="Arial" w:hAnsi="Arial" w:cs="Arial"/>
          <w:b/>
          <w:bCs/>
        </w:rPr>
        <w:t xml:space="preserve">H8: Liquidity has a significant positive effect on Intrinsic Value </w:t>
      </w:r>
    </w:p>
    <w:p w14:paraId="6783D1B4" w14:textId="77777777" w:rsidR="002F52FB" w:rsidRPr="005D7961" w:rsidRDefault="002F52FB">
      <w:pPr>
        <w:rPr>
          <w:rFonts w:ascii="Arial" w:hAnsi="Arial" w:cs="Arial"/>
        </w:rPr>
      </w:pPr>
    </w:p>
    <w:p w14:paraId="4710D68F" w14:textId="5F6E833A" w:rsidR="002F52FB" w:rsidRPr="005D7961" w:rsidRDefault="0092538B">
      <w:pPr>
        <w:ind w:firstLine="720"/>
        <w:jc w:val="both"/>
        <w:rPr>
          <w:rFonts w:ascii="Arial" w:hAnsi="Arial" w:cs="Arial"/>
          <w:lang w:val="zh-CN"/>
        </w:rPr>
      </w:pPr>
      <w:r w:rsidRPr="005D7961">
        <w:rPr>
          <w:rFonts w:ascii="Arial" w:hAnsi="Arial" w:cs="Arial"/>
          <w:lang w:val="zh-CN"/>
        </w:rPr>
        <w:t>The degree to which a business manages its assets to produce income is reflected in asset efficiency.</w:t>
      </w:r>
      <w:r w:rsidRPr="005D7961">
        <w:rPr>
          <w:rFonts w:ascii="Arial" w:hAnsi="Arial" w:cs="Arial"/>
        </w:rPr>
        <w:t xml:space="preserve">, as measured by the Total Asset Turnover ratio </w:t>
      </w:r>
      <w:sdt>
        <w:sdtPr>
          <w:rPr>
            <w:rFonts w:ascii="Arial" w:hAnsi="Arial" w:cs="Arial"/>
            <w:color w:val="000000"/>
          </w:rPr>
          <w:tag w:val="MENDELEY_CITATION_v3_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"/>
          <w:id w:val="2128272196"/>
          <w:placeholder>
            <w:docPart w:val="DefaultPlaceholder_-1854013440"/>
          </w:placeholder>
        </w:sdtPr>
        <w:sdtEndPr/>
        <w:sdtContent>
          <w:r w:rsidR="007E0157" w:rsidRPr="005D7961">
            <w:rPr>
              <w:rFonts w:ascii="Arial" w:hAnsi="Arial" w:cs="Arial"/>
              <w:color w:val="000000"/>
            </w:rPr>
            <w:t>(Mustafa et al., 2022).</w:t>
          </w:r>
        </w:sdtContent>
      </w:sdt>
      <w:r w:rsidRPr="005D7961">
        <w:rPr>
          <w:rFonts w:ascii="Arial" w:hAnsi="Arial" w:cs="Arial"/>
        </w:rPr>
        <w:t xml:space="preserve"> High efficiency indicates that assets are being used optimally in driving sales and profits </w:t>
      </w:r>
      <w:sdt>
        <w:sdtPr>
          <w:rPr>
            <w:rFonts w:ascii="Arial" w:hAnsi="Arial" w:cs="Arial"/>
            <w:color w:val="000000"/>
          </w:rPr>
          <w:tag w:val="MENDELEY_CITATION_v3_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"/>
          <w:id w:val="960224324"/>
          <w:placeholder>
            <w:docPart w:val="DefaultPlaceholder_-1854013440"/>
          </w:placeholder>
        </w:sdtPr>
        <w:sdtEndPr/>
        <w:sdtContent>
          <w:r w:rsidR="007E0157" w:rsidRPr="005D7961">
            <w:rPr>
              <w:rFonts w:ascii="Arial" w:eastAsia="Times New Roman" w:hAnsi="Arial" w:cs="Arial"/>
              <w:color w:val="000000"/>
            </w:rPr>
            <w:t>(Dini &amp; Pasaribu, 2021).</w:t>
          </w:r>
        </w:sdtContent>
      </w:sdt>
      <w:r w:rsidRPr="005D7961">
        <w:rPr>
          <w:rFonts w:ascii="Arial" w:hAnsi="Arial" w:cs="Arial"/>
        </w:rPr>
        <w:t xml:space="preserve"> In the framework of signaling theory, it shows a good company prospect and </w:t>
      </w:r>
      <w:r w:rsidRPr="005D7961">
        <w:rPr>
          <w:rFonts w:ascii="Arial" w:hAnsi="Arial" w:cs="Arial"/>
          <w:lang w:val="zh-CN"/>
        </w:rPr>
        <w:t xml:space="preserve">provides investors with a favourable indication of the company's managerial capacity to generate wealth, </w:t>
      </w:r>
      <w:r w:rsidRPr="005D7961">
        <w:rPr>
          <w:rFonts w:ascii="Arial" w:hAnsi="Arial" w:cs="Arial"/>
        </w:rPr>
        <w:t>so that it can increase intrinsic value. Based on the above narrative, the proposed hypothesis is:</w:t>
      </w:r>
      <w:r w:rsidRPr="005D7961">
        <w:rPr>
          <w:rFonts w:ascii="Arial" w:hAnsi="Arial" w:cs="Arial"/>
        </w:rPr>
        <w:tab/>
      </w:r>
    </w:p>
    <w:p w14:paraId="6C040290" w14:textId="77777777" w:rsidR="002F52FB" w:rsidRPr="005D7961" w:rsidRDefault="0092538B" w:rsidP="005D7961">
      <w:pPr>
        <w:rPr>
          <w:rFonts w:ascii="Arial" w:hAnsi="Arial" w:cs="Arial"/>
          <w:b/>
          <w:bCs/>
        </w:rPr>
      </w:pPr>
      <w:r w:rsidRPr="005D7961">
        <w:rPr>
          <w:rFonts w:ascii="Arial" w:hAnsi="Arial" w:cs="Arial"/>
          <w:b/>
          <w:bCs/>
        </w:rPr>
        <w:t xml:space="preserve">H9: Asset Efficiency has a significant positive effect on Intrinsic Value </w:t>
      </w:r>
    </w:p>
    <w:p w14:paraId="70E34D9D" w14:textId="77777777" w:rsidR="002F52FB" w:rsidRPr="005D7961" w:rsidRDefault="002F52FB">
      <w:pPr>
        <w:rPr>
          <w:rFonts w:ascii="Arial" w:hAnsi="Arial" w:cs="Arial"/>
        </w:rPr>
      </w:pPr>
    </w:p>
    <w:p w14:paraId="5B257140" w14:textId="3FB03AE6" w:rsidR="002F52FB" w:rsidRPr="005D7961" w:rsidRDefault="0092538B">
      <w:pPr>
        <w:ind w:firstLine="720"/>
        <w:jc w:val="both"/>
        <w:rPr>
          <w:rFonts w:ascii="Arial" w:hAnsi="Arial" w:cs="Arial"/>
          <w:lang w:val="zh-CN"/>
        </w:rPr>
      </w:pPr>
      <w:r w:rsidRPr="005D7961">
        <w:rPr>
          <w:rFonts w:ascii="Arial" w:hAnsi="Arial" w:cs="Arial"/>
        </w:rPr>
        <w:t xml:space="preserve">Profitability, measured through Return on Asset, reflects the efficiency of the use of assets in generating profits </w:t>
      </w:r>
      <w:sdt>
        <w:sdtPr>
          <w:rPr>
            <w:rFonts w:ascii="Arial" w:hAnsi="Arial" w:cs="Arial"/>
            <w:color w:val="000000"/>
          </w:rPr>
          <w:tag w:val="MENDELEY_CITATION_v3_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"/>
          <w:id w:val="-1259133163"/>
          <w:placeholder>
            <w:docPart w:val="DefaultPlaceholder_-1854013440"/>
          </w:placeholder>
        </w:sdtPr>
        <w:sdtEndPr/>
        <w:sdtContent>
          <w:r w:rsidR="007E0157" w:rsidRPr="005D7961">
            <w:rPr>
              <w:rFonts w:ascii="Arial" w:hAnsi="Arial" w:cs="Arial"/>
              <w:color w:val="000000"/>
            </w:rPr>
            <w:t>(Wardoyo et al., 2022).</w:t>
          </w:r>
        </w:sdtContent>
      </w:sdt>
      <w:r w:rsidRPr="005D7961">
        <w:rPr>
          <w:rFonts w:ascii="Arial" w:hAnsi="Arial" w:cs="Arial"/>
        </w:rPr>
        <w:t xml:space="preserve"> The high level of profitability is a positive signal to investors about the company's prospects and performance </w:t>
      </w:r>
      <w:sdt>
        <w:sdtPr>
          <w:rPr>
            <w:rFonts w:ascii="Arial" w:hAnsi="Arial" w:cs="Arial"/>
            <w:color w:val="000000"/>
          </w:rPr>
          <w:tag w:val="MENDELEY_CITATION_v3_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"/>
          <w:id w:val="-1286725878"/>
          <w:placeholder>
            <w:docPart w:val="DefaultPlaceholder_-1854013440"/>
          </w:placeholder>
        </w:sdtPr>
        <w:sdtEndPr/>
        <w:sdtContent>
          <w:r w:rsidR="007E0157" w:rsidRPr="005D7961">
            <w:rPr>
              <w:rFonts w:ascii="Arial" w:hAnsi="Arial" w:cs="Arial"/>
              <w:color w:val="000000"/>
            </w:rPr>
            <w:t>(Berry, 2023).</w:t>
          </w:r>
        </w:sdtContent>
      </w:sdt>
      <w:r w:rsidRPr="005D7961">
        <w:rPr>
          <w:rFonts w:ascii="Arial" w:hAnsi="Arial" w:cs="Arial"/>
        </w:rPr>
        <w:t xml:space="preserve"> Within the framework of signaling theory, the signals are translated by the market into intrinsic value, which reflects the investor's appreciation of the company's fundamental qualities </w:t>
      </w:r>
      <w:sdt>
        <w:sdtPr>
          <w:rPr>
            <w:rFonts w:ascii="Arial" w:hAnsi="Arial" w:cs="Arial"/>
            <w:color w:val="000000"/>
          </w:rPr>
          <w:tag w:val="MENDELEY_CITATION_v3_eyJjaXRhdGlvbklEIjoiTUVOREVMRVlfQ0lUQVRJT05fYWNmNDc0ZDgtYjNlOC00ZTdmLWI0N2EtNGQ5N2JmM2FkMDI2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
          <w:id w:val="1849598190"/>
          <w:placeholder>
            <w:docPart w:val="DefaultPlaceholder_-1854013440"/>
          </w:placeholder>
        </w:sdtPr>
        <w:sdtEndPr/>
        <w:sdtContent>
          <w:r w:rsidR="007E0157" w:rsidRPr="005D7961">
            <w:rPr>
              <w:rFonts w:ascii="Arial" w:eastAsia="Times New Roman" w:hAnsi="Arial" w:cs="Arial"/>
              <w:color w:val="000000"/>
            </w:rPr>
            <w:t>(Digdowiseiso &amp; Fadillah, 2022).</w:t>
          </w:r>
        </w:sdtContent>
      </w:sdt>
      <w:r w:rsidRPr="005D7961">
        <w:rPr>
          <w:rFonts w:ascii="Arial" w:hAnsi="Arial" w:cs="Arial"/>
        </w:rPr>
        <w:t xml:space="preserve"> Therefore, intrinsic value is seen as able to bridge </w:t>
      </w:r>
      <w:r w:rsidRPr="005D7961">
        <w:rPr>
          <w:rFonts w:ascii="Arial" w:hAnsi="Arial" w:cs="Arial"/>
          <w:lang w:val="zh-CN"/>
        </w:rPr>
        <w:t>the connection between stock prices and profitability. Considering this reasoning, the following hypothesis is put forth:</w:t>
      </w:r>
    </w:p>
    <w:p w14:paraId="46768FC6" w14:textId="77777777" w:rsidR="002F52FB" w:rsidRPr="005D7961" w:rsidRDefault="002F52FB">
      <w:pPr>
        <w:jc w:val="both"/>
        <w:rPr>
          <w:rFonts w:ascii="Arial" w:eastAsia="SimSun" w:hAnsi="Arial" w:cs="Arial"/>
        </w:rPr>
      </w:pPr>
    </w:p>
    <w:p w14:paraId="4D766B82" w14:textId="77777777" w:rsidR="002F52FB" w:rsidRPr="005D7961" w:rsidRDefault="0092538B">
      <w:pPr>
        <w:rPr>
          <w:rFonts w:ascii="Arial" w:hAnsi="Arial" w:cs="Arial"/>
          <w:b/>
          <w:bCs/>
        </w:rPr>
      </w:pPr>
      <w:r w:rsidRPr="005D7961">
        <w:rPr>
          <w:rFonts w:ascii="Arial" w:hAnsi="Arial" w:cs="Arial"/>
          <w:b/>
          <w:bCs/>
        </w:rPr>
        <w:t>H10 : Intrinsic Value mediates the relationship between Profitability and Stock Price.</w:t>
      </w:r>
    </w:p>
    <w:p w14:paraId="53072621" w14:textId="77777777" w:rsidR="002F52FB" w:rsidRPr="005D7961" w:rsidRDefault="002F52FB">
      <w:pPr>
        <w:rPr>
          <w:rFonts w:ascii="Arial" w:hAnsi="Arial" w:cs="Arial"/>
        </w:rPr>
      </w:pPr>
    </w:p>
    <w:p w14:paraId="544E99E7" w14:textId="1A8E5607" w:rsidR="002F52FB" w:rsidRPr="005D7961" w:rsidRDefault="0092538B">
      <w:pPr>
        <w:ind w:firstLine="720"/>
        <w:jc w:val="both"/>
        <w:rPr>
          <w:rFonts w:ascii="Arial" w:hAnsi="Arial" w:cs="Arial"/>
          <w:lang w:val="zh-CN"/>
        </w:rPr>
      </w:pPr>
      <w:r w:rsidRPr="005D7961">
        <w:rPr>
          <w:rFonts w:ascii="Arial" w:hAnsi="Arial" w:cs="Arial"/>
        </w:rPr>
        <w:t xml:space="preserve">Leverage reflects the level of funding a company through debt rather than own capital </w:t>
      </w:r>
      <w:sdt>
        <w:sdtPr>
          <w:rPr>
            <w:rFonts w:ascii="Arial" w:hAnsi="Arial" w:cs="Arial"/>
            <w:color w:val="000000"/>
          </w:rPr>
          <w:tag w:val="MENDELEY_CITATION_v3_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"/>
          <w:id w:val="-1285577453"/>
          <w:placeholder>
            <w:docPart w:val="DefaultPlaceholder_-1854013440"/>
          </w:placeholder>
        </w:sdtPr>
        <w:sdtEndPr/>
        <w:sdtContent>
          <w:r w:rsidR="007E0157" w:rsidRPr="005D7961">
            <w:rPr>
              <w:rFonts w:ascii="Arial" w:hAnsi="Arial" w:cs="Arial"/>
              <w:color w:val="000000"/>
            </w:rPr>
            <w:t>(Kyissima et al., 2020).</w:t>
          </w:r>
        </w:sdtContent>
      </w:sdt>
      <w:r w:rsidRPr="005D7961">
        <w:rPr>
          <w:rFonts w:ascii="Arial" w:hAnsi="Arial" w:cs="Arial"/>
        </w:rPr>
        <w:t xml:space="preserve"> Efficient use of debt, including debt tax shield benefits, can increase net profit </w:t>
      </w:r>
      <w:sdt>
        <w:sdtPr>
          <w:rPr>
            <w:rFonts w:ascii="Arial" w:hAnsi="Arial" w:cs="Arial"/>
            <w:color w:val="000000"/>
          </w:rPr>
          <w:tag w:val="MENDELEY_CITATION_v3_eyJjaXRhdGlvbklEIjoiTUVOREVMRVlfQ0lUQVRJT05fZTVhNTYyOWYtNzhiMy00OTI5LTk3OWEtNDZkYTMyMzg3NmZmIiwicHJvcGVydGllcyI6eyJub3RlSW5kZXgiOjB9LCJpc0VkaXRlZCI6ZmFsc2UsIm1hbnVhbE92ZXJyaWRlIjp7ImlzTWFudWFsbHlPdmVycmlkZGVuIjp0cnVlLCJjaXRlcHJvY1RleHQiOiIoS2ltIGV0IGFsLiwgMjAyMykiLCJtYW51YWxPdmVycmlkZVRleHQiOiIoS2ltIGV0IGFsLiwgMjAyMyku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
          <w:id w:val="1227426761"/>
          <w:placeholder>
            <w:docPart w:val="DefaultPlaceholder_-1854013440"/>
          </w:placeholder>
        </w:sdtPr>
        <w:sdtEndPr/>
        <w:sdtContent>
          <w:r w:rsidR="007E0157" w:rsidRPr="005D7961">
            <w:rPr>
              <w:rFonts w:ascii="Arial" w:hAnsi="Arial" w:cs="Arial"/>
              <w:color w:val="000000"/>
            </w:rPr>
            <w:t>(Kim et al., 2023).</w:t>
          </w:r>
        </w:sdtContent>
      </w:sdt>
      <w:r w:rsidRPr="005D7961">
        <w:rPr>
          <w:rFonts w:ascii="Arial" w:hAnsi="Arial" w:cs="Arial"/>
        </w:rPr>
        <w:t xml:space="preserve"> From the perspective</w:t>
      </w:r>
      <w:r w:rsidR="003852F3" w:rsidRPr="005D7961">
        <w:rPr>
          <w:rFonts w:ascii="Arial" w:hAnsi="Arial" w:cs="Arial"/>
        </w:rPr>
        <w:t xml:space="preserve"> </w:t>
      </w:r>
      <w:r w:rsidRPr="005D7961">
        <w:rPr>
          <w:rFonts w:ascii="Arial" w:hAnsi="Arial" w:cs="Arial"/>
        </w:rPr>
        <w:t>of signaling theory</w:t>
      </w:r>
      <w:r w:rsidR="003852F3" w:rsidRPr="005D7961">
        <w:rPr>
          <w:rFonts w:ascii="Arial" w:hAnsi="Arial" w:cs="Arial"/>
        </w:rPr>
        <w:t xml:space="preserve">, </w:t>
      </w:r>
      <w:r w:rsidR="003852F3" w:rsidRPr="005D7961">
        <w:rPr>
          <w:rFonts w:ascii="Arial" w:hAnsi="Arial" w:cs="Arial"/>
          <w:lang w:val="en-US"/>
        </w:rPr>
        <w:t>t</w:t>
      </w:r>
      <w:r w:rsidRPr="005D7961">
        <w:rPr>
          <w:rFonts w:ascii="Arial" w:hAnsi="Arial" w:cs="Arial"/>
          <w:lang w:val="zh-CN"/>
        </w:rPr>
        <w:t>his indicates that management can effectively handle financial arrangements</w:t>
      </w:r>
      <w:r w:rsidR="003852F3" w:rsidRPr="005D7961">
        <w:rPr>
          <w:rFonts w:ascii="Arial" w:hAnsi="Arial" w:cs="Arial"/>
          <w:lang w:val="zh-CN"/>
        </w:rPr>
        <w:t>.</w:t>
      </w:r>
      <w:r w:rsidRPr="005D7961">
        <w:rPr>
          <w:rFonts w:ascii="Arial" w:hAnsi="Arial" w:cs="Arial"/>
        </w:rPr>
        <w:t xml:space="preserve"> The signal is reflected in an increase in intrinsic value, which is measured through Price to Book Value </w:t>
      </w:r>
      <w:sdt>
        <w:sdtPr>
          <w:rPr>
            <w:rFonts w:ascii="Arial" w:hAnsi="Arial" w:cs="Arial"/>
            <w:color w:val="000000"/>
          </w:rPr>
          <w:tag w:val="MENDELEY_CITATION_v3_eyJjaXRhdGlvbklEIjoiTUVOREVMRVlfQ0lUQVRJT05fMWUxNGMwMDktMGY5Ni00ZDllLThlZmYtNmMzMzIwZWRlMWYwIiwicHJvcGVydGllcyI6eyJub3RlSW5kZXgiOjB9LCJpc0VkaXRlZCI6ZmFsc2UsIm1hbnVhbE92ZXJyaWRlIjp7ImlzTWFudWFsbHlPdmVycmlkZGVuIjp0cnVlLCJjaXRlcHJvY1RleHQiOiIoVmVyb25pY2EsIDIwMjIpIiwibWFudWFsT3ZlcnJpZGVUZXh0IjoiKFZlcm9uaWNhLCAyMDIyKSw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
          <w:id w:val="1189108592"/>
          <w:placeholder>
            <w:docPart w:val="DefaultPlaceholder_-1854013440"/>
          </w:placeholder>
        </w:sdtPr>
        <w:sdtEndPr/>
        <w:sdtContent>
          <w:r w:rsidR="007E0157" w:rsidRPr="005D7961">
            <w:rPr>
              <w:rFonts w:ascii="Arial" w:hAnsi="Arial" w:cs="Arial"/>
              <w:color w:val="000000"/>
            </w:rPr>
            <w:t>(Veronica, 2022),</w:t>
          </w:r>
        </w:sdtContent>
      </w:sdt>
      <w:r w:rsidRPr="005D7961">
        <w:rPr>
          <w:rFonts w:ascii="Arial" w:hAnsi="Arial" w:cs="Arial"/>
        </w:rPr>
        <w:t xml:space="preserve"> </w:t>
      </w:r>
      <w:r w:rsidRPr="005D7961">
        <w:rPr>
          <w:rFonts w:ascii="Arial" w:hAnsi="Arial" w:cs="Arial"/>
          <w:lang w:val="zh-CN"/>
        </w:rPr>
        <w:t>and demonstrate how the market values the company's potential</w:t>
      </w:r>
      <w:r w:rsidRPr="005D7961">
        <w:rPr>
          <w:rFonts w:ascii="Arial" w:hAnsi="Arial" w:cs="Arial"/>
        </w:rPr>
        <w:t xml:space="preserve"> </w:t>
      </w:r>
      <w:sdt>
        <w:sdtPr>
          <w:rPr>
            <w:rFonts w:ascii="Arial" w:hAnsi="Arial" w:cs="Arial"/>
            <w:color w:val="000000"/>
          </w:rPr>
          <w:tag w:val="MENDELEY_CITATION_v3_eyJjaXRhdGlvbklEIjoiTUVOREVMRVlfQ0lUQVRJT05fYjY3NzYzYmMtNDFhYi00ZGYzLWI3MjItNDU5MTgwMTNlOGI0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
          <w:id w:val="592521839"/>
          <w:placeholder>
            <w:docPart w:val="DefaultPlaceholder_-1854013440"/>
          </w:placeholder>
        </w:sdtPr>
        <w:sdtEndPr/>
        <w:sdtContent>
          <w:r w:rsidR="007E0157" w:rsidRPr="005D7961">
            <w:rPr>
              <w:rFonts w:ascii="Arial" w:eastAsia="Times New Roman" w:hAnsi="Arial" w:cs="Arial"/>
              <w:color w:val="000000"/>
            </w:rPr>
            <w:t>(Digdowiseiso &amp; Fadillah, 2022).</w:t>
          </w:r>
        </w:sdtContent>
      </w:sdt>
      <w:r w:rsidRPr="005D7961">
        <w:rPr>
          <w:rFonts w:ascii="Arial" w:hAnsi="Arial" w:cs="Arial"/>
        </w:rPr>
        <w:t xml:space="preserve"> Therefore, intrinsic value </w:t>
      </w:r>
      <w:r w:rsidRPr="005D7961">
        <w:rPr>
          <w:rFonts w:ascii="Arial" w:hAnsi="Arial" w:cs="Arial"/>
          <w:lang w:val="zh-CN"/>
        </w:rPr>
        <w:t>has the capacity to moderate how leverage affects stock prices. The following hypothesis is put out in light of the previously provided explanation:</w:t>
      </w:r>
    </w:p>
    <w:p w14:paraId="66730B8E" w14:textId="77777777" w:rsidR="002F52FB" w:rsidRPr="005D7961" w:rsidRDefault="002F52FB">
      <w:pPr>
        <w:rPr>
          <w:rFonts w:ascii="Arial" w:hAnsi="Arial" w:cs="Arial"/>
          <w:b/>
          <w:bCs/>
        </w:rPr>
      </w:pPr>
    </w:p>
    <w:p w14:paraId="668F4237" w14:textId="77777777" w:rsidR="002F52FB" w:rsidRPr="005D7961" w:rsidRDefault="0092538B">
      <w:pPr>
        <w:rPr>
          <w:rFonts w:ascii="Arial" w:hAnsi="Arial" w:cs="Arial"/>
          <w:b/>
          <w:bCs/>
        </w:rPr>
      </w:pPr>
      <w:r w:rsidRPr="005D7961">
        <w:rPr>
          <w:rFonts w:ascii="Arial" w:hAnsi="Arial" w:cs="Arial"/>
          <w:b/>
          <w:bCs/>
        </w:rPr>
        <w:t>H11 : Intrinsic value mediates the influence between Leverage on Stock Price.</w:t>
      </w:r>
    </w:p>
    <w:p w14:paraId="20EC2CF2" w14:textId="77777777" w:rsidR="002F52FB" w:rsidRPr="005D7961" w:rsidRDefault="002F52FB">
      <w:pPr>
        <w:jc w:val="both"/>
        <w:rPr>
          <w:rFonts w:ascii="Arial" w:hAnsi="Arial" w:cs="Arial"/>
        </w:rPr>
      </w:pPr>
    </w:p>
    <w:p w14:paraId="1F850826" w14:textId="4E82F992" w:rsidR="002F52FB" w:rsidRPr="005D7961" w:rsidRDefault="0092538B">
      <w:pPr>
        <w:ind w:firstLine="720"/>
        <w:jc w:val="both"/>
        <w:rPr>
          <w:rFonts w:ascii="Arial" w:hAnsi="Arial" w:cs="Arial"/>
          <w:lang w:val="zh-CN"/>
        </w:rPr>
      </w:pPr>
      <w:r w:rsidRPr="005D7961">
        <w:rPr>
          <w:rFonts w:ascii="Arial" w:hAnsi="Arial" w:cs="Arial"/>
          <w:lang w:val="zh-CN"/>
        </w:rPr>
        <w:t>The ability of a business to settle short-term debts using its present assets is known as liquidity</w:t>
      </w:r>
      <w:r w:rsidRPr="005D7961">
        <w:rPr>
          <w:rFonts w:ascii="Arial" w:hAnsi="Arial" w:cs="Arial"/>
        </w:rPr>
        <w:t xml:space="preserve"> </w:t>
      </w:r>
      <w:sdt>
        <w:sdtPr>
          <w:rPr>
            <w:rFonts w:ascii="Arial" w:hAnsi="Arial" w:cs="Arial"/>
            <w:color w:val="000000"/>
          </w:rPr>
          <w:tag w:val="MENDELEY_CITATION_v3_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"/>
          <w:id w:val="1557357460"/>
          <w:placeholder>
            <w:docPart w:val="DefaultPlaceholder_-1854013440"/>
          </w:placeholder>
        </w:sdtPr>
        <w:sdtEndPr/>
        <w:sdtContent>
          <w:r w:rsidR="007E0157" w:rsidRPr="005D7961">
            <w:rPr>
              <w:rFonts w:ascii="Arial" w:hAnsi="Arial" w:cs="Arial"/>
              <w:color w:val="000000"/>
            </w:rPr>
            <w:t>(Tanapuan et al., 2022).</w:t>
          </w:r>
        </w:sdtContent>
      </w:sdt>
      <w:r w:rsidRPr="005D7961">
        <w:rPr>
          <w:rFonts w:ascii="Arial" w:hAnsi="Arial" w:cs="Arial"/>
        </w:rPr>
        <w:t xml:space="preserve"> High liquidity indicates effective cash and current debt management and indicates the company's financial stability </w:t>
      </w:r>
      <w:sdt>
        <w:sdtPr>
          <w:rPr>
            <w:rFonts w:ascii="Arial" w:hAnsi="Arial" w:cs="Arial"/>
            <w:color w:val="000000"/>
          </w:rPr>
          <w:tag w:val="MENDELEY_CITATION_v3_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"/>
          <w:id w:val="956836942"/>
          <w:placeholder>
            <w:docPart w:val="DefaultPlaceholder_-1854013440"/>
          </w:placeholder>
        </w:sdtPr>
        <w:sdtEndPr/>
        <w:sdtContent>
          <w:r w:rsidR="007E0157" w:rsidRPr="005D7961">
            <w:rPr>
              <w:rFonts w:ascii="Arial" w:hAnsi="Arial" w:cs="Arial"/>
              <w:color w:val="000000"/>
            </w:rPr>
            <w:t>(Tanri et al., 2020)</w:t>
          </w:r>
        </w:sdtContent>
      </w:sdt>
      <w:r w:rsidRPr="005D7961">
        <w:rPr>
          <w:rFonts w:ascii="Arial" w:hAnsi="Arial" w:cs="Arial"/>
        </w:rPr>
        <w:t xml:space="preserve">. Based on signaling theory, this is a positive signal that increases investor confidence in business prospects. The signal is reflected in the increase in intrinsic value measured through the Price to Book Value ratio </w:t>
      </w:r>
      <w:sdt>
        <w:sdtPr>
          <w:rPr>
            <w:rFonts w:ascii="Arial" w:hAnsi="Arial" w:cs="Arial"/>
            <w:color w:val="000000"/>
          </w:rPr>
          <w:tag w:val="MENDELEY_CITATION_v3_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"/>
          <w:id w:val="399410335"/>
          <w:placeholder>
            <w:docPart w:val="DefaultPlaceholder_-1854013440"/>
          </w:placeholder>
        </w:sdtPr>
        <w:sdtEndPr/>
        <w:sdtContent>
          <w:r w:rsidR="007E0157" w:rsidRPr="005D7961">
            <w:rPr>
              <w:rFonts w:ascii="Arial" w:hAnsi="Arial" w:cs="Arial"/>
              <w:color w:val="000000"/>
            </w:rPr>
            <w:t>(Elieser et al., 2022),</w:t>
          </w:r>
        </w:sdtContent>
      </w:sdt>
      <w:r w:rsidRPr="005D7961">
        <w:rPr>
          <w:rFonts w:ascii="Arial" w:hAnsi="Arial" w:cs="Arial"/>
        </w:rPr>
        <w:t xml:space="preserve"> which reflects the market's appreciation of the company's fundamentals </w:t>
      </w:r>
      <w:sdt>
        <w:sdtPr>
          <w:rPr>
            <w:rFonts w:ascii="Arial" w:hAnsi="Arial" w:cs="Arial"/>
            <w:color w:val="000000"/>
          </w:rPr>
          <w:tag w:val="MENDELEY_CITATION_v3_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"/>
          <w:id w:val="-239860988"/>
          <w:placeholder>
            <w:docPart w:val="DefaultPlaceholder_-1854013440"/>
          </w:placeholder>
        </w:sdtPr>
        <w:sdtEndPr/>
        <w:sdtContent>
          <w:r w:rsidR="007E0157" w:rsidRPr="005D7961">
            <w:rPr>
              <w:rFonts w:ascii="Arial" w:eastAsia="Times New Roman" w:hAnsi="Arial" w:cs="Arial"/>
              <w:color w:val="000000"/>
            </w:rPr>
            <w:t>(Digdowiseiso &amp; Fadillah, 2022)</w:t>
          </w:r>
        </w:sdtContent>
      </w:sdt>
      <w:r w:rsidRPr="005D7961">
        <w:rPr>
          <w:rFonts w:ascii="Arial" w:hAnsi="Arial" w:cs="Arial"/>
        </w:rPr>
        <w:t xml:space="preserve"> Thus, intrinsic value is estimated to mediate </w:t>
      </w:r>
      <w:r w:rsidRPr="005D7961">
        <w:rPr>
          <w:rFonts w:ascii="Arial" w:hAnsi="Arial" w:cs="Arial"/>
          <w:lang w:val="zh-CN"/>
        </w:rPr>
        <w:t>the connection between stock prices and liquidity. As a result, the link between stock prices and liquidity may be mediated by intrinsic value. Considering this reasoning, the following hypothesis is put forth:</w:t>
      </w:r>
    </w:p>
    <w:p w14:paraId="4D96512D" w14:textId="77777777" w:rsidR="002F52FB" w:rsidRPr="005D7961" w:rsidRDefault="002F52FB">
      <w:pPr>
        <w:ind w:firstLine="720"/>
        <w:jc w:val="both"/>
        <w:rPr>
          <w:rFonts w:ascii="Arial" w:hAnsi="Arial" w:cs="Arial"/>
        </w:rPr>
      </w:pPr>
    </w:p>
    <w:p w14:paraId="2EEAE4B9" w14:textId="345D3BAE" w:rsidR="002F52FB" w:rsidRDefault="0092538B">
      <w:pPr>
        <w:rPr>
          <w:rFonts w:ascii="Arial" w:hAnsi="Arial" w:cs="Arial"/>
          <w:b/>
          <w:bCs/>
        </w:rPr>
      </w:pPr>
      <w:r w:rsidRPr="005D7961">
        <w:rPr>
          <w:rFonts w:ascii="Arial" w:hAnsi="Arial" w:cs="Arial"/>
          <w:b/>
          <w:bCs/>
        </w:rPr>
        <w:t>H12 : Intrinsic Value mediates the influence between Liquidity on Stock Prices.</w:t>
      </w:r>
    </w:p>
    <w:p w14:paraId="35B8D52E" w14:textId="77777777" w:rsidR="00FB01F5" w:rsidRPr="005D7961" w:rsidRDefault="00FB01F5">
      <w:pPr>
        <w:rPr>
          <w:rFonts w:ascii="Arial" w:hAnsi="Arial" w:cs="Arial"/>
          <w:b/>
          <w:bCs/>
        </w:rPr>
      </w:pPr>
    </w:p>
    <w:p w14:paraId="0455488E" w14:textId="00DEF9AA" w:rsidR="002F52FB" w:rsidRPr="005D7961" w:rsidRDefault="0092538B">
      <w:pPr>
        <w:ind w:firstLine="720"/>
        <w:jc w:val="both"/>
        <w:rPr>
          <w:rFonts w:ascii="Arial" w:hAnsi="Arial" w:cs="Arial"/>
          <w:lang w:val="zh-CN"/>
        </w:rPr>
      </w:pPr>
      <w:r w:rsidRPr="005D7961">
        <w:rPr>
          <w:rFonts w:ascii="Arial" w:hAnsi="Arial" w:cs="Arial"/>
        </w:rPr>
        <w:t xml:space="preserve">Asset efficiency measures the extent to which a company is able to manage assets to generate revenue through sales activities, which is reflected in the Total Asset Turnover ratio </w:t>
      </w:r>
      <w:sdt>
        <w:sdtPr>
          <w:rPr>
            <w:rFonts w:ascii="Arial" w:hAnsi="Arial" w:cs="Arial"/>
            <w:color w:val="000000"/>
          </w:rPr>
          <w:tag w:val="MENDELEY_CITATION_v3_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"/>
          <w:id w:val="1994137073"/>
          <w:placeholder>
            <w:docPart w:val="DefaultPlaceholder_-1854013440"/>
          </w:placeholder>
        </w:sdtPr>
        <w:sdtEndPr/>
        <w:sdtContent>
          <w:r w:rsidR="007E0157" w:rsidRPr="005D7961">
            <w:rPr>
              <w:rFonts w:ascii="Arial" w:eastAsia="Times New Roman" w:hAnsi="Arial" w:cs="Arial"/>
              <w:color w:val="000000"/>
            </w:rPr>
            <w:t>(Dini &amp; Pasaribu, 2021; Mustafa et al., 2022).</w:t>
          </w:r>
        </w:sdtContent>
      </w:sdt>
      <w:r w:rsidRPr="005D7961">
        <w:rPr>
          <w:rFonts w:ascii="Arial" w:hAnsi="Arial" w:cs="Arial"/>
        </w:rPr>
        <w:t xml:space="preserve"> High efficiency indicates managerial ability to optimize assets, and in the framework of signaling theory, be a positive signal for investors. This signal is reflected in the increase in intrinsic value measured through the Price to Book Value</w:t>
      </w:r>
      <w:r w:rsidR="003852F3" w:rsidRPr="005D7961">
        <w:rPr>
          <w:rFonts w:ascii="Arial" w:hAnsi="Arial" w:cs="Arial"/>
        </w:rPr>
        <w:t xml:space="preserve"> </w:t>
      </w:r>
      <w:r w:rsidRPr="005D7961">
        <w:rPr>
          <w:rFonts w:ascii="Arial" w:hAnsi="Arial" w:cs="Arial"/>
        </w:rPr>
        <w:t xml:space="preserve">ratio </w:t>
      </w:r>
      <w:sdt>
        <w:sdtPr>
          <w:rPr>
            <w:rFonts w:ascii="Arial" w:hAnsi="Arial" w:cs="Arial"/>
            <w:color w:val="000000"/>
          </w:rPr>
          <w:tag w:val="MENDELEY_CITATION_v3_eyJjaXRhdGlvbklEIjoiTUVOREVMRVlfQ0lUQVRJT05fNDFmMGFmY2ItMDRhMy00MmY3LTk3NWItYzM4YmUzNTI2NmIwIiwicHJvcGVydGllcyI6eyJub3RlSW5kZXgiOjB9LCJpc0VkaXRlZCI6ZmFsc2UsIm1hbnVhbE92ZXJyaWRlIjp7ImlzTWFudWFsbHlPdmVycmlkZGVuIjp0cnVlLCJjaXRlcHJvY1RleHQiOiIoVmVyb25pY2EsIDIwMjIpIiwibWFudWFsT3ZlcnJpZGVUZXh0IjoiKFZlcm9uaWNhLCAyMDIyKSw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
          <w:id w:val="-895356546"/>
          <w:placeholder>
            <w:docPart w:val="DefaultPlaceholder_-1854013440"/>
          </w:placeholder>
        </w:sdtPr>
        <w:sdtEndPr/>
        <w:sdtContent>
          <w:r w:rsidR="007E0157" w:rsidRPr="005D7961">
            <w:rPr>
              <w:rFonts w:ascii="Arial" w:hAnsi="Arial" w:cs="Arial"/>
              <w:color w:val="000000"/>
            </w:rPr>
            <w:t>(Veronica, 2022),</w:t>
          </w:r>
        </w:sdtContent>
      </w:sdt>
      <w:r w:rsidRPr="005D7961">
        <w:rPr>
          <w:rFonts w:ascii="Arial" w:hAnsi="Arial" w:cs="Arial"/>
        </w:rPr>
        <w:t xml:space="preserve"> which reflects the market's expectations of the company's fundamental prospects </w:t>
      </w:r>
      <w:sdt>
        <w:sdtPr>
          <w:rPr>
            <w:rFonts w:ascii="Arial" w:hAnsi="Arial" w:cs="Arial"/>
            <w:color w:val="000000"/>
          </w:rPr>
          <w:tag w:val="MENDELEY_CITATION_v3_eyJjaXRhdGlvbklEIjoiTUVOREVMRVlfQ0lUQVRJT05fMmExMWM0MjUtMTRiNC00YjJjLWI5MGMtMDVmNWJmOGRjZGUwIiwicHJvcGVydGllcyI6eyJub3RlSW5kZXgiOjB9LCJpc0VkaXRlZCI6ZmFsc2UsIm1hbnVhbE92ZXJyaWRlIjp7ImlzTWFudWFsbHlPdmVycmlkZGVuIjp0cnVlLCJjaXRlcHJvY1RleHQiOiIoRGlnZG93aXNlaXNvICYjMzg7IEZhZGlsbGFoLCAyMDIyKSIsIm1hbnVhbE92ZXJyaWRlVGV4dCI6IihEaWdkb3dpc2Vpc28gJiBGYWRpbGxhaCwgMjAyMiks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
          <w:id w:val="299344218"/>
          <w:placeholder>
            <w:docPart w:val="DefaultPlaceholder_-1854013440"/>
          </w:placeholder>
        </w:sdtPr>
        <w:sdtEndPr/>
        <w:sdtContent>
          <w:r w:rsidR="007E0157" w:rsidRPr="005D7961">
            <w:rPr>
              <w:rFonts w:ascii="Arial" w:eastAsia="Times New Roman" w:hAnsi="Arial" w:cs="Arial"/>
              <w:color w:val="000000"/>
            </w:rPr>
            <w:t>(Digdowiseiso &amp; Fadillah, 2022),</w:t>
          </w:r>
        </w:sdtContent>
      </w:sdt>
      <w:r w:rsidRPr="005D7961">
        <w:rPr>
          <w:rFonts w:ascii="Arial" w:hAnsi="Arial" w:cs="Arial"/>
        </w:rPr>
        <w:t xml:space="preserve"> </w:t>
      </w:r>
      <w:r w:rsidRPr="005D7961">
        <w:rPr>
          <w:rFonts w:ascii="Arial" w:hAnsi="Arial" w:cs="Arial"/>
          <w:lang w:val="zh-CN"/>
        </w:rPr>
        <w:t>Consequently, the impact of asset efficiency on stock prices may be mitigated by intrinsic value. In light of this reasoning, the following hypothesis is put forth:</w:t>
      </w:r>
    </w:p>
    <w:p w14:paraId="56CD1DAA" w14:textId="77777777" w:rsidR="002F52FB" w:rsidRPr="005D7961" w:rsidRDefault="002F52FB">
      <w:pPr>
        <w:ind w:firstLine="720"/>
        <w:jc w:val="both"/>
        <w:rPr>
          <w:rFonts w:ascii="Arial" w:hAnsi="Arial" w:cs="Arial"/>
          <w:b/>
          <w:bCs/>
        </w:rPr>
        <w:sectPr w:rsidR="002F52FB" w:rsidRPr="005D7961">
          <w:type w:val="continuous"/>
          <w:pgSz w:w="11906" w:h="16838"/>
          <w:pgMar w:top="1440" w:right="2018" w:bottom="2018" w:left="2018" w:header="720" w:footer="720" w:gutter="0"/>
          <w:cols w:num="2" w:space="709"/>
          <w:docGrid w:linePitch="360"/>
        </w:sectPr>
      </w:pPr>
    </w:p>
    <w:p w14:paraId="5F7D6ED4" w14:textId="77777777" w:rsidR="005D7961" w:rsidRDefault="005D7961">
      <w:pPr>
        <w:rPr>
          <w:rFonts w:ascii="Arial" w:hAnsi="Arial" w:cs="Arial"/>
          <w:b/>
          <w:bCs/>
        </w:rPr>
      </w:pPr>
    </w:p>
    <w:p w14:paraId="15F7F7CC" w14:textId="6D292BAD" w:rsidR="002F52FB" w:rsidRPr="005D7961" w:rsidRDefault="0092538B">
      <w:pPr>
        <w:rPr>
          <w:rFonts w:ascii="Arial" w:hAnsi="Arial" w:cs="Arial"/>
          <w:b/>
          <w:bCs/>
        </w:rPr>
      </w:pPr>
      <w:r w:rsidRPr="005D7961">
        <w:rPr>
          <w:rFonts w:ascii="Arial" w:hAnsi="Arial" w:cs="Arial"/>
          <w:b/>
          <w:bCs/>
        </w:rPr>
        <w:t>H13 : Intrinsic Value mediates the influence between Asset Efficiency on Stock Price.</w:t>
      </w:r>
    </w:p>
    <w:p w14:paraId="64EA1C4F" w14:textId="77777777" w:rsidR="002F52FB" w:rsidRPr="005D7961" w:rsidRDefault="002F52FB">
      <w:pPr>
        <w:rPr>
          <w:rFonts w:ascii="Arial" w:hAnsi="Arial" w:cs="Arial"/>
        </w:rPr>
        <w:sectPr w:rsidR="002F52FB" w:rsidRPr="005D7961">
          <w:type w:val="continuous"/>
          <w:pgSz w:w="11906" w:h="16838"/>
          <w:pgMar w:top="1440" w:right="2018" w:bottom="2018" w:left="2018" w:header="720" w:footer="720" w:gutter="0"/>
          <w:cols w:space="709"/>
          <w:docGrid w:linePitch="360"/>
        </w:sectPr>
      </w:pPr>
    </w:p>
    <w:p w14:paraId="044CDC51" w14:textId="77777777" w:rsidR="002F52FB" w:rsidRPr="005D7961" w:rsidRDefault="002F52FB">
      <w:pPr>
        <w:rPr>
          <w:rFonts w:ascii="Arial" w:hAnsi="Arial" w:cs="Arial"/>
        </w:rPr>
        <w:sectPr w:rsidR="002F52FB" w:rsidRPr="005D7961">
          <w:type w:val="continuous"/>
          <w:pgSz w:w="11906" w:h="16838"/>
          <w:pgMar w:top="1440" w:right="2018" w:bottom="2018" w:left="2018" w:header="720" w:footer="720" w:gutter="0"/>
          <w:cols w:num="2" w:space="709"/>
          <w:docGrid w:linePitch="360"/>
        </w:sectPr>
      </w:pPr>
    </w:p>
    <w:p w14:paraId="13ACCC32" w14:textId="77777777" w:rsidR="002F52FB" w:rsidRPr="005D7961" w:rsidRDefault="0092538B">
      <w:pPr>
        <w:jc w:val="center"/>
        <w:rPr>
          <w:rFonts w:ascii="Arial" w:hAnsi="Arial" w:cs="Arial"/>
        </w:rPr>
      </w:pPr>
      <w:r w:rsidRPr="005D7961">
        <w:rPr>
          <w:rFonts w:ascii="Arial" w:hAnsi="Arial" w:cs="Arial"/>
          <w:noProof/>
          <w:lang w:val="en-US" w:eastAsia="en-US"/>
        </w:rPr>
        <w:drawing>
          <wp:inline distT="0" distB="0" distL="0" distR="0" wp14:anchorId="79225CB1" wp14:editId="364AEC82">
            <wp:extent cx="4578350" cy="2444750"/>
            <wp:effectExtent l="0" t="0" r="0" b="0"/>
            <wp:docPr id="1073342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42697" name="Picture 1"/>
                    <pic:cNvPicPr>
                      <a:picLocks noChangeAspect="1"/>
                    </pic:cNvPicPr>
                  </pic:nvPicPr>
                  <pic:blipFill>
                    <a:blip r:embed="rId16"/>
                    <a:stretch>
                      <a:fillRect/>
                    </a:stretch>
                  </pic:blipFill>
                  <pic:spPr>
                    <a:xfrm>
                      <a:off x="0" y="0"/>
                      <a:ext cx="4578585" cy="2444876"/>
                    </a:xfrm>
                    <a:prstGeom prst="rect">
                      <a:avLst/>
                    </a:prstGeom>
                  </pic:spPr>
                </pic:pic>
              </a:graphicData>
            </a:graphic>
          </wp:inline>
        </w:drawing>
      </w:r>
    </w:p>
    <w:p w14:paraId="6722598D" w14:textId="77777777" w:rsidR="002F52FB" w:rsidRPr="005D7961" w:rsidRDefault="002F52FB">
      <w:pPr>
        <w:rPr>
          <w:rFonts w:ascii="Arial" w:hAnsi="Arial" w:cs="Arial"/>
        </w:rPr>
      </w:pPr>
    </w:p>
    <w:p w14:paraId="2BD269B0" w14:textId="77777777" w:rsidR="002F52FB" w:rsidRPr="005D7961" w:rsidRDefault="0092538B">
      <w:pPr>
        <w:jc w:val="center"/>
        <w:rPr>
          <w:rFonts w:ascii="Arial" w:hAnsi="Arial" w:cs="Arial"/>
          <w:i/>
          <w:iCs/>
          <w:sz w:val="16"/>
          <w:szCs w:val="16"/>
        </w:rPr>
      </w:pPr>
      <w:r w:rsidRPr="005D7961">
        <w:rPr>
          <w:rFonts w:ascii="Arial" w:hAnsi="Arial" w:cs="Arial"/>
          <w:i/>
          <w:iCs/>
          <w:sz w:val="16"/>
          <w:szCs w:val="16"/>
        </w:rPr>
        <w:t>Figure 2. Conceptual Framework</w:t>
      </w:r>
    </w:p>
    <w:p w14:paraId="5AA95556" w14:textId="77777777" w:rsidR="00FB01F5" w:rsidRDefault="00FB01F5" w:rsidP="00FB01F5">
      <w:pPr>
        <w:rPr>
          <w:rFonts w:ascii="Arial" w:hAnsi="Arial" w:cs="Arial"/>
        </w:rPr>
      </w:pPr>
    </w:p>
    <w:p w14:paraId="6112B00B" w14:textId="77777777" w:rsidR="0099502A" w:rsidRPr="005D7961" w:rsidRDefault="0099502A" w:rsidP="00FB01F5">
      <w:pPr>
        <w:rPr>
          <w:rFonts w:ascii="Arial" w:hAnsi="Arial" w:cs="Arial"/>
          <w:b/>
          <w:bCs/>
          <w:sz w:val="22"/>
          <w:szCs w:val="22"/>
        </w:rPr>
        <w:sectPr w:rsidR="0099502A" w:rsidRPr="005D7961">
          <w:type w:val="continuous"/>
          <w:pgSz w:w="11906" w:h="16838"/>
          <w:pgMar w:top="1440" w:right="2018" w:bottom="2018" w:left="2018" w:header="720" w:footer="720" w:gutter="0"/>
          <w:cols w:space="0"/>
          <w:docGrid w:linePitch="360"/>
        </w:sectPr>
      </w:pPr>
    </w:p>
    <w:p w14:paraId="232CB440" w14:textId="53DA4624" w:rsidR="00FB01F5" w:rsidRDefault="00FB01F5" w:rsidP="00FB01F5">
      <w:pPr>
        <w:rPr>
          <w:rFonts w:ascii="Arial" w:hAnsi="Arial" w:cs="Arial"/>
          <w:b/>
          <w:bCs/>
          <w:sz w:val="22"/>
          <w:szCs w:val="22"/>
        </w:rPr>
      </w:pPr>
    </w:p>
    <w:p w14:paraId="6A18468B" w14:textId="2D3BB22A" w:rsidR="00F15716" w:rsidRPr="0099502A" w:rsidRDefault="00F15716" w:rsidP="00FB01F5">
      <w:pPr>
        <w:rPr>
          <w:rFonts w:ascii="Arial" w:hAnsi="Arial" w:cs="Arial"/>
          <w:b/>
          <w:bCs/>
          <w:sz w:val="22"/>
          <w:szCs w:val="22"/>
        </w:rPr>
      </w:pPr>
      <w:r w:rsidRPr="0099502A">
        <w:rPr>
          <w:rFonts w:ascii="Arial" w:hAnsi="Arial" w:cs="Arial"/>
          <w:b/>
          <w:bCs/>
          <w:sz w:val="22"/>
          <w:szCs w:val="22"/>
        </w:rPr>
        <w:t>2.2. Population and Sample</w:t>
      </w:r>
    </w:p>
    <w:p w14:paraId="1E84E233" w14:textId="77777777" w:rsidR="00F15716" w:rsidRDefault="0092538B" w:rsidP="00F15716">
      <w:pPr>
        <w:ind w:firstLine="720"/>
        <w:jc w:val="both"/>
        <w:rPr>
          <w:rFonts w:ascii="Arial" w:hAnsi="Arial" w:cs="Arial"/>
        </w:rPr>
      </w:pPr>
      <w:r w:rsidRPr="005D7961">
        <w:rPr>
          <w:rFonts w:ascii="Arial" w:hAnsi="Arial" w:cs="Arial"/>
          <w:lang w:val="zh-CN"/>
        </w:rPr>
        <w:t>With a focus on non-cyclical consumer sector businesses listed on the Indonesia Stock Exchange (IDX) between 2019 and 2023, this study employs a quantitative methodology. Purposive sampling was used to determine the sample, and the following standards were applied:</w:t>
      </w:r>
      <w:r w:rsidRPr="005D7961">
        <w:rPr>
          <w:rFonts w:ascii="Arial" w:hAnsi="Arial" w:cs="Arial"/>
        </w:rPr>
        <w:t xml:space="preserve"> </w:t>
      </w:r>
      <w:r w:rsidRPr="005D7961">
        <w:rPr>
          <w:rFonts w:ascii="Arial" w:hAnsi="Arial" w:cs="Arial"/>
          <w:lang w:val="zh-CN"/>
        </w:rPr>
        <w:t>1. Throughout the research period, the firm was actively listed on the IDX</w:t>
      </w:r>
      <w:r w:rsidRPr="005D7961">
        <w:rPr>
          <w:rFonts w:ascii="Arial" w:hAnsi="Arial" w:cs="Arial"/>
        </w:rPr>
        <w:t xml:space="preserve">, 2). Included in the classification of </w:t>
      </w:r>
      <w:r w:rsidRPr="005D7961">
        <w:rPr>
          <w:rStyle w:val="Emphasis"/>
          <w:rFonts w:ascii="Arial" w:hAnsi="Arial" w:cs="Arial"/>
        </w:rPr>
        <w:t>the non-cyclical consumer sector, 3)</w:t>
      </w:r>
      <w:r w:rsidRPr="005D7961">
        <w:rPr>
          <w:rFonts w:ascii="Arial" w:hAnsi="Arial" w:cs="Arial"/>
        </w:rPr>
        <w:t xml:space="preserve">. Publish annual financial statements during the research period, 4). The company makes sales during the observation period, 5). The company has positive equity. So that the data obtained was 474 observations from 121 companies in the Unbalance Panel criteria. </w:t>
      </w:r>
      <w:r w:rsidRPr="005D7961">
        <w:rPr>
          <w:rFonts w:ascii="Arial" w:hAnsi="Arial" w:cs="Arial"/>
          <w:lang w:val="zh-CN"/>
        </w:rPr>
        <w:t>The secondary data used came from two primary sources.</w:t>
      </w:r>
      <w:r w:rsidRPr="005D7961">
        <w:rPr>
          <w:rFonts w:ascii="Arial" w:hAnsi="Arial" w:cs="Arial"/>
        </w:rPr>
        <w:t xml:space="preserve"> Financial statement data is obtained through the Indonesia Stock Exchange and annual share prices are obtained through the Yahoo Finance platform, </w:t>
      </w:r>
      <w:r w:rsidRPr="005D7961">
        <w:rPr>
          <w:rFonts w:ascii="Arial" w:hAnsi="Arial" w:cs="Arial"/>
          <w:lang w:val="zh-CN"/>
        </w:rPr>
        <w:t>making use of the year-end closing price</w:t>
      </w:r>
      <w:r w:rsidRPr="005D7961">
        <w:rPr>
          <w:rFonts w:ascii="Arial" w:hAnsi="Arial" w:cs="Arial"/>
        </w:rPr>
        <w:t xml:space="preserve">. Hypothesis testing was carried out through a data panel regression model, where the analysis consisted of two models used to estimate the direct and indirect influences between variables. </w:t>
      </w:r>
    </w:p>
    <w:p w14:paraId="384F9409" w14:textId="17F8C560" w:rsidR="00F15716" w:rsidRPr="0099502A" w:rsidRDefault="00F15716" w:rsidP="00F15716">
      <w:pPr>
        <w:jc w:val="both"/>
        <w:rPr>
          <w:rFonts w:ascii="Arial" w:hAnsi="Arial" w:cs="Arial"/>
          <w:b/>
          <w:bCs/>
          <w:sz w:val="22"/>
          <w:szCs w:val="22"/>
        </w:rPr>
      </w:pPr>
      <w:r w:rsidRPr="0099502A">
        <w:rPr>
          <w:rFonts w:ascii="Arial" w:hAnsi="Arial" w:cs="Arial"/>
          <w:b/>
          <w:bCs/>
          <w:sz w:val="22"/>
          <w:szCs w:val="22"/>
        </w:rPr>
        <w:t>2.</w:t>
      </w:r>
      <w:r w:rsidR="0099502A" w:rsidRPr="0099502A">
        <w:rPr>
          <w:rFonts w:ascii="Arial" w:hAnsi="Arial" w:cs="Arial"/>
          <w:b/>
          <w:bCs/>
          <w:sz w:val="22"/>
          <w:szCs w:val="22"/>
        </w:rPr>
        <w:t>3.</w:t>
      </w:r>
      <w:r w:rsidRPr="0099502A">
        <w:rPr>
          <w:rFonts w:ascii="Arial" w:hAnsi="Arial" w:cs="Arial"/>
          <w:b/>
          <w:bCs/>
          <w:sz w:val="22"/>
          <w:szCs w:val="22"/>
        </w:rPr>
        <w:t xml:space="preserve"> Analysis Technique</w:t>
      </w:r>
    </w:p>
    <w:p w14:paraId="6A1DD3F4" w14:textId="451B0304" w:rsidR="002F52FB" w:rsidRPr="00F15716" w:rsidRDefault="0092538B" w:rsidP="00F15716">
      <w:pPr>
        <w:ind w:firstLine="720"/>
        <w:jc w:val="both"/>
        <w:rPr>
          <w:rFonts w:ascii="Arial" w:hAnsi="Arial" w:cs="Arial"/>
        </w:rPr>
      </w:pPr>
      <w:r w:rsidRPr="005D7961">
        <w:rPr>
          <w:rFonts w:ascii="Arial" w:hAnsi="Arial" w:cs="Arial"/>
        </w:rPr>
        <w:t>The selection of the panel regression model (fixed effect or random effect) was carried out based on the Chow, Breusch and Pagan (LM), and Hausman tests. Heteroscedasticity and autocorrelation tests are used to ensure the validity of the model, and if an assumption violation is found, correction is used using robust standard errors. Data analysis was carried out with STATA software.</w:t>
      </w:r>
    </w:p>
    <w:p w14:paraId="155935D3" w14:textId="77777777" w:rsidR="002F52FB" w:rsidRPr="005D7961" w:rsidRDefault="0092538B" w:rsidP="00FB01F5">
      <w:pPr>
        <w:jc w:val="both"/>
        <w:rPr>
          <w:rFonts w:ascii="Arial" w:hAnsi="Arial" w:cs="Arial"/>
        </w:rPr>
      </w:pPr>
      <w:r w:rsidRPr="005D7961">
        <w:rPr>
          <w:rFonts w:ascii="Arial" w:hAnsi="Arial" w:cs="Arial"/>
        </w:rPr>
        <w:t>Regresion Model:</w:t>
      </w:r>
    </w:p>
    <w:p w14:paraId="1A728EA3" w14:textId="77777777" w:rsidR="002F52FB" w:rsidRPr="005D7961" w:rsidRDefault="0092538B">
      <w:pPr>
        <w:rPr>
          <w:rFonts w:ascii="Arial" w:hAnsi="Arial" w:cs="Arial"/>
          <w:b/>
          <w:bCs/>
          <w:i/>
          <w:iCs/>
        </w:rPr>
      </w:pPr>
      <w:r w:rsidRPr="005D7961">
        <w:rPr>
          <w:rFonts w:ascii="Arial" w:hAnsi="Arial" w:cs="Arial"/>
          <w:b/>
          <w:bCs/>
        </w:rPr>
        <w:t xml:space="preserve">Model 1 (Financial Ratios </w:t>
      </w:r>
      <w:r w:rsidRPr="005D7961">
        <w:rPr>
          <w:rFonts w:ascii="Arial" w:hAnsi="Arial" w:cs="Arial"/>
          <w:b/>
          <w:bCs/>
        </w:rPr>
        <w:sym w:font="Wingdings" w:char="F0E0"/>
      </w:r>
      <w:r w:rsidRPr="005D7961">
        <w:rPr>
          <w:rFonts w:ascii="Arial" w:hAnsi="Arial" w:cs="Arial"/>
          <w:b/>
          <w:bCs/>
        </w:rPr>
        <w:t xml:space="preserve"> Intrinsic)</w:t>
      </w:r>
      <w:r w:rsidRPr="005D7961">
        <w:rPr>
          <w:rFonts w:ascii="Arial" w:hAnsi="Arial" w:cs="Arial"/>
          <w:b/>
          <w:bCs/>
        </w:rPr>
        <w:tab/>
      </w:r>
      <w:r w:rsidRPr="005D7961">
        <w:rPr>
          <w:rFonts w:ascii="Arial" w:hAnsi="Arial" w:cs="Arial"/>
          <w:b/>
          <w:bCs/>
        </w:rPr>
        <w:tab/>
      </w:r>
      <w:r w:rsidRPr="005D7961">
        <w:rPr>
          <w:rFonts w:ascii="Arial" w:hAnsi="Arial" w:cs="Arial"/>
          <w:b/>
          <w:bCs/>
        </w:rPr>
        <w:tab/>
      </w:r>
      <w:r w:rsidRPr="005D7961">
        <w:rPr>
          <w:rFonts w:ascii="Arial" w:hAnsi="Arial" w:cs="Arial"/>
          <w:b/>
          <w:bCs/>
        </w:rPr>
        <w:tab/>
      </w:r>
    </w:p>
    <w:p w14:paraId="37D6B26C" w14:textId="77777777" w:rsidR="002F52FB" w:rsidRPr="005D7961" w:rsidRDefault="0092538B">
      <w:pPr>
        <w:rPr>
          <w:rFonts w:ascii="Arial" w:hAnsi="Arial" w:cs="Arial"/>
          <w:i/>
          <w:iCs/>
        </w:rPr>
      </w:pPr>
      <w:r w:rsidRPr="005D7961">
        <w:rPr>
          <w:rFonts w:ascii="Arial" w:hAnsi="Arial" w:cs="Arial"/>
          <w:i/>
          <w:iCs/>
        </w:rPr>
        <w:t>Intrinsic = α+Profit+β</w:t>
      </w:r>
      <w:r w:rsidRPr="005D7961">
        <w:rPr>
          <w:rFonts w:ascii="Arial" w:hAnsi="Arial" w:cs="Arial"/>
          <w:i/>
          <w:iCs/>
          <w:vertAlign w:val="subscript"/>
        </w:rPr>
        <w:t>2</w:t>
      </w:r>
      <w:r w:rsidRPr="005D7961">
        <w:rPr>
          <w:rFonts w:ascii="Arial" w:hAnsi="Arial" w:cs="Arial"/>
          <w:i/>
          <w:iCs/>
        </w:rPr>
        <w:t>Lev+β</w:t>
      </w:r>
      <w:r w:rsidRPr="005D7961">
        <w:rPr>
          <w:rFonts w:ascii="Arial" w:hAnsi="Arial" w:cs="Arial"/>
          <w:i/>
          <w:iCs/>
          <w:vertAlign w:val="subscript"/>
        </w:rPr>
        <w:t>3</w:t>
      </w:r>
      <w:r w:rsidRPr="005D7961">
        <w:rPr>
          <w:rFonts w:ascii="Arial" w:hAnsi="Arial" w:cs="Arial"/>
          <w:i/>
          <w:iCs/>
        </w:rPr>
        <w:t>Liquid+β</w:t>
      </w:r>
      <w:r w:rsidRPr="005D7961">
        <w:rPr>
          <w:rFonts w:ascii="Arial" w:hAnsi="Arial" w:cs="Arial"/>
          <w:i/>
          <w:iCs/>
          <w:vertAlign w:val="subscript"/>
        </w:rPr>
        <w:t>4</w:t>
      </w:r>
      <w:r w:rsidRPr="005D7961">
        <w:rPr>
          <w:rFonts w:ascii="Arial" w:hAnsi="Arial" w:cs="Arial"/>
          <w:i/>
          <w:iCs/>
        </w:rPr>
        <w:t>Efficient+β</w:t>
      </w:r>
      <w:r w:rsidRPr="005D7961">
        <w:rPr>
          <w:rFonts w:ascii="Arial" w:hAnsi="Arial" w:cs="Arial"/>
          <w:i/>
          <w:iCs/>
          <w:vertAlign w:val="subscript"/>
        </w:rPr>
        <w:t>5</w:t>
      </w:r>
      <w:r w:rsidRPr="005D7961">
        <w:rPr>
          <w:rFonts w:ascii="Arial" w:hAnsi="Arial" w:cs="Arial"/>
          <w:i/>
          <w:iCs/>
        </w:rPr>
        <w:t>Size+ε</w:t>
      </w:r>
    </w:p>
    <w:p w14:paraId="42879D58" w14:textId="77777777" w:rsidR="002F52FB" w:rsidRPr="005D7961" w:rsidRDefault="0092538B">
      <w:pPr>
        <w:rPr>
          <w:rFonts w:ascii="Arial" w:hAnsi="Arial" w:cs="Arial"/>
          <w:i/>
          <w:iCs/>
        </w:rPr>
      </w:pPr>
      <w:r w:rsidRPr="005D7961">
        <w:rPr>
          <w:rFonts w:ascii="Arial" w:hAnsi="Arial" w:cs="Arial"/>
          <w:i/>
          <w:iCs/>
        </w:rPr>
        <w:t xml:space="preserve"> </w:t>
      </w:r>
    </w:p>
    <w:p w14:paraId="67AC1714" w14:textId="77777777" w:rsidR="002F52FB" w:rsidRPr="005D7961" w:rsidRDefault="0092538B">
      <w:pPr>
        <w:rPr>
          <w:rFonts w:ascii="Arial" w:hAnsi="Arial" w:cs="Arial"/>
          <w:i/>
          <w:iCs/>
        </w:rPr>
      </w:pPr>
      <w:r w:rsidRPr="005D7961">
        <w:rPr>
          <w:rFonts w:ascii="Arial" w:hAnsi="Arial" w:cs="Arial"/>
          <w:b/>
          <w:bCs/>
        </w:rPr>
        <w:t>Model 2 (Financial Ratios + intrinsic</w:t>
      </w:r>
      <w:r w:rsidRPr="005D7961">
        <w:rPr>
          <w:rFonts w:ascii="Arial" w:hAnsi="Arial" w:cs="Arial"/>
          <w:b/>
          <w:bCs/>
        </w:rPr>
        <w:sym w:font="Wingdings" w:char="F0E0"/>
      </w:r>
      <w:r w:rsidRPr="005D7961">
        <w:rPr>
          <w:rFonts w:ascii="Arial" w:hAnsi="Arial" w:cs="Arial"/>
          <w:b/>
          <w:bCs/>
        </w:rPr>
        <w:t xml:space="preserve"> Stock Price)</w:t>
      </w:r>
    </w:p>
    <w:p w14:paraId="4FFE3980" w14:textId="77777777" w:rsidR="002F52FB" w:rsidRPr="005D7961" w:rsidRDefault="0092538B">
      <w:pPr>
        <w:rPr>
          <w:rFonts w:ascii="Arial" w:hAnsi="Arial" w:cs="Arial"/>
        </w:rPr>
      </w:pPr>
      <w:r w:rsidRPr="005D7961">
        <w:rPr>
          <w:rFonts w:ascii="Arial" w:hAnsi="Arial" w:cs="Arial"/>
          <w:i/>
          <w:iCs/>
        </w:rPr>
        <w:t>Price = α+β</w:t>
      </w:r>
      <w:r w:rsidRPr="005D7961">
        <w:rPr>
          <w:rFonts w:ascii="Arial" w:hAnsi="Arial" w:cs="Arial"/>
          <w:i/>
          <w:iCs/>
          <w:vertAlign w:val="subscript"/>
        </w:rPr>
        <w:t>1</w:t>
      </w:r>
      <w:r w:rsidRPr="005D7961">
        <w:rPr>
          <w:rFonts w:ascii="Arial" w:hAnsi="Arial" w:cs="Arial"/>
          <w:i/>
          <w:iCs/>
        </w:rPr>
        <w:t>Profit+β</w:t>
      </w:r>
      <w:r w:rsidRPr="005D7961">
        <w:rPr>
          <w:rFonts w:ascii="Arial" w:hAnsi="Arial" w:cs="Arial"/>
          <w:i/>
          <w:iCs/>
          <w:vertAlign w:val="subscript"/>
        </w:rPr>
        <w:t>2</w:t>
      </w:r>
      <w:r w:rsidRPr="005D7961">
        <w:rPr>
          <w:rFonts w:ascii="Arial" w:hAnsi="Arial" w:cs="Arial"/>
          <w:i/>
          <w:iCs/>
        </w:rPr>
        <w:t>Lev+β</w:t>
      </w:r>
      <w:r w:rsidRPr="005D7961">
        <w:rPr>
          <w:rFonts w:ascii="Arial" w:hAnsi="Arial" w:cs="Arial"/>
          <w:i/>
          <w:iCs/>
          <w:vertAlign w:val="subscript"/>
        </w:rPr>
        <w:t>3</w:t>
      </w:r>
      <w:r w:rsidRPr="005D7961">
        <w:rPr>
          <w:rFonts w:ascii="Arial" w:hAnsi="Arial" w:cs="Arial"/>
          <w:i/>
          <w:iCs/>
        </w:rPr>
        <w:t>Liquid+β</w:t>
      </w:r>
      <w:r w:rsidRPr="005D7961">
        <w:rPr>
          <w:rFonts w:ascii="Arial" w:hAnsi="Arial" w:cs="Arial"/>
          <w:i/>
          <w:iCs/>
          <w:vertAlign w:val="subscript"/>
        </w:rPr>
        <w:t>4</w:t>
      </w:r>
      <w:r w:rsidRPr="005D7961">
        <w:rPr>
          <w:rFonts w:ascii="Arial" w:hAnsi="Arial" w:cs="Arial"/>
          <w:i/>
          <w:iCs/>
        </w:rPr>
        <w:t>Efficient+β</w:t>
      </w:r>
      <w:r w:rsidRPr="005D7961">
        <w:rPr>
          <w:rFonts w:ascii="Arial" w:hAnsi="Arial" w:cs="Arial"/>
          <w:i/>
          <w:iCs/>
          <w:vertAlign w:val="subscript"/>
        </w:rPr>
        <w:t>5</w:t>
      </w:r>
      <w:r w:rsidRPr="005D7961">
        <w:rPr>
          <w:rFonts w:ascii="Arial" w:hAnsi="Arial" w:cs="Arial"/>
          <w:i/>
          <w:iCs/>
        </w:rPr>
        <w:t>Intrinsic+β</w:t>
      </w:r>
      <w:r w:rsidRPr="005D7961">
        <w:rPr>
          <w:rFonts w:ascii="Arial" w:hAnsi="Arial" w:cs="Arial"/>
          <w:i/>
          <w:iCs/>
          <w:vertAlign w:val="subscript"/>
        </w:rPr>
        <w:t>6</w:t>
      </w:r>
      <w:r w:rsidRPr="005D7961">
        <w:rPr>
          <w:rFonts w:ascii="Arial" w:hAnsi="Arial" w:cs="Arial"/>
          <w:i/>
          <w:iCs/>
        </w:rPr>
        <w:t>Size+ε</w:t>
      </w:r>
    </w:p>
    <w:p w14:paraId="66F0B82B" w14:textId="77777777" w:rsidR="002F52FB" w:rsidRPr="005D7961" w:rsidRDefault="0092538B">
      <w:pPr>
        <w:rPr>
          <w:rFonts w:ascii="Arial" w:hAnsi="Arial" w:cs="Arial"/>
        </w:rPr>
      </w:pPr>
      <w:r w:rsidRPr="005D7961">
        <w:rPr>
          <w:rFonts w:ascii="Arial" w:hAnsi="Arial" w:cs="Arial"/>
        </w:rPr>
        <w:t xml:space="preserve"> </w:t>
      </w:r>
    </w:p>
    <w:p w14:paraId="3BD62D34" w14:textId="77777777" w:rsidR="002F52FB" w:rsidRPr="005D7961" w:rsidRDefault="0092538B">
      <w:pPr>
        <w:rPr>
          <w:rFonts w:ascii="Arial" w:hAnsi="Arial" w:cs="Arial"/>
        </w:rPr>
      </w:pPr>
      <w:r w:rsidRPr="005D7961">
        <w:rPr>
          <w:rFonts w:ascii="Arial" w:hAnsi="Arial" w:cs="Arial"/>
        </w:rPr>
        <w:t>Keterangan;</w:t>
      </w:r>
    </w:p>
    <w:p w14:paraId="2290E6BB" w14:textId="77777777" w:rsidR="002F52FB" w:rsidRPr="005D7961" w:rsidRDefault="0092538B">
      <w:pPr>
        <w:rPr>
          <w:rFonts w:ascii="Arial" w:hAnsi="Arial" w:cs="Arial"/>
        </w:rPr>
      </w:pPr>
      <w:r w:rsidRPr="005D7961">
        <w:rPr>
          <w:rFonts w:ascii="Arial" w:hAnsi="Arial" w:cs="Arial"/>
        </w:rPr>
        <w:t>Price = Stock Price</w:t>
      </w:r>
    </w:p>
    <w:p w14:paraId="2BF0484F" w14:textId="77777777" w:rsidR="002F52FB" w:rsidRPr="005D7961" w:rsidRDefault="0092538B">
      <w:pPr>
        <w:rPr>
          <w:rFonts w:ascii="Arial" w:hAnsi="Arial" w:cs="Arial"/>
        </w:rPr>
      </w:pPr>
      <w:r w:rsidRPr="005D7961">
        <w:rPr>
          <w:rFonts w:ascii="Arial" w:hAnsi="Arial" w:cs="Arial"/>
        </w:rPr>
        <w:t>Intrinsic = Intrinsic Value</w:t>
      </w:r>
    </w:p>
    <w:p w14:paraId="3C12D744" w14:textId="77777777" w:rsidR="002F52FB" w:rsidRPr="005D7961" w:rsidRDefault="0092538B">
      <w:pPr>
        <w:rPr>
          <w:rFonts w:ascii="Arial" w:hAnsi="Arial" w:cs="Arial"/>
        </w:rPr>
      </w:pPr>
      <w:r w:rsidRPr="005D7961">
        <w:rPr>
          <w:rFonts w:ascii="Arial" w:hAnsi="Arial" w:cs="Arial"/>
        </w:rPr>
        <w:t xml:space="preserve">Profit = </w:t>
      </w:r>
      <w:r w:rsidRPr="005D7961">
        <w:rPr>
          <w:rFonts w:ascii="Arial" w:hAnsi="Arial" w:cs="Arial"/>
          <w:i/>
          <w:iCs/>
        </w:rPr>
        <w:t>Profitability</w:t>
      </w:r>
    </w:p>
    <w:p w14:paraId="39D91A01" w14:textId="77777777" w:rsidR="002F52FB" w:rsidRPr="005D7961" w:rsidRDefault="0092538B">
      <w:pPr>
        <w:rPr>
          <w:rFonts w:ascii="Arial" w:hAnsi="Arial" w:cs="Arial"/>
        </w:rPr>
      </w:pPr>
      <w:r w:rsidRPr="005D7961">
        <w:rPr>
          <w:rFonts w:ascii="Arial" w:hAnsi="Arial" w:cs="Arial"/>
        </w:rPr>
        <w:t xml:space="preserve">Lev = </w:t>
      </w:r>
      <w:r w:rsidRPr="005D7961">
        <w:rPr>
          <w:rFonts w:ascii="Arial" w:hAnsi="Arial" w:cs="Arial"/>
          <w:i/>
          <w:iCs/>
        </w:rPr>
        <w:t>Leverage</w:t>
      </w:r>
    </w:p>
    <w:p w14:paraId="58C76B15" w14:textId="77777777" w:rsidR="002F52FB" w:rsidRPr="005D7961" w:rsidRDefault="0092538B">
      <w:pPr>
        <w:rPr>
          <w:rFonts w:ascii="Arial" w:hAnsi="Arial" w:cs="Arial"/>
        </w:rPr>
      </w:pPr>
      <w:r w:rsidRPr="005D7961">
        <w:rPr>
          <w:rFonts w:ascii="Arial" w:hAnsi="Arial" w:cs="Arial"/>
        </w:rPr>
        <w:t xml:space="preserve">Liquid = </w:t>
      </w:r>
      <w:r w:rsidRPr="005D7961">
        <w:rPr>
          <w:rFonts w:ascii="Arial" w:hAnsi="Arial" w:cs="Arial"/>
          <w:i/>
          <w:iCs/>
        </w:rPr>
        <w:t>Liquidity</w:t>
      </w:r>
    </w:p>
    <w:p w14:paraId="7563F2D8" w14:textId="77777777" w:rsidR="002F52FB" w:rsidRPr="005D7961" w:rsidRDefault="0092538B">
      <w:pPr>
        <w:rPr>
          <w:rFonts w:ascii="Arial" w:hAnsi="Arial" w:cs="Arial"/>
        </w:rPr>
      </w:pPr>
      <w:r w:rsidRPr="005D7961">
        <w:rPr>
          <w:rFonts w:ascii="Arial" w:hAnsi="Arial" w:cs="Arial"/>
        </w:rPr>
        <w:t xml:space="preserve">Efficient = </w:t>
      </w:r>
      <w:r w:rsidRPr="005D7961">
        <w:rPr>
          <w:rFonts w:ascii="Arial" w:hAnsi="Arial" w:cs="Arial"/>
          <w:i/>
          <w:iCs/>
        </w:rPr>
        <w:t>Asset</w:t>
      </w:r>
      <w:r w:rsidRPr="005D7961">
        <w:rPr>
          <w:rFonts w:ascii="Arial" w:hAnsi="Arial" w:cs="Arial"/>
        </w:rPr>
        <w:t xml:space="preserve"> </w:t>
      </w:r>
      <w:r w:rsidRPr="005D7961">
        <w:rPr>
          <w:rFonts w:ascii="Arial" w:hAnsi="Arial" w:cs="Arial"/>
          <w:i/>
          <w:iCs/>
        </w:rPr>
        <w:t xml:space="preserve">Efficiency </w:t>
      </w:r>
    </w:p>
    <w:p w14:paraId="16685018" w14:textId="77777777" w:rsidR="002F52FB" w:rsidRPr="005D7961" w:rsidRDefault="0092538B">
      <w:pPr>
        <w:rPr>
          <w:rFonts w:ascii="Arial" w:hAnsi="Arial" w:cs="Arial"/>
        </w:rPr>
      </w:pPr>
      <w:r w:rsidRPr="005D7961">
        <w:rPr>
          <w:rFonts w:ascii="Arial" w:hAnsi="Arial" w:cs="Arial"/>
        </w:rPr>
        <w:t xml:space="preserve">Size = </w:t>
      </w:r>
      <w:r w:rsidRPr="005D7961">
        <w:rPr>
          <w:rFonts w:ascii="Arial" w:hAnsi="Arial" w:cs="Arial"/>
          <w:i/>
          <w:iCs/>
        </w:rPr>
        <w:t>Firm Size</w:t>
      </w:r>
    </w:p>
    <w:p w14:paraId="3AD55381" w14:textId="77777777" w:rsidR="002F52FB" w:rsidRPr="005D7961" w:rsidRDefault="002F52FB">
      <w:pPr>
        <w:jc w:val="both"/>
        <w:rPr>
          <w:rFonts w:ascii="Arial" w:hAnsi="Arial" w:cs="Arial"/>
          <w:b/>
          <w:bCs/>
          <w:sz w:val="22"/>
          <w:szCs w:val="22"/>
        </w:rPr>
        <w:sectPr w:rsidR="002F52FB" w:rsidRPr="005D7961">
          <w:type w:val="continuous"/>
          <w:pgSz w:w="11906" w:h="16838"/>
          <w:pgMar w:top="1440" w:right="2018" w:bottom="2018" w:left="2018" w:header="720" w:footer="720" w:gutter="0"/>
          <w:cols w:num="2" w:space="709"/>
          <w:docGrid w:linePitch="360"/>
        </w:sectPr>
      </w:pPr>
    </w:p>
    <w:p w14:paraId="0300C10F" w14:textId="77777777" w:rsidR="002F52FB" w:rsidRPr="005D7961" w:rsidRDefault="002F52FB">
      <w:pPr>
        <w:jc w:val="both"/>
        <w:rPr>
          <w:rFonts w:ascii="Arial" w:hAnsi="Arial" w:cs="Arial"/>
          <w:b/>
          <w:bCs/>
          <w:sz w:val="22"/>
          <w:szCs w:val="22"/>
        </w:rPr>
      </w:pPr>
    </w:p>
    <w:p w14:paraId="4EFB1AB7" w14:textId="77777777" w:rsidR="002F52FB" w:rsidRPr="005D7961" w:rsidRDefault="002F52FB">
      <w:pPr>
        <w:jc w:val="both"/>
        <w:rPr>
          <w:rFonts w:ascii="Arial" w:hAnsi="Arial" w:cs="Arial"/>
          <w:b/>
          <w:bCs/>
          <w:sz w:val="22"/>
          <w:szCs w:val="22"/>
        </w:rPr>
        <w:sectPr w:rsidR="002F52FB" w:rsidRPr="005D7961">
          <w:type w:val="continuous"/>
          <w:pgSz w:w="11906" w:h="16838"/>
          <w:pgMar w:top="1440" w:right="2018" w:bottom="2018" w:left="2018" w:header="720" w:footer="720" w:gutter="0"/>
          <w:cols w:space="567"/>
          <w:docGrid w:linePitch="360"/>
        </w:sectPr>
      </w:pPr>
    </w:p>
    <w:p w14:paraId="123CB627" w14:textId="013EBA6C" w:rsidR="002F52FB" w:rsidRPr="005D7961" w:rsidRDefault="0092538B">
      <w:pPr>
        <w:jc w:val="both"/>
        <w:rPr>
          <w:rFonts w:ascii="Arial" w:hAnsi="Arial" w:cs="Arial"/>
          <w:b/>
          <w:bCs/>
          <w:sz w:val="22"/>
          <w:szCs w:val="22"/>
        </w:rPr>
      </w:pPr>
      <w:r w:rsidRPr="005D7961">
        <w:rPr>
          <w:rFonts w:ascii="Arial" w:hAnsi="Arial" w:cs="Arial"/>
          <w:b/>
          <w:bCs/>
          <w:sz w:val="22"/>
          <w:szCs w:val="22"/>
        </w:rPr>
        <w:t>2.3</w:t>
      </w:r>
      <w:r w:rsidR="003852F3" w:rsidRPr="005D7961">
        <w:rPr>
          <w:rFonts w:ascii="Arial" w:hAnsi="Arial" w:cs="Arial"/>
          <w:b/>
          <w:bCs/>
          <w:sz w:val="22"/>
          <w:szCs w:val="22"/>
        </w:rPr>
        <w:t xml:space="preserve"> </w:t>
      </w:r>
      <w:r w:rsidRPr="005D7961">
        <w:rPr>
          <w:rFonts w:ascii="Arial" w:hAnsi="Arial" w:cs="Arial"/>
          <w:b/>
          <w:bCs/>
          <w:sz w:val="22"/>
          <w:szCs w:val="22"/>
        </w:rPr>
        <w:t>Table of operational definitions and variable measurements</w:t>
      </w:r>
    </w:p>
    <w:p w14:paraId="3E24AE37" w14:textId="77777777" w:rsidR="002F52FB" w:rsidRPr="005D7961" w:rsidRDefault="0092538B">
      <w:pPr>
        <w:jc w:val="center"/>
        <w:rPr>
          <w:rFonts w:ascii="Arial" w:hAnsi="Arial" w:cs="Arial"/>
          <w:b/>
          <w:bCs/>
        </w:rPr>
      </w:pPr>
      <w:bookmarkStart w:id="7" w:name="_Hlk201423078"/>
      <w:bookmarkEnd w:id="6"/>
      <w:r w:rsidRPr="005D7961">
        <w:rPr>
          <w:rFonts w:ascii="Arial" w:hAnsi="Arial" w:cs="Arial"/>
          <w:b/>
          <w:bCs/>
        </w:rPr>
        <w:t>Table 1. Operational Definition and Measurement of variables</w:t>
      </w:r>
    </w:p>
    <w:tbl>
      <w:tblPr>
        <w:tblStyle w:val="TableGrid"/>
        <w:tblW w:w="7647" w:type="dxa"/>
        <w:tblCellMar>
          <w:top w:w="15" w:type="dxa"/>
          <w:left w:w="15" w:type="dxa"/>
          <w:bottom w:w="15" w:type="dxa"/>
          <w:right w:w="15" w:type="dxa"/>
        </w:tblCellMar>
        <w:tblLook w:val="04A0" w:firstRow="1" w:lastRow="0" w:firstColumn="1" w:lastColumn="0" w:noHBand="0" w:noVBand="1"/>
        <w:tblPrChange w:id="8" w:author="Maher" w:date="2025-07-21T10:39:00Z">
          <w:tblPr>
            <w:tblStyle w:val="TableGrid"/>
            <w:tblW w:w="7647" w:type="dxa"/>
            <w:tblCellMar>
              <w:top w:w="15" w:type="dxa"/>
              <w:left w:w="15" w:type="dxa"/>
              <w:bottom w:w="15" w:type="dxa"/>
              <w:right w:w="15" w:type="dxa"/>
            </w:tblCellMar>
            <w:tblLook w:val="04A0" w:firstRow="1" w:lastRow="0" w:firstColumn="1" w:lastColumn="0" w:noHBand="0" w:noVBand="1"/>
          </w:tblPr>
        </w:tblPrChange>
      </w:tblPr>
      <w:tblGrid>
        <w:gridCol w:w="330"/>
        <w:gridCol w:w="1058"/>
        <w:gridCol w:w="951"/>
        <w:gridCol w:w="3808"/>
        <w:gridCol w:w="1500"/>
        <w:tblGridChange w:id="9">
          <w:tblGrid>
            <w:gridCol w:w="330"/>
            <w:gridCol w:w="1058"/>
            <w:gridCol w:w="951"/>
            <w:gridCol w:w="3808"/>
            <w:gridCol w:w="1500"/>
          </w:tblGrid>
        </w:tblGridChange>
      </w:tblGrid>
      <w:tr w:rsidR="002F52FB" w:rsidRPr="005D7961" w14:paraId="79E872C7" w14:textId="77777777" w:rsidTr="00121569">
        <w:trPr>
          <w:trHeight w:val="196"/>
          <w:trPrChange w:id="10" w:author="Maher" w:date="2025-07-21T10:39:00Z">
            <w:trPr>
              <w:trHeight w:val="196"/>
            </w:trPr>
          </w:trPrChange>
        </w:trPr>
        <w:tc>
          <w:tcPr>
            <w:tcW w:w="0" w:type="auto"/>
            <w:tcBorders>
              <w:top w:val="outset" w:sz="6" w:space="0" w:color="auto"/>
              <w:left w:val="nil"/>
              <w:bottom w:val="outset" w:sz="6" w:space="0" w:color="auto"/>
              <w:right w:val="nil"/>
            </w:tcBorders>
            <w:vAlign w:val="center"/>
            <w:tcPrChange w:id="11" w:author="Maher" w:date="2025-07-21T10:39:00Z">
              <w:tcPr>
                <w:tcW w:w="0" w:type="auto"/>
                <w:tcBorders>
                  <w:top w:val="outset" w:sz="6" w:space="0" w:color="auto"/>
                  <w:left w:val="nil"/>
                  <w:bottom w:val="outset" w:sz="6" w:space="0" w:color="auto"/>
                  <w:right w:val="nil"/>
                </w:tcBorders>
                <w:vAlign w:val="center"/>
              </w:tcPr>
            </w:tcPrChange>
          </w:tcPr>
          <w:p w14:paraId="203C48BA" w14:textId="77777777" w:rsidR="002F52FB" w:rsidRPr="005D7961" w:rsidRDefault="0092538B" w:rsidP="00121569">
            <w:pPr>
              <w:widowControl/>
              <w:jc w:val="left"/>
              <w:rPr>
                <w:rFonts w:ascii="Arial" w:hAnsi="Arial" w:cs="Arial"/>
                <w:b/>
                <w:bCs/>
              </w:rPr>
            </w:pPr>
            <w:r w:rsidRPr="005D7961">
              <w:rPr>
                <w:rFonts w:ascii="Arial" w:hAnsi="Arial" w:cs="Arial"/>
                <w:b/>
                <w:bCs/>
              </w:rPr>
              <w:t>NO</w:t>
            </w:r>
          </w:p>
        </w:tc>
        <w:tc>
          <w:tcPr>
            <w:tcW w:w="0" w:type="auto"/>
            <w:tcBorders>
              <w:top w:val="outset" w:sz="6" w:space="0" w:color="auto"/>
              <w:left w:val="nil"/>
              <w:bottom w:val="outset" w:sz="6" w:space="0" w:color="auto"/>
              <w:right w:val="nil"/>
            </w:tcBorders>
            <w:vAlign w:val="center"/>
            <w:tcPrChange w:id="12" w:author="Maher" w:date="2025-07-21T10:39:00Z">
              <w:tcPr>
                <w:tcW w:w="0" w:type="auto"/>
                <w:tcBorders>
                  <w:top w:val="outset" w:sz="6" w:space="0" w:color="auto"/>
                  <w:left w:val="nil"/>
                  <w:bottom w:val="outset" w:sz="6" w:space="0" w:color="auto"/>
                  <w:right w:val="nil"/>
                </w:tcBorders>
                <w:vAlign w:val="center"/>
              </w:tcPr>
            </w:tcPrChange>
          </w:tcPr>
          <w:p w14:paraId="43BECBC1" w14:textId="77777777" w:rsidR="002F52FB" w:rsidRPr="005D7961" w:rsidRDefault="0092538B" w:rsidP="00121569">
            <w:pPr>
              <w:widowControl/>
              <w:jc w:val="center"/>
              <w:rPr>
                <w:rFonts w:ascii="Arial" w:hAnsi="Arial" w:cs="Arial"/>
                <w:b/>
                <w:bCs/>
              </w:rPr>
            </w:pPr>
            <w:r w:rsidRPr="005D7961">
              <w:rPr>
                <w:rFonts w:ascii="Arial" w:hAnsi="Arial" w:cs="Arial"/>
                <w:b/>
                <w:bCs/>
              </w:rPr>
              <w:t>Variabel</w:t>
            </w:r>
          </w:p>
        </w:tc>
        <w:tc>
          <w:tcPr>
            <w:tcW w:w="0" w:type="auto"/>
            <w:tcBorders>
              <w:top w:val="outset" w:sz="6" w:space="0" w:color="auto"/>
              <w:left w:val="nil"/>
              <w:bottom w:val="outset" w:sz="6" w:space="0" w:color="auto"/>
              <w:right w:val="nil"/>
            </w:tcBorders>
            <w:vAlign w:val="center"/>
            <w:tcPrChange w:id="13" w:author="Maher" w:date="2025-07-21T10:39:00Z">
              <w:tcPr>
                <w:tcW w:w="0" w:type="auto"/>
                <w:tcBorders>
                  <w:top w:val="outset" w:sz="6" w:space="0" w:color="auto"/>
                  <w:left w:val="nil"/>
                  <w:bottom w:val="outset" w:sz="6" w:space="0" w:color="auto"/>
                  <w:right w:val="nil"/>
                </w:tcBorders>
                <w:vAlign w:val="center"/>
              </w:tcPr>
            </w:tcPrChange>
          </w:tcPr>
          <w:p w14:paraId="099B9032" w14:textId="408FDCF2" w:rsidR="002F52FB" w:rsidRPr="005D7961" w:rsidRDefault="00E360E2" w:rsidP="00121569">
            <w:pPr>
              <w:widowControl/>
              <w:jc w:val="center"/>
              <w:rPr>
                <w:rFonts w:ascii="Arial" w:hAnsi="Arial" w:cs="Arial"/>
                <w:b/>
                <w:bCs/>
              </w:rPr>
            </w:pPr>
            <w:r>
              <w:rPr>
                <w:rFonts w:ascii="Arial" w:hAnsi="Arial" w:cs="Arial"/>
                <w:b/>
                <w:bCs/>
              </w:rPr>
              <w:t>Proxy</w:t>
            </w:r>
          </w:p>
        </w:tc>
        <w:tc>
          <w:tcPr>
            <w:tcW w:w="3808" w:type="dxa"/>
            <w:tcBorders>
              <w:top w:val="outset" w:sz="6" w:space="0" w:color="auto"/>
              <w:left w:val="nil"/>
              <w:bottom w:val="outset" w:sz="6" w:space="0" w:color="auto"/>
              <w:right w:val="nil"/>
            </w:tcBorders>
            <w:vAlign w:val="center"/>
            <w:tcPrChange w:id="14" w:author="Maher" w:date="2025-07-21T10:39:00Z">
              <w:tcPr>
                <w:tcW w:w="3808" w:type="dxa"/>
                <w:tcBorders>
                  <w:top w:val="outset" w:sz="6" w:space="0" w:color="auto"/>
                  <w:left w:val="nil"/>
                  <w:bottom w:val="outset" w:sz="6" w:space="0" w:color="auto"/>
                  <w:right w:val="nil"/>
                </w:tcBorders>
                <w:vAlign w:val="center"/>
              </w:tcPr>
            </w:tcPrChange>
          </w:tcPr>
          <w:p w14:paraId="2FF782EA" w14:textId="77777777" w:rsidR="002F52FB" w:rsidRPr="005D7961" w:rsidRDefault="0092538B" w:rsidP="00121569">
            <w:pPr>
              <w:widowControl/>
              <w:jc w:val="center"/>
              <w:rPr>
                <w:rFonts w:ascii="Arial" w:hAnsi="Arial" w:cs="Arial"/>
                <w:b/>
                <w:bCs/>
              </w:rPr>
            </w:pPr>
            <w:r w:rsidRPr="005D7961">
              <w:rPr>
                <w:rFonts w:ascii="Arial" w:hAnsi="Arial" w:cs="Arial"/>
                <w:b/>
                <w:bCs/>
              </w:rPr>
              <w:t>Operational Definition</w:t>
            </w:r>
          </w:p>
        </w:tc>
        <w:tc>
          <w:tcPr>
            <w:tcW w:w="1276" w:type="dxa"/>
            <w:tcBorders>
              <w:top w:val="outset" w:sz="6" w:space="0" w:color="auto"/>
              <w:left w:val="nil"/>
              <w:bottom w:val="outset" w:sz="6" w:space="0" w:color="auto"/>
              <w:right w:val="nil"/>
            </w:tcBorders>
            <w:vAlign w:val="center"/>
            <w:tcPrChange w:id="15" w:author="Maher" w:date="2025-07-21T10:39:00Z">
              <w:tcPr>
                <w:tcW w:w="1276" w:type="dxa"/>
                <w:tcBorders>
                  <w:top w:val="outset" w:sz="6" w:space="0" w:color="auto"/>
                  <w:left w:val="nil"/>
                  <w:bottom w:val="outset" w:sz="6" w:space="0" w:color="auto"/>
                  <w:right w:val="nil"/>
                </w:tcBorders>
                <w:vAlign w:val="center"/>
              </w:tcPr>
            </w:tcPrChange>
          </w:tcPr>
          <w:p w14:paraId="4566200D" w14:textId="77777777" w:rsidR="002F52FB" w:rsidRPr="005D7961" w:rsidRDefault="0092538B" w:rsidP="00121569">
            <w:pPr>
              <w:widowControl/>
              <w:jc w:val="center"/>
              <w:rPr>
                <w:rFonts w:ascii="Arial" w:hAnsi="Arial" w:cs="Arial"/>
                <w:b/>
                <w:bCs/>
              </w:rPr>
            </w:pPr>
            <w:r w:rsidRPr="005D7961">
              <w:rPr>
                <w:rFonts w:ascii="Arial" w:hAnsi="Arial" w:cs="Arial"/>
                <w:b/>
                <w:bCs/>
              </w:rPr>
              <w:t>Measurement</w:t>
            </w:r>
          </w:p>
        </w:tc>
      </w:tr>
      <w:tr w:rsidR="002F52FB" w:rsidRPr="005D7961" w14:paraId="00E5C680" w14:textId="77777777" w:rsidTr="00121569">
        <w:trPr>
          <w:trHeight w:val="413"/>
          <w:trPrChange w:id="16" w:author="Maher" w:date="2025-07-21T10:39:00Z">
            <w:trPr>
              <w:trHeight w:val="413"/>
            </w:trPr>
          </w:trPrChange>
        </w:trPr>
        <w:tc>
          <w:tcPr>
            <w:tcW w:w="0" w:type="auto"/>
            <w:tcBorders>
              <w:top w:val="outset" w:sz="6" w:space="0" w:color="auto"/>
              <w:left w:val="nil"/>
              <w:bottom w:val="nil"/>
              <w:right w:val="nil"/>
            </w:tcBorders>
            <w:vAlign w:val="center"/>
            <w:tcPrChange w:id="17" w:author="Maher" w:date="2025-07-21T10:39:00Z">
              <w:tcPr>
                <w:tcW w:w="0" w:type="auto"/>
                <w:tcBorders>
                  <w:top w:val="outset" w:sz="6" w:space="0" w:color="auto"/>
                  <w:left w:val="nil"/>
                  <w:bottom w:val="nil"/>
                  <w:right w:val="nil"/>
                </w:tcBorders>
                <w:vAlign w:val="center"/>
              </w:tcPr>
            </w:tcPrChange>
          </w:tcPr>
          <w:p w14:paraId="65883740" w14:textId="77777777" w:rsidR="002F52FB" w:rsidRPr="005D7961" w:rsidRDefault="0092538B" w:rsidP="00121569">
            <w:pPr>
              <w:widowControl/>
              <w:jc w:val="left"/>
              <w:rPr>
                <w:rFonts w:ascii="Arial" w:hAnsi="Arial" w:cs="Arial"/>
              </w:rPr>
            </w:pPr>
            <w:r w:rsidRPr="005D7961">
              <w:rPr>
                <w:rFonts w:ascii="Arial" w:hAnsi="Arial" w:cs="Arial"/>
                <w:iCs/>
              </w:rPr>
              <w:t>1</w:t>
            </w:r>
          </w:p>
        </w:tc>
        <w:tc>
          <w:tcPr>
            <w:tcW w:w="0" w:type="auto"/>
            <w:tcBorders>
              <w:top w:val="outset" w:sz="6" w:space="0" w:color="auto"/>
              <w:left w:val="nil"/>
              <w:bottom w:val="nil"/>
              <w:right w:val="nil"/>
            </w:tcBorders>
            <w:vAlign w:val="center"/>
            <w:tcPrChange w:id="18" w:author="Maher" w:date="2025-07-21T10:39:00Z">
              <w:tcPr>
                <w:tcW w:w="0" w:type="auto"/>
                <w:tcBorders>
                  <w:top w:val="outset" w:sz="6" w:space="0" w:color="auto"/>
                  <w:left w:val="nil"/>
                  <w:bottom w:val="nil"/>
                  <w:right w:val="nil"/>
                </w:tcBorders>
                <w:vAlign w:val="center"/>
              </w:tcPr>
            </w:tcPrChange>
          </w:tcPr>
          <w:p w14:paraId="0AE17DCB" w14:textId="77777777" w:rsidR="00121569" w:rsidRDefault="0092538B" w:rsidP="00121569">
            <w:pPr>
              <w:widowControl/>
              <w:jc w:val="left"/>
              <w:rPr>
                <w:rFonts w:ascii="Arial" w:hAnsi="Arial" w:cs="Arial"/>
                <w:iCs/>
              </w:rPr>
            </w:pPr>
            <w:r w:rsidRPr="005D7961">
              <w:rPr>
                <w:rFonts w:ascii="Arial" w:hAnsi="Arial" w:cs="Arial"/>
                <w:iCs/>
              </w:rPr>
              <w:t xml:space="preserve">Stock </w:t>
            </w:r>
          </w:p>
          <w:p w14:paraId="35BC6EF0" w14:textId="1CDDFA8C" w:rsidR="002F52FB" w:rsidRPr="005D7961" w:rsidRDefault="0092538B" w:rsidP="00121569">
            <w:pPr>
              <w:widowControl/>
              <w:jc w:val="left"/>
              <w:rPr>
                <w:rFonts w:ascii="Arial" w:hAnsi="Arial" w:cs="Arial"/>
              </w:rPr>
            </w:pPr>
            <w:r w:rsidRPr="005D7961">
              <w:rPr>
                <w:rFonts w:ascii="Arial" w:hAnsi="Arial" w:cs="Arial"/>
                <w:iCs/>
              </w:rPr>
              <w:t>Price</w:t>
            </w:r>
          </w:p>
        </w:tc>
        <w:tc>
          <w:tcPr>
            <w:tcW w:w="0" w:type="auto"/>
            <w:tcBorders>
              <w:top w:val="outset" w:sz="6" w:space="0" w:color="auto"/>
              <w:left w:val="nil"/>
              <w:bottom w:val="nil"/>
              <w:right w:val="nil"/>
            </w:tcBorders>
            <w:vAlign w:val="center"/>
            <w:tcPrChange w:id="19" w:author="Maher" w:date="2025-07-21T10:39:00Z">
              <w:tcPr>
                <w:tcW w:w="0" w:type="auto"/>
                <w:tcBorders>
                  <w:top w:val="outset" w:sz="6" w:space="0" w:color="auto"/>
                  <w:left w:val="nil"/>
                  <w:bottom w:val="nil"/>
                  <w:right w:val="nil"/>
                </w:tcBorders>
                <w:vAlign w:val="center"/>
              </w:tcPr>
            </w:tcPrChange>
          </w:tcPr>
          <w:p w14:paraId="18F8BB1E" w14:textId="77777777" w:rsidR="002F52FB" w:rsidRPr="005D7961" w:rsidRDefault="0092538B" w:rsidP="00121569">
            <w:pPr>
              <w:widowControl/>
              <w:jc w:val="left"/>
              <w:rPr>
                <w:rFonts w:ascii="Arial" w:hAnsi="Arial" w:cs="Arial"/>
              </w:rPr>
            </w:pPr>
            <w:r w:rsidRPr="005D7961">
              <w:rPr>
                <w:rFonts w:ascii="Arial" w:hAnsi="Arial" w:cs="Arial"/>
              </w:rPr>
              <w:t>Price</w:t>
            </w:r>
          </w:p>
        </w:tc>
        <w:tc>
          <w:tcPr>
            <w:tcW w:w="3808" w:type="dxa"/>
            <w:tcBorders>
              <w:top w:val="outset" w:sz="6" w:space="0" w:color="auto"/>
              <w:left w:val="nil"/>
              <w:bottom w:val="nil"/>
              <w:right w:val="nil"/>
            </w:tcBorders>
            <w:tcPrChange w:id="20" w:author="Maher" w:date="2025-07-21T10:39:00Z">
              <w:tcPr>
                <w:tcW w:w="3808" w:type="dxa"/>
                <w:tcBorders>
                  <w:top w:val="outset" w:sz="6" w:space="0" w:color="auto"/>
                  <w:left w:val="nil"/>
                  <w:bottom w:val="nil"/>
                  <w:right w:val="nil"/>
                </w:tcBorders>
              </w:tcPr>
            </w:tcPrChange>
          </w:tcPr>
          <w:p w14:paraId="192F1DC8" w14:textId="77777777" w:rsidR="002F52FB" w:rsidRPr="005D7961" w:rsidRDefault="0092538B" w:rsidP="00121569">
            <w:pPr>
              <w:widowControl/>
              <w:jc w:val="left"/>
              <w:rPr>
                <w:rFonts w:ascii="Arial" w:hAnsi="Arial" w:cs="Arial"/>
              </w:rPr>
            </w:pPr>
            <w:r w:rsidRPr="005D7961">
              <w:rPr>
                <w:rFonts w:ascii="Arial" w:hAnsi="Arial" w:cs="Arial"/>
                <w:iCs/>
              </w:rPr>
              <w:t>The stock price of a company at the close of trading.</w:t>
            </w:r>
          </w:p>
        </w:tc>
        <w:tc>
          <w:tcPr>
            <w:tcW w:w="1276" w:type="dxa"/>
            <w:tcBorders>
              <w:top w:val="outset" w:sz="6" w:space="0" w:color="auto"/>
              <w:left w:val="nil"/>
              <w:bottom w:val="nil"/>
              <w:right w:val="nil"/>
            </w:tcBorders>
            <w:tcPrChange w:id="21" w:author="Maher" w:date="2025-07-21T10:39:00Z">
              <w:tcPr>
                <w:tcW w:w="1276" w:type="dxa"/>
                <w:tcBorders>
                  <w:top w:val="outset" w:sz="6" w:space="0" w:color="auto"/>
                  <w:left w:val="nil"/>
                  <w:bottom w:val="nil"/>
                  <w:right w:val="nil"/>
                </w:tcBorders>
              </w:tcPr>
            </w:tcPrChange>
          </w:tcPr>
          <w:p w14:paraId="3F9637C1" w14:textId="77777777" w:rsidR="002F52FB" w:rsidRPr="005D7961" w:rsidRDefault="0092538B" w:rsidP="00121569">
            <w:pPr>
              <w:widowControl/>
              <w:jc w:val="center"/>
              <w:rPr>
                <w:rFonts w:ascii="Arial" w:hAnsi="Arial" w:cs="Arial"/>
              </w:rPr>
            </w:pPr>
            <w:r w:rsidRPr="005D7961">
              <w:rPr>
                <w:rFonts w:ascii="Arial" w:hAnsi="Arial" w:cs="Arial"/>
                <w:i/>
                <w:iCs/>
              </w:rPr>
              <w:t>Close Price</w:t>
            </w:r>
          </w:p>
        </w:tc>
      </w:tr>
      <w:tr w:rsidR="002F52FB" w:rsidRPr="005D7961" w14:paraId="34EB8DAF" w14:textId="77777777" w:rsidTr="00121569">
        <w:trPr>
          <w:trHeight w:val="633"/>
          <w:trPrChange w:id="22" w:author="Maher" w:date="2025-07-21T10:39:00Z">
            <w:trPr>
              <w:trHeight w:val="633"/>
            </w:trPr>
          </w:trPrChange>
        </w:trPr>
        <w:tc>
          <w:tcPr>
            <w:tcW w:w="0" w:type="auto"/>
            <w:tcBorders>
              <w:top w:val="nil"/>
              <w:left w:val="nil"/>
              <w:bottom w:val="nil"/>
              <w:right w:val="nil"/>
            </w:tcBorders>
            <w:vAlign w:val="center"/>
            <w:tcPrChange w:id="23" w:author="Maher" w:date="2025-07-21T10:39:00Z">
              <w:tcPr>
                <w:tcW w:w="0" w:type="auto"/>
                <w:tcBorders>
                  <w:top w:val="nil"/>
                  <w:left w:val="nil"/>
                  <w:bottom w:val="nil"/>
                  <w:right w:val="nil"/>
                </w:tcBorders>
                <w:vAlign w:val="center"/>
              </w:tcPr>
            </w:tcPrChange>
          </w:tcPr>
          <w:p w14:paraId="09FCD8BF" w14:textId="77777777" w:rsidR="002F52FB" w:rsidRPr="005D7961" w:rsidRDefault="0092538B" w:rsidP="00121569">
            <w:pPr>
              <w:widowControl/>
              <w:jc w:val="left"/>
              <w:rPr>
                <w:rFonts w:ascii="Arial" w:hAnsi="Arial" w:cs="Arial"/>
              </w:rPr>
            </w:pPr>
            <w:r w:rsidRPr="005D7961">
              <w:rPr>
                <w:rFonts w:ascii="Arial" w:hAnsi="Arial" w:cs="Arial"/>
                <w:iCs/>
              </w:rPr>
              <w:t>2</w:t>
            </w:r>
          </w:p>
        </w:tc>
        <w:tc>
          <w:tcPr>
            <w:tcW w:w="0" w:type="auto"/>
            <w:tcBorders>
              <w:top w:val="nil"/>
              <w:left w:val="nil"/>
              <w:bottom w:val="nil"/>
              <w:right w:val="nil"/>
            </w:tcBorders>
            <w:vAlign w:val="center"/>
            <w:tcPrChange w:id="24" w:author="Maher" w:date="2025-07-21T10:39:00Z">
              <w:tcPr>
                <w:tcW w:w="0" w:type="auto"/>
                <w:tcBorders>
                  <w:top w:val="nil"/>
                  <w:left w:val="nil"/>
                  <w:bottom w:val="nil"/>
                  <w:right w:val="nil"/>
                </w:tcBorders>
                <w:vAlign w:val="center"/>
              </w:tcPr>
            </w:tcPrChange>
          </w:tcPr>
          <w:p w14:paraId="4413CC5D" w14:textId="77777777" w:rsidR="002F52FB" w:rsidRPr="005D7961" w:rsidRDefault="0092538B" w:rsidP="00121569">
            <w:pPr>
              <w:widowControl/>
              <w:jc w:val="left"/>
              <w:rPr>
                <w:rFonts w:ascii="Arial" w:hAnsi="Arial" w:cs="Arial"/>
              </w:rPr>
            </w:pPr>
            <w:r w:rsidRPr="005D7961">
              <w:rPr>
                <w:rFonts w:ascii="Arial" w:hAnsi="Arial" w:cs="Arial"/>
                <w:iCs/>
              </w:rPr>
              <w:t>Intrinsic Value</w:t>
            </w:r>
          </w:p>
        </w:tc>
        <w:tc>
          <w:tcPr>
            <w:tcW w:w="0" w:type="auto"/>
            <w:tcBorders>
              <w:top w:val="nil"/>
              <w:left w:val="nil"/>
              <w:bottom w:val="nil"/>
              <w:right w:val="nil"/>
            </w:tcBorders>
            <w:vAlign w:val="center"/>
            <w:tcPrChange w:id="25" w:author="Maher" w:date="2025-07-21T10:39:00Z">
              <w:tcPr>
                <w:tcW w:w="0" w:type="auto"/>
                <w:tcBorders>
                  <w:top w:val="nil"/>
                  <w:left w:val="nil"/>
                  <w:bottom w:val="nil"/>
                  <w:right w:val="nil"/>
                </w:tcBorders>
                <w:vAlign w:val="center"/>
              </w:tcPr>
            </w:tcPrChange>
          </w:tcPr>
          <w:p w14:paraId="4693DADF" w14:textId="77777777" w:rsidR="002F52FB" w:rsidRPr="005D7961" w:rsidRDefault="0092538B" w:rsidP="00121569">
            <w:pPr>
              <w:widowControl/>
              <w:jc w:val="left"/>
              <w:rPr>
                <w:rFonts w:ascii="Arial" w:hAnsi="Arial" w:cs="Arial"/>
              </w:rPr>
            </w:pPr>
            <w:r w:rsidRPr="005D7961">
              <w:rPr>
                <w:rFonts w:ascii="Arial" w:hAnsi="Arial" w:cs="Arial"/>
                <w:i/>
                <w:iCs/>
              </w:rPr>
              <w:t>Price Book Value</w:t>
            </w:r>
          </w:p>
        </w:tc>
        <w:tc>
          <w:tcPr>
            <w:tcW w:w="3808" w:type="dxa"/>
            <w:tcBorders>
              <w:top w:val="nil"/>
              <w:left w:val="nil"/>
              <w:bottom w:val="nil"/>
              <w:right w:val="nil"/>
            </w:tcBorders>
            <w:tcPrChange w:id="26" w:author="Maher" w:date="2025-07-21T10:39:00Z">
              <w:tcPr>
                <w:tcW w:w="3808" w:type="dxa"/>
                <w:tcBorders>
                  <w:top w:val="nil"/>
                  <w:left w:val="nil"/>
                  <w:bottom w:val="nil"/>
                  <w:right w:val="nil"/>
                </w:tcBorders>
              </w:tcPr>
            </w:tcPrChange>
          </w:tcPr>
          <w:p w14:paraId="31407F52" w14:textId="4B3F84F0" w:rsidR="002F52FB" w:rsidRPr="005D7961" w:rsidRDefault="0092538B" w:rsidP="00121569">
            <w:pPr>
              <w:widowControl/>
              <w:jc w:val="left"/>
              <w:rPr>
                <w:rFonts w:ascii="Arial" w:hAnsi="Arial" w:cs="Arial"/>
              </w:rPr>
            </w:pPr>
            <w:r w:rsidRPr="005D7961">
              <w:rPr>
                <w:rFonts w:ascii="Arial" w:hAnsi="Arial" w:cs="Arial"/>
                <w:iCs/>
              </w:rPr>
              <w:t xml:space="preserve">Price-to-book ratio, by comparing the value of the price per share with the book value per share </w:t>
            </w:r>
            <w:sdt>
              <w:sdtPr>
                <w:rPr>
                  <w:rFonts w:ascii="Arial" w:hAnsi="Arial" w:cs="Arial"/>
                  <w:iCs/>
                  <w:color w:val="000000"/>
                </w:rPr>
                <w:tag w:val="MENDELEY_CITATION_v3_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"/>
                <w:id w:val="1797260299"/>
                <w:placeholder>
                  <w:docPart w:val="DefaultPlaceholder_-1854013440"/>
                </w:placeholder>
              </w:sdtPr>
              <w:sdtEndPr/>
              <w:sdtContent>
                <w:r w:rsidR="007E0157" w:rsidRPr="005D7961">
                  <w:rPr>
                    <w:rFonts w:ascii="Arial" w:eastAsia="Times New Roman" w:hAnsi="Arial" w:cs="Arial"/>
                    <w:color w:val="000000"/>
                  </w:rPr>
                  <w:t>(Brigham &amp; Ehrhard, 2020)</w:t>
                </w:r>
              </w:sdtContent>
            </w:sdt>
          </w:p>
        </w:tc>
        <w:tc>
          <w:tcPr>
            <w:tcW w:w="1276" w:type="dxa"/>
            <w:tcBorders>
              <w:top w:val="nil"/>
              <w:left w:val="nil"/>
              <w:bottom w:val="nil"/>
              <w:right w:val="nil"/>
            </w:tcBorders>
            <w:tcPrChange w:id="27" w:author="Maher" w:date="2025-07-21T10:39:00Z">
              <w:tcPr>
                <w:tcW w:w="1276" w:type="dxa"/>
                <w:tcBorders>
                  <w:top w:val="nil"/>
                  <w:left w:val="nil"/>
                  <w:bottom w:val="nil"/>
                  <w:right w:val="nil"/>
                </w:tcBorders>
              </w:tcPr>
            </w:tcPrChange>
          </w:tcPr>
          <w:p w14:paraId="12612C42" w14:textId="77777777" w:rsidR="002F52FB" w:rsidRPr="005D7961" w:rsidRDefault="0092538B" w:rsidP="00121569">
            <w:pPr>
              <w:pStyle w:val="Body"/>
              <w:jc w:val="center"/>
              <w:rPr>
                <w:rFonts w:ascii="Arial" w:hAnsi="Arial" w:cs="Arial"/>
              </w:rPr>
            </w:pPr>
            <w:r w:rsidRPr="005D7961">
              <w:rPr>
                <w:rFonts w:ascii="Arial" w:hAnsi="Arial" w:cs="Arial"/>
                <w:noProof/>
                <w:lang w:val="en-US" w:eastAsia="en-US"/>
              </w:rPr>
              <w:drawing>
                <wp:inline distT="0" distB="0" distL="0" distR="0" wp14:anchorId="73601AF4" wp14:editId="48F6F9C7">
                  <wp:extent cx="932815" cy="245745"/>
                  <wp:effectExtent l="0" t="0" r="635" b="1905"/>
                  <wp:docPr id="15308631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63178"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46453" cy="276027"/>
                          </a:xfrm>
                          <a:prstGeom prst="rect">
                            <a:avLst/>
                          </a:prstGeom>
                          <a:noFill/>
                          <a:ln>
                            <a:noFill/>
                          </a:ln>
                        </pic:spPr>
                      </pic:pic>
                    </a:graphicData>
                  </a:graphic>
                </wp:inline>
              </w:drawing>
            </w:r>
          </w:p>
        </w:tc>
      </w:tr>
      <w:tr w:rsidR="002F52FB" w:rsidRPr="005D7961" w14:paraId="32EF4C93" w14:textId="77777777" w:rsidTr="00121569">
        <w:trPr>
          <w:trHeight w:val="696"/>
          <w:trPrChange w:id="28" w:author="Maher" w:date="2025-07-21T10:39:00Z">
            <w:trPr>
              <w:trHeight w:val="696"/>
            </w:trPr>
          </w:trPrChange>
        </w:trPr>
        <w:tc>
          <w:tcPr>
            <w:tcW w:w="0" w:type="auto"/>
            <w:tcBorders>
              <w:top w:val="nil"/>
              <w:left w:val="nil"/>
              <w:bottom w:val="nil"/>
              <w:right w:val="nil"/>
            </w:tcBorders>
            <w:vAlign w:val="center"/>
            <w:tcPrChange w:id="29" w:author="Maher" w:date="2025-07-21T10:39:00Z">
              <w:tcPr>
                <w:tcW w:w="0" w:type="auto"/>
                <w:tcBorders>
                  <w:top w:val="nil"/>
                  <w:left w:val="nil"/>
                  <w:bottom w:val="nil"/>
                  <w:right w:val="nil"/>
                </w:tcBorders>
                <w:vAlign w:val="center"/>
              </w:tcPr>
            </w:tcPrChange>
          </w:tcPr>
          <w:p w14:paraId="4BA744C5" w14:textId="77777777" w:rsidR="002F52FB" w:rsidRPr="005D7961" w:rsidRDefault="0092538B" w:rsidP="00121569">
            <w:pPr>
              <w:widowControl/>
              <w:jc w:val="left"/>
              <w:rPr>
                <w:rFonts w:ascii="Arial" w:hAnsi="Arial" w:cs="Arial"/>
              </w:rPr>
            </w:pPr>
            <w:r w:rsidRPr="005D7961">
              <w:rPr>
                <w:rFonts w:ascii="Arial" w:hAnsi="Arial" w:cs="Arial"/>
                <w:iCs/>
              </w:rPr>
              <w:t>3</w:t>
            </w:r>
          </w:p>
        </w:tc>
        <w:tc>
          <w:tcPr>
            <w:tcW w:w="0" w:type="auto"/>
            <w:tcBorders>
              <w:top w:val="nil"/>
              <w:left w:val="nil"/>
              <w:bottom w:val="nil"/>
              <w:right w:val="nil"/>
            </w:tcBorders>
            <w:vAlign w:val="center"/>
            <w:tcPrChange w:id="30" w:author="Maher" w:date="2025-07-21T10:39:00Z">
              <w:tcPr>
                <w:tcW w:w="0" w:type="auto"/>
                <w:tcBorders>
                  <w:top w:val="nil"/>
                  <w:left w:val="nil"/>
                  <w:bottom w:val="nil"/>
                  <w:right w:val="nil"/>
                </w:tcBorders>
                <w:vAlign w:val="center"/>
              </w:tcPr>
            </w:tcPrChange>
          </w:tcPr>
          <w:p w14:paraId="6B061D5E" w14:textId="77777777" w:rsidR="002F52FB" w:rsidRPr="005D7961" w:rsidRDefault="0092538B" w:rsidP="00121569">
            <w:pPr>
              <w:widowControl/>
              <w:jc w:val="left"/>
              <w:rPr>
                <w:rFonts w:ascii="Arial" w:hAnsi="Arial" w:cs="Arial"/>
              </w:rPr>
            </w:pPr>
            <w:r w:rsidRPr="005D7961">
              <w:rPr>
                <w:rFonts w:ascii="Arial" w:hAnsi="Arial" w:cs="Arial"/>
                <w:i/>
                <w:iCs/>
              </w:rPr>
              <w:t>Profitability</w:t>
            </w:r>
          </w:p>
        </w:tc>
        <w:tc>
          <w:tcPr>
            <w:tcW w:w="0" w:type="auto"/>
            <w:tcBorders>
              <w:top w:val="nil"/>
              <w:left w:val="nil"/>
              <w:bottom w:val="nil"/>
              <w:right w:val="nil"/>
            </w:tcBorders>
            <w:vAlign w:val="center"/>
            <w:tcPrChange w:id="31" w:author="Maher" w:date="2025-07-21T10:39:00Z">
              <w:tcPr>
                <w:tcW w:w="0" w:type="auto"/>
                <w:tcBorders>
                  <w:top w:val="nil"/>
                  <w:left w:val="nil"/>
                  <w:bottom w:val="nil"/>
                  <w:right w:val="nil"/>
                </w:tcBorders>
                <w:vAlign w:val="center"/>
              </w:tcPr>
            </w:tcPrChange>
          </w:tcPr>
          <w:p w14:paraId="2571BE1E" w14:textId="77777777" w:rsidR="00121569" w:rsidRDefault="0092538B" w:rsidP="00121569">
            <w:pPr>
              <w:widowControl/>
              <w:jc w:val="left"/>
              <w:rPr>
                <w:rFonts w:ascii="Arial" w:hAnsi="Arial" w:cs="Arial"/>
                <w:i/>
                <w:iCs/>
              </w:rPr>
            </w:pPr>
            <w:r w:rsidRPr="005D7961">
              <w:rPr>
                <w:rFonts w:ascii="Arial" w:hAnsi="Arial" w:cs="Arial"/>
                <w:i/>
                <w:iCs/>
              </w:rPr>
              <w:t xml:space="preserve">Return </w:t>
            </w:r>
          </w:p>
          <w:p w14:paraId="64A19D40" w14:textId="07A37951" w:rsidR="002F52FB" w:rsidRPr="005D7961" w:rsidRDefault="0092538B" w:rsidP="00121569">
            <w:pPr>
              <w:widowControl/>
              <w:jc w:val="left"/>
              <w:rPr>
                <w:rFonts w:ascii="Arial" w:hAnsi="Arial" w:cs="Arial"/>
              </w:rPr>
            </w:pPr>
            <w:r w:rsidRPr="005D7961">
              <w:rPr>
                <w:rFonts w:ascii="Arial" w:hAnsi="Arial" w:cs="Arial"/>
                <w:i/>
                <w:iCs/>
              </w:rPr>
              <w:t>on Asset</w:t>
            </w:r>
          </w:p>
        </w:tc>
        <w:tc>
          <w:tcPr>
            <w:tcW w:w="3808" w:type="dxa"/>
            <w:tcBorders>
              <w:top w:val="nil"/>
              <w:left w:val="nil"/>
              <w:bottom w:val="nil"/>
              <w:right w:val="nil"/>
            </w:tcBorders>
            <w:tcPrChange w:id="32" w:author="Maher" w:date="2025-07-21T10:39:00Z">
              <w:tcPr>
                <w:tcW w:w="3808" w:type="dxa"/>
                <w:tcBorders>
                  <w:top w:val="nil"/>
                  <w:left w:val="nil"/>
                  <w:bottom w:val="nil"/>
                  <w:right w:val="nil"/>
                </w:tcBorders>
              </w:tcPr>
            </w:tcPrChange>
          </w:tcPr>
          <w:p w14:paraId="271A9511" w14:textId="4395B3DE" w:rsidR="002F52FB" w:rsidRPr="005D7961" w:rsidRDefault="0092538B" w:rsidP="00121569">
            <w:pPr>
              <w:widowControl/>
              <w:jc w:val="left"/>
              <w:rPr>
                <w:rFonts w:ascii="Arial" w:hAnsi="Arial" w:cs="Arial"/>
              </w:rPr>
            </w:pPr>
            <w:r w:rsidRPr="005D7961">
              <w:rPr>
                <w:rFonts w:ascii="Arial" w:hAnsi="Arial" w:cs="Arial"/>
                <w:iCs/>
              </w:rPr>
              <w:t xml:space="preserve">Measure the net profit generated from each asset the company owns </w:t>
            </w:r>
            <w:sdt>
              <w:sdtPr>
                <w:rPr>
                  <w:rFonts w:ascii="Arial" w:hAnsi="Arial" w:cs="Arial"/>
                  <w:iCs/>
                  <w:color w:val="000000"/>
                </w:rPr>
                <w:tag w:val="MENDELEY_CITATION_v3_eyJjaXRhdGlvbklEIjoiTUVOREVMRVlfQ0lUQVRJT05fNjYzYTliYTYtYzM3NC00NzU0LWE2NWMtNDRjZGYxZjFkOWEz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
                <w:id w:val="-1815084043"/>
                <w:placeholder>
                  <w:docPart w:val="DefaultPlaceholder_-1854013440"/>
                </w:placeholder>
              </w:sdtPr>
              <w:sdtEndPr/>
              <w:sdtContent>
                <w:r w:rsidR="007E0157" w:rsidRPr="005D7961">
                  <w:rPr>
                    <w:rFonts w:ascii="Arial" w:eastAsia="Times New Roman" w:hAnsi="Arial" w:cs="Arial"/>
                    <w:color w:val="000000"/>
                  </w:rPr>
                  <w:t>(Brigham &amp; Ehrhard, 2020).</w:t>
                </w:r>
              </w:sdtContent>
            </w:sdt>
          </w:p>
        </w:tc>
        <w:tc>
          <w:tcPr>
            <w:tcW w:w="1276" w:type="dxa"/>
            <w:tcBorders>
              <w:top w:val="nil"/>
              <w:left w:val="nil"/>
              <w:bottom w:val="nil"/>
              <w:right w:val="nil"/>
            </w:tcBorders>
            <w:tcPrChange w:id="33" w:author="Maher" w:date="2025-07-21T10:39:00Z">
              <w:tcPr>
                <w:tcW w:w="1276" w:type="dxa"/>
                <w:tcBorders>
                  <w:top w:val="nil"/>
                  <w:left w:val="nil"/>
                  <w:bottom w:val="nil"/>
                  <w:right w:val="nil"/>
                </w:tcBorders>
              </w:tcPr>
            </w:tcPrChange>
          </w:tcPr>
          <w:p w14:paraId="41D56778" w14:textId="77777777" w:rsidR="002F52FB" w:rsidRPr="005D7961" w:rsidRDefault="0092538B" w:rsidP="00121569">
            <w:pPr>
              <w:widowControl/>
              <w:jc w:val="center"/>
              <w:rPr>
                <w:rFonts w:ascii="Arial" w:hAnsi="Arial" w:cs="Arial"/>
                <w:sz w:val="24"/>
                <w:szCs w:val="24"/>
              </w:rPr>
            </w:pPr>
            <w:r w:rsidRPr="005D7961">
              <w:rPr>
                <w:rFonts w:ascii="Arial" w:hAnsi="Arial" w:cs="Arial"/>
                <w:noProof/>
                <w:sz w:val="24"/>
                <w:szCs w:val="24"/>
                <w:lang w:val="en-US" w:eastAsia="en-US"/>
              </w:rPr>
              <w:drawing>
                <wp:inline distT="0" distB="0" distL="0" distR="0" wp14:anchorId="45D919F0" wp14:editId="34C4F371">
                  <wp:extent cx="705485" cy="203835"/>
                  <wp:effectExtent l="0" t="0" r="0" b="5715"/>
                  <wp:docPr id="2984328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32863"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28016" cy="210497"/>
                          </a:xfrm>
                          <a:prstGeom prst="rect">
                            <a:avLst/>
                          </a:prstGeom>
                          <a:noFill/>
                          <a:ln>
                            <a:noFill/>
                          </a:ln>
                        </pic:spPr>
                      </pic:pic>
                    </a:graphicData>
                  </a:graphic>
                </wp:inline>
              </w:drawing>
            </w:r>
          </w:p>
        </w:tc>
      </w:tr>
      <w:tr w:rsidR="002F52FB" w:rsidRPr="005D7961" w14:paraId="36E3EFE4" w14:textId="77777777" w:rsidTr="00121569">
        <w:trPr>
          <w:trHeight w:val="718"/>
          <w:trPrChange w:id="34" w:author="Maher" w:date="2025-07-21T10:39:00Z">
            <w:trPr>
              <w:trHeight w:val="718"/>
            </w:trPr>
          </w:trPrChange>
        </w:trPr>
        <w:tc>
          <w:tcPr>
            <w:tcW w:w="0" w:type="auto"/>
            <w:tcBorders>
              <w:top w:val="nil"/>
              <w:left w:val="nil"/>
              <w:bottom w:val="nil"/>
              <w:right w:val="nil"/>
            </w:tcBorders>
            <w:vAlign w:val="center"/>
            <w:tcPrChange w:id="35" w:author="Maher" w:date="2025-07-21T10:39:00Z">
              <w:tcPr>
                <w:tcW w:w="0" w:type="auto"/>
                <w:tcBorders>
                  <w:top w:val="nil"/>
                  <w:left w:val="nil"/>
                  <w:bottom w:val="nil"/>
                  <w:right w:val="nil"/>
                </w:tcBorders>
                <w:vAlign w:val="center"/>
              </w:tcPr>
            </w:tcPrChange>
          </w:tcPr>
          <w:p w14:paraId="21595F0C" w14:textId="7F58C11E" w:rsidR="002F52FB" w:rsidRPr="005D7961" w:rsidRDefault="003852F3" w:rsidP="00121569">
            <w:pPr>
              <w:widowControl/>
              <w:jc w:val="left"/>
              <w:rPr>
                <w:rFonts w:ascii="Arial" w:hAnsi="Arial" w:cs="Arial"/>
              </w:rPr>
            </w:pPr>
            <w:r w:rsidRPr="005D7961">
              <w:rPr>
                <w:rFonts w:ascii="Arial" w:hAnsi="Arial" w:cs="Arial"/>
              </w:rPr>
              <w:t>4</w:t>
            </w:r>
          </w:p>
        </w:tc>
        <w:tc>
          <w:tcPr>
            <w:tcW w:w="0" w:type="auto"/>
            <w:tcBorders>
              <w:top w:val="nil"/>
              <w:left w:val="nil"/>
              <w:bottom w:val="nil"/>
              <w:right w:val="nil"/>
            </w:tcBorders>
            <w:vAlign w:val="center"/>
            <w:tcPrChange w:id="36" w:author="Maher" w:date="2025-07-21T10:39:00Z">
              <w:tcPr>
                <w:tcW w:w="0" w:type="auto"/>
                <w:tcBorders>
                  <w:top w:val="nil"/>
                  <w:left w:val="nil"/>
                  <w:bottom w:val="nil"/>
                  <w:right w:val="nil"/>
                </w:tcBorders>
                <w:vAlign w:val="center"/>
              </w:tcPr>
            </w:tcPrChange>
          </w:tcPr>
          <w:p w14:paraId="7CA0194F" w14:textId="77777777" w:rsidR="002F52FB" w:rsidRPr="005D7961" w:rsidRDefault="0092538B" w:rsidP="00121569">
            <w:pPr>
              <w:widowControl/>
              <w:jc w:val="left"/>
              <w:rPr>
                <w:rFonts w:ascii="Arial" w:hAnsi="Arial" w:cs="Arial"/>
              </w:rPr>
            </w:pPr>
            <w:r w:rsidRPr="005D7961">
              <w:rPr>
                <w:rFonts w:ascii="Arial" w:hAnsi="Arial" w:cs="Arial"/>
                <w:i/>
                <w:iCs/>
              </w:rPr>
              <w:t>Leverage</w:t>
            </w:r>
          </w:p>
        </w:tc>
        <w:tc>
          <w:tcPr>
            <w:tcW w:w="0" w:type="auto"/>
            <w:tcBorders>
              <w:top w:val="nil"/>
              <w:left w:val="nil"/>
              <w:bottom w:val="nil"/>
              <w:right w:val="nil"/>
            </w:tcBorders>
            <w:vAlign w:val="center"/>
            <w:tcPrChange w:id="37" w:author="Maher" w:date="2025-07-21T10:39:00Z">
              <w:tcPr>
                <w:tcW w:w="0" w:type="auto"/>
                <w:tcBorders>
                  <w:top w:val="nil"/>
                  <w:left w:val="nil"/>
                  <w:bottom w:val="nil"/>
                  <w:right w:val="nil"/>
                </w:tcBorders>
                <w:vAlign w:val="center"/>
              </w:tcPr>
            </w:tcPrChange>
          </w:tcPr>
          <w:p w14:paraId="24F7F69E" w14:textId="77777777" w:rsidR="002F52FB" w:rsidRPr="005D7961" w:rsidRDefault="0092538B" w:rsidP="00121569">
            <w:pPr>
              <w:widowControl/>
              <w:jc w:val="left"/>
              <w:rPr>
                <w:rFonts w:ascii="Arial" w:hAnsi="Arial" w:cs="Arial"/>
              </w:rPr>
            </w:pPr>
            <w:r w:rsidRPr="005D7961">
              <w:rPr>
                <w:rFonts w:ascii="Arial" w:hAnsi="Arial" w:cs="Arial"/>
                <w:i/>
                <w:iCs/>
              </w:rPr>
              <w:t>Debt to Equity Ratio</w:t>
            </w:r>
          </w:p>
        </w:tc>
        <w:tc>
          <w:tcPr>
            <w:tcW w:w="3808" w:type="dxa"/>
            <w:tcBorders>
              <w:top w:val="nil"/>
              <w:left w:val="nil"/>
              <w:bottom w:val="nil"/>
              <w:right w:val="nil"/>
            </w:tcBorders>
            <w:tcPrChange w:id="38" w:author="Maher" w:date="2025-07-21T10:39:00Z">
              <w:tcPr>
                <w:tcW w:w="3808" w:type="dxa"/>
                <w:tcBorders>
                  <w:top w:val="nil"/>
                  <w:left w:val="nil"/>
                  <w:bottom w:val="nil"/>
                  <w:right w:val="nil"/>
                </w:tcBorders>
              </w:tcPr>
            </w:tcPrChange>
          </w:tcPr>
          <w:p w14:paraId="57BCDC3F" w14:textId="4985600B" w:rsidR="002F52FB" w:rsidRPr="005D7961" w:rsidRDefault="0092538B" w:rsidP="00121569">
            <w:pPr>
              <w:widowControl/>
              <w:jc w:val="left"/>
              <w:rPr>
                <w:rFonts w:ascii="Arial" w:hAnsi="Arial" w:cs="Arial"/>
              </w:rPr>
            </w:pPr>
            <w:r w:rsidRPr="005D7961">
              <w:rPr>
                <w:rFonts w:ascii="Arial" w:hAnsi="Arial" w:cs="Arial"/>
                <w:iCs/>
              </w:rPr>
              <w:t xml:space="preserve">Measure the proportion of debt to the Company's equity </w:t>
            </w:r>
            <w:sdt>
              <w:sdtPr>
                <w:rPr>
                  <w:rFonts w:ascii="Arial" w:hAnsi="Arial" w:cs="Arial"/>
                  <w:iCs/>
                  <w:color w:val="000000"/>
                </w:rPr>
                <w:tag w:val="MENDELEY_CITATION_v3_eyJjaXRhdGlvbklEIjoiTUVOREVMRVlfQ0lUQVRJT05fOGJlZTYxYjQtMmZiZS00YWY4LWI5MDEtYTRlZmJkNzMxM2Zh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
                <w:id w:val="1181552915"/>
                <w:placeholder>
                  <w:docPart w:val="DefaultPlaceholder_-1854013440"/>
                </w:placeholder>
              </w:sdtPr>
              <w:sdtEndPr/>
              <w:sdtContent>
                <w:r w:rsidR="007E0157" w:rsidRPr="005D7961">
                  <w:rPr>
                    <w:rFonts w:ascii="Arial" w:eastAsia="Times New Roman" w:hAnsi="Arial" w:cs="Arial"/>
                    <w:color w:val="000000"/>
                  </w:rPr>
                  <w:t>(Brigham &amp; Ehrhard, 2020).</w:t>
                </w:r>
              </w:sdtContent>
            </w:sdt>
          </w:p>
        </w:tc>
        <w:tc>
          <w:tcPr>
            <w:tcW w:w="1276" w:type="dxa"/>
            <w:tcBorders>
              <w:top w:val="nil"/>
              <w:left w:val="nil"/>
              <w:bottom w:val="nil"/>
              <w:right w:val="nil"/>
            </w:tcBorders>
            <w:tcPrChange w:id="39" w:author="Maher" w:date="2025-07-21T10:39:00Z">
              <w:tcPr>
                <w:tcW w:w="1276" w:type="dxa"/>
                <w:tcBorders>
                  <w:top w:val="nil"/>
                  <w:left w:val="nil"/>
                  <w:bottom w:val="nil"/>
                  <w:right w:val="nil"/>
                </w:tcBorders>
              </w:tcPr>
            </w:tcPrChange>
          </w:tcPr>
          <w:p w14:paraId="035A365B" w14:textId="77777777" w:rsidR="002F52FB" w:rsidRPr="005D7961" w:rsidRDefault="0092538B" w:rsidP="00121569">
            <w:pPr>
              <w:widowControl/>
              <w:jc w:val="center"/>
              <w:rPr>
                <w:rFonts w:ascii="Arial" w:hAnsi="Arial" w:cs="Arial"/>
                <w:sz w:val="24"/>
                <w:szCs w:val="24"/>
              </w:rPr>
            </w:pPr>
            <w:r w:rsidRPr="005D7961">
              <w:rPr>
                <w:rFonts w:ascii="Arial" w:hAnsi="Arial" w:cs="Arial"/>
                <w:noProof/>
                <w:sz w:val="24"/>
                <w:szCs w:val="24"/>
                <w:lang w:val="en-US" w:eastAsia="en-US"/>
              </w:rPr>
              <w:drawing>
                <wp:inline distT="0" distB="0" distL="0" distR="0" wp14:anchorId="02BBF512" wp14:editId="7FB55DCC">
                  <wp:extent cx="809625" cy="203835"/>
                  <wp:effectExtent l="0" t="0" r="0" b="5715"/>
                  <wp:docPr id="13744033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03351"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12186" cy="204550"/>
                          </a:xfrm>
                          <a:prstGeom prst="rect">
                            <a:avLst/>
                          </a:prstGeom>
                          <a:noFill/>
                          <a:ln>
                            <a:noFill/>
                          </a:ln>
                        </pic:spPr>
                      </pic:pic>
                    </a:graphicData>
                  </a:graphic>
                </wp:inline>
              </w:drawing>
            </w:r>
          </w:p>
        </w:tc>
      </w:tr>
      <w:tr w:rsidR="002F52FB" w:rsidRPr="005D7961" w14:paraId="26EBB00D" w14:textId="77777777" w:rsidTr="00121569">
        <w:trPr>
          <w:trHeight w:val="703"/>
          <w:trPrChange w:id="40" w:author="Maher" w:date="2025-07-21T10:39:00Z">
            <w:trPr>
              <w:trHeight w:val="703"/>
            </w:trPr>
          </w:trPrChange>
        </w:trPr>
        <w:tc>
          <w:tcPr>
            <w:tcW w:w="0" w:type="auto"/>
            <w:tcBorders>
              <w:top w:val="nil"/>
              <w:left w:val="nil"/>
              <w:bottom w:val="nil"/>
              <w:right w:val="nil"/>
            </w:tcBorders>
            <w:vAlign w:val="center"/>
            <w:tcPrChange w:id="41" w:author="Maher" w:date="2025-07-21T10:39:00Z">
              <w:tcPr>
                <w:tcW w:w="0" w:type="auto"/>
                <w:tcBorders>
                  <w:top w:val="nil"/>
                  <w:left w:val="nil"/>
                  <w:bottom w:val="nil"/>
                  <w:right w:val="nil"/>
                </w:tcBorders>
                <w:vAlign w:val="center"/>
              </w:tcPr>
            </w:tcPrChange>
          </w:tcPr>
          <w:p w14:paraId="6176C575" w14:textId="0B896229" w:rsidR="002F52FB" w:rsidRPr="005D7961" w:rsidRDefault="003852F3" w:rsidP="00121569">
            <w:pPr>
              <w:widowControl/>
              <w:jc w:val="left"/>
              <w:rPr>
                <w:rFonts w:ascii="Arial" w:hAnsi="Arial" w:cs="Arial"/>
              </w:rPr>
            </w:pPr>
            <w:r w:rsidRPr="005D7961">
              <w:rPr>
                <w:rFonts w:ascii="Arial" w:hAnsi="Arial" w:cs="Arial"/>
              </w:rPr>
              <w:t>5</w:t>
            </w:r>
          </w:p>
        </w:tc>
        <w:tc>
          <w:tcPr>
            <w:tcW w:w="0" w:type="auto"/>
            <w:tcBorders>
              <w:top w:val="nil"/>
              <w:left w:val="nil"/>
              <w:bottom w:val="nil"/>
              <w:right w:val="nil"/>
            </w:tcBorders>
            <w:vAlign w:val="center"/>
            <w:tcPrChange w:id="42" w:author="Maher" w:date="2025-07-21T10:39:00Z">
              <w:tcPr>
                <w:tcW w:w="0" w:type="auto"/>
                <w:tcBorders>
                  <w:top w:val="nil"/>
                  <w:left w:val="nil"/>
                  <w:bottom w:val="nil"/>
                  <w:right w:val="nil"/>
                </w:tcBorders>
                <w:vAlign w:val="center"/>
              </w:tcPr>
            </w:tcPrChange>
          </w:tcPr>
          <w:p w14:paraId="24820C39" w14:textId="77777777" w:rsidR="002F52FB" w:rsidRPr="005D7961" w:rsidRDefault="0092538B" w:rsidP="00121569">
            <w:pPr>
              <w:widowControl/>
              <w:jc w:val="left"/>
              <w:rPr>
                <w:rFonts w:ascii="Arial" w:hAnsi="Arial" w:cs="Arial"/>
              </w:rPr>
            </w:pPr>
            <w:r w:rsidRPr="005D7961">
              <w:rPr>
                <w:rFonts w:ascii="Arial" w:hAnsi="Arial" w:cs="Arial"/>
                <w:i/>
                <w:iCs/>
              </w:rPr>
              <w:t>Liquidity</w:t>
            </w:r>
          </w:p>
        </w:tc>
        <w:tc>
          <w:tcPr>
            <w:tcW w:w="0" w:type="auto"/>
            <w:tcBorders>
              <w:top w:val="nil"/>
              <w:left w:val="nil"/>
              <w:bottom w:val="nil"/>
              <w:right w:val="nil"/>
            </w:tcBorders>
            <w:vAlign w:val="center"/>
            <w:tcPrChange w:id="43" w:author="Maher" w:date="2025-07-21T10:39:00Z">
              <w:tcPr>
                <w:tcW w:w="0" w:type="auto"/>
                <w:tcBorders>
                  <w:top w:val="nil"/>
                  <w:left w:val="nil"/>
                  <w:bottom w:val="nil"/>
                  <w:right w:val="nil"/>
                </w:tcBorders>
                <w:vAlign w:val="center"/>
              </w:tcPr>
            </w:tcPrChange>
          </w:tcPr>
          <w:p w14:paraId="2C1B9DB5" w14:textId="77777777" w:rsidR="002F52FB" w:rsidRPr="005D7961" w:rsidRDefault="0092538B" w:rsidP="00121569">
            <w:pPr>
              <w:widowControl/>
              <w:jc w:val="left"/>
              <w:rPr>
                <w:rFonts w:ascii="Arial" w:hAnsi="Arial" w:cs="Arial"/>
              </w:rPr>
            </w:pPr>
            <w:r w:rsidRPr="005D7961">
              <w:rPr>
                <w:rFonts w:ascii="Arial" w:hAnsi="Arial" w:cs="Arial"/>
                <w:i/>
                <w:iCs/>
              </w:rPr>
              <w:t>Current Ratio</w:t>
            </w:r>
          </w:p>
        </w:tc>
        <w:tc>
          <w:tcPr>
            <w:tcW w:w="3808" w:type="dxa"/>
            <w:tcBorders>
              <w:top w:val="nil"/>
              <w:left w:val="nil"/>
              <w:bottom w:val="nil"/>
              <w:right w:val="nil"/>
            </w:tcBorders>
            <w:tcPrChange w:id="44" w:author="Maher" w:date="2025-07-21T10:39:00Z">
              <w:tcPr>
                <w:tcW w:w="3808" w:type="dxa"/>
                <w:tcBorders>
                  <w:top w:val="nil"/>
                  <w:left w:val="nil"/>
                  <w:bottom w:val="nil"/>
                  <w:right w:val="nil"/>
                </w:tcBorders>
              </w:tcPr>
            </w:tcPrChange>
          </w:tcPr>
          <w:p w14:paraId="3A7DE8AB" w14:textId="6A16B416" w:rsidR="002F52FB" w:rsidRPr="005D7961" w:rsidRDefault="0092538B" w:rsidP="00121569">
            <w:pPr>
              <w:widowControl/>
              <w:jc w:val="left"/>
              <w:rPr>
                <w:rFonts w:ascii="Arial" w:hAnsi="Arial" w:cs="Arial"/>
              </w:rPr>
            </w:pPr>
            <w:r w:rsidRPr="005D7961">
              <w:rPr>
                <w:rFonts w:ascii="Arial" w:hAnsi="Arial" w:cs="Arial"/>
                <w:iCs/>
              </w:rPr>
              <w:t xml:space="preserve">Demonstrate the company's ability to pay its current obligations with current assets </w:t>
            </w:r>
            <w:sdt>
              <w:sdtPr>
                <w:rPr>
                  <w:rFonts w:ascii="Arial" w:hAnsi="Arial" w:cs="Arial"/>
                  <w:iCs/>
                  <w:color w:val="000000"/>
                </w:rPr>
                <w:tag w:val="MENDELEY_CITATION_v3_eyJjaXRhdGlvbklEIjoiTUVOREVMRVlfQ0lUQVRJT05fMjI4Mjc0YjItYzAxOS00ZDJiLTgyNWYtM2UzZmEwNDc2NzNk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
                <w:id w:val="583962905"/>
                <w:placeholder>
                  <w:docPart w:val="DefaultPlaceholder_-1854013440"/>
                </w:placeholder>
              </w:sdtPr>
              <w:sdtEndPr/>
              <w:sdtContent>
                <w:r w:rsidR="007E0157" w:rsidRPr="005D7961">
                  <w:rPr>
                    <w:rFonts w:ascii="Arial" w:eastAsia="Times New Roman" w:hAnsi="Arial" w:cs="Arial"/>
                    <w:color w:val="000000"/>
                  </w:rPr>
                  <w:t>(Brigham &amp; Ehrhard, 2020).</w:t>
                </w:r>
              </w:sdtContent>
            </w:sdt>
          </w:p>
        </w:tc>
        <w:tc>
          <w:tcPr>
            <w:tcW w:w="1276" w:type="dxa"/>
            <w:tcBorders>
              <w:top w:val="nil"/>
              <w:left w:val="nil"/>
              <w:bottom w:val="nil"/>
              <w:right w:val="nil"/>
            </w:tcBorders>
            <w:tcPrChange w:id="45" w:author="Maher" w:date="2025-07-21T10:39:00Z">
              <w:tcPr>
                <w:tcW w:w="1276" w:type="dxa"/>
                <w:tcBorders>
                  <w:top w:val="nil"/>
                  <w:left w:val="nil"/>
                  <w:bottom w:val="nil"/>
                  <w:right w:val="nil"/>
                </w:tcBorders>
              </w:tcPr>
            </w:tcPrChange>
          </w:tcPr>
          <w:p w14:paraId="0B53BFA4" w14:textId="77777777" w:rsidR="002F52FB" w:rsidRPr="005D7961" w:rsidRDefault="0092538B" w:rsidP="00121569">
            <w:pPr>
              <w:widowControl/>
              <w:jc w:val="center"/>
              <w:rPr>
                <w:rFonts w:ascii="Arial" w:hAnsi="Arial" w:cs="Arial"/>
                <w:sz w:val="24"/>
                <w:szCs w:val="24"/>
              </w:rPr>
            </w:pPr>
            <w:r w:rsidRPr="005D7961">
              <w:rPr>
                <w:rFonts w:ascii="Arial" w:hAnsi="Arial" w:cs="Arial"/>
                <w:noProof/>
                <w:sz w:val="24"/>
                <w:szCs w:val="24"/>
                <w:lang w:val="en-US" w:eastAsia="en-US"/>
              </w:rPr>
              <w:drawing>
                <wp:inline distT="0" distB="0" distL="0" distR="0" wp14:anchorId="6BDC4608" wp14:editId="7C779976">
                  <wp:extent cx="843915" cy="258445"/>
                  <wp:effectExtent l="0" t="0" r="0" b="8255"/>
                  <wp:docPr id="14498774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77499"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5637" cy="289801"/>
                          </a:xfrm>
                          <a:prstGeom prst="rect">
                            <a:avLst/>
                          </a:prstGeom>
                          <a:noFill/>
                          <a:ln>
                            <a:noFill/>
                          </a:ln>
                        </pic:spPr>
                      </pic:pic>
                    </a:graphicData>
                  </a:graphic>
                </wp:inline>
              </w:drawing>
            </w:r>
          </w:p>
        </w:tc>
      </w:tr>
      <w:tr w:rsidR="002F52FB" w:rsidRPr="005D7961" w14:paraId="6AC40FF8" w14:textId="77777777" w:rsidTr="00121569">
        <w:trPr>
          <w:trHeight w:val="718"/>
          <w:trPrChange w:id="46" w:author="Maher" w:date="2025-07-21T10:39:00Z">
            <w:trPr>
              <w:trHeight w:val="718"/>
            </w:trPr>
          </w:trPrChange>
        </w:trPr>
        <w:tc>
          <w:tcPr>
            <w:tcW w:w="0" w:type="auto"/>
            <w:tcBorders>
              <w:top w:val="nil"/>
              <w:left w:val="nil"/>
              <w:bottom w:val="nil"/>
              <w:right w:val="nil"/>
            </w:tcBorders>
            <w:vAlign w:val="center"/>
            <w:tcPrChange w:id="47" w:author="Maher" w:date="2025-07-21T10:39:00Z">
              <w:tcPr>
                <w:tcW w:w="0" w:type="auto"/>
                <w:tcBorders>
                  <w:top w:val="nil"/>
                  <w:left w:val="nil"/>
                  <w:bottom w:val="nil"/>
                  <w:right w:val="nil"/>
                </w:tcBorders>
                <w:vAlign w:val="center"/>
              </w:tcPr>
            </w:tcPrChange>
          </w:tcPr>
          <w:p w14:paraId="3ACDA26A" w14:textId="5904839F" w:rsidR="002F52FB" w:rsidRPr="005D7961" w:rsidRDefault="003852F3" w:rsidP="00121569">
            <w:pPr>
              <w:widowControl/>
              <w:jc w:val="left"/>
              <w:rPr>
                <w:rFonts w:ascii="Arial" w:hAnsi="Arial" w:cs="Arial"/>
              </w:rPr>
            </w:pPr>
            <w:r w:rsidRPr="005D7961">
              <w:rPr>
                <w:rFonts w:ascii="Arial" w:hAnsi="Arial" w:cs="Arial"/>
              </w:rPr>
              <w:t>6</w:t>
            </w:r>
          </w:p>
        </w:tc>
        <w:tc>
          <w:tcPr>
            <w:tcW w:w="0" w:type="auto"/>
            <w:tcBorders>
              <w:top w:val="nil"/>
              <w:left w:val="nil"/>
              <w:bottom w:val="nil"/>
              <w:right w:val="nil"/>
            </w:tcBorders>
            <w:vAlign w:val="center"/>
            <w:tcPrChange w:id="48" w:author="Maher" w:date="2025-07-21T10:39:00Z">
              <w:tcPr>
                <w:tcW w:w="0" w:type="auto"/>
                <w:tcBorders>
                  <w:top w:val="nil"/>
                  <w:left w:val="nil"/>
                  <w:bottom w:val="nil"/>
                  <w:right w:val="nil"/>
                </w:tcBorders>
                <w:vAlign w:val="center"/>
              </w:tcPr>
            </w:tcPrChange>
          </w:tcPr>
          <w:p w14:paraId="7DDC7F1E" w14:textId="77777777" w:rsidR="002F52FB" w:rsidRPr="005D7961" w:rsidRDefault="0092538B" w:rsidP="00121569">
            <w:pPr>
              <w:widowControl/>
              <w:jc w:val="left"/>
              <w:rPr>
                <w:rFonts w:ascii="Arial" w:hAnsi="Arial" w:cs="Arial"/>
              </w:rPr>
            </w:pPr>
            <w:r w:rsidRPr="005D7961">
              <w:rPr>
                <w:rFonts w:ascii="Arial" w:hAnsi="Arial" w:cs="Arial"/>
                <w:i/>
                <w:iCs/>
              </w:rPr>
              <w:t>Asset Efficiency</w:t>
            </w:r>
          </w:p>
        </w:tc>
        <w:tc>
          <w:tcPr>
            <w:tcW w:w="0" w:type="auto"/>
            <w:tcBorders>
              <w:top w:val="nil"/>
              <w:left w:val="nil"/>
              <w:bottom w:val="nil"/>
              <w:right w:val="nil"/>
            </w:tcBorders>
            <w:vAlign w:val="center"/>
            <w:tcPrChange w:id="49" w:author="Maher" w:date="2025-07-21T10:39:00Z">
              <w:tcPr>
                <w:tcW w:w="0" w:type="auto"/>
                <w:tcBorders>
                  <w:top w:val="nil"/>
                  <w:left w:val="nil"/>
                  <w:bottom w:val="nil"/>
                  <w:right w:val="nil"/>
                </w:tcBorders>
                <w:vAlign w:val="center"/>
              </w:tcPr>
            </w:tcPrChange>
          </w:tcPr>
          <w:p w14:paraId="0F058E19" w14:textId="77777777" w:rsidR="002F52FB" w:rsidRPr="005D7961" w:rsidRDefault="0092538B" w:rsidP="00121569">
            <w:pPr>
              <w:widowControl/>
              <w:jc w:val="left"/>
              <w:rPr>
                <w:rFonts w:ascii="Arial" w:hAnsi="Arial" w:cs="Arial"/>
              </w:rPr>
            </w:pPr>
            <w:r w:rsidRPr="005D7961">
              <w:rPr>
                <w:rFonts w:ascii="Arial" w:hAnsi="Arial" w:cs="Arial"/>
                <w:i/>
                <w:iCs/>
              </w:rPr>
              <w:t>Total Asset Turnover</w:t>
            </w:r>
          </w:p>
        </w:tc>
        <w:tc>
          <w:tcPr>
            <w:tcW w:w="3808" w:type="dxa"/>
            <w:tcBorders>
              <w:top w:val="nil"/>
              <w:left w:val="nil"/>
              <w:bottom w:val="nil"/>
              <w:right w:val="nil"/>
            </w:tcBorders>
            <w:tcPrChange w:id="50" w:author="Maher" w:date="2025-07-21T10:39:00Z">
              <w:tcPr>
                <w:tcW w:w="3808" w:type="dxa"/>
                <w:tcBorders>
                  <w:top w:val="nil"/>
                  <w:left w:val="nil"/>
                  <w:bottom w:val="nil"/>
                  <w:right w:val="nil"/>
                </w:tcBorders>
              </w:tcPr>
            </w:tcPrChange>
          </w:tcPr>
          <w:p w14:paraId="632913A5" w14:textId="3F890FA8" w:rsidR="002F52FB" w:rsidRPr="005D7961" w:rsidRDefault="0092538B" w:rsidP="00121569">
            <w:pPr>
              <w:widowControl/>
              <w:jc w:val="left"/>
              <w:rPr>
                <w:rFonts w:ascii="Arial" w:hAnsi="Arial" w:cs="Arial"/>
              </w:rPr>
            </w:pPr>
            <w:r w:rsidRPr="005D7961">
              <w:rPr>
                <w:rFonts w:ascii="Arial" w:hAnsi="Arial" w:cs="Arial"/>
                <w:iCs/>
              </w:rPr>
              <w:t xml:space="preserve">Measure the efficiency of using assets in generating sales </w:t>
            </w:r>
            <w:sdt>
              <w:sdtPr>
                <w:rPr>
                  <w:rFonts w:ascii="Arial" w:hAnsi="Arial" w:cs="Arial"/>
                  <w:iCs/>
                  <w:color w:val="000000"/>
                </w:rPr>
                <w:tag w:val="MENDELEY_CITATION_v3_eyJjaXRhdGlvbklEIjoiTUVOREVMRVlfQ0lUQVRJT05fYzRhMjdiYTgtYTZlNi00MWNiLThjYmEtOWY4ZTA4MjAxNmE4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
                <w:id w:val="-2100632622"/>
                <w:placeholder>
                  <w:docPart w:val="DefaultPlaceholder_-1854013440"/>
                </w:placeholder>
              </w:sdtPr>
              <w:sdtEndPr/>
              <w:sdtContent>
                <w:r w:rsidR="007E0157" w:rsidRPr="005D7961">
                  <w:rPr>
                    <w:rFonts w:ascii="Arial" w:eastAsia="Times New Roman" w:hAnsi="Arial" w:cs="Arial"/>
                    <w:color w:val="000000"/>
                  </w:rPr>
                  <w:t>(Brigham &amp; Ehrhard, 2020).</w:t>
                </w:r>
              </w:sdtContent>
            </w:sdt>
          </w:p>
        </w:tc>
        <w:tc>
          <w:tcPr>
            <w:tcW w:w="1276" w:type="dxa"/>
            <w:tcBorders>
              <w:top w:val="nil"/>
              <w:left w:val="nil"/>
              <w:bottom w:val="nil"/>
              <w:right w:val="nil"/>
            </w:tcBorders>
            <w:tcPrChange w:id="51" w:author="Maher" w:date="2025-07-21T10:39:00Z">
              <w:tcPr>
                <w:tcW w:w="1276" w:type="dxa"/>
                <w:tcBorders>
                  <w:top w:val="nil"/>
                  <w:left w:val="nil"/>
                  <w:bottom w:val="nil"/>
                  <w:right w:val="nil"/>
                </w:tcBorders>
              </w:tcPr>
            </w:tcPrChange>
          </w:tcPr>
          <w:p w14:paraId="39E3947B" w14:textId="77777777" w:rsidR="002F52FB" w:rsidRPr="005D7961" w:rsidRDefault="0092538B" w:rsidP="00121569">
            <w:pPr>
              <w:widowControl/>
              <w:jc w:val="center"/>
              <w:rPr>
                <w:rFonts w:ascii="Arial" w:hAnsi="Arial" w:cs="Arial"/>
                <w:b/>
                <w:bCs/>
                <w:sz w:val="16"/>
                <w:szCs w:val="16"/>
              </w:rPr>
            </w:pPr>
            <m:oMathPara>
              <m:oMath>
                <m:r>
                  <m:rPr>
                    <m:sty m:val="bi"/>
                  </m:rPr>
                  <w:rPr>
                    <w:rFonts w:ascii="Cambria Math" w:hAnsi="Cambria Math" w:cs="Arial"/>
                    <w:sz w:val="16"/>
                    <w:szCs w:val="16"/>
                  </w:rPr>
                  <m:t>TATO=</m:t>
                </m:r>
                <m:f>
                  <m:fPr>
                    <m:ctrlPr>
                      <w:rPr>
                        <w:rFonts w:ascii="Cambria Math" w:hAnsi="Cambria Math" w:cs="Arial"/>
                        <w:b/>
                        <w:bCs/>
                        <w:i/>
                        <w:sz w:val="16"/>
                        <w:szCs w:val="16"/>
                      </w:rPr>
                    </m:ctrlPr>
                  </m:fPr>
                  <m:num>
                    <m:r>
                      <m:rPr>
                        <m:sty m:val="bi"/>
                      </m:rPr>
                      <w:rPr>
                        <w:rFonts w:ascii="Cambria Math" w:hAnsi="Cambria Math" w:cs="Arial"/>
                        <w:sz w:val="16"/>
                        <w:szCs w:val="16"/>
                      </w:rPr>
                      <m:t>Sale</m:t>
                    </m:r>
                  </m:num>
                  <m:den>
                    <m:r>
                      <m:rPr>
                        <m:sty m:val="bi"/>
                      </m:rPr>
                      <w:rPr>
                        <w:rFonts w:ascii="Cambria Math" w:hAnsi="Cambria Math" w:cs="Arial"/>
                        <w:sz w:val="16"/>
                        <w:szCs w:val="16"/>
                      </w:rPr>
                      <m:t>Total Asset</m:t>
                    </m:r>
                  </m:den>
                </m:f>
              </m:oMath>
            </m:oMathPara>
          </w:p>
        </w:tc>
      </w:tr>
      <w:tr w:rsidR="002F52FB" w:rsidRPr="005D7961" w14:paraId="4DC9F8A4" w14:textId="77777777" w:rsidTr="00121569">
        <w:trPr>
          <w:trHeight w:val="689"/>
          <w:trPrChange w:id="52" w:author="Maher" w:date="2025-07-21T10:39:00Z">
            <w:trPr>
              <w:trHeight w:val="689"/>
            </w:trPr>
          </w:trPrChange>
        </w:trPr>
        <w:tc>
          <w:tcPr>
            <w:tcW w:w="0" w:type="auto"/>
            <w:tcBorders>
              <w:top w:val="nil"/>
              <w:left w:val="nil"/>
              <w:bottom w:val="outset" w:sz="6" w:space="0" w:color="auto"/>
              <w:right w:val="nil"/>
            </w:tcBorders>
            <w:vAlign w:val="center"/>
            <w:tcPrChange w:id="53" w:author="Maher" w:date="2025-07-21T10:39:00Z">
              <w:tcPr>
                <w:tcW w:w="0" w:type="auto"/>
                <w:tcBorders>
                  <w:top w:val="nil"/>
                  <w:left w:val="nil"/>
                  <w:bottom w:val="outset" w:sz="6" w:space="0" w:color="auto"/>
                  <w:right w:val="nil"/>
                </w:tcBorders>
                <w:vAlign w:val="center"/>
              </w:tcPr>
            </w:tcPrChange>
          </w:tcPr>
          <w:p w14:paraId="7EA57C66" w14:textId="5EDF7FB2" w:rsidR="002F52FB" w:rsidRPr="005D7961" w:rsidRDefault="003852F3" w:rsidP="00121569">
            <w:pPr>
              <w:widowControl/>
              <w:jc w:val="left"/>
              <w:rPr>
                <w:rFonts w:ascii="Arial" w:hAnsi="Arial" w:cs="Arial"/>
              </w:rPr>
            </w:pPr>
            <w:r w:rsidRPr="005D7961">
              <w:rPr>
                <w:rFonts w:ascii="Arial" w:hAnsi="Arial" w:cs="Arial"/>
              </w:rPr>
              <w:t>7</w:t>
            </w:r>
          </w:p>
        </w:tc>
        <w:tc>
          <w:tcPr>
            <w:tcW w:w="0" w:type="auto"/>
            <w:tcBorders>
              <w:top w:val="nil"/>
              <w:left w:val="nil"/>
              <w:bottom w:val="outset" w:sz="6" w:space="0" w:color="auto"/>
              <w:right w:val="nil"/>
            </w:tcBorders>
            <w:vAlign w:val="center"/>
            <w:tcPrChange w:id="54" w:author="Maher" w:date="2025-07-21T10:39:00Z">
              <w:tcPr>
                <w:tcW w:w="0" w:type="auto"/>
                <w:tcBorders>
                  <w:top w:val="nil"/>
                  <w:left w:val="nil"/>
                  <w:bottom w:val="outset" w:sz="6" w:space="0" w:color="auto"/>
                  <w:right w:val="nil"/>
                </w:tcBorders>
                <w:vAlign w:val="center"/>
              </w:tcPr>
            </w:tcPrChange>
          </w:tcPr>
          <w:p w14:paraId="2DA2570F" w14:textId="77777777" w:rsidR="002F52FB" w:rsidRPr="005D7961" w:rsidRDefault="0092538B" w:rsidP="00121569">
            <w:pPr>
              <w:widowControl/>
              <w:jc w:val="left"/>
              <w:rPr>
                <w:rFonts w:ascii="Arial" w:hAnsi="Arial" w:cs="Arial"/>
              </w:rPr>
            </w:pPr>
            <w:r w:rsidRPr="005D7961">
              <w:rPr>
                <w:rFonts w:ascii="Arial" w:hAnsi="Arial" w:cs="Arial"/>
                <w:iCs/>
              </w:rPr>
              <w:t>Company Size</w:t>
            </w:r>
          </w:p>
        </w:tc>
        <w:tc>
          <w:tcPr>
            <w:tcW w:w="0" w:type="auto"/>
            <w:tcBorders>
              <w:top w:val="nil"/>
              <w:left w:val="nil"/>
              <w:bottom w:val="outset" w:sz="6" w:space="0" w:color="auto"/>
              <w:right w:val="nil"/>
            </w:tcBorders>
            <w:vAlign w:val="center"/>
            <w:tcPrChange w:id="55" w:author="Maher" w:date="2025-07-21T10:39:00Z">
              <w:tcPr>
                <w:tcW w:w="0" w:type="auto"/>
                <w:tcBorders>
                  <w:top w:val="nil"/>
                  <w:left w:val="nil"/>
                  <w:bottom w:val="outset" w:sz="6" w:space="0" w:color="auto"/>
                  <w:right w:val="nil"/>
                </w:tcBorders>
                <w:vAlign w:val="center"/>
              </w:tcPr>
            </w:tcPrChange>
          </w:tcPr>
          <w:p w14:paraId="47F2939F" w14:textId="77777777" w:rsidR="002F52FB" w:rsidRPr="005D7961" w:rsidRDefault="0092538B" w:rsidP="00121569">
            <w:pPr>
              <w:widowControl/>
              <w:jc w:val="left"/>
              <w:rPr>
                <w:rFonts w:ascii="Arial" w:hAnsi="Arial" w:cs="Arial"/>
              </w:rPr>
            </w:pPr>
            <w:r w:rsidRPr="005D7961">
              <w:rPr>
                <w:rFonts w:ascii="Arial" w:hAnsi="Arial" w:cs="Arial"/>
                <w:i/>
                <w:iCs/>
              </w:rPr>
              <w:t>Firm Size</w:t>
            </w:r>
          </w:p>
        </w:tc>
        <w:tc>
          <w:tcPr>
            <w:tcW w:w="3808" w:type="dxa"/>
            <w:tcBorders>
              <w:top w:val="nil"/>
              <w:left w:val="nil"/>
              <w:bottom w:val="outset" w:sz="6" w:space="0" w:color="auto"/>
              <w:right w:val="nil"/>
            </w:tcBorders>
            <w:tcPrChange w:id="56" w:author="Maher" w:date="2025-07-21T10:39:00Z">
              <w:tcPr>
                <w:tcW w:w="3808" w:type="dxa"/>
                <w:tcBorders>
                  <w:top w:val="nil"/>
                  <w:left w:val="nil"/>
                  <w:bottom w:val="outset" w:sz="6" w:space="0" w:color="auto"/>
                  <w:right w:val="nil"/>
                </w:tcBorders>
              </w:tcPr>
            </w:tcPrChange>
          </w:tcPr>
          <w:p w14:paraId="401604F1" w14:textId="77777777" w:rsidR="002F52FB" w:rsidRPr="005D7961" w:rsidRDefault="0092538B" w:rsidP="00121569">
            <w:pPr>
              <w:widowControl/>
              <w:jc w:val="left"/>
              <w:rPr>
                <w:rFonts w:ascii="Arial" w:hAnsi="Arial" w:cs="Arial"/>
              </w:rPr>
            </w:pPr>
            <w:r w:rsidRPr="005D7961">
              <w:rPr>
                <w:rFonts w:ascii="Arial" w:hAnsi="Arial" w:cs="Arial"/>
                <w:iCs/>
              </w:rPr>
              <w:t>The size of a company, measured from total assets, reflects the scale of the company's operations.</w:t>
            </w:r>
          </w:p>
        </w:tc>
        <w:tc>
          <w:tcPr>
            <w:tcW w:w="1276" w:type="dxa"/>
            <w:tcBorders>
              <w:top w:val="nil"/>
              <w:left w:val="nil"/>
              <w:bottom w:val="outset" w:sz="6" w:space="0" w:color="auto"/>
              <w:right w:val="nil"/>
            </w:tcBorders>
            <w:tcPrChange w:id="57" w:author="Maher" w:date="2025-07-21T10:39:00Z">
              <w:tcPr>
                <w:tcW w:w="1276" w:type="dxa"/>
                <w:tcBorders>
                  <w:top w:val="nil"/>
                  <w:left w:val="nil"/>
                  <w:bottom w:val="outset" w:sz="6" w:space="0" w:color="auto"/>
                  <w:right w:val="nil"/>
                </w:tcBorders>
              </w:tcPr>
            </w:tcPrChange>
          </w:tcPr>
          <w:p w14:paraId="27C864A6" w14:textId="77777777" w:rsidR="002F52FB" w:rsidRPr="005D7961" w:rsidRDefault="0092538B" w:rsidP="00121569">
            <w:pPr>
              <w:widowControl/>
              <w:jc w:val="center"/>
              <w:rPr>
                <w:rFonts w:ascii="Arial" w:hAnsi="Arial" w:cs="Arial"/>
              </w:rPr>
            </w:pPr>
            <w:r w:rsidRPr="005D7961">
              <w:rPr>
                <w:rFonts w:ascii="Arial" w:hAnsi="Arial" w:cs="Arial"/>
                <w:i/>
                <w:iCs/>
              </w:rPr>
              <w:t>FS = Ln(Total Asset)</w:t>
            </w:r>
          </w:p>
        </w:tc>
      </w:tr>
    </w:tbl>
    <w:p w14:paraId="5854783B" w14:textId="77777777" w:rsidR="002F52FB" w:rsidRPr="005D7961" w:rsidRDefault="002F52FB">
      <w:pPr>
        <w:rPr>
          <w:rFonts w:ascii="Arial" w:hAnsi="Arial" w:cs="Arial"/>
          <w:b/>
          <w:bCs/>
        </w:rPr>
      </w:pPr>
    </w:p>
    <w:tbl>
      <w:tblPr>
        <w:tblStyle w:val="TableGrid"/>
        <w:tblpPr w:leftFromText="180" w:rightFromText="180" w:vertAnchor="text" w:horzAnchor="margin" w:tblpY="323"/>
        <w:tblW w:w="7999" w:type="dxa"/>
        <w:tblLayout w:type="fixed"/>
        <w:tblCellMar>
          <w:top w:w="15" w:type="dxa"/>
          <w:left w:w="15" w:type="dxa"/>
          <w:bottom w:w="15" w:type="dxa"/>
          <w:right w:w="15" w:type="dxa"/>
        </w:tblCellMar>
        <w:tblLook w:val="04A0" w:firstRow="1" w:lastRow="0" w:firstColumn="1" w:lastColumn="0" w:noHBand="0" w:noVBand="1"/>
        <w:tblPrChange w:id="58" w:author="Maher" w:date="2025-07-21T10:39:00Z">
          <w:tblPr>
            <w:tblStyle w:val="TableGrid"/>
            <w:tblpPr w:leftFromText="180" w:rightFromText="180" w:vertAnchor="text" w:horzAnchor="margin" w:tblpY="323"/>
            <w:tblW w:w="7999" w:type="dxa"/>
            <w:tblLayout w:type="fixed"/>
            <w:tblCellMar>
              <w:top w:w="15" w:type="dxa"/>
              <w:left w:w="15" w:type="dxa"/>
              <w:bottom w:w="15" w:type="dxa"/>
              <w:right w:w="15" w:type="dxa"/>
            </w:tblCellMar>
            <w:tblLook w:val="04A0" w:firstRow="1" w:lastRow="0" w:firstColumn="1" w:lastColumn="0" w:noHBand="0" w:noVBand="1"/>
          </w:tblPr>
        </w:tblPrChange>
      </w:tblPr>
      <w:tblGrid>
        <w:gridCol w:w="4916"/>
        <w:gridCol w:w="1552"/>
        <w:gridCol w:w="1531"/>
        <w:tblGridChange w:id="59">
          <w:tblGrid>
            <w:gridCol w:w="4916"/>
            <w:gridCol w:w="1552"/>
            <w:gridCol w:w="1531"/>
          </w:tblGrid>
        </w:tblGridChange>
      </w:tblGrid>
      <w:tr w:rsidR="002F52FB" w:rsidRPr="005D7961" w14:paraId="1B4F371D" w14:textId="77777777" w:rsidTr="00121569">
        <w:trPr>
          <w:trHeight w:val="395"/>
          <w:trPrChange w:id="60" w:author="Maher" w:date="2025-07-21T10:39:00Z">
            <w:trPr>
              <w:trHeight w:val="395"/>
            </w:trPr>
          </w:trPrChange>
        </w:trPr>
        <w:tc>
          <w:tcPr>
            <w:tcW w:w="4916" w:type="dxa"/>
            <w:tcBorders>
              <w:top w:val="outset" w:sz="6" w:space="0" w:color="auto"/>
              <w:left w:val="nil"/>
              <w:bottom w:val="outset" w:sz="6" w:space="0" w:color="auto"/>
              <w:right w:val="nil"/>
            </w:tcBorders>
            <w:tcPrChange w:id="61" w:author="Maher" w:date="2025-07-21T10:39:00Z">
              <w:tcPr>
                <w:tcW w:w="4916" w:type="dxa"/>
                <w:tcBorders>
                  <w:top w:val="outset" w:sz="6" w:space="0" w:color="auto"/>
                  <w:left w:val="nil"/>
                  <w:bottom w:val="outset" w:sz="6" w:space="0" w:color="auto"/>
                  <w:right w:val="nil"/>
                </w:tcBorders>
              </w:tcPr>
            </w:tcPrChange>
          </w:tcPr>
          <w:p w14:paraId="3B95424E" w14:textId="77777777" w:rsidR="002F52FB" w:rsidRPr="005D7961" w:rsidRDefault="0092538B">
            <w:pPr>
              <w:widowControl/>
              <w:jc w:val="center"/>
              <w:rPr>
                <w:rFonts w:ascii="Arial" w:hAnsi="Arial" w:cs="Arial"/>
                <w:b/>
                <w:bCs/>
                <w:lang w:val="zh-CN"/>
              </w:rPr>
            </w:pPr>
            <w:r w:rsidRPr="005D7961">
              <w:rPr>
                <w:rFonts w:ascii="Arial" w:hAnsi="Arial" w:cs="Arial"/>
                <w:b/>
                <w:bCs/>
              </w:rPr>
              <w:t>Information</w:t>
            </w:r>
          </w:p>
        </w:tc>
        <w:tc>
          <w:tcPr>
            <w:tcW w:w="1552" w:type="dxa"/>
            <w:tcBorders>
              <w:top w:val="outset" w:sz="6" w:space="0" w:color="auto"/>
              <w:left w:val="nil"/>
              <w:bottom w:val="outset" w:sz="6" w:space="0" w:color="auto"/>
              <w:right w:val="nil"/>
            </w:tcBorders>
            <w:tcPrChange w:id="62" w:author="Maher" w:date="2025-07-21T10:39:00Z">
              <w:tcPr>
                <w:tcW w:w="1552" w:type="dxa"/>
                <w:tcBorders>
                  <w:top w:val="outset" w:sz="6" w:space="0" w:color="auto"/>
                  <w:left w:val="nil"/>
                  <w:bottom w:val="outset" w:sz="6" w:space="0" w:color="auto"/>
                  <w:right w:val="nil"/>
                </w:tcBorders>
              </w:tcPr>
            </w:tcPrChange>
          </w:tcPr>
          <w:p w14:paraId="681D8020" w14:textId="77777777" w:rsidR="002F52FB" w:rsidRPr="005D7961" w:rsidRDefault="0092538B">
            <w:pPr>
              <w:widowControl/>
              <w:jc w:val="center"/>
              <w:rPr>
                <w:rFonts w:ascii="Arial" w:hAnsi="Arial" w:cs="Arial"/>
                <w:b/>
                <w:bCs/>
                <w:lang w:val="zh-CN"/>
              </w:rPr>
            </w:pPr>
            <w:r w:rsidRPr="005D7961">
              <w:rPr>
                <w:rFonts w:ascii="Arial" w:hAnsi="Arial" w:cs="Arial"/>
                <w:b/>
                <w:bCs/>
              </w:rPr>
              <w:t>Number of companies</w:t>
            </w:r>
          </w:p>
        </w:tc>
        <w:tc>
          <w:tcPr>
            <w:tcW w:w="1531" w:type="dxa"/>
            <w:tcBorders>
              <w:top w:val="outset" w:sz="6" w:space="0" w:color="auto"/>
              <w:left w:val="nil"/>
              <w:bottom w:val="outset" w:sz="6" w:space="0" w:color="auto"/>
              <w:right w:val="nil"/>
            </w:tcBorders>
            <w:tcPrChange w:id="63" w:author="Maher" w:date="2025-07-21T10:39:00Z">
              <w:tcPr>
                <w:tcW w:w="1531" w:type="dxa"/>
                <w:tcBorders>
                  <w:top w:val="outset" w:sz="6" w:space="0" w:color="auto"/>
                  <w:left w:val="nil"/>
                  <w:bottom w:val="outset" w:sz="6" w:space="0" w:color="auto"/>
                  <w:right w:val="nil"/>
                </w:tcBorders>
              </w:tcPr>
            </w:tcPrChange>
          </w:tcPr>
          <w:p w14:paraId="4EC94B01" w14:textId="77777777" w:rsidR="002F52FB" w:rsidRPr="005D7961" w:rsidRDefault="0092538B">
            <w:pPr>
              <w:widowControl/>
              <w:jc w:val="center"/>
              <w:rPr>
                <w:rFonts w:ascii="Arial" w:hAnsi="Arial" w:cs="Arial"/>
                <w:b/>
                <w:bCs/>
                <w:lang w:val="zh-CN"/>
              </w:rPr>
            </w:pPr>
            <w:r w:rsidRPr="005D7961">
              <w:rPr>
                <w:rFonts w:ascii="Arial" w:hAnsi="Arial" w:cs="Arial"/>
                <w:b/>
                <w:bCs/>
              </w:rPr>
              <w:t>Number of Observations</w:t>
            </w:r>
          </w:p>
        </w:tc>
      </w:tr>
      <w:tr w:rsidR="002F52FB" w:rsidRPr="005D7961" w14:paraId="6319F84C" w14:textId="77777777">
        <w:trPr>
          <w:trHeight w:val="203"/>
          <w:trPrChange w:id="64" w:author="Maher" w:date="2025-07-21T10:39:00Z">
            <w:trPr>
              <w:trHeight w:val="203"/>
            </w:trPr>
          </w:trPrChange>
        </w:trPr>
        <w:tc>
          <w:tcPr>
            <w:tcW w:w="4916" w:type="dxa"/>
            <w:tcBorders>
              <w:top w:val="nil"/>
              <w:left w:val="nil"/>
              <w:bottom w:val="nil"/>
              <w:right w:val="nil"/>
            </w:tcBorders>
            <w:tcPrChange w:id="65" w:author="Maher" w:date="2025-07-21T10:39:00Z">
              <w:tcPr>
                <w:tcW w:w="4916" w:type="dxa"/>
                <w:tcBorders>
                  <w:top w:val="nil"/>
                  <w:left w:val="nil"/>
                  <w:bottom w:val="nil"/>
                  <w:right w:val="nil"/>
                </w:tcBorders>
              </w:tcPr>
            </w:tcPrChange>
          </w:tcPr>
          <w:p w14:paraId="49020D88" w14:textId="77777777" w:rsidR="002F52FB" w:rsidRPr="005D7961" w:rsidRDefault="0092538B">
            <w:pPr>
              <w:widowControl/>
              <w:jc w:val="left"/>
              <w:rPr>
                <w:rFonts w:ascii="Arial" w:hAnsi="Arial" w:cs="Arial"/>
                <w:lang w:val="zh-CN"/>
              </w:rPr>
            </w:pPr>
            <w:r w:rsidRPr="005D7961">
              <w:rPr>
                <w:rFonts w:ascii="Arial" w:hAnsi="Arial" w:cs="Arial"/>
              </w:rPr>
              <w:t xml:space="preserve">The company is listed on the IDX and is included in the Consumer non-cyclical sector </w:t>
            </w:r>
          </w:p>
        </w:tc>
        <w:tc>
          <w:tcPr>
            <w:tcW w:w="1552" w:type="dxa"/>
            <w:tcBorders>
              <w:top w:val="nil"/>
              <w:left w:val="nil"/>
              <w:bottom w:val="nil"/>
              <w:right w:val="nil"/>
            </w:tcBorders>
            <w:tcPrChange w:id="66" w:author="Maher" w:date="2025-07-21T10:39:00Z">
              <w:tcPr>
                <w:tcW w:w="1552" w:type="dxa"/>
                <w:tcBorders>
                  <w:top w:val="nil"/>
                  <w:left w:val="nil"/>
                  <w:bottom w:val="nil"/>
                  <w:right w:val="nil"/>
                </w:tcBorders>
              </w:tcPr>
            </w:tcPrChange>
          </w:tcPr>
          <w:p w14:paraId="6ECDE482" w14:textId="77777777" w:rsidR="002F52FB" w:rsidRPr="005D7961" w:rsidRDefault="0092538B">
            <w:pPr>
              <w:widowControl/>
              <w:jc w:val="center"/>
              <w:rPr>
                <w:rFonts w:ascii="Arial" w:hAnsi="Arial" w:cs="Arial"/>
                <w:lang w:val="zh-CN"/>
              </w:rPr>
            </w:pPr>
            <w:r w:rsidRPr="005D7961">
              <w:rPr>
                <w:rFonts w:ascii="Arial" w:hAnsi="Arial" w:cs="Arial"/>
                <w:lang w:val="zh-CN"/>
              </w:rPr>
              <w:t>132</w:t>
            </w:r>
          </w:p>
        </w:tc>
        <w:tc>
          <w:tcPr>
            <w:tcW w:w="1531" w:type="dxa"/>
            <w:tcBorders>
              <w:top w:val="nil"/>
              <w:left w:val="nil"/>
              <w:bottom w:val="nil"/>
              <w:right w:val="nil"/>
            </w:tcBorders>
            <w:tcPrChange w:id="67" w:author="Maher" w:date="2025-07-21T10:39:00Z">
              <w:tcPr>
                <w:tcW w:w="1531" w:type="dxa"/>
                <w:tcBorders>
                  <w:top w:val="nil"/>
                  <w:left w:val="nil"/>
                  <w:bottom w:val="nil"/>
                  <w:right w:val="nil"/>
                </w:tcBorders>
              </w:tcPr>
            </w:tcPrChange>
          </w:tcPr>
          <w:p w14:paraId="6BC441B7" w14:textId="77777777" w:rsidR="002F52FB" w:rsidRPr="005D7961" w:rsidRDefault="0092538B">
            <w:pPr>
              <w:widowControl/>
              <w:jc w:val="center"/>
              <w:rPr>
                <w:rFonts w:ascii="Arial" w:hAnsi="Arial" w:cs="Arial"/>
                <w:lang w:val="zh-CN"/>
              </w:rPr>
            </w:pPr>
            <w:r w:rsidRPr="005D7961">
              <w:rPr>
                <w:rFonts w:ascii="Arial" w:hAnsi="Arial" w:cs="Arial"/>
                <w:lang w:val="zh-CN"/>
              </w:rPr>
              <w:t>508</w:t>
            </w:r>
          </w:p>
        </w:tc>
      </w:tr>
      <w:tr w:rsidR="002F52FB" w:rsidRPr="005D7961" w14:paraId="796A81E7" w14:textId="77777777">
        <w:trPr>
          <w:trHeight w:val="434"/>
          <w:trPrChange w:id="68" w:author="Maher" w:date="2025-07-21T10:39:00Z">
            <w:trPr>
              <w:trHeight w:val="434"/>
            </w:trPr>
          </w:trPrChange>
        </w:trPr>
        <w:tc>
          <w:tcPr>
            <w:tcW w:w="4916" w:type="dxa"/>
            <w:tcBorders>
              <w:top w:val="nil"/>
              <w:left w:val="nil"/>
              <w:bottom w:val="nil"/>
              <w:right w:val="nil"/>
            </w:tcBorders>
            <w:tcPrChange w:id="69" w:author="Maher" w:date="2025-07-21T10:39:00Z">
              <w:tcPr>
                <w:tcW w:w="4916" w:type="dxa"/>
                <w:tcBorders>
                  <w:top w:val="nil"/>
                  <w:left w:val="nil"/>
                  <w:bottom w:val="nil"/>
                  <w:right w:val="nil"/>
                </w:tcBorders>
              </w:tcPr>
            </w:tcPrChange>
          </w:tcPr>
          <w:p w14:paraId="76576E52" w14:textId="77777777" w:rsidR="002F52FB" w:rsidRPr="005D7961" w:rsidRDefault="0092538B">
            <w:pPr>
              <w:widowControl/>
              <w:jc w:val="left"/>
              <w:rPr>
                <w:rFonts w:ascii="Arial" w:hAnsi="Arial" w:cs="Arial"/>
                <w:lang w:val="zh-CN"/>
              </w:rPr>
            </w:pPr>
            <w:r w:rsidRPr="005D7961">
              <w:rPr>
                <w:rFonts w:ascii="Arial" w:hAnsi="Arial" w:cs="Arial"/>
              </w:rPr>
              <w:t>Companies listed in the non-cyclical Consumer sector but only listed after 2023</w:t>
            </w:r>
          </w:p>
        </w:tc>
        <w:tc>
          <w:tcPr>
            <w:tcW w:w="1552" w:type="dxa"/>
            <w:tcBorders>
              <w:top w:val="nil"/>
              <w:left w:val="nil"/>
              <w:bottom w:val="nil"/>
              <w:right w:val="nil"/>
            </w:tcBorders>
            <w:tcPrChange w:id="70" w:author="Maher" w:date="2025-07-21T10:39:00Z">
              <w:tcPr>
                <w:tcW w:w="1552" w:type="dxa"/>
                <w:tcBorders>
                  <w:top w:val="nil"/>
                  <w:left w:val="nil"/>
                  <w:bottom w:val="nil"/>
                  <w:right w:val="nil"/>
                </w:tcBorders>
              </w:tcPr>
            </w:tcPrChange>
          </w:tcPr>
          <w:p w14:paraId="13304384" w14:textId="77777777" w:rsidR="002F52FB" w:rsidRPr="005D7961" w:rsidRDefault="0092538B">
            <w:pPr>
              <w:widowControl/>
              <w:jc w:val="center"/>
              <w:rPr>
                <w:rFonts w:ascii="Arial" w:hAnsi="Arial" w:cs="Arial"/>
                <w:lang w:val="zh-CN"/>
              </w:rPr>
            </w:pPr>
            <w:r w:rsidRPr="005D7961">
              <w:rPr>
                <w:rFonts w:ascii="Arial" w:hAnsi="Arial" w:cs="Arial"/>
                <w:lang w:val="zh-CN"/>
              </w:rPr>
              <w:t>(7)</w:t>
            </w:r>
          </w:p>
        </w:tc>
        <w:tc>
          <w:tcPr>
            <w:tcW w:w="1531" w:type="dxa"/>
            <w:tcBorders>
              <w:top w:val="nil"/>
              <w:left w:val="nil"/>
              <w:bottom w:val="nil"/>
              <w:right w:val="nil"/>
            </w:tcBorders>
            <w:tcPrChange w:id="71" w:author="Maher" w:date="2025-07-21T10:39:00Z">
              <w:tcPr>
                <w:tcW w:w="1531" w:type="dxa"/>
                <w:tcBorders>
                  <w:top w:val="nil"/>
                  <w:left w:val="nil"/>
                  <w:bottom w:val="nil"/>
                  <w:right w:val="nil"/>
                </w:tcBorders>
              </w:tcPr>
            </w:tcPrChange>
          </w:tcPr>
          <w:p w14:paraId="3D9ADF04" w14:textId="77777777" w:rsidR="002F52FB" w:rsidRPr="005D7961" w:rsidRDefault="0092538B">
            <w:pPr>
              <w:widowControl/>
              <w:jc w:val="center"/>
              <w:rPr>
                <w:rFonts w:ascii="Arial" w:hAnsi="Arial" w:cs="Arial"/>
                <w:lang w:val="zh-CN"/>
              </w:rPr>
            </w:pPr>
            <w:r w:rsidRPr="005D7961">
              <w:rPr>
                <w:rFonts w:ascii="Arial" w:hAnsi="Arial" w:cs="Arial"/>
                <w:lang w:val="zh-CN"/>
              </w:rPr>
              <w:t>(7)</w:t>
            </w:r>
          </w:p>
        </w:tc>
      </w:tr>
      <w:tr w:rsidR="002F52FB" w:rsidRPr="005D7961" w14:paraId="7E5FDF03" w14:textId="77777777">
        <w:trPr>
          <w:trHeight w:val="216"/>
          <w:trPrChange w:id="72" w:author="Maher" w:date="2025-07-21T10:39:00Z">
            <w:trPr>
              <w:trHeight w:val="216"/>
            </w:trPr>
          </w:trPrChange>
        </w:trPr>
        <w:tc>
          <w:tcPr>
            <w:tcW w:w="4916" w:type="dxa"/>
            <w:tcBorders>
              <w:top w:val="nil"/>
              <w:left w:val="nil"/>
              <w:bottom w:val="nil"/>
              <w:right w:val="nil"/>
            </w:tcBorders>
            <w:tcPrChange w:id="73" w:author="Maher" w:date="2025-07-21T10:39:00Z">
              <w:tcPr>
                <w:tcW w:w="4916" w:type="dxa"/>
                <w:tcBorders>
                  <w:top w:val="nil"/>
                  <w:left w:val="nil"/>
                  <w:bottom w:val="nil"/>
                  <w:right w:val="nil"/>
                </w:tcBorders>
              </w:tcPr>
            </w:tcPrChange>
          </w:tcPr>
          <w:p w14:paraId="060678E0" w14:textId="77777777" w:rsidR="002F52FB" w:rsidRPr="005D7961" w:rsidRDefault="0092538B">
            <w:pPr>
              <w:widowControl/>
              <w:jc w:val="left"/>
              <w:rPr>
                <w:rFonts w:ascii="Arial" w:hAnsi="Arial" w:cs="Arial"/>
                <w:lang w:val="zh-CN"/>
              </w:rPr>
            </w:pPr>
            <w:r w:rsidRPr="005D7961">
              <w:rPr>
                <w:rFonts w:ascii="Arial" w:hAnsi="Arial" w:cs="Arial"/>
              </w:rPr>
              <w:t>Companies with 0 sales data</w:t>
            </w:r>
          </w:p>
        </w:tc>
        <w:tc>
          <w:tcPr>
            <w:tcW w:w="1552" w:type="dxa"/>
            <w:tcBorders>
              <w:top w:val="nil"/>
              <w:left w:val="nil"/>
              <w:bottom w:val="nil"/>
              <w:right w:val="nil"/>
            </w:tcBorders>
            <w:tcPrChange w:id="74" w:author="Maher" w:date="2025-07-21T10:39:00Z">
              <w:tcPr>
                <w:tcW w:w="1552" w:type="dxa"/>
                <w:tcBorders>
                  <w:top w:val="nil"/>
                  <w:left w:val="nil"/>
                  <w:bottom w:val="nil"/>
                  <w:right w:val="nil"/>
                </w:tcBorders>
              </w:tcPr>
            </w:tcPrChange>
          </w:tcPr>
          <w:p w14:paraId="4157E9E3" w14:textId="77777777" w:rsidR="002F52FB" w:rsidRPr="005D7961" w:rsidRDefault="0092538B">
            <w:pPr>
              <w:widowControl/>
              <w:jc w:val="center"/>
              <w:rPr>
                <w:rFonts w:ascii="Arial" w:hAnsi="Arial" w:cs="Arial"/>
                <w:lang w:val="zh-CN"/>
              </w:rPr>
            </w:pPr>
            <w:r w:rsidRPr="005D7961">
              <w:rPr>
                <w:rFonts w:ascii="Arial" w:hAnsi="Arial" w:cs="Arial"/>
                <w:lang w:val="zh-CN"/>
              </w:rPr>
              <w:t>1</w:t>
            </w:r>
          </w:p>
        </w:tc>
        <w:tc>
          <w:tcPr>
            <w:tcW w:w="1531" w:type="dxa"/>
            <w:tcBorders>
              <w:top w:val="nil"/>
              <w:left w:val="nil"/>
              <w:bottom w:val="nil"/>
              <w:right w:val="nil"/>
            </w:tcBorders>
            <w:tcPrChange w:id="75" w:author="Maher" w:date="2025-07-21T10:39:00Z">
              <w:tcPr>
                <w:tcW w:w="1531" w:type="dxa"/>
                <w:tcBorders>
                  <w:top w:val="nil"/>
                  <w:left w:val="nil"/>
                  <w:bottom w:val="nil"/>
                  <w:right w:val="nil"/>
                </w:tcBorders>
              </w:tcPr>
            </w:tcPrChange>
          </w:tcPr>
          <w:p w14:paraId="64B4925D" w14:textId="77777777" w:rsidR="002F52FB" w:rsidRPr="005D7961" w:rsidRDefault="0092538B">
            <w:pPr>
              <w:widowControl/>
              <w:jc w:val="center"/>
              <w:rPr>
                <w:rFonts w:ascii="Arial" w:hAnsi="Arial" w:cs="Arial"/>
                <w:lang w:val="zh-CN"/>
              </w:rPr>
            </w:pPr>
            <w:r w:rsidRPr="005D7961">
              <w:rPr>
                <w:rFonts w:ascii="Arial" w:hAnsi="Arial" w:cs="Arial"/>
                <w:lang w:val="zh-CN"/>
              </w:rPr>
              <w:t>(2)</w:t>
            </w:r>
          </w:p>
        </w:tc>
      </w:tr>
      <w:tr w:rsidR="002F52FB" w:rsidRPr="005D7961" w14:paraId="6AC22830" w14:textId="77777777">
        <w:trPr>
          <w:trHeight w:val="216"/>
          <w:trPrChange w:id="76" w:author="Maher" w:date="2025-07-21T10:39:00Z">
            <w:trPr>
              <w:trHeight w:val="216"/>
            </w:trPr>
          </w:trPrChange>
        </w:trPr>
        <w:tc>
          <w:tcPr>
            <w:tcW w:w="4916" w:type="dxa"/>
            <w:tcBorders>
              <w:top w:val="nil"/>
              <w:left w:val="nil"/>
              <w:bottom w:val="nil"/>
              <w:right w:val="nil"/>
            </w:tcBorders>
            <w:tcPrChange w:id="77" w:author="Maher" w:date="2025-07-21T10:39:00Z">
              <w:tcPr>
                <w:tcW w:w="4916" w:type="dxa"/>
                <w:tcBorders>
                  <w:top w:val="nil"/>
                  <w:left w:val="nil"/>
                  <w:bottom w:val="nil"/>
                  <w:right w:val="nil"/>
                </w:tcBorders>
              </w:tcPr>
            </w:tcPrChange>
          </w:tcPr>
          <w:p w14:paraId="3EFB5F24" w14:textId="77777777" w:rsidR="002F52FB" w:rsidRPr="005D7961" w:rsidRDefault="0092538B">
            <w:pPr>
              <w:widowControl/>
              <w:jc w:val="left"/>
              <w:rPr>
                <w:rFonts w:ascii="Arial" w:hAnsi="Arial" w:cs="Arial"/>
                <w:lang w:val="zh-CN"/>
              </w:rPr>
            </w:pPr>
            <w:r w:rsidRPr="005D7961">
              <w:rPr>
                <w:rFonts w:ascii="Arial" w:hAnsi="Arial" w:cs="Arial"/>
              </w:rPr>
              <w:t>The company did not report financial statements during the research period</w:t>
            </w:r>
          </w:p>
        </w:tc>
        <w:tc>
          <w:tcPr>
            <w:tcW w:w="1552" w:type="dxa"/>
            <w:tcBorders>
              <w:top w:val="nil"/>
              <w:left w:val="nil"/>
              <w:bottom w:val="nil"/>
              <w:right w:val="nil"/>
            </w:tcBorders>
            <w:tcPrChange w:id="78" w:author="Maher" w:date="2025-07-21T10:39:00Z">
              <w:tcPr>
                <w:tcW w:w="1552" w:type="dxa"/>
                <w:tcBorders>
                  <w:top w:val="nil"/>
                  <w:left w:val="nil"/>
                  <w:bottom w:val="nil"/>
                  <w:right w:val="nil"/>
                </w:tcBorders>
              </w:tcPr>
            </w:tcPrChange>
          </w:tcPr>
          <w:p w14:paraId="4C7DB507" w14:textId="77777777" w:rsidR="002F52FB" w:rsidRPr="005D7961" w:rsidRDefault="0092538B">
            <w:pPr>
              <w:widowControl/>
              <w:jc w:val="center"/>
              <w:rPr>
                <w:rFonts w:ascii="Arial" w:hAnsi="Arial" w:cs="Arial"/>
                <w:lang w:val="zh-CN"/>
              </w:rPr>
            </w:pPr>
            <w:r w:rsidRPr="005D7961">
              <w:rPr>
                <w:rFonts w:ascii="Arial" w:hAnsi="Arial" w:cs="Arial"/>
                <w:lang w:val="zh-CN"/>
              </w:rPr>
              <w:t>(3)</w:t>
            </w:r>
          </w:p>
        </w:tc>
        <w:tc>
          <w:tcPr>
            <w:tcW w:w="1531" w:type="dxa"/>
            <w:tcBorders>
              <w:top w:val="nil"/>
              <w:left w:val="nil"/>
              <w:bottom w:val="nil"/>
              <w:right w:val="nil"/>
            </w:tcBorders>
            <w:tcPrChange w:id="79" w:author="Maher" w:date="2025-07-21T10:39:00Z">
              <w:tcPr>
                <w:tcW w:w="1531" w:type="dxa"/>
                <w:tcBorders>
                  <w:top w:val="nil"/>
                  <w:left w:val="nil"/>
                  <w:bottom w:val="nil"/>
                  <w:right w:val="nil"/>
                </w:tcBorders>
              </w:tcPr>
            </w:tcPrChange>
          </w:tcPr>
          <w:p w14:paraId="0D96BC4A" w14:textId="77777777" w:rsidR="002F52FB" w:rsidRPr="005D7961" w:rsidRDefault="0092538B">
            <w:pPr>
              <w:widowControl/>
              <w:jc w:val="center"/>
              <w:rPr>
                <w:rFonts w:ascii="Arial" w:hAnsi="Arial" w:cs="Arial"/>
                <w:lang w:val="zh-CN"/>
              </w:rPr>
            </w:pPr>
            <w:r w:rsidRPr="005D7961">
              <w:rPr>
                <w:rFonts w:ascii="Arial" w:hAnsi="Arial" w:cs="Arial"/>
                <w:lang w:val="zh-CN"/>
              </w:rPr>
              <w:t>(15)</w:t>
            </w:r>
          </w:p>
        </w:tc>
      </w:tr>
      <w:tr w:rsidR="002F52FB" w:rsidRPr="005D7961" w14:paraId="22CFCDC8" w14:textId="77777777">
        <w:trPr>
          <w:trHeight w:val="229"/>
          <w:trPrChange w:id="80" w:author="Maher" w:date="2025-07-21T10:39:00Z">
            <w:trPr>
              <w:trHeight w:val="229"/>
            </w:trPr>
          </w:trPrChange>
        </w:trPr>
        <w:tc>
          <w:tcPr>
            <w:tcW w:w="4916" w:type="dxa"/>
            <w:vMerge w:val="restart"/>
            <w:tcBorders>
              <w:top w:val="nil"/>
              <w:left w:val="nil"/>
              <w:bottom w:val="nil"/>
              <w:right w:val="nil"/>
            </w:tcBorders>
            <w:tcPrChange w:id="81" w:author="Maher" w:date="2025-07-21T10:39:00Z">
              <w:tcPr>
                <w:tcW w:w="4916" w:type="dxa"/>
                <w:vMerge w:val="restart"/>
                <w:tcBorders>
                  <w:top w:val="nil"/>
                  <w:left w:val="nil"/>
                  <w:bottom w:val="nil"/>
                  <w:right w:val="nil"/>
                </w:tcBorders>
              </w:tcPr>
            </w:tcPrChange>
          </w:tcPr>
          <w:p w14:paraId="358CBA51" w14:textId="77777777" w:rsidR="002F52FB" w:rsidRPr="005D7961" w:rsidRDefault="0092538B">
            <w:pPr>
              <w:widowControl/>
              <w:jc w:val="left"/>
              <w:rPr>
                <w:rFonts w:ascii="Arial" w:hAnsi="Arial" w:cs="Arial"/>
                <w:lang w:val="zh-CN"/>
              </w:rPr>
            </w:pPr>
            <w:r w:rsidRPr="005D7961">
              <w:rPr>
                <w:rFonts w:ascii="Arial" w:hAnsi="Arial" w:cs="Arial"/>
              </w:rPr>
              <w:t>Companies with negative equity data</w:t>
            </w:r>
          </w:p>
        </w:tc>
        <w:tc>
          <w:tcPr>
            <w:tcW w:w="1552" w:type="dxa"/>
            <w:tcBorders>
              <w:top w:val="nil"/>
              <w:left w:val="nil"/>
              <w:bottom w:val="nil"/>
              <w:right w:val="nil"/>
            </w:tcBorders>
            <w:tcPrChange w:id="82" w:author="Maher" w:date="2025-07-21T10:39:00Z">
              <w:tcPr>
                <w:tcW w:w="1552" w:type="dxa"/>
                <w:tcBorders>
                  <w:top w:val="nil"/>
                  <w:left w:val="nil"/>
                  <w:bottom w:val="nil"/>
                  <w:right w:val="nil"/>
                </w:tcBorders>
              </w:tcPr>
            </w:tcPrChange>
          </w:tcPr>
          <w:p w14:paraId="72D47915" w14:textId="77777777" w:rsidR="002F52FB" w:rsidRPr="005D7961" w:rsidRDefault="0092538B">
            <w:pPr>
              <w:widowControl/>
              <w:jc w:val="center"/>
              <w:rPr>
                <w:rFonts w:ascii="Arial" w:hAnsi="Arial" w:cs="Arial"/>
                <w:lang w:val="zh-CN"/>
              </w:rPr>
            </w:pPr>
            <w:r w:rsidRPr="005D7961">
              <w:rPr>
                <w:rFonts w:ascii="Arial" w:hAnsi="Arial" w:cs="Arial"/>
                <w:lang w:val="zh-CN"/>
              </w:rPr>
              <w:t>(1)</w:t>
            </w:r>
          </w:p>
        </w:tc>
        <w:tc>
          <w:tcPr>
            <w:tcW w:w="1531" w:type="dxa"/>
            <w:tcBorders>
              <w:top w:val="nil"/>
              <w:left w:val="nil"/>
              <w:bottom w:val="nil"/>
              <w:right w:val="nil"/>
            </w:tcBorders>
            <w:tcPrChange w:id="83" w:author="Maher" w:date="2025-07-21T10:39:00Z">
              <w:tcPr>
                <w:tcW w:w="1531" w:type="dxa"/>
                <w:tcBorders>
                  <w:top w:val="nil"/>
                  <w:left w:val="nil"/>
                  <w:bottom w:val="nil"/>
                  <w:right w:val="nil"/>
                </w:tcBorders>
              </w:tcPr>
            </w:tcPrChange>
          </w:tcPr>
          <w:p w14:paraId="5C361BA7" w14:textId="77777777" w:rsidR="002F52FB" w:rsidRPr="005D7961" w:rsidRDefault="0092538B">
            <w:pPr>
              <w:widowControl/>
              <w:jc w:val="center"/>
              <w:rPr>
                <w:rFonts w:ascii="Arial" w:hAnsi="Arial" w:cs="Arial"/>
                <w:lang w:val="zh-CN"/>
              </w:rPr>
            </w:pPr>
            <w:r w:rsidRPr="005D7961">
              <w:rPr>
                <w:rFonts w:ascii="Arial" w:hAnsi="Arial" w:cs="Arial"/>
                <w:lang w:val="zh-CN"/>
              </w:rPr>
              <w:t>(5)</w:t>
            </w:r>
          </w:p>
        </w:tc>
      </w:tr>
      <w:tr w:rsidR="002F52FB" w:rsidRPr="005D7961" w14:paraId="7293C6E8" w14:textId="77777777">
        <w:trPr>
          <w:trHeight w:val="121"/>
          <w:trPrChange w:id="84" w:author="Maher" w:date="2025-07-21T10:39:00Z">
            <w:trPr>
              <w:trHeight w:val="121"/>
            </w:trPr>
          </w:trPrChange>
        </w:trPr>
        <w:tc>
          <w:tcPr>
            <w:tcW w:w="4916" w:type="dxa"/>
            <w:vMerge/>
            <w:tcBorders>
              <w:top w:val="nil"/>
              <w:left w:val="nil"/>
              <w:bottom w:val="nil"/>
              <w:right w:val="nil"/>
            </w:tcBorders>
            <w:vAlign w:val="center"/>
            <w:tcPrChange w:id="85" w:author="Maher" w:date="2025-07-21T10:39:00Z">
              <w:tcPr>
                <w:tcW w:w="4916" w:type="dxa"/>
                <w:vMerge/>
                <w:tcBorders>
                  <w:top w:val="nil"/>
                  <w:left w:val="nil"/>
                  <w:bottom w:val="nil"/>
                  <w:right w:val="nil"/>
                </w:tcBorders>
                <w:vAlign w:val="center"/>
              </w:tcPr>
            </w:tcPrChange>
          </w:tcPr>
          <w:p w14:paraId="19162BA7" w14:textId="77777777" w:rsidR="002F52FB" w:rsidRPr="005D7961" w:rsidRDefault="002F52FB">
            <w:pPr>
              <w:widowControl/>
              <w:jc w:val="left"/>
              <w:rPr>
                <w:rFonts w:ascii="Arial" w:hAnsi="Arial" w:cs="Arial"/>
                <w:lang w:val="zh-CN"/>
              </w:rPr>
            </w:pPr>
          </w:p>
        </w:tc>
        <w:tc>
          <w:tcPr>
            <w:tcW w:w="1552" w:type="dxa"/>
            <w:tcBorders>
              <w:top w:val="nil"/>
              <w:left w:val="nil"/>
              <w:bottom w:val="nil"/>
              <w:right w:val="nil"/>
            </w:tcBorders>
            <w:tcPrChange w:id="86" w:author="Maher" w:date="2025-07-21T10:39:00Z">
              <w:tcPr>
                <w:tcW w:w="1552" w:type="dxa"/>
                <w:tcBorders>
                  <w:top w:val="nil"/>
                  <w:left w:val="nil"/>
                  <w:bottom w:val="nil"/>
                  <w:right w:val="nil"/>
                </w:tcBorders>
              </w:tcPr>
            </w:tcPrChange>
          </w:tcPr>
          <w:p w14:paraId="02956FC7" w14:textId="77777777" w:rsidR="002F52FB" w:rsidRPr="005D7961" w:rsidRDefault="0092538B">
            <w:pPr>
              <w:widowControl/>
              <w:jc w:val="center"/>
              <w:rPr>
                <w:rFonts w:ascii="Arial" w:hAnsi="Arial" w:cs="Arial"/>
                <w:lang w:val="zh-CN"/>
              </w:rPr>
            </w:pPr>
            <w:r w:rsidRPr="005D7961">
              <w:rPr>
                <w:rFonts w:ascii="Arial" w:hAnsi="Arial" w:cs="Arial"/>
                <w:lang w:val="zh-CN"/>
              </w:rPr>
              <w:t>1</w:t>
            </w:r>
          </w:p>
        </w:tc>
        <w:tc>
          <w:tcPr>
            <w:tcW w:w="1531" w:type="dxa"/>
            <w:tcBorders>
              <w:top w:val="nil"/>
              <w:left w:val="nil"/>
              <w:bottom w:val="nil"/>
              <w:right w:val="nil"/>
            </w:tcBorders>
            <w:tcPrChange w:id="87" w:author="Maher" w:date="2025-07-21T10:39:00Z">
              <w:tcPr>
                <w:tcW w:w="1531" w:type="dxa"/>
                <w:tcBorders>
                  <w:top w:val="nil"/>
                  <w:left w:val="nil"/>
                  <w:bottom w:val="nil"/>
                  <w:right w:val="nil"/>
                </w:tcBorders>
              </w:tcPr>
            </w:tcPrChange>
          </w:tcPr>
          <w:p w14:paraId="39EDCB0F" w14:textId="77777777" w:rsidR="002F52FB" w:rsidRPr="005D7961" w:rsidRDefault="0092538B">
            <w:pPr>
              <w:widowControl/>
              <w:jc w:val="center"/>
              <w:rPr>
                <w:rFonts w:ascii="Arial" w:hAnsi="Arial" w:cs="Arial"/>
                <w:lang w:val="zh-CN"/>
              </w:rPr>
            </w:pPr>
            <w:r w:rsidRPr="005D7961">
              <w:rPr>
                <w:rFonts w:ascii="Arial" w:hAnsi="Arial" w:cs="Arial"/>
                <w:lang w:val="zh-CN"/>
              </w:rPr>
              <w:t>(2)</w:t>
            </w:r>
          </w:p>
        </w:tc>
      </w:tr>
      <w:tr w:rsidR="002F52FB" w:rsidRPr="005D7961" w14:paraId="265513A6" w14:textId="77777777">
        <w:trPr>
          <w:trHeight w:val="121"/>
          <w:trPrChange w:id="88" w:author="Maher" w:date="2025-07-21T10:39:00Z">
            <w:trPr>
              <w:trHeight w:val="121"/>
            </w:trPr>
          </w:trPrChange>
        </w:trPr>
        <w:tc>
          <w:tcPr>
            <w:tcW w:w="4916" w:type="dxa"/>
            <w:vMerge/>
            <w:tcBorders>
              <w:top w:val="nil"/>
              <w:left w:val="nil"/>
              <w:bottom w:val="nil"/>
              <w:right w:val="nil"/>
            </w:tcBorders>
            <w:vAlign w:val="center"/>
            <w:tcPrChange w:id="89" w:author="Maher" w:date="2025-07-21T10:39:00Z">
              <w:tcPr>
                <w:tcW w:w="4916" w:type="dxa"/>
                <w:vMerge/>
                <w:tcBorders>
                  <w:top w:val="nil"/>
                  <w:left w:val="nil"/>
                  <w:bottom w:val="nil"/>
                  <w:right w:val="nil"/>
                </w:tcBorders>
                <w:vAlign w:val="center"/>
              </w:tcPr>
            </w:tcPrChange>
          </w:tcPr>
          <w:p w14:paraId="2A429590" w14:textId="77777777" w:rsidR="002F52FB" w:rsidRPr="005D7961" w:rsidRDefault="002F52FB">
            <w:pPr>
              <w:widowControl/>
              <w:jc w:val="left"/>
              <w:rPr>
                <w:rFonts w:ascii="Arial" w:hAnsi="Arial" w:cs="Arial"/>
                <w:lang w:val="zh-CN"/>
              </w:rPr>
            </w:pPr>
          </w:p>
        </w:tc>
        <w:tc>
          <w:tcPr>
            <w:tcW w:w="1552" w:type="dxa"/>
            <w:tcBorders>
              <w:top w:val="nil"/>
              <w:left w:val="nil"/>
              <w:bottom w:val="nil"/>
              <w:right w:val="nil"/>
            </w:tcBorders>
            <w:tcPrChange w:id="90" w:author="Maher" w:date="2025-07-21T10:39:00Z">
              <w:tcPr>
                <w:tcW w:w="1552" w:type="dxa"/>
                <w:tcBorders>
                  <w:top w:val="nil"/>
                  <w:left w:val="nil"/>
                  <w:bottom w:val="nil"/>
                  <w:right w:val="nil"/>
                </w:tcBorders>
              </w:tcPr>
            </w:tcPrChange>
          </w:tcPr>
          <w:p w14:paraId="577082B6" w14:textId="77777777" w:rsidR="002F52FB" w:rsidRPr="005D7961" w:rsidRDefault="0092538B">
            <w:pPr>
              <w:widowControl/>
              <w:jc w:val="center"/>
              <w:rPr>
                <w:rFonts w:ascii="Arial" w:hAnsi="Arial" w:cs="Arial"/>
                <w:lang w:val="zh-CN"/>
              </w:rPr>
            </w:pPr>
            <w:r w:rsidRPr="005D7961">
              <w:rPr>
                <w:rFonts w:ascii="Arial" w:hAnsi="Arial" w:cs="Arial"/>
                <w:lang w:val="zh-CN"/>
              </w:rPr>
              <w:t>1</w:t>
            </w:r>
          </w:p>
        </w:tc>
        <w:tc>
          <w:tcPr>
            <w:tcW w:w="1531" w:type="dxa"/>
            <w:tcBorders>
              <w:top w:val="nil"/>
              <w:left w:val="nil"/>
              <w:bottom w:val="nil"/>
              <w:right w:val="nil"/>
            </w:tcBorders>
            <w:tcPrChange w:id="91" w:author="Maher" w:date="2025-07-21T10:39:00Z">
              <w:tcPr>
                <w:tcW w:w="1531" w:type="dxa"/>
                <w:tcBorders>
                  <w:top w:val="nil"/>
                  <w:left w:val="nil"/>
                  <w:bottom w:val="nil"/>
                  <w:right w:val="nil"/>
                </w:tcBorders>
              </w:tcPr>
            </w:tcPrChange>
          </w:tcPr>
          <w:p w14:paraId="12537250" w14:textId="77777777" w:rsidR="002F52FB" w:rsidRPr="005D7961" w:rsidRDefault="0092538B">
            <w:pPr>
              <w:widowControl/>
              <w:jc w:val="center"/>
              <w:rPr>
                <w:rFonts w:ascii="Arial" w:hAnsi="Arial" w:cs="Arial"/>
                <w:lang w:val="zh-CN"/>
              </w:rPr>
            </w:pPr>
            <w:r w:rsidRPr="005D7961">
              <w:rPr>
                <w:rFonts w:ascii="Arial" w:hAnsi="Arial" w:cs="Arial"/>
                <w:lang w:val="zh-CN"/>
              </w:rPr>
              <w:t>(1)</w:t>
            </w:r>
          </w:p>
        </w:tc>
      </w:tr>
      <w:tr w:rsidR="002F52FB" w:rsidRPr="005D7961" w14:paraId="4DEF196A" w14:textId="77777777">
        <w:trPr>
          <w:trHeight w:val="121"/>
          <w:trPrChange w:id="92" w:author="Maher" w:date="2025-07-21T10:39:00Z">
            <w:trPr>
              <w:trHeight w:val="121"/>
            </w:trPr>
          </w:trPrChange>
        </w:trPr>
        <w:tc>
          <w:tcPr>
            <w:tcW w:w="4916" w:type="dxa"/>
            <w:vMerge/>
            <w:tcBorders>
              <w:top w:val="nil"/>
              <w:left w:val="nil"/>
              <w:bottom w:val="nil"/>
              <w:right w:val="nil"/>
            </w:tcBorders>
            <w:vAlign w:val="center"/>
            <w:tcPrChange w:id="93" w:author="Maher" w:date="2025-07-21T10:39:00Z">
              <w:tcPr>
                <w:tcW w:w="4916" w:type="dxa"/>
                <w:vMerge/>
                <w:tcBorders>
                  <w:top w:val="nil"/>
                  <w:left w:val="nil"/>
                  <w:bottom w:val="nil"/>
                  <w:right w:val="nil"/>
                </w:tcBorders>
                <w:vAlign w:val="center"/>
              </w:tcPr>
            </w:tcPrChange>
          </w:tcPr>
          <w:p w14:paraId="28DF7DB4" w14:textId="77777777" w:rsidR="002F52FB" w:rsidRPr="005D7961" w:rsidRDefault="002F52FB">
            <w:pPr>
              <w:widowControl/>
              <w:jc w:val="left"/>
              <w:rPr>
                <w:rFonts w:ascii="Arial" w:hAnsi="Arial" w:cs="Arial"/>
                <w:lang w:val="zh-CN"/>
              </w:rPr>
            </w:pPr>
          </w:p>
        </w:tc>
        <w:tc>
          <w:tcPr>
            <w:tcW w:w="1552" w:type="dxa"/>
            <w:tcBorders>
              <w:top w:val="nil"/>
              <w:left w:val="nil"/>
              <w:bottom w:val="nil"/>
              <w:right w:val="nil"/>
            </w:tcBorders>
            <w:tcPrChange w:id="94" w:author="Maher" w:date="2025-07-21T10:39:00Z">
              <w:tcPr>
                <w:tcW w:w="1552" w:type="dxa"/>
                <w:tcBorders>
                  <w:top w:val="nil"/>
                  <w:left w:val="nil"/>
                  <w:bottom w:val="nil"/>
                  <w:right w:val="nil"/>
                </w:tcBorders>
              </w:tcPr>
            </w:tcPrChange>
          </w:tcPr>
          <w:p w14:paraId="20E63749" w14:textId="77777777" w:rsidR="002F52FB" w:rsidRPr="005D7961" w:rsidRDefault="0092538B">
            <w:pPr>
              <w:widowControl/>
              <w:jc w:val="center"/>
              <w:rPr>
                <w:rFonts w:ascii="Arial" w:hAnsi="Arial" w:cs="Arial"/>
                <w:lang w:val="zh-CN"/>
              </w:rPr>
            </w:pPr>
            <w:r w:rsidRPr="005D7961">
              <w:rPr>
                <w:rFonts w:ascii="Arial" w:hAnsi="Arial" w:cs="Arial"/>
                <w:lang w:val="zh-CN"/>
              </w:rPr>
              <w:t>1</w:t>
            </w:r>
          </w:p>
        </w:tc>
        <w:tc>
          <w:tcPr>
            <w:tcW w:w="1531" w:type="dxa"/>
            <w:tcBorders>
              <w:top w:val="nil"/>
              <w:left w:val="nil"/>
              <w:bottom w:val="nil"/>
              <w:right w:val="nil"/>
            </w:tcBorders>
            <w:tcPrChange w:id="95" w:author="Maher" w:date="2025-07-21T10:39:00Z">
              <w:tcPr>
                <w:tcW w:w="1531" w:type="dxa"/>
                <w:tcBorders>
                  <w:top w:val="nil"/>
                  <w:left w:val="nil"/>
                  <w:bottom w:val="nil"/>
                  <w:right w:val="nil"/>
                </w:tcBorders>
              </w:tcPr>
            </w:tcPrChange>
          </w:tcPr>
          <w:p w14:paraId="3AE3BDA4" w14:textId="77777777" w:rsidR="002F52FB" w:rsidRPr="005D7961" w:rsidRDefault="0092538B">
            <w:pPr>
              <w:widowControl/>
              <w:jc w:val="center"/>
              <w:rPr>
                <w:rFonts w:ascii="Arial" w:hAnsi="Arial" w:cs="Arial"/>
                <w:lang w:val="zh-CN"/>
              </w:rPr>
            </w:pPr>
            <w:r w:rsidRPr="005D7961">
              <w:rPr>
                <w:rFonts w:ascii="Arial" w:hAnsi="Arial" w:cs="Arial"/>
                <w:lang w:val="zh-CN"/>
              </w:rPr>
              <w:t>(2)</w:t>
            </w:r>
          </w:p>
        </w:tc>
      </w:tr>
      <w:tr w:rsidR="002F52FB" w:rsidRPr="005D7961" w14:paraId="068C4FD1" w14:textId="77777777">
        <w:trPr>
          <w:trHeight w:val="216"/>
          <w:trPrChange w:id="96" w:author="Maher" w:date="2025-07-21T10:39:00Z">
            <w:trPr>
              <w:trHeight w:val="216"/>
            </w:trPr>
          </w:trPrChange>
        </w:trPr>
        <w:tc>
          <w:tcPr>
            <w:tcW w:w="4916" w:type="dxa"/>
            <w:tcBorders>
              <w:top w:val="nil"/>
              <w:left w:val="nil"/>
              <w:bottom w:val="outset" w:sz="6" w:space="0" w:color="auto"/>
              <w:right w:val="nil"/>
            </w:tcBorders>
            <w:tcPrChange w:id="97" w:author="Maher" w:date="2025-07-21T10:39:00Z">
              <w:tcPr>
                <w:tcW w:w="4916" w:type="dxa"/>
                <w:tcBorders>
                  <w:top w:val="nil"/>
                  <w:left w:val="nil"/>
                  <w:bottom w:val="outset" w:sz="6" w:space="0" w:color="auto"/>
                  <w:right w:val="nil"/>
                </w:tcBorders>
              </w:tcPr>
            </w:tcPrChange>
          </w:tcPr>
          <w:p w14:paraId="68AED35E" w14:textId="77777777" w:rsidR="002F52FB" w:rsidRPr="005D7961" w:rsidRDefault="002F52FB">
            <w:pPr>
              <w:widowControl/>
              <w:jc w:val="left"/>
              <w:rPr>
                <w:rFonts w:ascii="Arial" w:hAnsi="Arial" w:cs="Arial"/>
                <w:b/>
                <w:bCs/>
                <w:lang w:val="zh-CN"/>
              </w:rPr>
            </w:pPr>
          </w:p>
        </w:tc>
        <w:tc>
          <w:tcPr>
            <w:tcW w:w="1552" w:type="dxa"/>
            <w:tcBorders>
              <w:top w:val="nil"/>
              <w:left w:val="nil"/>
              <w:bottom w:val="outset" w:sz="6" w:space="0" w:color="auto"/>
              <w:right w:val="nil"/>
            </w:tcBorders>
            <w:tcPrChange w:id="98" w:author="Maher" w:date="2025-07-21T10:39:00Z">
              <w:tcPr>
                <w:tcW w:w="1552" w:type="dxa"/>
                <w:tcBorders>
                  <w:top w:val="nil"/>
                  <w:left w:val="nil"/>
                  <w:bottom w:val="outset" w:sz="6" w:space="0" w:color="auto"/>
                  <w:right w:val="nil"/>
                </w:tcBorders>
              </w:tcPr>
            </w:tcPrChange>
          </w:tcPr>
          <w:p w14:paraId="15EFB184" w14:textId="77777777" w:rsidR="002F52FB" w:rsidRPr="005D7961" w:rsidRDefault="002F52FB">
            <w:pPr>
              <w:widowControl/>
              <w:jc w:val="center"/>
              <w:rPr>
                <w:rFonts w:ascii="Arial" w:hAnsi="Arial" w:cs="Arial"/>
                <w:b/>
                <w:bCs/>
                <w:lang w:val="zh-CN"/>
              </w:rPr>
            </w:pPr>
          </w:p>
        </w:tc>
        <w:tc>
          <w:tcPr>
            <w:tcW w:w="1531" w:type="dxa"/>
            <w:tcBorders>
              <w:top w:val="nil"/>
              <w:left w:val="nil"/>
              <w:bottom w:val="outset" w:sz="6" w:space="0" w:color="auto"/>
              <w:right w:val="nil"/>
            </w:tcBorders>
            <w:tcPrChange w:id="99" w:author="Maher" w:date="2025-07-21T10:39:00Z">
              <w:tcPr>
                <w:tcW w:w="1531" w:type="dxa"/>
                <w:tcBorders>
                  <w:top w:val="nil"/>
                  <w:left w:val="nil"/>
                  <w:bottom w:val="outset" w:sz="6" w:space="0" w:color="auto"/>
                  <w:right w:val="nil"/>
                </w:tcBorders>
              </w:tcPr>
            </w:tcPrChange>
          </w:tcPr>
          <w:p w14:paraId="2779CBCD" w14:textId="77777777" w:rsidR="002F52FB" w:rsidRPr="005D7961" w:rsidRDefault="002F52FB">
            <w:pPr>
              <w:widowControl/>
              <w:jc w:val="center"/>
              <w:rPr>
                <w:rFonts w:ascii="Arial" w:hAnsi="Arial" w:cs="Arial"/>
                <w:b/>
                <w:bCs/>
                <w:lang w:val="zh-CN"/>
              </w:rPr>
            </w:pPr>
          </w:p>
        </w:tc>
      </w:tr>
      <w:tr w:rsidR="002F52FB" w:rsidRPr="005D7961" w14:paraId="3B090DA2" w14:textId="77777777">
        <w:trPr>
          <w:trHeight w:val="216"/>
          <w:trPrChange w:id="100" w:author="Maher" w:date="2025-07-21T10:39:00Z">
            <w:trPr>
              <w:trHeight w:val="216"/>
            </w:trPr>
          </w:trPrChange>
        </w:trPr>
        <w:tc>
          <w:tcPr>
            <w:tcW w:w="4916" w:type="dxa"/>
            <w:tcBorders>
              <w:top w:val="nil"/>
              <w:left w:val="nil"/>
              <w:bottom w:val="outset" w:sz="6" w:space="0" w:color="auto"/>
              <w:right w:val="nil"/>
            </w:tcBorders>
            <w:tcPrChange w:id="101" w:author="Maher" w:date="2025-07-21T10:39:00Z">
              <w:tcPr>
                <w:tcW w:w="4916" w:type="dxa"/>
                <w:tcBorders>
                  <w:top w:val="nil"/>
                  <w:left w:val="nil"/>
                  <w:bottom w:val="outset" w:sz="6" w:space="0" w:color="auto"/>
                  <w:right w:val="nil"/>
                </w:tcBorders>
              </w:tcPr>
            </w:tcPrChange>
          </w:tcPr>
          <w:p w14:paraId="4FDEBE52" w14:textId="77777777" w:rsidR="002F52FB" w:rsidRPr="005D7961" w:rsidRDefault="0092538B">
            <w:pPr>
              <w:widowControl/>
              <w:jc w:val="center"/>
              <w:rPr>
                <w:rFonts w:ascii="Arial" w:hAnsi="Arial" w:cs="Arial"/>
                <w:b/>
                <w:bCs/>
                <w:lang w:val="zh-CN"/>
              </w:rPr>
            </w:pPr>
            <w:r w:rsidRPr="005D7961">
              <w:rPr>
                <w:rFonts w:ascii="Arial" w:hAnsi="Arial" w:cs="Arial"/>
                <w:b/>
                <w:bCs/>
                <w:lang w:val="zh-CN"/>
              </w:rPr>
              <w:t>TOTAL</w:t>
            </w:r>
          </w:p>
        </w:tc>
        <w:tc>
          <w:tcPr>
            <w:tcW w:w="1552" w:type="dxa"/>
            <w:tcBorders>
              <w:top w:val="nil"/>
              <w:left w:val="nil"/>
              <w:bottom w:val="outset" w:sz="6" w:space="0" w:color="auto"/>
              <w:right w:val="nil"/>
            </w:tcBorders>
            <w:tcPrChange w:id="102" w:author="Maher" w:date="2025-07-21T10:39:00Z">
              <w:tcPr>
                <w:tcW w:w="1552" w:type="dxa"/>
                <w:tcBorders>
                  <w:top w:val="nil"/>
                  <w:left w:val="nil"/>
                  <w:bottom w:val="outset" w:sz="6" w:space="0" w:color="auto"/>
                  <w:right w:val="nil"/>
                </w:tcBorders>
              </w:tcPr>
            </w:tcPrChange>
          </w:tcPr>
          <w:p w14:paraId="2F382EE0" w14:textId="77777777" w:rsidR="002F52FB" w:rsidRPr="005D7961" w:rsidRDefault="0092538B">
            <w:pPr>
              <w:widowControl/>
              <w:jc w:val="center"/>
              <w:rPr>
                <w:rFonts w:ascii="Arial" w:hAnsi="Arial" w:cs="Arial"/>
                <w:b/>
                <w:bCs/>
                <w:lang w:val="zh-CN"/>
              </w:rPr>
            </w:pPr>
            <w:r w:rsidRPr="005D7961">
              <w:rPr>
                <w:rFonts w:ascii="Arial" w:hAnsi="Arial" w:cs="Arial"/>
                <w:b/>
                <w:bCs/>
                <w:lang w:val="zh-CN"/>
              </w:rPr>
              <w:t>121</w:t>
            </w:r>
          </w:p>
        </w:tc>
        <w:tc>
          <w:tcPr>
            <w:tcW w:w="1531" w:type="dxa"/>
            <w:tcBorders>
              <w:top w:val="nil"/>
              <w:left w:val="nil"/>
              <w:bottom w:val="outset" w:sz="6" w:space="0" w:color="auto"/>
              <w:right w:val="nil"/>
            </w:tcBorders>
            <w:tcPrChange w:id="103" w:author="Maher" w:date="2025-07-21T10:39:00Z">
              <w:tcPr>
                <w:tcW w:w="1531" w:type="dxa"/>
                <w:tcBorders>
                  <w:top w:val="nil"/>
                  <w:left w:val="nil"/>
                  <w:bottom w:val="outset" w:sz="6" w:space="0" w:color="auto"/>
                  <w:right w:val="nil"/>
                </w:tcBorders>
              </w:tcPr>
            </w:tcPrChange>
          </w:tcPr>
          <w:p w14:paraId="196B0E1C" w14:textId="77777777" w:rsidR="002F52FB" w:rsidRPr="005D7961" w:rsidRDefault="0092538B">
            <w:pPr>
              <w:widowControl/>
              <w:jc w:val="center"/>
              <w:rPr>
                <w:rFonts w:ascii="Arial" w:hAnsi="Arial" w:cs="Arial"/>
                <w:b/>
                <w:bCs/>
                <w:lang w:val="zh-CN"/>
              </w:rPr>
            </w:pPr>
            <w:r w:rsidRPr="005D7961">
              <w:rPr>
                <w:rFonts w:ascii="Arial" w:hAnsi="Arial" w:cs="Arial"/>
                <w:b/>
                <w:bCs/>
                <w:lang w:val="zh-CN"/>
              </w:rPr>
              <w:t>474</w:t>
            </w:r>
          </w:p>
        </w:tc>
      </w:tr>
    </w:tbl>
    <w:p w14:paraId="6D5F5B15" w14:textId="5BDC2196" w:rsidR="002F52FB" w:rsidRPr="001A6218" w:rsidRDefault="007F42F8" w:rsidP="001A6218">
      <w:pPr>
        <w:jc w:val="center"/>
        <w:rPr>
          <w:rFonts w:ascii="Arial" w:hAnsi="Arial" w:cs="Arial"/>
          <w:b/>
          <w:bCs/>
        </w:rPr>
      </w:pPr>
      <w:r>
        <w:rPr>
          <w:rFonts w:ascii="Arial" w:hAnsi="Arial" w:cs="Arial"/>
          <w:b/>
          <w:bCs/>
        </w:rPr>
        <w:t>Tab</w:t>
      </w:r>
      <w:r w:rsidR="0092538B" w:rsidRPr="005D7961">
        <w:rPr>
          <w:rFonts w:ascii="Arial" w:hAnsi="Arial" w:cs="Arial"/>
          <w:b/>
          <w:bCs/>
        </w:rPr>
        <w:t>l</w:t>
      </w:r>
      <w:r>
        <w:rPr>
          <w:rFonts w:ascii="Arial" w:hAnsi="Arial" w:cs="Arial"/>
          <w:b/>
          <w:bCs/>
          <w:lang w:val="en-US"/>
        </w:rPr>
        <w:t>e</w:t>
      </w:r>
      <w:r w:rsidR="0092538B" w:rsidRPr="005D7961">
        <w:rPr>
          <w:rFonts w:ascii="Arial" w:hAnsi="Arial" w:cs="Arial"/>
          <w:b/>
          <w:bCs/>
        </w:rPr>
        <w:t xml:space="preserve"> 2. Sample Criteria</w:t>
      </w:r>
    </w:p>
    <w:p w14:paraId="4D8857B2" w14:textId="77777777" w:rsidR="00121569" w:rsidRDefault="00121569">
      <w:pPr>
        <w:rPr>
          <w:rFonts w:ascii="Arial" w:hAnsi="Arial" w:cs="Arial"/>
          <w:b/>
          <w:bCs/>
          <w:sz w:val="22"/>
          <w:szCs w:val="22"/>
        </w:rPr>
      </w:pPr>
    </w:p>
    <w:p w14:paraId="54A7B7A9" w14:textId="77777777" w:rsidR="00E360E2" w:rsidRDefault="00E360E2">
      <w:pPr>
        <w:rPr>
          <w:rFonts w:ascii="Arial" w:hAnsi="Arial" w:cs="Arial"/>
          <w:b/>
          <w:bCs/>
          <w:sz w:val="22"/>
          <w:szCs w:val="22"/>
        </w:rPr>
      </w:pPr>
    </w:p>
    <w:p w14:paraId="75E49209" w14:textId="77777777" w:rsidR="00E360E2" w:rsidRDefault="00E360E2">
      <w:pPr>
        <w:rPr>
          <w:rFonts w:ascii="Arial" w:hAnsi="Arial" w:cs="Arial"/>
          <w:b/>
          <w:bCs/>
          <w:sz w:val="22"/>
          <w:szCs w:val="22"/>
        </w:rPr>
      </w:pPr>
    </w:p>
    <w:p w14:paraId="4BC98D5D" w14:textId="77777777" w:rsidR="00E360E2" w:rsidRDefault="00E360E2">
      <w:pPr>
        <w:rPr>
          <w:rFonts w:ascii="Arial" w:hAnsi="Arial" w:cs="Arial"/>
          <w:b/>
          <w:bCs/>
          <w:sz w:val="22"/>
          <w:szCs w:val="22"/>
        </w:rPr>
      </w:pPr>
    </w:p>
    <w:p w14:paraId="6ED22883" w14:textId="77777777" w:rsidR="00E360E2" w:rsidRDefault="00E360E2">
      <w:pPr>
        <w:rPr>
          <w:rFonts w:ascii="Arial" w:hAnsi="Arial" w:cs="Arial"/>
          <w:b/>
          <w:bCs/>
          <w:sz w:val="22"/>
          <w:szCs w:val="22"/>
        </w:rPr>
      </w:pPr>
    </w:p>
    <w:p w14:paraId="4C1CB477" w14:textId="77777777" w:rsidR="00E360E2" w:rsidRDefault="00E360E2">
      <w:pPr>
        <w:rPr>
          <w:rFonts w:ascii="Arial" w:hAnsi="Arial" w:cs="Arial"/>
          <w:b/>
          <w:bCs/>
          <w:sz w:val="22"/>
          <w:szCs w:val="22"/>
        </w:rPr>
      </w:pPr>
    </w:p>
    <w:p w14:paraId="45D56618" w14:textId="77777777" w:rsidR="00E360E2" w:rsidRDefault="00E360E2">
      <w:pPr>
        <w:rPr>
          <w:rFonts w:ascii="Arial" w:hAnsi="Arial" w:cs="Arial"/>
          <w:b/>
          <w:bCs/>
          <w:sz w:val="22"/>
          <w:szCs w:val="22"/>
        </w:rPr>
      </w:pPr>
    </w:p>
    <w:p w14:paraId="5CCB9525" w14:textId="77777777" w:rsidR="00E360E2" w:rsidRDefault="00E360E2">
      <w:pPr>
        <w:rPr>
          <w:rFonts w:ascii="Arial" w:hAnsi="Arial" w:cs="Arial"/>
          <w:b/>
          <w:bCs/>
          <w:sz w:val="22"/>
          <w:szCs w:val="22"/>
        </w:rPr>
      </w:pPr>
    </w:p>
    <w:p w14:paraId="0143D6D2" w14:textId="77777777" w:rsidR="00E360E2" w:rsidRDefault="00E360E2">
      <w:pPr>
        <w:rPr>
          <w:rFonts w:ascii="Arial" w:hAnsi="Arial" w:cs="Arial"/>
          <w:b/>
          <w:bCs/>
          <w:sz w:val="22"/>
          <w:szCs w:val="22"/>
        </w:rPr>
      </w:pPr>
    </w:p>
    <w:p w14:paraId="46FB28D0" w14:textId="77777777" w:rsidR="00E360E2" w:rsidRDefault="00E360E2">
      <w:pPr>
        <w:rPr>
          <w:rFonts w:ascii="Arial" w:hAnsi="Arial" w:cs="Arial"/>
          <w:b/>
          <w:bCs/>
          <w:sz w:val="22"/>
          <w:szCs w:val="22"/>
        </w:rPr>
      </w:pPr>
    </w:p>
    <w:p w14:paraId="0517CD06" w14:textId="77777777" w:rsidR="00E360E2" w:rsidRDefault="00E360E2">
      <w:pPr>
        <w:rPr>
          <w:rFonts w:ascii="Arial" w:hAnsi="Arial" w:cs="Arial"/>
          <w:b/>
          <w:bCs/>
          <w:sz w:val="22"/>
          <w:szCs w:val="22"/>
        </w:rPr>
      </w:pPr>
    </w:p>
    <w:p w14:paraId="7793972F" w14:textId="77777777" w:rsidR="00E360E2" w:rsidRDefault="00E360E2">
      <w:pPr>
        <w:rPr>
          <w:rFonts w:ascii="Arial" w:hAnsi="Arial" w:cs="Arial"/>
          <w:b/>
          <w:bCs/>
          <w:sz w:val="22"/>
          <w:szCs w:val="22"/>
        </w:rPr>
      </w:pPr>
    </w:p>
    <w:p w14:paraId="7E36173B" w14:textId="7D210A43" w:rsidR="002F52FB" w:rsidRPr="005D7961" w:rsidRDefault="0092538B">
      <w:pPr>
        <w:rPr>
          <w:rFonts w:ascii="Arial" w:hAnsi="Arial" w:cs="Arial"/>
          <w:b/>
          <w:bCs/>
          <w:sz w:val="22"/>
          <w:szCs w:val="22"/>
        </w:rPr>
      </w:pPr>
      <w:r w:rsidRPr="005D7961">
        <w:rPr>
          <w:rFonts w:ascii="Arial" w:hAnsi="Arial" w:cs="Arial"/>
          <w:b/>
          <w:bCs/>
          <w:sz w:val="22"/>
          <w:szCs w:val="22"/>
        </w:rPr>
        <w:t>3. RESULTS AND DISCUSSION</w:t>
      </w:r>
    </w:p>
    <w:p w14:paraId="7C263422" w14:textId="77777777" w:rsidR="002F52FB" w:rsidRPr="005D7961" w:rsidRDefault="0092538B">
      <w:pPr>
        <w:rPr>
          <w:rFonts w:ascii="Arial" w:hAnsi="Arial" w:cs="Arial"/>
          <w:b/>
          <w:bCs/>
          <w:sz w:val="22"/>
          <w:szCs w:val="22"/>
        </w:rPr>
      </w:pPr>
      <w:r w:rsidRPr="005D7961">
        <w:rPr>
          <w:rFonts w:ascii="Arial" w:hAnsi="Arial" w:cs="Arial"/>
          <w:b/>
          <w:bCs/>
          <w:sz w:val="22"/>
          <w:szCs w:val="22"/>
        </w:rPr>
        <w:t xml:space="preserve">3.1 Result </w:t>
      </w:r>
    </w:p>
    <w:p w14:paraId="60AAE660" w14:textId="77777777" w:rsidR="002F52FB" w:rsidRPr="005D7961" w:rsidRDefault="0092538B">
      <w:pPr>
        <w:jc w:val="center"/>
        <w:rPr>
          <w:rFonts w:ascii="Arial" w:hAnsi="Arial" w:cs="Arial"/>
        </w:rPr>
      </w:pPr>
      <w:r w:rsidRPr="005D7961">
        <w:rPr>
          <w:rFonts w:ascii="Arial" w:hAnsi="Arial" w:cs="Arial"/>
          <w:b/>
          <w:bCs/>
        </w:rPr>
        <w:t>Table 3. Descriptive Statistics</w:t>
      </w:r>
    </w:p>
    <w:tbl>
      <w:tblPr>
        <w:tblStyle w:val="TableGrid"/>
        <w:tblW w:w="801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104" w:author="Maher" w:date="2025-07-21T10:39:00Z">
          <w:tblPr>
            <w:tblStyle w:val="TableGrid"/>
            <w:tblW w:w="801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259"/>
        <w:gridCol w:w="640"/>
        <w:gridCol w:w="1184"/>
        <w:gridCol w:w="1326"/>
        <w:gridCol w:w="1256"/>
        <w:gridCol w:w="1353"/>
        <w:tblGridChange w:id="105">
          <w:tblGrid>
            <w:gridCol w:w="2259"/>
            <w:gridCol w:w="640"/>
            <w:gridCol w:w="1184"/>
            <w:gridCol w:w="1326"/>
            <w:gridCol w:w="1256"/>
            <w:gridCol w:w="1353"/>
          </w:tblGrid>
        </w:tblGridChange>
      </w:tblGrid>
      <w:tr w:rsidR="002F52FB" w:rsidRPr="005D7961" w14:paraId="41DB861F" w14:textId="77777777">
        <w:trPr>
          <w:trHeight w:val="257"/>
          <w:jc w:val="center"/>
          <w:trPrChange w:id="106" w:author="Maher" w:date="2025-07-21T10:39:00Z">
            <w:trPr>
              <w:trHeight w:val="257"/>
              <w:jc w:val="center"/>
            </w:trPr>
          </w:trPrChange>
        </w:trPr>
        <w:tc>
          <w:tcPr>
            <w:tcW w:w="2259" w:type="dxa"/>
            <w:tcBorders>
              <w:bottom w:val="single" w:sz="4" w:space="0" w:color="auto"/>
            </w:tcBorders>
            <w:tcPrChange w:id="107" w:author="Maher" w:date="2025-07-21T10:39:00Z">
              <w:tcPr>
                <w:tcW w:w="2259" w:type="dxa"/>
                <w:tcBorders>
                  <w:bottom w:val="single" w:sz="4" w:space="0" w:color="auto"/>
                </w:tcBorders>
              </w:tcPr>
            </w:tcPrChange>
          </w:tcPr>
          <w:p w14:paraId="1754CB9E" w14:textId="77777777" w:rsidR="002F52FB" w:rsidRPr="005D7961" w:rsidRDefault="0092538B">
            <w:pPr>
              <w:pStyle w:val="NormalWeb"/>
              <w:widowControl/>
              <w:spacing w:before="100" w:after="100"/>
              <w:jc w:val="center"/>
              <w:rPr>
                <w:rFonts w:ascii="Arial" w:hAnsi="Arial" w:cs="Arial"/>
                <w:b/>
                <w:bCs/>
                <w:sz w:val="20"/>
                <w:szCs w:val="20"/>
                <w:lang w:val="id-ID"/>
              </w:rPr>
            </w:pPr>
            <w:r w:rsidRPr="005D7961">
              <w:rPr>
                <w:rFonts w:ascii="Arial" w:hAnsi="Arial" w:cs="Arial"/>
                <w:b/>
                <w:bCs/>
                <w:sz w:val="20"/>
                <w:szCs w:val="20"/>
                <w:lang w:val="id-ID"/>
              </w:rPr>
              <w:t>Variabel</w:t>
            </w:r>
          </w:p>
        </w:tc>
        <w:tc>
          <w:tcPr>
            <w:tcW w:w="640" w:type="dxa"/>
            <w:tcBorders>
              <w:bottom w:val="single" w:sz="4" w:space="0" w:color="auto"/>
            </w:tcBorders>
            <w:tcPrChange w:id="108" w:author="Maher" w:date="2025-07-21T10:39:00Z">
              <w:tcPr>
                <w:tcW w:w="640" w:type="dxa"/>
                <w:tcBorders>
                  <w:bottom w:val="single" w:sz="4" w:space="0" w:color="auto"/>
                </w:tcBorders>
              </w:tcPr>
            </w:tcPrChange>
          </w:tcPr>
          <w:p w14:paraId="2B141E9A" w14:textId="77777777" w:rsidR="002F52FB" w:rsidRPr="005D7961" w:rsidRDefault="0092538B">
            <w:pPr>
              <w:pStyle w:val="NormalWeb"/>
              <w:widowControl/>
              <w:spacing w:before="100" w:after="100"/>
              <w:jc w:val="center"/>
              <w:rPr>
                <w:rFonts w:ascii="Arial" w:hAnsi="Arial" w:cs="Arial"/>
                <w:b/>
                <w:bCs/>
                <w:sz w:val="20"/>
                <w:szCs w:val="20"/>
                <w:lang w:val="id-ID"/>
              </w:rPr>
            </w:pPr>
            <w:r w:rsidRPr="005D7961">
              <w:rPr>
                <w:rFonts w:ascii="Arial" w:hAnsi="Arial" w:cs="Arial"/>
                <w:b/>
                <w:bCs/>
                <w:sz w:val="20"/>
                <w:szCs w:val="20"/>
                <w:lang w:val="id-ID"/>
              </w:rPr>
              <w:t>Obs</w:t>
            </w:r>
          </w:p>
        </w:tc>
        <w:tc>
          <w:tcPr>
            <w:tcW w:w="1184" w:type="dxa"/>
            <w:tcBorders>
              <w:bottom w:val="single" w:sz="4" w:space="0" w:color="auto"/>
            </w:tcBorders>
            <w:tcPrChange w:id="109" w:author="Maher" w:date="2025-07-21T10:39:00Z">
              <w:tcPr>
                <w:tcW w:w="1184" w:type="dxa"/>
                <w:tcBorders>
                  <w:bottom w:val="single" w:sz="4" w:space="0" w:color="auto"/>
                </w:tcBorders>
              </w:tcPr>
            </w:tcPrChange>
          </w:tcPr>
          <w:p w14:paraId="3DE6C83F" w14:textId="77777777" w:rsidR="002F52FB" w:rsidRPr="005D7961" w:rsidRDefault="0092538B">
            <w:pPr>
              <w:pStyle w:val="NormalWeb"/>
              <w:widowControl/>
              <w:spacing w:before="100" w:after="100"/>
              <w:jc w:val="center"/>
              <w:rPr>
                <w:rFonts w:ascii="Arial" w:hAnsi="Arial" w:cs="Arial"/>
                <w:b/>
                <w:bCs/>
                <w:sz w:val="20"/>
                <w:szCs w:val="20"/>
                <w:lang w:val="id-ID"/>
              </w:rPr>
            </w:pPr>
            <w:r w:rsidRPr="005D7961">
              <w:rPr>
                <w:rFonts w:ascii="Arial" w:hAnsi="Arial" w:cs="Arial"/>
                <w:b/>
                <w:bCs/>
                <w:sz w:val="20"/>
                <w:szCs w:val="20"/>
                <w:lang w:val="id-ID"/>
              </w:rPr>
              <w:t>Mean</w:t>
            </w:r>
          </w:p>
        </w:tc>
        <w:tc>
          <w:tcPr>
            <w:tcW w:w="1326" w:type="dxa"/>
            <w:tcBorders>
              <w:bottom w:val="single" w:sz="4" w:space="0" w:color="auto"/>
            </w:tcBorders>
            <w:tcPrChange w:id="110" w:author="Maher" w:date="2025-07-21T10:39:00Z">
              <w:tcPr>
                <w:tcW w:w="1326" w:type="dxa"/>
                <w:tcBorders>
                  <w:bottom w:val="single" w:sz="4" w:space="0" w:color="auto"/>
                </w:tcBorders>
              </w:tcPr>
            </w:tcPrChange>
          </w:tcPr>
          <w:p w14:paraId="599CEB9B" w14:textId="77777777" w:rsidR="002F52FB" w:rsidRPr="005D7961" w:rsidRDefault="0092538B">
            <w:pPr>
              <w:pStyle w:val="NormalWeb"/>
              <w:widowControl/>
              <w:spacing w:before="100" w:after="100"/>
              <w:jc w:val="center"/>
              <w:rPr>
                <w:rFonts w:ascii="Arial" w:hAnsi="Arial" w:cs="Arial"/>
                <w:b/>
                <w:bCs/>
                <w:sz w:val="20"/>
                <w:szCs w:val="20"/>
                <w:lang w:val="id-ID"/>
              </w:rPr>
            </w:pPr>
            <w:r w:rsidRPr="005D7961">
              <w:rPr>
                <w:rFonts w:ascii="Arial" w:hAnsi="Arial" w:cs="Arial"/>
                <w:b/>
                <w:bCs/>
                <w:sz w:val="20"/>
                <w:szCs w:val="20"/>
                <w:lang w:val="id-ID"/>
              </w:rPr>
              <w:t>Std.dev</w:t>
            </w:r>
          </w:p>
        </w:tc>
        <w:tc>
          <w:tcPr>
            <w:tcW w:w="1256" w:type="dxa"/>
            <w:tcBorders>
              <w:bottom w:val="single" w:sz="4" w:space="0" w:color="auto"/>
            </w:tcBorders>
            <w:tcPrChange w:id="111" w:author="Maher" w:date="2025-07-21T10:39:00Z">
              <w:tcPr>
                <w:tcW w:w="1256" w:type="dxa"/>
                <w:tcBorders>
                  <w:bottom w:val="single" w:sz="4" w:space="0" w:color="auto"/>
                </w:tcBorders>
              </w:tcPr>
            </w:tcPrChange>
          </w:tcPr>
          <w:p w14:paraId="74078786" w14:textId="77777777" w:rsidR="002F52FB" w:rsidRPr="005D7961" w:rsidRDefault="0092538B">
            <w:pPr>
              <w:pStyle w:val="NormalWeb"/>
              <w:widowControl/>
              <w:jc w:val="center"/>
              <w:rPr>
                <w:rFonts w:ascii="Arial" w:hAnsi="Arial" w:cs="Arial"/>
                <w:b/>
                <w:bCs/>
                <w:sz w:val="20"/>
                <w:szCs w:val="20"/>
                <w:lang w:val="id-ID"/>
              </w:rPr>
            </w:pPr>
            <w:r w:rsidRPr="005D7961">
              <w:rPr>
                <w:rFonts w:ascii="Arial" w:hAnsi="Arial" w:cs="Arial"/>
                <w:b/>
                <w:bCs/>
                <w:sz w:val="20"/>
                <w:szCs w:val="20"/>
                <w:lang w:val="id-ID"/>
              </w:rPr>
              <w:t>Min</w:t>
            </w:r>
          </w:p>
        </w:tc>
        <w:tc>
          <w:tcPr>
            <w:tcW w:w="1353" w:type="dxa"/>
            <w:tcBorders>
              <w:bottom w:val="single" w:sz="4" w:space="0" w:color="auto"/>
            </w:tcBorders>
            <w:tcPrChange w:id="112" w:author="Maher" w:date="2025-07-21T10:39:00Z">
              <w:tcPr>
                <w:tcW w:w="1353" w:type="dxa"/>
                <w:tcBorders>
                  <w:bottom w:val="single" w:sz="4" w:space="0" w:color="auto"/>
                </w:tcBorders>
              </w:tcPr>
            </w:tcPrChange>
          </w:tcPr>
          <w:p w14:paraId="5FE7274C" w14:textId="77777777" w:rsidR="002F52FB" w:rsidRPr="005D7961" w:rsidRDefault="0092538B">
            <w:pPr>
              <w:pStyle w:val="NormalWeb"/>
              <w:widowControl/>
              <w:spacing w:before="100" w:after="100"/>
              <w:jc w:val="center"/>
              <w:rPr>
                <w:rFonts w:ascii="Arial" w:hAnsi="Arial" w:cs="Arial"/>
                <w:b/>
                <w:bCs/>
                <w:sz w:val="20"/>
                <w:szCs w:val="20"/>
                <w:lang w:val="id-ID"/>
              </w:rPr>
            </w:pPr>
            <w:r w:rsidRPr="005D7961">
              <w:rPr>
                <w:rFonts w:ascii="Arial" w:hAnsi="Arial" w:cs="Arial"/>
                <w:b/>
                <w:bCs/>
                <w:sz w:val="20"/>
                <w:szCs w:val="20"/>
                <w:lang w:val="id-ID"/>
              </w:rPr>
              <w:t>Max</w:t>
            </w:r>
          </w:p>
        </w:tc>
      </w:tr>
      <w:tr w:rsidR="002F52FB" w:rsidRPr="005D7961" w14:paraId="36F07921" w14:textId="77777777">
        <w:trPr>
          <w:trHeight w:val="257"/>
          <w:jc w:val="center"/>
          <w:trPrChange w:id="113" w:author="Maher" w:date="2025-07-21T10:39:00Z">
            <w:trPr>
              <w:trHeight w:val="257"/>
              <w:jc w:val="center"/>
            </w:trPr>
          </w:trPrChange>
        </w:trPr>
        <w:tc>
          <w:tcPr>
            <w:tcW w:w="2259" w:type="dxa"/>
            <w:tcBorders>
              <w:top w:val="single" w:sz="4" w:space="0" w:color="auto"/>
              <w:tl2br w:val="nil"/>
              <w:tr2bl w:val="nil"/>
            </w:tcBorders>
            <w:tcPrChange w:id="114" w:author="Maher" w:date="2025-07-21T10:39:00Z">
              <w:tcPr>
                <w:tcW w:w="2259" w:type="dxa"/>
                <w:tcBorders>
                  <w:top w:val="single" w:sz="4" w:space="0" w:color="auto"/>
                  <w:tl2br w:val="nil"/>
                  <w:tr2bl w:val="nil"/>
                </w:tcBorders>
              </w:tcPr>
            </w:tcPrChange>
          </w:tcPr>
          <w:p w14:paraId="1DB5223D" w14:textId="77777777" w:rsidR="002F52FB" w:rsidRPr="005D7961" w:rsidRDefault="0092538B">
            <w:pPr>
              <w:pStyle w:val="NormalWeb"/>
              <w:widowControl/>
              <w:rPr>
                <w:rFonts w:ascii="Arial" w:hAnsi="Arial" w:cs="Arial"/>
                <w:i/>
                <w:iCs/>
                <w:sz w:val="20"/>
                <w:szCs w:val="20"/>
                <w:lang w:val="id-ID"/>
              </w:rPr>
            </w:pPr>
            <w:r w:rsidRPr="005D7961">
              <w:rPr>
                <w:rFonts w:ascii="Arial" w:hAnsi="Arial" w:cs="Arial"/>
                <w:i/>
                <w:iCs/>
                <w:sz w:val="20"/>
                <w:szCs w:val="20"/>
                <w:lang w:val="id-ID"/>
              </w:rPr>
              <w:t>Price</w:t>
            </w:r>
          </w:p>
        </w:tc>
        <w:tc>
          <w:tcPr>
            <w:tcW w:w="640" w:type="dxa"/>
            <w:tcBorders>
              <w:top w:val="single" w:sz="4" w:space="0" w:color="auto"/>
              <w:tl2br w:val="nil"/>
              <w:tr2bl w:val="nil"/>
            </w:tcBorders>
            <w:tcPrChange w:id="115" w:author="Maher" w:date="2025-07-21T10:39:00Z">
              <w:tcPr>
                <w:tcW w:w="640" w:type="dxa"/>
                <w:tcBorders>
                  <w:top w:val="single" w:sz="4" w:space="0" w:color="auto"/>
                  <w:tl2br w:val="nil"/>
                  <w:tr2bl w:val="nil"/>
                </w:tcBorders>
              </w:tcPr>
            </w:tcPrChange>
          </w:tcPr>
          <w:p w14:paraId="48EF42DF" w14:textId="77777777" w:rsidR="002F52FB" w:rsidRPr="005D7961" w:rsidRDefault="0092538B">
            <w:pPr>
              <w:pStyle w:val="NormalWeb"/>
              <w:widowControl/>
              <w:rPr>
                <w:rFonts w:ascii="Arial" w:hAnsi="Arial" w:cs="Arial"/>
                <w:sz w:val="20"/>
                <w:szCs w:val="20"/>
                <w:lang w:val="id-ID"/>
              </w:rPr>
            </w:pPr>
            <w:r w:rsidRPr="005D7961">
              <w:rPr>
                <w:rFonts w:ascii="Arial" w:hAnsi="Arial" w:cs="Arial"/>
                <w:sz w:val="20"/>
                <w:szCs w:val="20"/>
                <w:lang w:val="id-ID"/>
              </w:rPr>
              <w:t>474</w:t>
            </w:r>
          </w:p>
        </w:tc>
        <w:tc>
          <w:tcPr>
            <w:tcW w:w="1184" w:type="dxa"/>
            <w:tcBorders>
              <w:top w:val="single" w:sz="4" w:space="0" w:color="auto"/>
              <w:tl2br w:val="nil"/>
              <w:tr2bl w:val="nil"/>
            </w:tcBorders>
            <w:tcPrChange w:id="116" w:author="Maher" w:date="2025-07-21T10:39:00Z">
              <w:tcPr>
                <w:tcW w:w="1184" w:type="dxa"/>
                <w:tcBorders>
                  <w:top w:val="single" w:sz="4" w:space="0" w:color="auto"/>
                  <w:tl2br w:val="nil"/>
                  <w:tr2bl w:val="nil"/>
                </w:tcBorders>
              </w:tcPr>
            </w:tcPrChange>
          </w:tcPr>
          <w:p w14:paraId="1DE52E25" w14:textId="77777777" w:rsidR="002F52FB" w:rsidRPr="005D7961" w:rsidRDefault="0092538B">
            <w:pPr>
              <w:pStyle w:val="NormalWeb"/>
              <w:widowControl/>
              <w:spacing w:before="100" w:after="100"/>
              <w:rPr>
                <w:rFonts w:ascii="Arial" w:hAnsi="Arial" w:cs="Arial"/>
                <w:sz w:val="20"/>
                <w:szCs w:val="20"/>
                <w:lang w:val="id-ID"/>
              </w:rPr>
            </w:pPr>
            <w:r w:rsidRPr="005D7961">
              <w:rPr>
                <w:rFonts w:ascii="Arial" w:hAnsi="Arial" w:cs="Arial"/>
                <w:sz w:val="20"/>
                <w:szCs w:val="20"/>
                <w:lang w:val="id-ID"/>
              </w:rPr>
              <w:t>1803.143</w:t>
            </w:r>
          </w:p>
        </w:tc>
        <w:tc>
          <w:tcPr>
            <w:tcW w:w="1326" w:type="dxa"/>
            <w:tcBorders>
              <w:top w:val="single" w:sz="4" w:space="0" w:color="auto"/>
              <w:tl2br w:val="nil"/>
              <w:tr2bl w:val="nil"/>
            </w:tcBorders>
            <w:tcPrChange w:id="117" w:author="Maher" w:date="2025-07-21T10:39:00Z">
              <w:tcPr>
                <w:tcW w:w="1326" w:type="dxa"/>
                <w:tcBorders>
                  <w:top w:val="single" w:sz="4" w:space="0" w:color="auto"/>
                  <w:tl2br w:val="nil"/>
                  <w:tr2bl w:val="nil"/>
                </w:tcBorders>
              </w:tcPr>
            </w:tcPrChange>
          </w:tcPr>
          <w:p w14:paraId="7C27FFB4" w14:textId="77777777" w:rsidR="002F52FB" w:rsidRPr="005D7961" w:rsidRDefault="0092538B">
            <w:pPr>
              <w:pStyle w:val="NormalWeb"/>
              <w:widowControl/>
              <w:spacing w:before="100" w:after="100"/>
              <w:rPr>
                <w:rFonts w:ascii="Arial" w:hAnsi="Arial" w:cs="Arial"/>
                <w:sz w:val="20"/>
                <w:szCs w:val="20"/>
                <w:lang w:val="id-ID"/>
              </w:rPr>
            </w:pPr>
            <w:r w:rsidRPr="005D7961">
              <w:rPr>
                <w:rFonts w:ascii="Arial" w:hAnsi="Arial" w:cs="Arial"/>
                <w:sz w:val="20"/>
                <w:szCs w:val="20"/>
                <w:lang w:val="id-ID"/>
              </w:rPr>
              <w:t>4202.679</w:t>
            </w:r>
          </w:p>
        </w:tc>
        <w:tc>
          <w:tcPr>
            <w:tcW w:w="1256" w:type="dxa"/>
            <w:tcBorders>
              <w:top w:val="single" w:sz="4" w:space="0" w:color="auto"/>
              <w:tl2br w:val="nil"/>
              <w:tr2bl w:val="nil"/>
            </w:tcBorders>
            <w:tcPrChange w:id="118" w:author="Maher" w:date="2025-07-21T10:39:00Z">
              <w:tcPr>
                <w:tcW w:w="1256" w:type="dxa"/>
                <w:tcBorders>
                  <w:top w:val="single" w:sz="4" w:space="0" w:color="auto"/>
                  <w:tl2br w:val="nil"/>
                  <w:tr2bl w:val="nil"/>
                </w:tcBorders>
              </w:tcPr>
            </w:tcPrChange>
          </w:tcPr>
          <w:p w14:paraId="25899A6C" w14:textId="77777777" w:rsidR="002F52FB" w:rsidRPr="005D7961" w:rsidRDefault="0092538B">
            <w:pPr>
              <w:pStyle w:val="NormalWeb"/>
              <w:widowControl/>
              <w:spacing w:before="100" w:after="100"/>
              <w:rPr>
                <w:rFonts w:ascii="Arial" w:hAnsi="Arial" w:cs="Arial"/>
                <w:sz w:val="20"/>
                <w:szCs w:val="20"/>
                <w:lang w:val="id-ID"/>
              </w:rPr>
            </w:pPr>
            <w:r w:rsidRPr="005D7961">
              <w:rPr>
                <w:rFonts w:ascii="Arial" w:hAnsi="Arial" w:cs="Arial"/>
                <w:sz w:val="20"/>
                <w:szCs w:val="20"/>
                <w:lang w:val="id-ID"/>
              </w:rPr>
              <w:t>17</w:t>
            </w:r>
          </w:p>
        </w:tc>
        <w:tc>
          <w:tcPr>
            <w:tcW w:w="1353" w:type="dxa"/>
            <w:tcBorders>
              <w:top w:val="single" w:sz="4" w:space="0" w:color="auto"/>
              <w:tl2br w:val="nil"/>
              <w:tr2bl w:val="nil"/>
            </w:tcBorders>
            <w:tcPrChange w:id="119" w:author="Maher" w:date="2025-07-21T10:39:00Z">
              <w:tcPr>
                <w:tcW w:w="1353" w:type="dxa"/>
                <w:tcBorders>
                  <w:top w:val="single" w:sz="4" w:space="0" w:color="auto"/>
                  <w:tl2br w:val="nil"/>
                  <w:tr2bl w:val="nil"/>
                </w:tcBorders>
              </w:tcPr>
            </w:tcPrChange>
          </w:tcPr>
          <w:p w14:paraId="2AF5E8CB" w14:textId="77777777" w:rsidR="002F52FB" w:rsidRPr="005D7961" w:rsidRDefault="0092538B">
            <w:pPr>
              <w:pStyle w:val="NormalWeb"/>
              <w:widowControl/>
              <w:rPr>
                <w:rFonts w:ascii="Arial" w:hAnsi="Arial" w:cs="Arial"/>
                <w:sz w:val="20"/>
                <w:szCs w:val="20"/>
                <w:lang w:val="id-ID"/>
              </w:rPr>
            </w:pPr>
            <w:r w:rsidRPr="005D7961">
              <w:rPr>
                <w:rFonts w:ascii="Arial" w:hAnsi="Arial" w:cs="Arial"/>
                <w:sz w:val="20"/>
                <w:szCs w:val="20"/>
                <w:lang w:val="id-ID"/>
              </w:rPr>
              <w:t>53000</w:t>
            </w:r>
          </w:p>
        </w:tc>
      </w:tr>
      <w:tr w:rsidR="002F52FB" w:rsidRPr="005D7961" w14:paraId="5CA5ACB4" w14:textId="77777777">
        <w:trPr>
          <w:trHeight w:val="257"/>
          <w:jc w:val="center"/>
          <w:trPrChange w:id="120" w:author="Maher" w:date="2025-07-21T10:39:00Z">
            <w:trPr>
              <w:trHeight w:val="257"/>
              <w:jc w:val="center"/>
            </w:trPr>
          </w:trPrChange>
        </w:trPr>
        <w:tc>
          <w:tcPr>
            <w:tcW w:w="2259" w:type="dxa"/>
            <w:tcBorders>
              <w:tl2br w:val="nil"/>
              <w:tr2bl w:val="nil"/>
            </w:tcBorders>
            <w:tcPrChange w:id="121" w:author="Maher" w:date="2025-07-21T10:39:00Z">
              <w:tcPr>
                <w:tcW w:w="2259" w:type="dxa"/>
                <w:tcBorders>
                  <w:tl2br w:val="nil"/>
                  <w:tr2bl w:val="nil"/>
                </w:tcBorders>
              </w:tcPr>
            </w:tcPrChange>
          </w:tcPr>
          <w:p w14:paraId="4263C878" w14:textId="77777777" w:rsidR="002F52FB" w:rsidRPr="005D7961" w:rsidRDefault="0092538B">
            <w:pPr>
              <w:pStyle w:val="NormalWeb"/>
              <w:widowControl/>
              <w:rPr>
                <w:rFonts w:ascii="Arial" w:hAnsi="Arial" w:cs="Arial"/>
                <w:i/>
                <w:iCs/>
                <w:sz w:val="20"/>
                <w:szCs w:val="20"/>
                <w:lang w:val="id-ID"/>
              </w:rPr>
            </w:pPr>
            <w:r w:rsidRPr="005D7961">
              <w:rPr>
                <w:rFonts w:ascii="Arial" w:hAnsi="Arial" w:cs="Arial"/>
                <w:i/>
                <w:iCs/>
                <w:sz w:val="20"/>
                <w:szCs w:val="20"/>
                <w:lang w:val="id-ID"/>
              </w:rPr>
              <w:t>Intrinsic</w:t>
            </w:r>
          </w:p>
        </w:tc>
        <w:tc>
          <w:tcPr>
            <w:tcW w:w="640" w:type="dxa"/>
            <w:tcBorders>
              <w:tl2br w:val="nil"/>
              <w:tr2bl w:val="nil"/>
            </w:tcBorders>
            <w:tcPrChange w:id="122" w:author="Maher" w:date="2025-07-21T10:39:00Z">
              <w:tcPr>
                <w:tcW w:w="640" w:type="dxa"/>
                <w:tcBorders>
                  <w:tl2br w:val="nil"/>
                  <w:tr2bl w:val="nil"/>
                </w:tcBorders>
              </w:tcPr>
            </w:tcPrChange>
          </w:tcPr>
          <w:p w14:paraId="090E8980" w14:textId="77777777" w:rsidR="002F52FB" w:rsidRPr="005D7961" w:rsidRDefault="0092538B">
            <w:pPr>
              <w:pStyle w:val="NormalWeb"/>
              <w:widowControl/>
              <w:rPr>
                <w:rFonts w:ascii="Arial" w:hAnsi="Arial" w:cs="Arial"/>
                <w:sz w:val="20"/>
                <w:szCs w:val="20"/>
                <w:lang w:val="id-ID"/>
              </w:rPr>
            </w:pPr>
            <w:r w:rsidRPr="005D7961">
              <w:rPr>
                <w:rFonts w:ascii="Arial" w:hAnsi="Arial" w:cs="Arial"/>
                <w:sz w:val="20"/>
                <w:szCs w:val="20"/>
                <w:lang w:val="id-ID"/>
              </w:rPr>
              <w:t>474</w:t>
            </w:r>
          </w:p>
        </w:tc>
        <w:tc>
          <w:tcPr>
            <w:tcW w:w="1184" w:type="dxa"/>
            <w:tcBorders>
              <w:tl2br w:val="nil"/>
              <w:tr2bl w:val="nil"/>
            </w:tcBorders>
            <w:tcPrChange w:id="123" w:author="Maher" w:date="2025-07-21T10:39:00Z">
              <w:tcPr>
                <w:tcW w:w="1184" w:type="dxa"/>
                <w:tcBorders>
                  <w:tl2br w:val="nil"/>
                  <w:tr2bl w:val="nil"/>
                </w:tcBorders>
              </w:tcPr>
            </w:tcPrChange>
          </w:tcPr>
          <w:p w14:paraId="0DBDA82E" w14:textId="77777777" w:rsidR="002F52FB" w:rsidRPr="005D7961" w:rsidRDefault="0092538B">
            <w:pPr>
              <w:rPr>
                <w:rFonts w:ascii="Arial" w:hAnsi="Arial" w:cs="Arial"/>
              </w:rPr>
            </w:pPr>
            <w:r w:rsidRPr="005D7961">
              <w:rPr>
                <w:rFonts w:ascii="Arial" w:hAnsi="Arial" w:cs="Arial"/>
              </w:rPr>
              <w:t xml:space="preserve">3.007505 </w:t>
            </w:r>
          </w:p>
        </w:tc>
        <w:tc>
          <w:tcPr>
            <w:tcW w:w="1326" w:type="dxa"/>
            <w:tcBorders>
              <w:tl2br w:val="nil"/>
              <w:tr2bl w:val="nil"/>
            </w:tcBorders>
            <w:tcPrChange w:id="124" w:author="Maher" w:date="2025-07-21T10:39:00Z">
              <w:tcPr>
                <w:tcW w:w="1326" w:type="dxa"/>
                <w:tcBorders>
                  <w:tl2br w:val="nil"/>
                  <w:tr2bl w:val="nil"/>
                </w:tcBorders>
              </w:tcPr>
            </w:tcPrChange>
          </w:tcPr>
          <w:p w14:paraId="3FE9946C" w14:textId="77777777" w:rsidR="002F52FB" w:rsidRPr="005D7961" w:rsidRDefault="0092538B">
            <w:pPr>
              <w:rPr>
                <w:rFonts w:ascii="Arial" w:hAnsi="Arial" w:cs="Arial"/>
              </w:rPr>
            </w:pPr>
            <w:r w:rsidRPr="005D7961">
              <w:rPr>
                <w:rFonts w:ascii="Arial" w:hAnsi="Arial" w:cs="Arial"/>
              </w:rPr>
              <w:t>5.36469</w:t>
            </w:r>
          </w:p>
        </w:tc>
        <w:tc>
          <w:tcPr>
            <w:tcW w:w="1256" w:type="dxa"/>
            <w:tcBorders>
              <w:tl2br w:val="nil"/>
              <w:tr2bl w:val="nil"/>
            </w:tcBorders>
            <w:tcPrChange w:id="125" w:author="Maher" w:date="2025-07-21T10:39:00Z">
              <w:tcPr>
                <w:tcW w:w="1256" w:type="dxa"/>
                <w:tcBorders>
                  <w:tl2br w:val="nil"/>
                  <w:tr2bl w:val="nil"/>
                </w:tcBorders>
              </w:tcPr>
            </w:tcPrChange>
          </w:tcPr>
          <w:p w14:paraId="7EEFD769" w14:textId="77777777" w:rsidR="002F52FB" w:rsidRPr="005D7961" w:rsidRDefault="0092538B">
            <w:pPr>
              <w:rPr>
                <w:rFonts w:ascii="Arial" w:hAnsi="Arial" w:cs="Arial"/>
              </w:rPr>
            </w:pPr>
            <w:r w:rsidRPr="005D7961">
              <w:rPr>
                <w:rFonts w:ascii="Arial" w:hAnsi="Arial" w:cs="Arial"/>
              </w:rPr>
              <w:t>0.1723292</w:t>
            </w:r>
          </w:p>
        </w:tc>
        <w:tc>
          <w:tcPr>
            <w:tcW w:w="1353" w:type="dxa"/>
            <w:tcBorders>
              <w:tl2br w:val="nil"/>
              <w:tr2bl w:val="nil"/>
            </w:tcBorders>
            <w:tcPrChange w:id="126" w:author="Maher" w:date="2025-07-21T10:39:00Z">
              <w:tcPr>
                <w:tcW w:w="1353" w:type="dxa"/>
                <w:tcBorders>
                  <w:tl2br w:val="nil"/>
                  <w:tr2bl w:val="nil"/>
                </w:tcBorders>
              </w:tcPr>
            </w:tcPrChange>
          </w:tcPr>
          <w:p w14:paraId="5227D1BA" w14:textId="77777777" w:rsidR="002F52FB" w:rsidRPr="005D7961" w:rsidRDefault="0092538B">
            <w:pPr>
              <w:jc w:val="left"/>
              <w:rPr>
                <w:rFonts w:ascii="Arial" w:hAnsi="Arial" w:cs="Arial"/>
              </w:rPr>
            </w:pPr>
            <w:r w:rsidRPr="005D7961">
              <w:rPr>
                <w:rFonts w:ascii="Arial" w:hAnsi="Arial" w:cs="Arial"/>
              </w:rPr>
              <w:t>56.7919</w:t>
            </w:r>
          </w:p>
        </w:tc>
      </w:tr>
      <w:tr w:rsidR="002F52FB" w:rsidRPr="005D7961" w14:paraId="388BB84D" w14:textId="77777777">
        <w:trPr>
          <w:trHeight w:val="257"/>
          <w:jc w:val="center"/>
          <w:trPrChange w:id="127" w:author="Maher" w:date="2025-07-21T10:39:00Z">
            <w:trPr>
              <w:trHeight w:val="257"/>
              <w:jc w:val="center"/>
            </w:trPr>
          </w:trPrChange>
        </w:trPr>
        <w:tc>
          <w:tcPr>
            <w:tcW w:w="2259" w:type="dxa"/>
            <w:tcBorders>
              <w:tl2br w:val="nil"/>
              <w:tr2bl w:val="nil"/>
            </w:tcBorders>
            <w:tcPrChange w:id="128" w:author="Maher" w:date="2025-07-21T10:39:00Z">
              <w:tcPr>
                <w:tcW w:w="2259" w:type="dxa"/>
                <w:tcBorders>
                  <w:tl2br w:val="nil"/>
                  <w:tr2bl w:val="nil"/>
                </w:tcBorders>
              </w:tcPr>
            </w:tcPrChange>
          </w:tcPr>
          <w:p w14:paraId="5ADF50F4" w14:textId="77777777" w:rsidR="002F52FB" w:rsidRPr="005D7961" w:rsidRDefault="0092538B">
            <w:pPr>
              <w:pStyle w:val="NormalWeb"/>
              <w:widowControl/>
              <w:rPr>
                <w:rFonts w:ascii="Arial" w:hAnsi="Arial" w:cs="Arial"/>
                <w:i/>
                <w:iCs/>
                <w:sz w:val="20"/>
                <w:szCs w:val="20"/>
                <w:lang w:val="id-ID"/>
              </w:rPr>
            </w:pPr>
            <w:r w:rsidRPr="005D7961">
              <w:rPr>
                <w:rFonts w:ascii="Arial" w:hAnsi="Arial" w:cs="Arial"/>
                <w:i/>
                <w:iCs/>
                <w:sz w:val="20"/>
                <w:szCs w:val="20"/>
                <w:lang w:val="id-ID"/>
              </w:rPr>
              <w:t xml:space="preserve">Profit </w:t>
            </w:r>
          </w:p>
        </w:tc>
        <w:tc>
          <w:tcPr>
            <w:tcW w:w="640" w:type="dxa"/>
            <w:tcBorders>
              <w:tl2br w:val="nil"/>
              <w:tr2bl w:val="nil"/>
            </w:tcBorders>
            <w:tcPrChange w:id="129" w:author="Maher" w:date="2025-07-21T10:39:00Z">
              <w:tcPr>
                <w:tcW w:w="640" w:type="dxa"/>
                <w:tcBorders>
                  <w:tl2br w:val="nil"/>
                  <w:tr2bl w:val="nil"/>
                </w:tcBorders>
              </w:tcPr>
            </w:tcPrChange>
          </w:tcPr>
          <w:p w14:paraId="44317922" w14:textId="77777777" w:rsidR="002F52FB" w:rsidRPr="005D7961" w:rsidRDefault="0092538B">
            <w:pPr>
              <w:pStyle w:val="NormalWeb"/>
              <w:widowControl/>
              <w:rPr>
                <w:rFonts w:ascii="Arial" w:hAnsi="Arial" w:cs="Arial"/>
                <w:sz w:val="20"/>
                <w:szCs w:val="20"/>
                <w:lang w:val="id-ID"/>
              </w:rPr>
            </w:pPr>
            <w:r w:rsidRPr="005D7961">
              <w:rPr>
                <w:rFonts w:ascii="Arial" w:hAnsi="Arial" w:cs="Arial"/>
                <w:sz w:val="20"/>
                <w:szCs w:val="20"/>
                <w:lang w:val="id-ID"/>
              </w:rPr>
              <w:t>474</w:t>
            </w:r>
          </w:p>
        </w:tc>
        <w:tc>
          <w:tcPr>
            <w:tcW w:w="1184" w:type="dxa"/>
            <w:tcBorders>
              <w:tl2br w:val="nil"/>
              <w:tr2bl w:val="nil"/>
            </w:tcBorders>
            <w:tcPrChange w:id="130" w:author="Maher" w:date="2025-07-21T10:39:00Z">
              <w:tcPr>
                <w:tcW w:w="1184" w:type="dxa"/>
                <w:tcBorders>
                  <w:tl2br w:val="nil"/>
                  <w:tr2bl w:val="nil"/>
                </w:tcBorders>
              </w:tcPr>
            </w:tcPrChange>
          </w:tcPr>
          <w:p w14:paraId="3900D4AF" w14:textId="77777777" w:rsidR="002F52FB" w:rsidRPr="005D7961" w:rsidRDefault="0092538B">
            <w:pPr>
              <w:rPr>
                <w:rFonts w:ascii="Arial" w:hAnsi="Arial" w:cs="Arial"/>
              </w:rPr>
            </w:pPr>
            <w:r w:rsidRPr="005D7961">
              <w:rPr>
                <w:rFonts w:ascii="Arial" w:hAnsi="Arial" w:cs="Arial"/>
              </w:rPr>
              <w:t>0.0416136</w:t>
            </w:r>
          </w:p>
        </w:tc>
        <w:tc>
          <w:tcPr>
            <w:tcW w:w="1326" w:type="dxa"/>
            <w:tcBorders>
              <w:tl2br w:val="nil"/>
              <w:tr2bl w:val="nil"/>
            </w:tcBorders>
            <w:tcPrChange w:id="131" w:author="Maher" w:date="2025-07-21T10:39:00Z">
              <w:tcPr>
                <w:tcW w:w="1326" w:type="dxa"/>
                <w:tcBorders>
                  <w:tl2br w:val="nil"/>
                  <w:tr2bl w:val="nil"/>
                </w:tcBorders>
              </w:tcPr>
            </w:tcPrChange>
          </w:tcPr>
          <w:p w14:paraId="6FEC146A" w14:textId="77777777" w:rsidR="002F52FB" w:rsidRPr="005D7961" w:rsidRDefault="0092538B">
            <w:pPr>
              <w:rPr>
                <w:rFonts w:ascii="Arial" w:hAnsi="Arial" w:cs="Arial"/>
              </w:rPr>
            </w:pPr>
            <w:r w:rsidRPr="005D7961">
              <w:rPr>
                <w:rFonts w:ascii="Arial" w:hAnsi="Arial" w:cs="Arial"/>
              </w:rPr>
              <w:t>0.1116981</w:t>
            </w:r>
          </w:p>
        </w:tc>
        <w:tc>
          <w:tcPr>
            <w:tcW w:w="1256" w:type="dxa"/>
            <w:tcBorders>
              <w:tl2br w:val="nil"/>
              <w:tr2bl w:val="nil"/>
            </w:tcBorders>
            <w:tcPrChange w:id="132" w:author="Maher" w:date="2025-07-21T10:39:00Z">
              <w:tcPr>
                <w:tcW w:w="1256" w:type="dxa"/>
                <w:tcBorders>
                  <w:tl2br w:val="nil"/>
                  <w:tr2bl w:val="nil"/>
                </w:tcBorders>
              </w:tcPr>
            </w:tcPrChange>
          </w:tcPr>
          <w:p w14:paraId="4ED8145A" w14:textId="77777777" w:rsidR="002F52FB" w:rsidRPr="005D7961" w:rsidRDefault="0092538B">
            <w:pPr>
              <w:rPr>
                <w:rFonts w:ascii="Arial" w:hAnsi="Arial" w:cs="Arial"/>
              </w:rPr>
            </w:pPr>
            <w:r w:rsidRPr="005D7961">
              <w:rPr>
                <w:rFonts w:ascii="Arial" w:hAnsi="Arial" w:cs="Arial"/>
              </w:rPr>
              <w:t>-0.5174596</w:t>
            </w:r>
          </w:p>
        </w:tc>
        <w:tc>
          <w:tcPr>
            <w:tcW w:w="1353" w:type="dxa"/>
            <w:tcBorders>
              <w:tl2br w:val="nil"/>
              <w:tr2bl w:val="nil"/>
            </w:tcBorders>
            <w:tcPrChange w:id="133" w:author="Maher" w:date="2025-07-21T10:39:00Z">
              <w:tcPr>
                <w:tcW w:w="1353" w:type="dxa"/>
                <w:tcBorders>
                  <w:tl2br w:val="nil"/>
                  <w:tr2bl w:val="nil"/>
                </w:tcBorders>
              </w:tcPr>
            </w:tcPrChange>
          </w:tcPr>
          <w:p w14:paraId="5291A59F" w14:textId="77777777" w:rsidR="002F52FB" w:rsidRPr="005D7961" w:rsidRDefault="0092538B">
            <w:pPr>
              <w:jc w:val="left"/>
              <w:rPr>
                <w:rFonts w:ascii="Arial" w:hAnsi="Arial" w:cs="Arial"/>
              </w:rPr>
            </w:pPr>
            <w:r w:rsidRPr="005D7961">
              <w:rPr>
                <w:rFonts w:ascii="Arial" w:hAnsi="Arial" w:cs="Arial"/>
              </w:rPr>
              <w:t>0.9435689</w:t>
            </w:r>
          </w:p>
        </w:tc>
      </w:tr>
      <w:tr w:rsidR="002F52FB" w:rsidRPr="005D7961" w14:paraId="1C5666AA" w14:textId="77777777">
        <w:trPr>
          <w:trHeight w:val="257"/>
          <w:jc w:val="center"/>
          <w:trPrChange w:id="134" w:author="Maher" w:date="2025-07-21T10:39:00Z">
            <w:trPr>
              <w:trHeight w:val="257"/>
              <w:jc w:val="center"/>
            </w:trPr>
          </w:trPrChange>
        </w:trPr>
        <w:tc>
          <w:tcPr>
            <w:tcW w:w="2259" w:type="dxa"/>
            <w:tcBorders>
              <w:tl2br w:val="nil"/>
              <w:tr2bl w:val="nil"/>
            </w:tcBorders>
            <w:tcPrChange w:id="135" w:author="Maher" w:date="2025-07-21T10:39:00Z">
              <w:tcPr>
                <w:tcW w:w="2259" w:type="dxa"/>
                <w:tcBorders>
                  <w:tl2br w:val="nil"/>
                  <w:tr2bl w:val="nil"/>
                </w:tcBorders>
              </w:tcPr>
            </w:tcPrChange>
          </w:tcPr>
          <w:p w14:paraId="632A3F42" w14:textId="77777777" w:rsidR="002F52FB" w:rsidRPr="005D7961" w:rsidRDefault="0092538B">
            <w:pPr>
              <w:pStyle w:val="NormalWeb"/>
              <w:widowControl/>
              <w:rPr>
                <w:rFonts w:ascii="Arial" w:hAnsi="Arial" w:cs="Arial"/>
                <w:i/>
                <w:iCs/>
                <w:sz w:val="20"/>
                <w:szCs w:val="20"/>
                <w:lang w:val="id-ID"/>
              </w:rPr>
            </w:pPr>
            <w:r w:rsidRPr="005D7961">
              <w:rPr>
                <w:rFonts w:ascii="Arial" w:hAnsi="Arial" w:cs="Arial"/>
                <w:i/>
                <w:iCs/>
                <w:sz w:val="20"/>
                <w:szCs w:val="20"/>
                <w:lang w:val="id-ID"/>
              </w:rPr>
              <w:t xml:space="preserve">Lev </w:t>
            </w:r>
          </w:p>
        </w:tc>
        <w:tc>
          <w:tcPr>
            <w:tcW w:w="640" w:type="dxa"/>
            <w:tcBorders>
              <w:tl2br w:val="nil"/>
              <w:tr2bl w:val="nil"/>
            </w:tcBorders>
            <w:tcPrChange w:id="136" w:author="Maher" w:date="2025-07-21T10:39:00Z">
              <w:tcPr>
                <w:tcW w:w="640" w:type="dxa"/>
                <w:tcBorders>
                  <w:tl2br w:val="nil"/>
                  <w:tr2bl w:val="nil"/>
                </w:tcBorders>
              </w:tcPr>
            </w:tcPrChange>
          </w:tcPr>
          <w:p w14:paraId="66C9A649" w14:textId="77777777" w:rsidR="002F52FB" w:rsidRPr="005D7961" w:rsidRDefault="0092538B">
            <w:pPr>
              <w:pStyle w:val="NormalWeb"/>
              <w:widowControl/>
              <w:rPr>
                <w:rFonts w:ascii="Arial" w:hAnsi="Arial" w:cs="Arial"/>
                <w:sz w:val="20"/>
                <w:szCs w:val="20"/>
                <w:lang w:val="id-ID"/>
              </w:rPr>
            </w:pPr>
            <w:r w:rsidRPr="005D7961">
              <w:rPr>
                <w:rFonts w:ascii="Arial" w:hAnsi="Arial" w:cs="Arial"/>
                <w:sz w:val="20"/>
                <w:szCs w:val="20"/>
                <w:lang w:val="id-ID"/>
              </w:rPr>
              <w:t>474</w:t>
            </w:r>
          </w:p>
        </w:tc>
        <w:tc>
          <w:tcPr>
            <w:tcW w:w="1184" w:type="dxa"/>
            <w:tcBorders>
              <w:tl2br w:val="nil"/>
              <w:tr2bl w:val="nil"/>
            </w:tcBorders>
            <w:tcPrChange w:id="137" w:author="Maher" w:date="2025-07-21T10:39:00Z">
              <w:tcPr>
                <w:tcW w:w="1184" w:type="dxa"/>
                <w:tcBorders>
                  <w:tl2br w:val="nil"/>
                  <w:tr2bl w:val="nil"/>
                </w:tcBorders>
              </w:tcPr>
            </w:tcPrChange>
          </w:tcPr>
          <w:p w14:paraId="60FD1A28" w14:textId="77777777" w:rsidR="002F52FB" w:rsidRPr="005D7961" w:rsidRDefault="0092538B">
            <w:pPr>
              <w:rPr>
                <w:rFonts w:ascii="Arial" w:hAnsi="Arial" w:cs="Arial"/>
              </w:rPr>
            </w:pPr>
            <w:r w:rsidRPr="005D7961">
              <w:rPr>
                <w:rFonts w:ascii="Arial" w:hAnsi="Arial" w:cs="Arial"/>
              </w:rPr>
              <w:t>1.684096</w:t>
            </w:r>
          </w:p>
        </w:tc>
        <w:tc>
          <w:tcPr>
            <w:tcW w:w="1326" w:type="dxa"/>
            <w:tcBorders>
              <w:tl2br w:val="nil"/>
              <w:tr2bl w:val="nil"/>
            </w:tcBorders>
            <w:tcPrChange w:id="138" w:author="Maher" w:date="2025-07-21T10:39:00Z">
              <w:tcPr>
                <w:tcW w:w="1326" w:type="dxa"/>
                <w:tcBorders>
                  <w:tl2br w:val="nil"/>
                  <w:tr2bl w:val="nil"/>
                </w:tcBorders>
              </w:tcPr>
            </w:tcPrChange>
          </w:tcPr>
          <w:p w14:paraId="68E14FFD" w14:textId="77777777" w:rsidR="002F52FB" w:rsidRPr="005D7961" w:rsidRDefault="0092538B">
            <w:pPr>
              <w:rPr>
                <w:rFonts w:ascii="Arial" w:hAnsi="Arial" w:cs="Arial"/>
              </w:rPr>
            </w:pPr>
            <w:r w:rsidRPr="005D7961">
              <w:rPr>
                <w:rFonts w:ascii="Arial" w:hAnsi="Arial" w:cs="Arial"/>
              </w:rPr>
              <w:t>3.321708</w:t>
            </w:r>
          </w:p>
        </w:tc>
        <w:tc>
          <w:tcPr>
            <w:tcW w:w="1256" w:type="dxa"/>
            <w:tcBorders>
              <w:tl2br w:val="nil"/>
              <w:tr2bl w:val="nil"/>
            </w:tcBorders>
            <w:tcPrChange w:id="139" w:author="Maher" w:date="2025-07-21T10:39:00Z">
              <w:tcPr>
                <w:tcW w:w="1256" w:type="dxa"/>
                <w:tcBorders>
                  <w:tl2br w:val="nil"/>
                  <w:tr2bl w:val="nil"/>
                </w:tcBorders>
              </w:tcPr>
            </w:tcPrChange>
          </w:tcPr>
          <w:p w14:paraId="26C6867C" w14:textId="77777777" w:rsidR="002F52FB" w:rsidRPr="005D7961" w:rsidRDefault="0092538B">
            <w:pPr>
              <w:rPr>
                <w:rFonts w:ascii="Arial" w:hAnsi="Arial" w:cs="Arial"/>
              </w:rPr>
            </w:pPr>
            <w:r w:rsidRPr="005D7961">
              <w:rPr>
                <w:rFonts w:ascii="Arial" w:hAnsi="Arial" w:cs="Arial"/>
              </w:rPr>
              <w:t>0.0192822</w:t>
            </w:r>
          </w:p>
        </w:tc>
        <w:tc>
          <w:tcPr>
            <w:tcW w:w="1353" w:type="dxa"/>
            <w:tcBorders>
              <w:tl2br w:val="nil"/>
              <w:tr2bl w:val="nil"/>
            </w:tcBorders>
            <w:tcPrChange w:id="140" w:author="Maher" w:date="2025-07-21T10:39:00Z">
              <w:tcPr>
                <w:tcW w:w="1353" w:type="dxa"/>
                <w:tcBorders>
                  <w:tl2br w:val="nil"/>
                  <w:tr2bl w:val="nil"/>
                </w:tcBorders>
              </w:tcPr>
            </w:tcPrChange>
          </w:tcPr>
          <w:p w14:paraId="29221A44" w14:textId="77777777" w:rsidR="002F52FB" w:rsidRPr="005D7961" w:rsidRDefault="0092538B">
            <w:pPr>
              <w:jc w:val="left"/>
              <w:rPr>
                <w:rFonts w:ascii="Arial" w:hAnsi="Arial" w:cs="Arial"/>
              </w:rPr>
            </w:pPr>
            <w:r w:rsidRPr="005D7961">
              <w:rPr>
                <w:rFonts w:ascii="Arial" w:hAnsi="Arial" w:cs="Arial"/>
              </w:rPr>
              <w:t>38.17212</w:t>
            </w:r>
          </w:p>
        </w:tc>
      </w:tr>
      <w:tr w:rsidR="002F52FB" w:rsidRPr="005D7961" w14:paraId="48160C56" w14:textId="77777777">
        <w:trPr>
          <w:trHeight w:val="257"/>
          <w:jc w:val="center"/>
          <w:trPrChange w:id="141" w:author="Maher" w:date="2025-07-21T10:39:00Z">
            <w:trPr>
              <w:trHeight w:val="257"/>
              <w:jc w:val="center"/>
            </w:trPr>
          </w:trPrChange>
        </w:trPr>
        <w:tc>
          <w:tcPr>
            <w:tcW w:w="2259" w:type="dxa"/>
            <w:tcBorders>
              <w:tl2br w:val="nil"/>
              <w:tr2bl w:val="nil"/>
            </w:tcBorders>
            <w:tcPrChange w:id="142" w:author="Maher" w:date="2025-07-21T10:39:00Z">
              <w:tcPr>
                <w:tcW w:w="2259" w:type="dxa"/>
                <w:tcBorders>
                  <w:tl2br w:val="nil"/>
                  <w:tr2bl w:val="nil"/>
                </w:tcBorders>
              </w:tcPr>
            </w:tcPrChange>
          </w:tcPr>
          <w:p w14:paraId="39AD57EF" w14:textId="77777777" w:rsidR="002F52FB" w:rsidRPr="005D7961" w:rsidRDefault="0092538B">
            <w:pPr>
              <w:pStyle w:val="NormalWeb"/>
              <w:widowControl/>
              <w:rPr>
                <w:rFonts w:ascii="Arial" w:hAnsi="Arial" w:cs="Arial"/>
                <w:i/>
                <w:iCs/>
                <w:sz w:val="20"/>
                <w:szCs w:val="20"/>
                <w:lang w:val="id-ID"/>
              </w:rPr>
            </w:pPr>
            <w:r w:rsidRPr="005D7961">
              <w:rPr>
                <w:rFonts w:ascii="Arial" w:hAnsi="Arial" w:cs="Arial"/>
                <w:i/>
                <w:iCs/>
                <w:sz w:val="20"/>
                <w:szCs w:val="20"/>
                <w:lang w:val="id-ID"/>
              </w:rPr>
              <w:t xml:space="preserve">Liquid </w:t>
            </w:r>
          </w:p>
        </w:tc>
        <w:tc>
          <w:tcPr>
            <w:tcW w:w="640" w:type="dxa"/>
            <w:tcBorders>
              <w:tl2br w:val="nil"/>
              <w:tr2bl w:val="nil"/>
            </w:tcBorders>
            <w:tcPrChange w:id="143" w:author="Maher" w:date="2025-07-21T10:39:00Z">
              <w:tcPr>
                <w:tcW w:w="640" w:type="dxa"/>
                <w:tcBorders>
                  <w:tl2br w:val="nil"/>
                  <w:tr2bl w:val="nil"/>
                </w:tcBorders>
              </w:tcPr>
            </w:tcPrChange>
          </w:tcPr>
          <w:p w14:paraId="4A132CF0" w14:textId="77777777" w:rsidR="002F52FB" w:rsidRPr="005D7961" w:rsidRDefault="0092538B">
            <w:pPr>
              <w:pStyle w:val="NormalWeb"/>
              <w:widowControl/>
              <w:rPr>
                <w:rFonts w:ascii="Arial" w:hAnsi="Arial" w:cs="Arial"/>
                <w:sz w:val="20"/>
                <w:szCs w:val="20"/>
                <w:lang w:val="id-ID"/>
              </w:rPr>
            </w:pPr>
            <w:r w:rsidRPr="005D7961">
              <w:rPr>
                <w:rFonts w:ascii="Arial" w:hAnsi="Arial" w:cs="Arial"/>
                <w:sz w:val="20"/>
                <w:szCs w:val="20"/>
                <w:lang w:val="id-ID"/>
              </w:rPr>
              <w:t>474</w:t>
            </w:r>
          </w:p>
        </w:tc>
        <w:tc>
          <w:tcPr>
            <w:tcW w:w="1184" w:type="dxa"/>
            <w:tcBorders>
              <w:tl2br w:val="nil"/>
              <w:tr2bl w:val="nil"/>
            </w:tcBorders>
            <w:tcPrChange w:id="144" w:author="Maher" w:date="2025-07-21T10:39:00Z">
              <w:tcPr>
                <w:tcW w:w="1184" w:type="dxa"/>
                <w:tcBorders>
                  <w:tl2br w:val="nil"/>
                  <w:tr2bl w:val="nil"/>
                </w:tcBorders>
              </w:tcPr>
            </w:tcPrChange>
          </w:tcPr>
          <w:p w14:paraId="5CAFC71B" w14:textId="77777777" w:rsidR="002F52FB" w:rsidRPr="005D7961" w:rsidRDefault="0092538B">
            <w:pPr>
              <w:rPr>
                <w:rFonts w:ascii="Arial" w:hAnsi="Arial" w:cs="Arial"/>
              </w:rPr>
            </w:pPr>
            <w:r w:rsidRPr="005D7961">
              <w:rPr>
                <w:rFonts w:ascii="Arial" w:hAnsi="Arial" w:cs="Arial"/>
              </w:rPr>
              <w:t>2.6832278</w:t>
            </w:r>
          </w:p>
        </w:tc>
        <w:tc>
          <w:tcPr>
            <w:tcW w:w="1326" w:type="dxa"/>
            <w:tcBorders>
              <w:tl2br w:val="nil"/>
              <w:tr2bl w:val="nil"/>
            </w:tcBorders>
            <w:tcPrChange w:id="145" w:author="Maher" w:date="2025-07-21T10:39:00Z">
              <w:tcPr>
                <w:tcW w:w="1326" w:type="dxa"/>
                <w:tcBorders>
                  <w:tl2br w:val="nil"/>
                  <w:tr2bl w:val="nil"/>
                </w:tcBorders>
              </w:tcPr>
            </w:tcPrChange>
          </w:tcPr>
          <w:p w14:paraId="5E76416E" w14:textId="77777777" w:rsidR="002F52FB" w:rsidRPr="005D7961" w:rsidRDefault="0092538B">
            <w:pPr>
              <w:rPr>
                <w:rFonts w:ascii="Arial" w:hAnsi="Arial" w:cs="Arial"/>
              </w:rPr>
            </w:pPr>
            <w:r w:rsidRPr="005D7961">
              <w:rPr>
                <w:rFonts w:ascii="Arial" w:hAnsi="Arial" w:cs="Arial"/>
              </w:rPr>
              <w:t>3.77611</w:t>
            </w:r>
          </w:p>
        </w:tc>
        <w:tc>
          <w:tcPr>
            <w:tcW w:w="1256" w:type="dxa"/>
            <w:tcBorders>
              <w:tl2br w:val="nil"/>
              <w:tr2bl w:val="nil"/>
            </w:tcBorders>
            <w:tcPrChange w:id="146" w:author="Maher" w:date="2025-07-21T10:39:00Z">
              <w:tcPr>
                <w:tcW w:w="1256" w:type="dxa"/>
                <w:tcBorders>
                  <w:tl2br w:val="nil"/>
                  <w:tr2bl w:val="nil"/>
                </w:tcBorders>
              </w:tcPr>
            </w:tcPrChange>
          </w:tcPr>
          <w:p w14:paraId="79B90501" w14:textId="77777777" w:rsidR="002F52FB" w:rsidRPr="005D7961" w:rsidRDefault="0092538B">
            <w:pPr>
              <w:rPr>
                <w:rFonts w:ascii="Arial" w:hAnsi="Arial" w:cs="Arial"/>
              </w:rPr>
            </w:pPr>
            <w:r w:rsidRPr="005D7961">
              <w:rPr>
                <w:rFonts w:ascii="Arial" w:hAnsi="Arial" w:cs="Arial"/>
              </w:rPr>
              <w:t>0.0675148</w:t>
            </w:r>
          </w:p>
        </w:tc>
        <w:tc>
          <w:tcPr>
            <w:tcW w:w="1353" w:type="dxa"/>
            <w:tcBorders>
              <w:tl2br w:val="nil"/>
              <w:tr2bl w:val="nil"/>
            </w:tcBorders>
            <w:tcPrChange w:id="147" w:author="Maher" w:date="2025-07-21T10:39:00Z">
              <w:tcPr>
                <w:tcW w:w="1353" w:type="dxa"/>
                <w:tcBorders>
                  <w:tl2br w:val="nil"/>
                  <w:tr2bl w:val="nil"/>
                </w:tcBorders>
              </w:tcPr>
            </w:tcPrChange>
          </w:tcPr>
          <w:p w14:paraId="4A01F4B8" w14:textId="77777777" w:rsidR="002F52FB" w:rsidRPr="005D7961" w:rsidRDefault="0092538B">
            <w:pPr>
              <w:jc w:val="left"/>
              <w:rPr>
                <w:rFonts w:ascii="Arial" w:hAnsi="Arial" w:cs="Arial"/>
              </w:rPr>
            </w:pPr>
            <w:r w:rsidRPr="005D7961">
              <w:rPr>
                <w:rFonts w:ascii="Arial" w:hAnsi="Arial" w:cs="Arial"/>
              </w:rPr>
              <w:t>48.67912</w:t>
            </w:r>
          </w:p>
        </w:tc>
      </w:tr>
      <w:tr w:rsidR="002F52FB" w:rsidRPr="005D7961" w14:paraId="6FD85F38" w14:textId="77777777">
        <w:trPr>
          <w:trHeight w:val="257"/>
          <w:jc w:val="center"/>
          <w:trPrChange w:id="148" w:author="Maher" w:date="2025-07-21T10:39:00Z">
            <w:trPr>
              <w:trHeight w:val="257"/>
              <w:jc w:val="center"/>
            </w:trPr>
          </w:trPrChange>
        </w:trPr>
        <w:tc>
          <w:tcPr>
            <w:tcW w:w="2259" w:type="dxa"/>
            <w:tcBorders>
              <w:tl2br w:val="nil"/>
              <w:tr2bl w:val="nil"/>
            </w:tcBorders>
            <w:tcPrChange w:id="149" w:author="Maher" w:date="2025-07-21T10:39:00Z">
              <w:tcPr>
                <w:tcW w:w="2259" w:type="dxa"/>
                <w:tcBorders>
                  <w:tl2br w:val="nil"/>
                  <w:tr2bl w:val="nil"/>
                </w:tcBorders>
              </w:tcPr>
            </w:tcPrChange>
          </w:tcPr>
          <w:p w14:paraId="10E422C0" w14:textId="77777777" w:rsidR="002F52FB" w:rsidRPr="005D7961" w:rsidRDefault="0092538B">
            <w:pPr>
              <w:pStyle w:val="NormalWeb"/>
              <w:widowControl/>
              <w:spacing w:before="100" w:after="100"/>
              <w:rPr>
                <w:rFonts w:ascii="Arial" w:hAnsi="Arial" w:cs="Arial"/>
                <w:i/>
                <w:iCs/>
                <w:sz w:val="20"/>
                <w:szCs w:val="20"/>
                <w:lang w:val="id-ID"/>
              </w:rPr>
            </w:pPr>
            <w:r w:rsidRPr="005D7961">
              <w:rPr>
                <w:rFonts w:ascii="Arial" w:hAnsi="Arial" w:cs="Arial"/>
                <w:i/>
                <w:iCs/>
                <w:sz w:val="20"/>
                <w:szCs w:val="20"/>
                <w:lang w:val="id-ID"/>
              </w:rPr>
              <w:t>Efficient</w:t>
            </w:r>
          </w:p>
        </w:tc>
        <w:tc>
          <w:tcPr>
            <w:tcW w:w="640" w:type="dxa"/>
            <w:tcBorders>
              <w:tl2br w:val="nil"/>
              <w:tr2bl w:val="nil"/>
            </w:tcBorders>
            <w:tcPrChange w:id="150" w:author="Maher" w:date="2025-07-21T10:39:00Z">
              <w:tcPr>
                <w:tcW w:w="640" w:type="dxa"/>
                <w:tcBorders>
                  <w:tl2br w:val="nil"/>
                  <w:tr2bl w:val="nil"/>
                </w:tcBorders>
              </w:tcPr>
            </w:tcPrChange>
          </w:tcPr>
          <w:p w14:paraId="1B15DB9F" w14:textId="77777777" w:rsidR="002F52FB" w:rsidRPr="005D7961" w:rsidRDefault="0092538B">
            <w:pPr>
              <w:pStyle w:val="NormalWeb"/>
              <w:widowControl/>
              <w:rPr>
                <w:rFonts w:ascii="Arial" w:hAnsi="Arial" w:cs="Arial"/>
                <w:sz w:val="20"/>
                <w:szCs w:val="20"/>
                <w:lang w:val="id-ID"/>
              </w:rPr>
            </w:pPr>
            <w:r w:rsidRPr="005D7961">
              <w:rPr>
                <w:rFonts w:ascii="Arial" w:hAnsi="Arial" w:cs="Arial"/>
                <w:sz w:val="20"/>
                <w:szCs w:val="20"/>
                <w:lang w:val="id-ID"/>
              </w:rPr>
              <w:t>474</w:t>
            </w:r>
          </w:p>
        </w:tc>
        <w:tc>
          <w:tcPr>
            <w:tcW w:w="1184" w:type="dxa"/>
            <w:tcBorders>
              <w:tl2br w:val="nil"/>
              <w:tr2bl w:val="nil"/>
            </w:tcBorders>
            <w:tcPrChange w:id="151" w:author="Maher" w:date="2025-07-21T10:39:00Z">
              <w:tcPr>
                <w:tcW w:w="1184" w:type="dxa"/>
                <w:tcBorders>
                  <w:tl2br w:val="nil"/>
                  <w:tr2bl w:val="nil"/>
                </w:tcBorders>
              </w:tcPr>
            </w:tcPrChange>
          </w:tcPr>
          <w:p w14:paraId="30971B42" w14:textId="77777777" w:rsidR="002F52FB" w:rsidRPr="005D7961" w:rsidRDefault="0092538B">
            <w:pPr>
              <w:rPr>
                <w:rFonts w:ascii="Arial" w:hAnsi="Arial" w:cs="Arial"/>
              </w:rPr>
            </w:pPr>
            <w:r w:rsidRPr="005D7961">
              <w:rPr>
                <w:rFonts w:ascii="Arial" w:hAnsi="Arial" w:cs="Arial"/>
              </w:rPr>
              <w:t>1.24004</w:t>
            </w:r>
          </w:p>
        </w:tc>
        <w:tc>
          <w:tcPr>
            <w:tcW w:w="1326" w:type="dxa"/>
            <w:tcBorders>
              <w:tl2br w:val="nil"/>
              <w:tr2bl w:val="nil"/>
            </w:tcBorders>
            <w:tcPrChange w:id="152" w:author="Maher" w:date="2025-07-21T10:39:00Z">
              <w:tcPr>
                <w:tcW w:w="1326" w:type="dxa"/>
                <w:tcBorders>
                  <w:tl2br w:val="nil"/>
                  <w:tr2bl w:val="nil"/>
                </w:tcBorders>
              </w:tcPr>
            </w:tcPrChange>
          </w:tcPr>
          <w:p w14:paraId="2FFD8B2B" w14:textId="77777777" w:rsidR="002F52FB" w:rsidRPr="005D7961" w:rsidRDefault="0092538B">
            <w:pPr>
              <w:rPr>
                <w:rFonts w:ascii="Arial" w:hAnsi="Arial" w:cs="Arial"/>
              </w:rPr>
            </w:pPr>
            <w:r w:rsidRPr="005D7961">
              <w:rPr>
                <w:rFonts w:ascii="Arial" w:hAnsi="Arial" w:cs="Arial"/>
              </w:rPr>
              <w:t>1.10685</w:t>
            </w:r>
          </w:p>
        </w:tc>
        <w:tc>
          <w:tcPr>
            <w:tcW w:w="1256" w:type="dxa"/>
            <w:tcBorders>
              <w:tl2br w:val="nil"/>
              <w:tr2bl w:val="nil"/>
            </w:tcBorders>
            <w:tcPrChange w:id="153" w:author="Maher" w:date="2025-07-21T10:39:00Z">
              <w:tcPr>
                <w:tcW w:w="1256" w:type="dxa"/>
                <w:tcBorders>
                  <w:tl2br w:val="nil"/>
                  <w:tr2bl w:val="nil"/>
                </w:tcBorders>
              </w:tcPr>
            </w:tcPrChange>
          </w:tcPr>
          <w:p w14:paraId="2CD0C272" w14:textId="77777777" w:rsidR="002F52FB" w:rsidRPr="005D7961" w:rsidRDefault="0092538B">
            <w:pPr>
              <w:rPr>
                <w:rFonts w:ascii="Arial" w:hAnsi="Arial" w:cs="Arial"/>
              </w:rPr>
            </w:pPr>
            <w:r w:rsidRPr="005D7961">
              <w:rPr>
                <w:rFonts w:ascii="Arial" w:hAnsi="Arial" w:cs="Arial"/>
              </w:rPr>
              <w:t>0.0352123</w:t>
            </w:r>
          </w:p>
        </w:tc>
        <w:tc>
          <w:tcPr>
            <w:tcW w:w="1353" w:type="dxa"/>
            <w:tcBorders>
              <w:tl2br w:val="nil"/>
              <w:tr2bl w:val="nil"/>
            </w:tcBorders>
            <w:tcPrChange w:id="154" w:author="Maher" w:date="2025-07-21T10:39:00Z">
              <w:tcPr>
                <w:tcW w:w="1353" w:type="dxa"/>
                <w:tcBorders>
                  <w:tl2br w:val="nil"/>
                  <w:tr2bl w:val="nil"/>
                </w:tcBorders>
              </w:tcPr>
            </w:tcPrChange>
          </w:tcPr>
          <w:p w14:paraId="5FC05060" w14:textId="77777777" w:rsidR="002F52FB" w:rsidRPr="005D7961" w:rsidRDefault="0092538B">
            <w:pPr>
              <w:jc w:val="left"/>
              <w:rPr>
                <w:rFonts w:ascii="Arial" w:hAnsi="Arial" w:cs="Arial"/>
              </w:rPr>
            </w:pPr>
            <w:r w:rsidRPr="005D7961">
              <w:rPr>
                <w:rFonts w:ascii="Arial" w:hAnsi="Arial" w:cs="Arial"/>
              </w:rPr>
              <w:t>13.30447</w:t>
            </w:r>
          </w:p>
        </w:tc>
      </w:tr>
      <w:tr w:rsidR="002F52FB" w:rsidRPr="005D7961" w14:paraId="13A77639" w14:textId="77777777">
        <w:trPr>
          <w:trHeight w:val="257"/>
          <w:jc w:val="center"/>
          <w:trPrChange w:id="155" w:author="Maher" w:date="2025-07-21T10:39:00Z">
            <w:trPr>
              <w:trHeight w:val="257"/>
              <w:jc w:val="center"/>
            </w:trPr>
          </w:trPrChange>
        </w:trPr>
        <w:tc>
          <w:tcPr>
            <w:tcW w:w="2259" w:type="dxa"/>
            <w:tcBorders>
              <w:tl2br w:val="nil"/>
              <w:tr2bl w:val="nil"/>
            </w:tcBorders>
            <w:tcPrChange w:id="156" w:author="Maher" w:date="2025-07-21T10:39:00Z">
              <w:tcPr>
                <w:tcW w:w="2259" w:type="dxa"/>
                <w:tcBorders>
                  <w:tl2br w:val="nil"/>
                  <w:tr2bl w:val="nil"/>
                </w:tcBorders>
              </w:tcPr>
            </w:tcPrChange>
          </w:tcPr>
          <w:p w14:paraId="5AC9DA35" w14:textId="77777777" w:rsidR="002F52FB" w:rsidRPr="005D7961" w:rsidRDefault="0092538B">
            <w:pPr>
              <w:pStyle w:val="NormalWeb"/>
              <w:widowControl/>
              <w:spacing w:before="100" w:after="100"/>
              <w:rPr>
                <w:rFonts w:ascii="Arial" w:hAnsi="Arial" w:cs="Arial"/>
                <w:i/>
                <w:iCs/>
                <w:sz w:val="20"/>
                <w:szCs w:val="20"/>
                <w:lang w:val="id-ID"/>
              </w:rPr>
            </w:pPr>
            <w:r w:rsidRPr="005D7961">
              <w:rPr>
                <w:rFonts w:ascii="Arial" w:hAnsi="Arial" w:cs="Arial"/>
                <w:i/>
                <w:iCs/>
                <w:sz w:val="20"/>
                <w:szCs w:val="20"/>
                <w:lang w:val="id-ID"/>
              </w:rPr>
              <w:t xml:space="preserve">Size </w:t>
            </w:r>
          </w:p>
        </w:tc>
        <w:tc>
          <w:tcPr>
            <w:tcW w:w="640" w:type="dxa"/>
            <w:tcBorders>
              <w:tl2br w:val="nil"/>
              <w:tr2bl w:val="nil"/>
            </w:tcBorders>
            <w:tcPrChange w:id="157" w:author="Maher" w:date="2025-07-21T10:39:00Z">
              <w:tcPr>
                <w:tcW w:w="640" w:type="dxa"/>
                <w:tcBorders>
                  <w:tl2br w:val="nil"/>
                  <w:tr2bl w:val="nil"/>
                </w:tcBorders>
              </w:tcPr>
            </w:tcPrChange>
          </w:tcPr>
          <w:p w14:paraId="0CC50EA1" w14:textId="77777777" w:rsidR="002F52FB" w:rsidRPr="005D7961" w:rsidRDefault="0092538B">
            <w:pPr>
              <w:pStyle w:val="NormalWeb"/>
              <w:widowControl/>
              <w:spacing w:before="100" w:after="100"/>
              <w:rPr>
                <w:rFonts w:ascii="Arial" w:hAnsi="Arial" w:cs="Arial"/>
                <w:sz w:val="20"/>
                <w:szCs w:val="20"/>
                <w:lang w:val="id-ID"/>
              </w:rPr>
            </w:pPr>
            <w:r w:rsidRPr="005D7961">
              <w:rPr>
                <w:rFonts w:ascii="Arial" w:hAnsi="Arial" w:cs="Arial"/>
                <w:sz w:val="20"/>
                <w:szCs w:val="20"/>
                <w:lang w:val="id-ID"/>
              </w:rPr>
              <w:t>474</w:t>
            </w:r>
          </w:p>
        </w:tc>
        <w:tc>
          <w:tcPr>
            <w:tcW w:w="1184" w:type="dxa"/>
            <w:tcBorders>
              <w:tl2br w:val="nil"/>
              <w:tr2bl w:val="nil"/>
            </w:tcBorders>
            <w:tcPrChange w:id="158" w:author="Maher" w:date="2025-07-21T10:39:00Z">
              <w:tcPr>
                <w:tcW w:w="1184" w:type="dxa"/>
                <w:tcBorders>
                  <w:tl2br w:val="nil"/>
                  <w:tr2bl w:val="nil"/>
                </w:tcBorders>
              </w:tcPr>
            </w:tcPrChange>
          </w:tcPr>
          <w:p w14:paraId="7ECEF520" w14:textId="77777777" w:rsidR="002F52FB" w:rsidRPr="005D7961" w:rsidRDefault="0092538B">
            <w:pPr>
              <w:rPr>
                <w:rFonts w:ascii="Arial" w:hAnsi="Arial" w:cs="Arial"/>
              </w:rPr>
            </w:pPr>
            <w:r w:rsidRPr="005D7961">
              <w:rPr>
                <w:rFonts w:ascii="Arial" w:hAnsi="Arial" w:cs="Arial"/>
              </w:rPr>
              <w:t>28.47587</w:t>
            </w:r>
          </w:p>
        </w:tc>
        <w:tc>
          <w:tcPr>
            <w:tcW w:w="1326" w:type="dxa"/>
            <w:tcBorders>
              <w:tl2br w:val="nil"/>
              <w:tr2bl w:val="nil"/>
            </w:tcBorders>
            <w:tcPrChange w:id="159" w:author="Maher" w:date="2025-07-21T10:39:00Z">
              <w:tcPr>
                <w:tcW w:w="1326" w:type="dxa"/>
                <w:tcBorders>
                  <w:tl2br w:val="nil"/>
                  <w:tr2bl w:val="nil"/>
                </w:tcBorders>
              </w:tcPr>
            </w:tcPrChange>
          </w:tcPr>
          <w:p w14:paraId="649EC721" w14:textId="77777777" w:rsidR="002F52FB" w:rsidRPr="005D7961" w:rsidRDefault="0092538B">
            <w:pPr>
              <w:rPr>
                <w:rFonts w:ascii="Arial" w:hAnsi="Arial" w:cs="Arial"/>
              </w:rPr>
            </w:pPr>
            <w:r w:rsidRPr="005D7961">
              <w:rPr>
                <w:rFonts w:ascii="Arial" w:hAnsi="Arial" w:cs="Arial"/>
              </w:rPr>
              <w:t>1.779831</w:t>
            </w:r>
          </w:p>
        </w:tc>
        <w:tc>
          <w:tcPr>
            <w:tcW w:w="1256" w:type="dxa"/>
            <w:tcBorders>
              <w:tl2br w:val="nil"/>
              <w:tr2bl w:val="nil"/>
            </w:tcBorders>
            <w:tcPrChange w:id="160" w:author="Maher" w:date="2025-07-21T10:39:00Z">
              <w:tcPr>
                <w:tcW w:w="1256" w:type="dxa"/>
                <w:tcBorders>
                  <w:tl2br w:val="nil"/>
                  <w:tr2bl w:val="nil"/>
                </w:tcBorders>
              </w:tcPr>
            </w:tcPrChange>
          </w:tcPr>
          <w:p w14:paraId="3A4A3C98" w14:textId="77777777" w:rsidR="002F52FB" w:rsidRPr="005D7961" w:rsidRDefault="0092538B">
            <w:pPr>
              <w:rPr>
                <w:rFonts w:ascii="Arial" w:hAnsi="Arial" w:cs="Arial"/>
              </w:rPr>
            </w:pPr>
            <w:r w:rsidRPr="005D7961">
              <w:rPr>
                <w:rFonts w:ascii="Arial" w:hAnsi="Arial" w:cs="Arial"/>
              </w:rPr>
              <w:t>24.46953</w:t>
            </w:r>
          </w:p>
        </w:tc>
        <w:tc>
          <w:tcPr>
            <w:tcW w:w="1353" w:type="dxa"/>
            <w:tcBorders>
              <w:tl2br w:val="nil"/>
              <w:tr2bl w:val="nil"/>
            </w:tcBorders>
            <w:tcPrChange w:id="161" w:author="Maher" w:date="2025-07-21T10:39:00Z">
              <w:tcPr>
                <w:tcW w:w="1353" w:type="dxa"/>
                <w:tcBorders>
                  <w:tl2br w:val="nil"/>
                  <w:tr2bl w:val="nil"/>
                </w:tcBorders>
              </w:tcPr>
            </w:tcPrChange>
          </w:tcPr>
          <w:p w14:paraId="4D035382" w14:textId="77777777" w:rsidR="002F52FB" w:rsidRPr="005D7961" w:rsidRDefault="0092538B">
            <w:pPr>
              <w:rPr>
                <w:rFonts w:ascii="Arial" w:hAnsi="Arial" w:cs="Arial"/>
              </w:rPr>
            </w:pPr>
            <w:r w:rsidRPr="005D7961">
              <w:rPr>
                <w:rFonts w:ascii="Arial" w:hAnsi="Arial" w:cs="Arial"/>
              </w:rPr>
              <w:t>32.85992</w:t>
            </w:r>
          </w:p>
        </w:tc>
      </w:tr>
    </w:tbl>
    <w:p w14:paraId="1A6F33F0" w14:textId="77777777" w:rsidR="002F52FB" w:rsidRPr="005D7961" w:rsidRDefault="0092538B">
      <w:pPr>
        <w:jc w:val="both"/>
        <w:rPr>
          <w:rFonts w:ascii="Arial" w:hAnsi="Arial" w:cs="Arial"/>
          <w:i/>
          <w:iCs/>
          <w:sz w:val="18"/>
          <w:szCs w:val="18"/>
        </w:rPr>
      </w:pPr>
      <w:r w:rsidRPr="005D7961">
        <w:rPr>
          <w:rFonts w:ascii="Arial" w:hAnsi="Arial" w:cs="Arial"/>
          <w:i/>
          <w:iCs/>
          <w:sz w:val="18"/>
          <w:szCs w:val="18"/>
        </w:rPr>
        <w:t>*Source; Data processed 2025</w:t>
      </w:r>
    </w:p>
    <w:p w14:paraId="37283FC0" w14:textId="77777777" w:rsidR="002F52FB" w:rsidRPr="005D7961" w:rsidRDefault="002F52FB">
      <w:pPr>
        <w:jc w:val="both"/>
        <w:rPr>
          <w:rFonts w:ascii="Arial" w:hAnsi="Arial" w:cs="Arial"/>
          <w:b/>
          <w:bCs/>
        </w:rPr>
        <w:sectPr w:rsidR="002F52FB" w:rsidRPr="005D7961">
          <w:type w:val="continuous"/>
          <w:pgSz w:w="11906" w:h="16838"/>
          <w:pgMar w:top="1440" w:right="2018" w:bottom="2018" w:left="2018" w:header="720" w:footer="720" w:gutter="0"/>
          <w:cols w:space="0"/>
          <w:docGrid w:linePitch="360"/>
        </w:sectPr>
      </w:pPr>
    </w:p>
    <w:p w14:paraId="1E22801E" w14:textId="77777777" w:rsidR="002F52FB" w:rsidRPr="005D7961" w:rsidRDefault="002F52FB">
      <w:pPr>
        <w:rPr>
          <w:rFonts w:ascii="Arial" w:hAnsi="Arial" w:cs="Arial"/>
          <w:b/>
          <w:bCs/>
          <w:u w:val="single"/>
        </w:rPr>
      </w:pPr>
    </w:p>
    <w:p w14:paraId="2C99D0CC" w14:textId="77777777" w:rsidR="002F52FB" w:rsidRPr="005D7961" w:rsidRDefault="002F52FB">
      <w:pPr>
        <w:rPr>
          <w:rFonts w:ascii="Arial" w:hAnsi="Arial" w:cs="Arial"/>
          <w:b/>
          <w:bCs/>
          <w:u w:val="single"/>
        </w:rPr>
        <w:sectPr w:rsidR="002F52FB" w:rsidRPr="005D7961">
          <w:type w:val="continuous"/>
          <w:pgSz w:w="11906" w:h="16838"/>
          <w:pgMar w:top="1440" w:right="2018" w:bottom="2018" w:left="2018" w:header="720" w:footer="720" w:gutter="0"/>
          <w:cols w:space="567"/>
          <w:docGrid w:linePitch="360"/>
        </w:sectPr>
      </w:pPr>
    </w:p>
    <w:p w14:paraId="23EBEA0B" w14:textId="77777777" w:rsidR="002F52FB" w:rsidRPr="005D7961" w:rsidRDefault="0092538B">
      <w:pPr>
        <w:rPr>
          <w:rFonts w:ascii="Arial" w:hAnsi="Arial" w:cs="Arial"/>
          <w:u w:val="single"/>
        </w:rPr>
      </w:pPr>
      <w:r w:rsidRPr="005D7961">
        <w:rPr>
          <w:rFonts w:ascii="Arial" w:hAnsi="Arial" w:cs="Arial"/>
          <w:b/>
          <w:bCs/>
          <w:u w:val="single"/>
        </w:rPr>
        <w:t xml:space="preserve">3.1.1 Descriptive Analysis </w:t>
      </w:r>
    </w:p>
    <w:p w14:paraId="2C7E69DC" w14:textId="77777777" w:rsidR="002F52FB" w:rsidRPr="005D7961" w:rsidRDefault="0092538B">
      <w:pPr>
        <w:ind w:firstLine="720"/>
        <w:jc w:val="both"/>
        <w:rPr>
          <w:rFonts w:ascii="Arial" w:hAnsi="Arial" w:cs="Arial"/>
          <w:lang w:val="zh-CN"/>
        </w:rPr>
      </w:pPr>
      <w:r w:rsidRPr="005D7961">
        <w:rPr>
          <w:rFonts w:ascii="Arial" w:hAnsi="Arial" w:cs="Arial"/>
        </w:rPr>
        <w:t xml:space="preserve">The results of the descriptive analysis in table 3 </w:t>
      </w:r>
      <w:r w:rsidRPr="005D7961">
        <w:rPr>
          <w:rFonts w:ascii="Arial" w:hAnsi="Arial" w:cs="Arial"/>
          <w:lang w:val="zh-CN"/>
        </w:rPr>
        <w:t xml:space="preserve">demonstrate that businesses in the non-cyclical consumer sector have an average share price of </w:t>
      </w:r>
      <w:r w:rsidRPr="005D7961">
        <w:rPr>
          <w:rFonts w:ascii="Arial" w:hAnsi="Arial" w:cs="Arial"/>
        </w:rPr>
        <w:t>Rp 1,803,129 with a high standard deviation of Rp 4,202,683, reflecting high fluctuations between companies. The intrinsic value measured through Price to Book Value has an average of 3, which signifies that investors tend to value stocks three times higher than their book value. The profitability proxied by the Return on Asset is at an average of 4%, indicating that the net profit generated is relatively low compared to total assets. Leverage has an average value of 1.6, which indicates the use of debt of 1.6 times the company's equity. The company's liquidity is relatively good, with an average current ratio of 2.6, indicating a liquid company. Asset efficiency, measured by Total Asset Turnover, is at an average of 1.2, indicating the asset is able to generate sales of 1.2 times its value. A measurement of company size using the natural logarithm of total assets showed an average of 28.47, indicating that the majority of companies in the sample were relatively large. In general, this data shows a significant diversity of financial conditions between companies, which is an important basis for testing the influence of financial factors on stock prices.</w:t>
      </w:r>
    </w:p>
    <w:p w14:paraId="08AFE9CD" w14:textId="77777777" w:rsidR="002F52FB" w:rsidRPr="005D7961" w:rsidRDefault="002F52FB">
      <w:pPr>
        <w:rPr>
          <w:rFonts w:ascii="Arial" w:hAnsi="Arial" w:cs="Arial"/>
          <w:b/>
          <w:bCs/>
          <w:sz w:val="22"/>
          <w:szCs w:val="22"/>
          <w:u w:val="single"/>
        </w:rPr>
      </w:pPr>
    </w:p>
    <w:p w14:paraId="5FA91EE2" w14:textId="77777777" w:rsidR="002F52FB" w:rsidRPr="005D7961" w:rsidRDefault="0092538B">
      <w:pPr>
        <w:rPr>
          <w:rFonts w:ascii="Arial" w:hAnsi="Arial" w:cs="Arial"/>
          <w:b/>
          <w:bCs/>
          <w:u w:val="single"/>
        </w:rPr>
      </w:pPr>
      <w:r w:rsidRPr="005D7961">
        <w:rPr>
          <w:rFonts w:ascii="Arial" w:hAnsi="Arial" w:cs="Arial"/>
          <w:b/>
          <w:bCs/>
          <w:u w:val="single"/>
        </w:rPr>
        <w:t>3.1.2 Premilinary Test (Chow test, Breusch and Pagan Lagrangian Multiplier, and Hausman Test)</w:t>
      </w:r>
    </w:p>
    <w:p w14:paraId="7612B3E4" w14:textId="4F8A675B" w:rsidR="002F52FB" w:rsidRPr="005D7961" w:rsidRDefault="0092538B">
      <w:pPr>
        <w:ind w:firstLine="720"/>
        <w:jc w:val="both"/>
        <w:rPr>
          <w:rFonts w:ascii="Arial" w:hAnsi="Arial" w:cs="Arial"/>
          <w:lang w:val="zh-CN"/>
        </w:rPr>
      </w:pPr>
      <w:r w:rsidRPr="005D7961">
        <w:rPr>
          <w:rFonts w:ascii="Arial" w:hAnsi="Arial" w:cs="Arial"/>
          <w:lang w:val="zh-CN"/>
        </w:rPr>
        <w:t xml:space="preserve">The purpose of this test is to identify the best estimating model to employ, be it a Random Effect, Fixed Effect, or Common Effect model. </w:t>
      </w:r>
      <w:r w:rsidRPr="005D7961">
        <w:rPr>
          <w:rFonts w:ascii="Arial" w:hAnsi="Arial" w:cs="Arial"/>
        </w:rPr>
        <w:t>The selection of this model used several tests, namely</w:t>
      </w:r>
      <w:r w:rsidR="003852F3" w:rsidRPr="005D7961">
        <w:rPr>
          <w:rFonts w:ascii="Arial" w:hAnsi="Arial" w:cs="Arial"/>
        </w:rPr>
        <w:t xml:space="preserve"> </w:t>
      </w:r>
      <w:r w:rsidRPr="005D7961">
        <w:rPr>
          <w:rFonts w:ascii="Arial" w:hAnsi="Arial" w:cs="Arial"/>
        </w:rPr>
        <w:t>the Chow, Breusch and Pagan LM and the Hausman test.</w:t>
      </w:r>
    </w:p>
    <w:p w14:paraId="468C3254" w14:textId="77777777" w:rsidR="002F52FB" w:rsidRPr="005D7961" w:rsidRDefault="002F52FB">
      <w:pPr>
        <w:rPr>
          <w:rFonts w:ascii="Arial" w:hAnsi="Arial" w:cs="Arial"/>
          <w:b/>
          <w:bCs/>
        </w:rPr>
      </w:pPr>
    </w:p>
    <w:p w14:paraId="0B73AE24" w14:textId="77777777" w:rsidR="002F52FB" w:rsidRPr="005D7961" w:rsidRDefault="0092538B">
      <w:pPr>
        <w:jc w:val="center"/>
        <w:rPr>
          <w:rFonts w:ascii="Arial" w:hAnsi="Arial" w:cs="Arial"/>
          <w:b/>
          <w:bCs/>
        </w:rPr>
      </w:pPr>
      <w:r w:rsidRPr="005D7961">
        <w:rPr>
          <w:rFonts w:ascii="Arial" w:hAnsi="Arial" w:cs="Arial"/>
          <w:b/>
          <w:bCs/>
        </w:rPr>
        <w:t>Table 4. Chow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162" w:author="Maher" w:date="2025-07-21T10:39:00Z">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209"/>
        <w:gridCol w:w="1353"/>
        <w:gridCol w:w="1234"/>
        <w:tblGridChange w:id="163">
          <w:tblGrid>
            <w:gridCol w:w="1134"/>
            <w:gridCol w:w="1279"/>
            <w:gridCol w:w="1167"/>
          </w:tblGrid>
        </w:tblGridChange>
      </w:tblGrid>
      <w:tr w:rsidR="002F52FB" w:rsidRPr="005D7961" w14:paraId="5390E947" w14:textId="77777777">
        <w:trPr>
          <w:jc w:val="center"/>
          <w:trPrChange w:id="164" w:author="Maher" w:date="2025-07-21T10:39:00Z">
            <w:trPr>
              <w:jc w:val="center"/>
            </w:trPr>
          </w:trPrChange>
        </w:trPr>
        <w:tc>
          <w:tcPr>
            <w:tcW w:w="2617" w:type="dxa"/>
            <w:tcBorders>
              <w:bottom w:val="single" w:sz="4" w:space="0" w:color="auto"/>
            </w:tcBorders>
            <w:tcPrChange w:id="165" w:author="Maher" w:date="2025-07-21T10:39:00Z">
              <w:tcPr>
                <w:tcW w:w="2617" w:type="dxa"/>
                <w:tcBorders>
                  <w:bottom w:val="single" w:sz="4" w:space="0" w:color="auto"/>
                </w:tcBorders>
              </w:tcPr>
            </w:tcPrChange>
          </w:tcPr>
          <w:p w14:paraId="6FEC4496" w14:textId="77777777" w:rsidR="002F52FB" w:rsidRPr="005D7961" w:rsidRDefault="0092538B">
            <w:pPr>
              <w:rPr>
                <w:rFonts w:ascii="Arial" w:hAnsi="Arial" w:cs="Arial"/>
                <w:b/>
                <w:bCs/>
              </w:rPr>
            </w:pPr>
            <w:r w:rsidRPr="005D7961">
              <w:rPr>
                <w:rFonts w:ascii="Arial" w:hAnsi="Arial" w:cs="Arial"/>
                <w:b/>
                <w:bCs/>
              </w:rPr>
              <w:t>Chow Test</w:t>
            </w:r>
          </w:p>
        </w:tc>
        <w:tc>
          <w:tcPr>
            <w:tcW w:w="2741" w:type="dxa"/>
            <w:tcBorders>
              <w:bottom w:val="single" w:sz="4" w:space="0" w:color="auto"/>
            </w:tcBorders>
            <w:tcPrChange w:id="166" w:author="Maher" w:date="2025-07-21T10:39:00Z">
              <w:tcPr>
                <w:tcW w:w="2741" w:type="dxa"/>
                <w:tcBorders>
                  <w:bottom w:val="single" w:sz="4" w:space="0" w:color="auto"/>
                </w:tcBorders>
              </w:tcPr>
            </w:tcPrChange>
          </w:tcPr>
          <w:p w14:paraId="56102075" w14:textId="77777777" w:rsidR="002F52FB" w:rsidRPr="005D7961" w:rsidRDefault="0092538B">
            <w:pPr>
              <w:rPr>
                <w:rFonts w:ascii="Arial" w:hAnsi="Arial" w:cs="Arial"/>
                <w:b/>
                <w:bCs/>
              </w:rPr>
            </w:pPr>
            <w:r w:rsidRPr="005D7961">
              <w:rPr>
                <w:rFonts w:ascii="Arial" w:hAnsi="Arial" w:cs="Arial"/>
                <w:b/>
                <w:bCs/>
              </w:rPr>
              <w:t>Prob&gt;F</w:t>
            </w:r>
          </w:p>
        </w:tc>
        <w:tc>
          <w:tcPr>
            <w:tcW w:w="2512" w:type="dxa"/>
            <w:tcBorders>
              <w:bottom w:val="single" w:sz="4" w:space="0" w:color="auto"/>
            </w:tcBorders>
            <w:tcPrChange w:id="167" w:author="Maher" w:date="2025-07-21T10:39:00Z">
              <w:tcPr>
                <w:tcW w:w="2512" w:type="dxa"/>
                <w:tcBorders>
                  <w:bottom w:val="single" w:sz="4" w:space="0" w:color="auto"/>
                </w:tcBorders>
              </w:tcPr>
            </w:tcPrChange>
          </w:tcPr>
          <w:p w14:paraId="43BA0CFC" w14:textId="77777777" w:rsidR="002F52FB" w:rsidRPr="005D7961" w:rsidRDefault="0092538B">
            <w:pPr>
              <w:rPr>
                <w:rFonts w:ascii="Arial" w:hAnsi="Arial" w:cs="Arial"/>
                <w:b/>
                <w:bCs/>
              </w:rPr>
            </w:pPr>
            <w:r w:rsidRPr="005D7961">
              <w:rPr>
                <w:rFonts w:ascii="Arial" w:hAnsi="Arial" w:cs="Arial"/>
                <w:b/>
                <w:bCs/>
              </w:rPr>
              <w:t>Result</w:t>
            </w:r>
          </w:p>
        </w:tc>
      </w:tr>
      <w:tr w:rsidR="002F52FB" w:rsidRPr="005D7961" w14:paraId="42D79CEE" w14:textId="77777777">
        <w:trPr>
          <w:jc w:val="center"/>
          <w:trPrChange w:id="168" w:author="Maher" w:date="2025-07-21T10:39:00Z">
            <w:trPr>
              <w:jc w:val="center"/>
            </w:trPr>
          </w:trPrChange>
        </w:trPr>
        <w:tc>
          <w:tcPr>
            <w:tcW w:w="2617" w:type="dxa"/>
            <w:tcBorders>
              <w:top w:val="single" w:sz="4" w:space="0" w:color="auto"/>
              <w:tl2br w:val="nil"/>
              <w:tr2bl w:val="nil"/>
            </w:tcBorders>
            <w:tcPrChange w:id="169" w:author="Maher" w:date="2025-07-21T10:39:00Z">
              <w:tcPr>
                <w:tcW w:w="2617" w:type="dxa"/>
                <w:tcBorders>
                  <w:top w:val="single" w:sz="4" w:space="0" w:color="auto"/>
                  <w:tl2br w:val="nil"/>
                  <w:tr2bl w:val="nil"/>
                </w:tcBorders>
              </w:tcPr>
            </w:tcPrChange>
          </w:tcPr>
          <w:p w14:paraId="79521870" w14:textId="77777777" w:rsidR="002F52FB" w:rsidRPr="005D7961" w:rsidRDefault="0092538B">
            <w:pPr>
              <w:rPr>
                <w:rFonts w:ascii="Arial" w:hAnsi="Arial" w:cs="Arial"/>
              </w:rPr>
            </w:pPr>
            <w:r w:rsidRPr="005D7961">
              <w:rPr>
                <w:rFonts w:ascii="Arial" w:hAnsi="Arial" w:cs="Arial"/>
              </w:rPr>
              <w:t>Model 1</w:t>
            </w:r>
          </w:p>
        </w:tc>
        <w:tc>
          <w:tcPr>
            <w:tcW w:w="2741" w:type="dxa"/>
            <w:tcBorders>
              <w:top w:val="single" w:sz="4" w:space="0" w:color="auto"/>
              <w:tl2br w:val="nil"/>
              <w:tr2bl w:val="nil"/>
            </w:tcBorders>
            <w:tcPrChange w:id="170" w:author="Maher" w:date="2025-07-21T10:39:00Z">
              <w:tcPr>
                <w:tcW w:w="2741" w:type="dxa"/>
                <w:tcBorders>
                  <w:top w:val="single" w:sz="4" w:space="0" w:color="auto"/>
                  <w:tl2br w:val="nil"/>
                  <w:tr2bl w:val="nil"/>
                </w:tcBorders>
              </w:tcPr>
            </w:tcPrChange>
          </w:tcPr>
          <w:p w14:paraId="5D80841C" w14:textId="77777777" w:rsidR="002F52FB" w:rsidRPr="005D7961" w:rsidRDefault="0092538B">
            <w:pPr>
              <w:rPr>
                <w:rFonts w:ascii="Arial" w:hAnsi="Arial" w:cs="Arial"/>
              </w:rPr>
            </w:pPr>
            <w:r w:rsidRPr="005D7961">
              <w:rPr>
                <w:rFonts w:ascii="Arial" w:hAnsi="Arial" w:cs="Arial"/>
              </w:rPr>
              <w:t>0.000</w:t>
            </w:r>
          </w:p>
        </w:tc>
        <w:tc>
          <w:tcPr>
            <w:tcW w:w="2512" w:type="dxa"/>
            <w:tcBorders>
              <w:top w:val="single" w:sz="4" w:space="0" w:color="auto"/>
              <w:tl2br w:val="nil"/>
              <w:tr2bl w:val="nil"/>
            </w:tcBorders>
            <w:tcPrChange w:id="171" w:author="Maher" w:date="2025-07-21T10:39:00Z">
              <w:tcPr>
                <w:tcW w:w="2512" w:type="dxa"/>
                <w:tcBorders>
                  <w:top w:val="single" w:sz="4" w:space="0" w:color="auto"/>
                  <w:tl2br w:val="nil"/>
                  <w:tr2bl w:val="nil"/>
                </w:tcBorders>
              </w:tcPr>
            </w:tcPrChange>
          </w:tcPr>
          <w:p w14:paraId="26591717" w14:textId="77777777" w:rsidR="002F52FB" w:rsidRPr="005D7961" w:rsidRDefault="0092538B">
            <w:pPr>
              <w:rPr>
                <w:rFonts w:ascii="Arial" w:hAnsi="Arial" w:cs="Arial"/>
              </w:rPr>
            </w:pPr>
            <w:r w:rsidRPr="005D7961">
              <w:rPr>
                <w:rFonts w:ascii="Arial" w:hAnsi="Arial" w:cs="Arial"/>
              </w:rPr>
              <w:t>FE</w:t>
            </w:r>
          </w:p>
        </w:tc>
      </w:tr>
      <w:tr w:rsidR="002F52FB" w:rsidRPr="005D7961" w14:paraId="19D5AAF8" w14:textId="77777777">
        <w:trPr>
          <w:jc w:val="center"/>
          <w:trPrChange w:id="172" w:author="Maher" w:date="2025-07-21T10:39:00Z">
            <w:trPr>
              <w:jc w:val="center"/>
            </w:trPr>
          </w:trPrChange>
        </w:trPr>
        <w:tc>
          <w:tcPr>
            <w:tcW w:w="2617" w:type="dxa"/>
            <w:tcBorders>
              <w:tl2br w:val="nil"/>
              <w:tr2bl w:val="nil"/>
            </w:tcBorders>
            <w:tcPrChange w:id="173" w:author="Maher" w:date="2025-07-21T10:39:00Z">
              <w:tcPr>
                <w:tcW w:w="2617" w:type="dxa"/>
                <w:tcBorders>
                  <w:tl2br w:val="nil"/>
                  <w:tr2bl w:val="nil"/>
                </w:tcBorders>
              </w:tcPr>
            </w:tcPrChange>
          </w:tcPr>
          <w:p w14:paraId="64AC2C8D" w14:textId="77777777" w:rsidR="002F52FB" w:rsidRPr="005D7961" w:rsidRDefault="0092538B">
            <w:pPr>
              <w:rPr>
                <w:rFonts w:ascii="Arial" w:hAnsi="Arial" w:cs="Arial"/>
              </w:rPr>
            </w:pPr>
            <w:r w:rsidRPr="005D7961">
              <w:rPr>
                <w:rFonts w:ascii="Arial" w:hAnsi="Arial" w:cs="Arial"/>
              </w:rPr>
              <w:t>Model 2</w:t>
            </w:r>
          </w:p>
        </w:tc>
        <w:tc>
          <w:tcPr>
            <w:tcW w:w="2741" w:type="dxa"/>
            <w:tcBorders>
              <w:tl2br w:val="nil"/>
              <w:tr2bl w:val="nil"/>
            </w:tcBorders>
            <w:tcPrChange w:id="174" w:author="Maher" w:date="2025-07-21T10:39:00Z">
              <w:tcPr>
                <w:tcW w:w="2741" w:type="dxa"/>
                <w:tcBorders>
                  <w:tl2br w:val="nil"/>
                  <w:tr2bl w:val="nil"/>
                </w:tcBorders>
              </w:tcPr>
            </w:tcPrChange>
          </w:tcPr>
          <w:p w14:paraId="3C36121D" w14:textId="77777777" w:rsidR="002F52FB" w:rsidRPr="005D7961" w:rsidRDefault="0092538B">
            <w:pPr>
              <w:rPr>
                <w:rFonts w:ascii="Arial" w:hAnsi="Arial" w:cs="Arial"/>
              </w:rPr>
            </w:pPr>
            <w:r w:rsidRPr="005D7961">
              <w:rPr>
                <w:rFonts w:ascii="Arial" w:hAnsi="Arial" w:cs="Arial"/>
              </w:rPr>
              <w:t>0.000</w:t>
            </w:r>
          </w:p>
        </w:tc>
        <w:tc>
          <w:tcPr>
            <w:tcW w:w="2512" w:type="dxa"/>
            <w:tcBorders>
              <w:tl2br w:val="nil"/>
              <w:tr2bl w:val="nil"/>
            </w:tcBorders>
            <w:tcPrChange w:id="175" w:author="Maher" w:date="2025-07-21T10:39:00Z">
              <w:tcPr>
                <w:tcW w:w="2512" w:type="dxa"/>
                <w:tcBorders>
                  <w:tl2br w:val="nil"/>
                  <w:tr2bl w:val="nil"/>
                </w:tcBorders>
              </w:tcPr>
            </w:tcPrChange>
          </w:tcPr>
          <w:p w14:paraId="0161A3CD" w14:textId="77777777" w:rsidR="002F52FB" w:rsidRPr="005D7961" w:rsidRDefault="0092538B">
            <w:pPr>
              <w:rPr>
                <w:rFonts w:ascii="Arial" w:hAnsi="Arial" w:cs="Arial"/>
              </w:rPr>
            </w:pPr>
            <w:r w:rsidRPr="005D7961">
              <w:rPr>
                <w:rFonts w:ascii="Arial" w:hAnsi="Arial" w:cs="Arial"/>
              </w:rPr>
              <w:t>FE</w:t>
            </w:r>
          </w:p>
        </w:tc>
      </w:tr>
    </w:tbl>
    <w:p w14:paraId="350CA81D" w14:textId="77777777" w:rsidR="002F52FB" w:rsidRPr="005D7961" w:rsidRDefault="0092538B">
      <w:pPr>
        <w:rPr>
          <w:rFonts w:ascii="Arial" w:hAnsi="Arial" w:cs="Arial"/>
          <w:i/>
          <w:iCs/>
          <w:sz w:val="18"/>
          <w:szCs w:val="18"/>
        </w:rPr>
      </w:pPr>
      <w:r w:rsidRPr="005D7961">
        <w:rPr>
          <w:rFonts w:ascii="Arial" w:hAnsi="Arial" w:cs="Arial"/>
          <w:i/>
          <w:iCs/>
          <w:sz w:val="18"/>
          <w:szCs w:val="18"/>
        </w:rPr>
        <w:t>*Source; Data processed, 2025</w:t>
      </w:r>
    </w:p>
    <w:p w14:paraId="419A3278" w14:textId="77777777" w:rsidR="002F52FB" w:rsidRPr="005D7961" w:rsidRDefault="002F52FB">
      <w:pPr>
        <w:jc w:val="center"/>
        <w:rPr>
          <w:rFonts w:ascii="Arial" w:hAnsi="Arial" w:cs="Arial"/>
          <w:b/>
          <w:bCs/>
          <w:sz w:val="16"/>
          <w:szCs w:val="16"/>
        </w:rPr>
      </w:pPr>
    </w:p>
    <w:p w14:paraId="538F0431" w14:textId="77777777" w:rsidR="002F52FB" w:rsidRPr="005D7961" w:rsidRDefault="0092538B">
      <w:pPr>
        <w:jc w:val="center"/>
        <w:rPr>
          <w:rFonts w:ascii="Arial" w:hAnsi="Arial" w:cs="Arial"/>
          <w:b/>
          <w:bCs/>
        </w:rPr>
      </w:pPr>
      <w:r w:rsidRPr="005D7961">
        <w:rPr>
          <w:rFonts w:ascii="Arial" w:hAnsi="Arial" w:cs="Arial"/>
          <w:b/>
          <w:bCs/>
        </w:rPr>
        <w:t>Table 5. Breusch and Pagan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176" w:author="Maher" w:date="2025-07-21T10:39:00Z">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018"/>
        <w:gridCol w:w="1701"/>
        <w:gridCol w:w="1077"/>
        <w:tblGridChange w:id="177">
          <w:tblGrid>
            <w:gridCol w:w="936"/>
            <w:gridCol w:w="1647"/>
            <w:gridCol w:w="997"/>
          </w:tblGrid>
        </w:tblGridChange>
      </w:tblGrid>
      <w:tr w:rsidR="002F52FB" w:rsidRPr="005D7961" w14:paraId="54C4155A" w14:textId="77777777">
        <w:trPr>
          <w:jc w:val="center"/>
          <w:trPrChange w:id="178" w:author="Maher" w:date="2025-07-21T10:39:00Z">
            <w:trPr>
              <w:jc w:val="center"/>
            </w:trPr>
          </w:trPrChange>
        </w:trPr>
        <w:tc>
          <w:tcPr>
            <w:tcW w:w="2572" w:type="dxa"/>
            <w:tcBorders>
              <w:bottom w:val="single" w:sz="4" w:space="0" w:color="auto"/>
            </w:tcBorders>
            <w:tcPrChange w:id="179" w:author="Maher" w:date="2025-07-21T10:39:00Z">
              <w:tcPr>
                <w:tcW w:w="2572" w:type="dxa"/>
                <w:tcBorders>
                  <w:bottom w:val="single" w:sz="4" w:space="0" w:color="auto"/>
                </w:tcBorders>
              </w:tcPr>
            </w:tcPrChange>
          </w:tcPr>
          <w:p w14:paraId="30A09ED3" w14:textId="77777777" w:rsidR="002F52FB" w:rsidRPr="005D7961" w:rsidRDefault="0092538B">
            <w:pPr>
              <w:rPr>
                <w:rFonts w:ascii="Arial" w:hAnsi="Arial" w:cs="Arial"/>
                <w:b/>
                <w:bCs/>
              </w:rPr>
            </w:pPr>
            <w:r w:rsidRPr="005D7961">
              <w:rPr>
                <w:rFonts w:ascii="Arial" w:hAnsi="Arial" w:cs="Arial"/>
                <w:b/>
                <w:bCs/>
              </w:rPr>
              <w:t>LM test</w:t>
            </w:r>
          </w:p>
        </w:tc>
        <w:tc>
          <w:tcPr>
            <w:tcW w:w="2719" w:type="dxa"/>
            <w:tcBorders>
              <w:bottom w:val="single" w:sz="4" w:space="0" w:color="auto"/>
            </w:tcBorders>
            <w:tcPrChange w:id="180" w:author="Maher" w:date="2025-07-21T10:39:00Z">
              <w:tcPr>
                <w:tcW w:w="2719" w:type="dxa"/>
                <w:tcBorders>
                  <w:bottom w:val="single" w:sz="4" w:space="0" w:color="auto"/>
                </w:tcBorders>
              </w:tcPr>
            </w:tcPrChange>
          </w:tcPr>
          <w:p w14:paraId="1CF9C205" w14:textId="77777777" w:rsidR="002F52FB" w:rsidRPr="005D7961" w:rsidRDefault="0092538B">
            <w:pPr>
              <w:rPr>
                <w:rFonts w:ascii="Arial" w:hAnsi="Arial" w:cs="Arial"/>
                <w:b/>
                <w:bCs/>
              </w:rPr>
            </w:pPr>
            <w:r w:rsidRPr="005D7961">
              <w:rPr>
                <w:rFonts w:ascii="Arial" w:hAnsi="Arial" w:cs="Arial"/>
                <w:b/>
                <w:bCs/>
              </w:rPr>
              <w:t>Prob&gt;Chibar2</w:t>
            </w:r>
          </w:p>
        </w:tc>
        <w:tc>
          <w:tcPr>
            <w:tcW w:w="2579" w:type="dxa"/>
            <w:tcBorders>
              <w:bottom w:val="single" w:sz="4" w:space="0" w:color="auto"/>
            </w:tcBorders>
            <w:tcPrChange w:id="181" w:author="Maher" w:date="2025-07-21T10:39:00Z">
              <w:tcPr>
                <w:tcW w:w="2579" w:type="dxa"/>
                <w:tcBorders>
                  <w:bottom w:val="single" w:sz="4" w:space="0" w:color="auto"/>
                </w:tcBorders>
              </w:tcPr>
            </w:tcPrChange>
          </w:tcPr>
          <w:p w14:paraId="34950A97" w14:textId="77777777" w:rsidR="002F52FB" w:rsidRPr="005D7961" w:rsidRDefault="0092538B">
            <w:pPr>
              <w:rPr>
                <w:rFonts w:ascii="Arial" w:hAnsi="Arial" w:cs="Arial"/>
                <w:b/>
                <w:bCs/>
              </w:rPr>
            </w:pPr>
            <w:r w:rsidRPr="005D7961">
              <w:rPr>
                <w:rFonts w:ascii="Arial" w:hAnsi="Arial" w:cs="Arial"/>
                <w:b/>
                <w:bCs/>
              </w:rPr>
              <w:t>Result</w:t>
            </w:r>
          </w:p>
        </w:tc>
      </w:tr>
      <w:tr w:rsidR="002F52FB" w:rsidRPr="005D7961" w14:paraId="51A8F352" w14:textId="77777777">
        <w:trPr>
          <w:jc w:val="center"/>
          <w:trPrChange w:id="182" w:author="Maher" w:date="2025-07-21T10:39:00Z">
            <w:trPr>
              <w:jc w:val="center"/>
            </w:trPr>
          </w:trPrChange>
        </w:trPr>
        <w:tc>
          <w:tcPr>
            <w:tcW w:w="2572" w:type="dxa"/>
            <w:tcBorders>
              <w:top w:val="single" w:sz="4" w:space="0" w:color="auto"/>
              <w:tl2br w:val="nil"/>
              <w:tr2bl w:val="nil"/>
            </w:tcBorders>
            <w:tcPrChange w:id="183" w:author="Maher" w:date="2025-07-21T10:39:00Z">
              <w:tcPr>
                <w:tcW w:w="2572" w:type="dxa"/>
                <w:tcBorders>
                  <w:top w:val="single" w:sz="4" w:space="0" w:color="auto"/>
                  <w:tl2br w:val="nil"/>
                  <w:tr2bl w:val="nil"/>
                </w:tcBorders>
              </w:tcPr>
            </w:tcPrChange>
          </w:tcPr>
          <w:p w14:paraId="0173F704" w14:textId="77777777" w:rsidR="002F52FB" w:rsidRPr="005D7961" w:rsidRDefault="0092538B">
            <w:pPr>
              <w:rPr>
                <w:rFonts w:ascii="Arial" w:hAnsi="Arial" w:cs="Arial"/>
              </w:rPr>
            </w:pPr>
            <w:r w:rsidRPr="005D7961">
              <w:rPr>
                <w:rFonts w:ascii="Arial" w:hAnsi="Arial" w:cs="Arial"/>
              </w:rPr>
              <w:t>Model 1</w:t>
            </w:r>
          </w:p>
        </w:tc>
        <w:tc>
          <w:tcPr>
            <w:tcW w:w="2719" w:type="dxa"/>
            <w:tcBorders>
              <w:top w:val="single" w:sz="4" w:space="0" w:color="auto"/>
              <w:tl2br w:val="nil"/>
              <w:tr2bl w:val="nil"/>
            </w:tcBorders>
            <w:tcPrChange w:id="184" w:author="Maher" w:date="2025-07-21T10:39:00Z">
              <w:tcPr>
                <w:tcW w:w="2719" w:type="dxa"/>
                <w:tcBorders>
                  <w:top w:val="single" w:sz="4" w:space="0" w:color="auto"/>
                  <w:tl2br w:val="nil"/>
                  <w:tr2bl w:val="nil"/>
                </w:tcBorders>
              </w:tcPr>
            </w:tcPrChange>
          </w:tcPr>
          <w:p w14:paraId="58D7F558" w14:textId="77777777" w:rsidR="002F52FB" w:rsidRPr="005D7961" w:rsidRDefault="0092538B">
            <w:pPr>
              <w:jc w:val="center"/>
              <w:rPr>
                <w:rFonts w:ascii="Arial" w:hAnsi="Arial" w:cs="Arial"/>
              </w:rPr>
            </w:pPr>
            <w:r w:rsidRPr="005D7961">
              <w:rPr>
                <w:rFonts w:ascii="Arial" w:hAnsi="Arial" w:cs="Arial"/>
              </w:rPr>
              <w:t>0.000</w:t>
            </w:r>
          </w:p>
        </w:tc>
        <w:tc>
          <w:tcPr>
            <w:tcW w:w="2579" w:type="dxa"/>
            <w:tcBorders>
              <w:top w:val="single" w:sz="4" w:space="0" w:color="auto"/>
              <w:tl2br w:val="nil"/>
              <w:tr2bl w:val="nil"/>
            </w:tcBorders>
            <w:tcPrChange w:id="185" w:author="Maher" w:date="2025-07-21T10:39:00Z">
              <w:tcPr>
                <w:tcW w:w="2579" w:type="dxa"/>
                <w:tcBorders>
                  <w:top w:val="single" w:sz="4" w:space="0" w:color="auto"/>
                  <w:tl2br w:val="nil"/>
                  <w:tr2bl w:val="nil"/>
                </w:tcBorders>
              </w:tcPr>
            </w:tcPrChange>
          </w:tcPr>
          <w:p w14:paraId="6FEC2734" w14:textId="77777777" w:rsidR="002F52FB" w:rsidRPr="005D7961" w:rsidRDefault="0092538B">
            <w:pPr>
              <w:rPr>
                <w:rFonts w:ascii="Arial" w:hAnsi="Arial" w:cs="Arial"/>
              </w:rPr>
            </w:pPr>
            <w:r w:rsidRPr="005D7961">
              <w:rPr>
                <w:rFonts w:ascii="Arial" w:hAnsi="Arial" w:cs="Arial"/>
              </w:rPr>
              <w:t>RE</w:t>
            </w:r>
          </w:p>
        </w:tc>
      </w:tr>
      <w:tr w:rsidR="002F52FB" w:rsidRPr="005D7961" w14:paraId="66A2600B" w14:textId="77777777">
        <w:trPr>
          <w:jc w:val="center"/>
          <w:trPrChange w:id="186" w:author="Maher" w:date="2025-07-21T10:39:00Z">
            <w:trPr>
              <w:jc w:val="center"/>
            </w:trPr>
          </w:trPrChange>
        </w:trPr>
        <w:tc>
          <w:tcPr>
            <w:tcW w:w="2572" w:type="dxa"/>
            <w:tcBorders>
              <w:tl2br w:val="nil"/>
              <w:tr2bl w:val="nil"/>
            </w:tcBorders>
            <w:tcPrChange w:id="187" w:author="Maher" w:date="2025-07-21T10:39:00Z">
              <w:tcPr>
                <w:tcW w:w="2572" w:type="dxa"/>
                <w:tcBorders>
                  <w:tl2br w:val="nil"/>
                  <w:tr2bl w:val="nil"/>
                </w:tcBorders>
              </w:tcPr>
            </w:tcPrChange>
          </w:tcPr>
          <w:p w14:paraId="598B6D53" w14:textId="77777777" w:rsidR="002F52FB" w:rsidRPr="005D7961" w:rsidRDefault="0092538B">
            <w:pPr>
              <w:rPr>
                <w:rFonts w:ascii="Arial" w:hAnsi="Arial" w:cs="Arial"/>
              </w:rPr>
            </w:pPr>
            <w:r w:rsidRPr="005D7961">
              <w:rPr>
                <w:rFonts w:ascii="Arial" w:hAnsi="Arial" w:cs="Arial"/>
              </w:rPr>
              <w:t>Model 2</w:t>
            </w:r>
          </w:p>
        </w:tc>
        <w:tc>
          <w:tcPr>
            <w:tcW w:w="2719" w:type="dxa"/>
            <w:tcBorders>
              <w:tl2br w:val="nil"/>
              <w:tr2bl w:val="nil"/>
            </w:tcBorders>
            <w:tcPrChange w:id="188" w:author="Maher" w:date="2025-07-21T10:39:00Z">
              <w:tcPr>
                <w:tcW w:w="2719" w:type="dxa"/>
                <w:tcBorders>
                  <w:tl2br w:val="nil"/>
                  <w:tr2bl w:val="nil"/>
                </w:tcBorders>
              </w:tcPr>
            </w:tcPrChange>
          </w:tcPr>
          <w:p w14:paraId="54EDEF81" w14:textId="77777777" w:rsidR="002F52FB" w:rsidRPr="005D7961" w:rsidRDefault="0092538B">
            <w:pPr>
              <w:jc w:val="center"/>
              <w:rPr>
                <w:rFonts w:ascii="Arial" w:hAnsi="Arial" w:cs="Arial"/>
              </w:rPr>
            </w:pPr>
            <w:r w:rsidRPr="005D7961">
              <w:rPr>
                <w:rFonts w:ascii="Arial" w:hAnsi="Arial" w:cs="Arial"/>
              </w:rPr>
              <w:t>0.000</w:t>
            </w:r>
          </w:p>
        </w:tc>
        <w:tc>
          <w:tcPr>
            <w:tcW w:w="2579" w:type="dxa"/>
            <w:tcBorders>
              <w:tl2br w:val="nil"/>
              <w:tr2bl w:val="nil"/>
            </w:tcBorders>
            <w:tcPrChange w:id="189" w:author="Maher" w:date="2025-07-21T10:39:00Z">
              <w:tcPr>
                <w:tcW w:w="2579" w:type="dxa"/>
                <w:tcBorders>
                  <w:tl2br w:val="nil"/>
                  <w:tr2bl w:val="nil"/>
                </w:tcBorders>
              </w:tcPr>
            </w:tcPrChange>
          </w:tcPr>
          <w:p w14:paraId="470A0659" w14:textId="77777777" w:rsidR="002F52FB" w:rsidRPr="005D7961" w:rsidRDefault="0092538B">
            <w:pPr>
              <w:rPr>
                <w:rFonts w:ascii="Arial" w:hAnsi="Arial" w:cs="Arial"/>
              </w:rPr>
            </w:pPr>
            <w:r w:rsidRPr="005D7961">
              <w:rPr>
                <w:rFonts w:ascii="Arial" w:hAnsi="Arial" w:cs="Arial"/>
              </w:rPr>
              <w:t>RE</w:t>
            </w:r>
          </w:p>
        </w:tc>
      </w:tr>
    </w:tbl>
    <w:p w14:paraId="7E4B6C6B" w14:textId="77777777" w:rsidR="002F52FB" w:rsidRPr="005D7961" w:rsidRDefault="0092538B">
      <w:pPr>
        <w:rPr>
          <w:rFonts w:ascii="Arial" w:hAnsi="Arial" w:cs="Arial"/>
          <w:i/>
          <w:iCs/>
          <w:sz w:val="18"/>
          <w:szCs w:val="18"/>
        </w:rPr>
      </w:pPr>
      <w:r w:rsidRPr="005D7961">
        <w:rPr>
          <w:rFonts w:ascii="Arial" w:hAnsi="Arial" w:cs="Arial"/>
          <w:i/>
          <w:iCs/>
          <w:sz w:val="18"/>
          <w:szCs w:val="18"/>
        </w:rPr>
        <w:t>*Source; Data processed, 2025</w:t>
      </w:r>
    </w:p>
    <w:p w14:paraId="2E8B50B0" w14:textId="77777777" w:rsidR="002F52FB" w:rsidRPr="005D7961" w:rsidRDefault="002F52FB">
      <w:pPr>
        <w:rPr>
          <w:rFonts w:ascii="Arial" w:hAnsi="Arial" w:cs="Arial"/>
          <w:b/>
          <w:bCs/>
          <w:sz w:val="16"/>
          <w:szCs w:val="16"/>
          <w:u w:val="single"/>
        </w:rPr>
      </w:pPr>
    </w:p>
    <w:p w14:paraId="31A347AE" w14:textId="77777777" w:rsidR="002F52FB" w:rsidRPr="005D7961" w:rsidRDefault="0092538B">
      <w:pPr>
        <w:jc w:val="center"/>
        <w:rPr>
          <w:rFonts w:ascii="Arial" w:hAnsi="Arial" w:cs="Arial"/>
          <w:b/>
          <w:bCs/>
        </w:rPr>
      </w:pPr>
      <w:r w:rsidRPr="005D7961">
        <w:rPr>
          <w:rFonts w:ascii="Arial" w:hAnsi="Arial" w:cs="Arial"/>
          <w:b/>
          <w:bCs/>
        </w:rPr>
        <w:t>Table 6. Hausman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190" w:author="Maher" w:date="2025-07-21T10:39:00Z">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325"/>
        <w:gridCol w:w="1398"/>
        <w:gridCol w:w="1073"/>
        <w:tblGridChange w:id="191">
          <w:tblGrid>
            <w:gridCol w:w="1257"/>
            <w:gridCol w:w="1330"/>
            <w:gridCol w:w="993"/>
          </w:tblGrid>
        </w:tblGridChange>
      </w:tblGrid>
      <w:tr w:rsidR="002F52FB" w:rsidRPr="005D7961" w14:paraId="641B0CD4" w14:textId="77777777">
        <w:trPr>
          <w:jc w:val="center"/>
          <w:trPrChange w:id="192" w:author="Maher" w:date="2025-07-21T10:39:00Z">
            <w:trPr>
              <w:jc w:val="center"/>
            </w:trPr>
          </w:trPrChange>
        </w:trPr>
        <w:tc>
          <w:tcPr>
            <w:tcW w:w="2604" w:type="dxa"/>
            <w:tcBorders>
              <w:bottom w:val="single" w:sz="4" w:space="0" w:color="auto"/>
            </w:tcBorders>
            <w:tcPrChange w:id="193" w:author="Maher" w:date="2025-07-21T10:39:00Z">
              <w:tcPr>
                <w:tcW w:w="2604" w:type="dxa"/>
                <w:tcBorders>
                  <w:bottom w:val="single" w:sz="4" w:space="0" w:color="auto"/>
                </w:tcBorders>
              </w:tcPr>
            </w:tcPrChange>
          </w:tcPr>
          <w:p w14:paraId="6001AC96" w14:textId="77777777" w:rsidR="002F52FB" w:rsidRPr="005D7961" w:rsidRDefault="0092538B">
            <w:pPr>
              <w:rPr>
                <w:rFonts w:ascii="Arial" w:hAnsi="Arial" w:cs="Arial"/>
                <w:b/>
                <w:bCs/>
              </w:rPr>
            </w:pPr>
            <w:r w:rsidRPr="005D7961">
              <w:rPr>
                <w:rFonts w:ascii="Arial" w:hAnsi="Arial" w:cs="Arial"/>
                <w:b/>
                <w:bCs/>
              </w:rPr>
              <w:t>Hausman test</w:t>
            </w:r>
          </w:p>
        </w:tc>
        <w:tc>
          <w:tcPr>
            <w:tcW w:w="2687" w:type="dxa"/>
            <w:tcBorders>
              <w:bottom w:val="single" w:sz="4" w:space="0" w:color="auto"/>
            </w:tcBorders>
            <w:tcPrChange w:id="194" w:author="Maher" w:date="2025-07-21T10:39:00Z">
              <w:tcPr>
                <w:tcW w:w="2687" w:type="dxa"/>
                <w:tcBorders>
                  <w:bottom w:val="single" w:sz="4" w:space="0" w:color="auto"/>
                </w:tcBorders>
              </w:tcPr>
            </w:tcPrChange>
          </w:tcPr>
          <w:p w14:paraId="3B46D02F" w14:textId="77777777" w:rsidR="002F52FB" w:rsidRPr="005D7961" w:rsidRDefault="0092538B">
            <w:pPr>
              <w:rPr>
                <w:rFonts w:ascii="Arial" w:hAnsi="Arial" w:cs="Arial"/>
                <w:b/>
                <w:bCs/>
              </w:rPr>
            </w:pPr>
            <w:r w:rsidRPr="005D7961">
              <w:rPr>
                <w:rFonts w:ascii="Arial" w:hAnsi="Arial" w:cs="Arial"/>
                <w:b/>
                <w:bCs/>
              </w:rPr>
              <w:t>Prob&gt;chi2</w:t>
            </w:r>
          </w:p>
        </w:tc>
        <w:tc>
          <w:tcPr>
            <w:tcW w:w="2579" w:type="dxa"/>
            <w:tcBorders>
              <w:bottom w:val="single" w:sz="4" w:space="0" w:color="auto"/>
            </w:tcBorders>
            <w:tcPrChange w:id="195" w:author="Maher" w:date="2025-07-21T10:39:00Z">
              <w:tcPr>
                <w:tcW w:w="2579" w:type="dxa"/>
                <w:tcBorders>
                  <w:bottom w:val="single" w:sz="4" w:space="0" w:color="auto"/>
                </w:tcBorders>
              </w:tcPr>
            </w:tcPrChange>
          </w:tcPr>
          <w:p w14:paraId="26AD5ED0" w14:textId="77777777" w:rsidR="002F52FB" w:rsidRPr="005D7961" w:rsidRDefault="0092538B">
            <w:pPr>
              <w:rPr>
                <w:rFonts w:ascii="Arial" w:hAnsi="Arial" w:cs="Arial"/>
                <w:b/>
                <w:bCs/>
              </w:rPr>
            </w:pPr>
            <w:r w:rsidRPr="005D7961">
              <w:rPr>
                <w:rFonts w:ascii="Arial" w:hAnsi="Arial" w:cs="Arial"/>
                <w:b/>
                <w:bCs/>
              </w:rPr>
              <w:t>Result</w:t>
            </w:r>
          </w:p>
        </w:tc>
      </w:tr>
      <w:tr w:rsidR="002F52FB" w:rsidRPr="005D7961" w14:paraId="0104D01D" w14:textId="77777777">
        <w:trPr>
          <w:jc w:val="center"/>
          <w:trPrChange w:id="196" w:author="Maher" w:date="2025-07-21T10:39:00Z">
            <w:trPr>
              <w:jc w:val="center"/>
            </w:trPr>
          </w:trPrChange>
        </w:trPr>
        <w:tc>
          <w:tcPr>
            <w:tcW w:w="2604" w:type="dxa"/>
            <w:tcBorders>
              <w:top w:val="single" w:sz="4" w:space="0" w:color="auto"/>
              <w:tl2br w:val="nil"/>
              <w:tr2bl w:val="nil"/>
            </w:tcBorders>
            <w:tcPrChange w:id="197" w:author="Maher" w:date="2025-07-21T10:39:00Z">
              <w:tcPr>
                <w:tcW w:w="2604" w:type="dxa"/>
                <w:tcBorders>
                  <w:top w:val="single" w:sz="4" w:space="0" w:color="auto"/>
                  <w:tl2br w:val="nil"/>
                  <w:tr2bl w:val="nil"/>
                </w:tcBorders>
              </w:tcPr>
            </w:tcPrChange>
          </w:tcPr>
          <w:p w14:paraId="7CC814DA" w14:textId="77777777" w:rsidR="002F52FB" w:rsidRPr="005D7961" w:rsidRDefault="0092538B">
            <w:pPr>
              <w:rPr>
                <w:rFonts w:ascii="Arial" w:hAnsi="Arial" w:cs="Arial"/>
              </w:rPr>
            </w:pPr>
            <w:r w:rsidRPr="005D7961">
              <w:rPr>
                <w:rFonts w:ascii="Arial" w:hAnsi="Arial" w:cs="Arial"/>
              </w:rPr>
              <w:t>Model 1</w:t>
            </w:r>
          </w:p>
        </w:tc>
        <w:tc>
          <w:tcPr>
            <w:tcW w:w="2687" w:type="dxa"/>
            <w:tcBorders>
              <w:top w:val="single" w:sz="4" w:space="0" w:color="auto"/>
              <w:tl2br w:val="nil"/>
              <w:tr2bl w:val="nil"/>
            </w:tcBorders>
            <w:tcPrChange w:id="198" w:author="Maher" w:date="2025-07-21T10:39:00Z">
              <w:tcPr>
                <w:tcW w:w="2687" w:type="dxa"/>
                <w:tcBorders>
                  <w:top w:val="single" w:sz="4" w:space="0" w:color="auto"/>
                  <w:tl2br w:val="nil"/>
                  <w:tr2bl w:val="nil"/>
                </w:tcBorders>
              </w:tcPr>
            </w:tcPrChange>
          </w:tcPr>
          <w:p w14:paraId="22D4E85B" w14:textId="77777777" w:rsidR="002F52FB" w:rsidRPr="005D7961" w:rsidRDefault="0092538B">
            <w:pPr>
              <w:rPr>
                <w:rFonts w:ascii="Arial" w:hAnsi="Arial" w:cs="Arial"/>
              </w:rPr>
            </w:pPr>
            <w:r w:rsidRPr="005D7961">
              <w:rPr>
                <w:rFonts w:ascii="Arial" w:hAnsi="Arial" w:cs="Arial"/>
              </w:rPr>
              <w:t>0.0001</w:t>
            </w:r>
          </w:p>
        </w:tc>
        <w:tc>
          <w:tcPr>
            <w:tcW w:w="2579" w:type="dxa"/>
            <w:tcBorders>
              <w:top w:val="single" w:sz="4" w:space="0" w:color="auto"/>
              <w:tl2br w:val="nil"/>
              <w:tr2bl w:val="nil"/>
            </w:tcBorders>
            <w:tcPrChange w:id="199" w:author="Maher" w:date="2025-07-21T10:39:00Z">
              <w:tcPr>
                <w:tcW w:w="2579" w:type="dxa"/>
                <w:tcBorders>
                  <w:top w:val="single" w:sz="4" w:space="0" w:color="auto"/>
                  <w:tl2br w:val="nil"/>
                  <w:tr2bl w:val="nil"/>
                </w:tcBorders>
              </w:tcPr>
            </w:tcPrChange>
          </w:tcPr>
          <w:p w14:paraId="5CE2B9F5" w14:textId="77777777" w:rsidR="002F52FB" w:rsidRPr="005D7961" w:rsidRDefault="0092538B">
            <w:pPr>
              <w:rPr>
                <w:rFonts w:ascii="Arial" w:hAnsi="Arial" w:cs="Arial"/>
              </w:rPr>
            </w:pPr>
            <w:r w:rsidRPr="005D7961">
              <w:rPr>
                <w:rFonts w:ascii="Arial" w:hAnsi="Arial" w:cs="Arial"/>
              </w:rPr>
              <w:t>FE</w:t>
            </w:r>
          </w:p>
        </w:tc>
      </w:tr>
      <w:tr w:rsidR="002F52FB" w:rsidRPr="005D7961" w14:paraId="55A039BE" w14:textId="77777777">
        <w:trPr>
          <w:jc w:val="center"/>
          <w:trPrChange w:id="200" w:author="Maher" w:date="2025-07-21T10:39:00Z">
            <w:trPr>
              <w:jc w:val="center"/>
            </w:trPr>
          </w:trPrChange>
        </w:trPr>
        <w:tc>
          <w:tcPr>
            <w:tcW w:w="2604" w:type="dxa"/>
            <w:tcBorders>
              <w:tl2br w:val="nil"/>
              <w:tr2bl w:val="nil"/>
            </w:tcBorders>
            <w:tcPrChange w:id="201" w:author="Maher" w:date="2025-07-21T10:39:00Z">
              <w:tcPr>
                <w:tcW w:w="2604" w:type="dxa"/>
                <w:tcBorders>
                  <w:tl2br w:val="nil"/>
                  <w:tr2bl w:val="nil"/>
                </w:tcBorders>
              </w:tcPr>
            </w:tcPrChange>
          </w:tcPr>
          <w:p w14:paraId="30B08F6D" w14:textId="77777777" w:rsidR="002F52FB" w:rsidRPr="005D7961" w:rsidRDefault="0092538B">
            <w:pPr>
              <w:rPr>
                <w:rFonts w:ascii="Arial" w:hAnsi="Arial" w:cs="Arial"/>
              </w:rPr>
            </w:pPr>
            <w:r w:rsidRPr="005D7961">
              <w:rPr>
                <w:rFonts w:ascii="Arial" w:hAnsi="Arial" w:cs="Arial"/>
              </w:rPr>
              <w:t>Model 2</w:t>
            </w:r>
          </w:p>
        </w:tc>
        <w:tc>
          <w:tcPr>
            <w:tcW w:w="2687" w:type="dxa"/>
            <w:tcBorders>
              <w:tl2br w:val="nil"/>
              <w:tr2bl w:val="nil"/>
            </w:tcBorders>
            <w:tcPrChange w:id="202" w:author="Maher" w:date="2025-07-21T10:39:00Z">
              <w:tcPr>
                <w:tcW w:w="2687" w:type="dxa"/>
                <w:tcBorders>
                  <w:tl2br w:val="nil"/>
                  <w:tr2bl w:val="nil"/>
                </w:tcBorders>
              </w:tcPr>
            </w:tcPrChange>
          </w:tcPr>
          <w:p w14:paraId="007B067E" w14:textId="77777777" w:rsidR="002F52FB" w:rsidRPr="005D7961" w:rsidRDefault="0092538B">
            <w:pPr>
              <w:rPr>
                <w:rFonts w:ascii="Arial" w:hAnsi="Arial" w:cs="Arial"/>
              </w:rPr>
            </w:pPr>
            <w:r w:rsidRPr="005D7961">
              <w:rPr>
                <w:rFonts w:ascii="Arial" w:hAnsi="Arial" w:cs="Arial"/>
              </w:rPr>
              <w:t>0.8717</w:t>
            </w:r>
          </w:p>
        </w:tc>
        <w:tc>
          <w:tcPr>
            <w:tcW w:w="2579" w:type="dxa"/>
            <w:tcBorders>
              <w:tl2br w:val="nil"/>
              <w:tr2bl w:val="nil"/>
            </w:tcBorders>
            <w:tcPrChange w:id="203" w:author="Maher" w:date="2025-07-21T10:39:00Z">
              <w:tcPr>
                <w:tcW w:w="2579" w:type="dxa"/>
                <w:tcBorders>
                  <w:tl2br w:val="nil"/>
                  <w:tr2bl w:val="nil"/>
                </w:tcBorders>
              </w:tcPr>
            </w:tcPrChange>
          </w:tcPr>
          <w:p w14:paraId="0AB4D01A" w14:textId="77777777" w:rsidR="002F52FB" w:rsidRPr="005D7961" w:rsidRDefault="0092538B">
            <w:pPr>
              <w:rPr>
                <w:rFonts w:ascii="Arial" w:hAnsi="Arial" w:cs="Arial"/>
              </w:rPr>
            </w:pPr>
            <w:r w:rsidRPr="005D7961">
              <w:rPr>
                <w:rFonts w:ascii="Arial" w:hAnsi="Arial" w:cs="Arial"/>
              </w:rPr>
              <w:t>RE</w:t>
            </w:r>
          </w:p>
        </w:tc>
      </w:tr>
    </w:tbl>
    <w:p w14:paraId="7ED415DF" w14:textId="77777777" w:rsidR="002F52FB" w:rsidRPr="005D7961" w:rsidRDefault="0092538B">
      <w:pPr>
        <w:rPr>
          <w:rFonts w:ascii="Arial" w:hAnsi="Arial" w:cs="Arial"/>
          <w:b/>
          <w:bCs/>
          <w:u w:val="single"/>
        </w:rPr>
      </w:pPr>
      <w:r w:rsidRPr="005D7961">
        <w:rPr>
          <w:rFonts w:ascii="Arial" w:hAnsi="Arial" w:cs="Arial"/>
          <w:i/>
          <w:iCs/>
          <w:sz w:val="18"/>
          <w:szCs w:val="18"/>
        </w:rPr>
        <w:t>*Source; Data processed, 2025</w:t>
      </w:r>
    </w:p>
    <w:p w14:paraId="295802C6" w14:textId="77777777" w:rsidR="002F52FB" w:rsidRPr="005D7961" w:rsidRDefault="002F52FB">
      <w:pPr>
        <w:rPr>
          <w:rFonts w:ascii="Arial" w:hAnsi="Arial" w:cs="Arial"/>
          <w:i/>
          <w:iCs/>
        </w:rPr>
      </w:pPr>
    </w:p>
    <w:p w14:paraId="306F3C06" w14:textId="77777777" w:rsidR="002F52FB" w:rsidRPr="005D7961" w:rsidRDefault="0092538B">
      <w:pPr>
        <w:rPr>
          <w:rFonts w:ascii="Arial" w:hAnsi="Arial" w:cs="Arial"/>
          <w:i/>
          <w:iCs/>
        </w:rPr>
      </w:pPr>
      <w:r w:rsidRPr="005D7961">
        <w:rPr>
          <w:rFonts w:ascii="Arial" w:hAnsi="Arial" w:cs="Arial"/>
          <w:i/>
          <w:iCs/>
        </w:rPr>
        <w:t>3.1.2.1 Chow Test</w:t>
      </w:r>
    </w:p>
    <w:p w14:paraId="365E80B5" w14:textId="2F39D032" w:rsidR="002F52FB" w:rsidRPr="005D7961" w:rsidRDefault="0092538B">
      <w:pPr>
        <w:ind w:firstLine="720"/>
        <w:jc w:val="both"/>
        <w:rPr>
          <w:rFonts w:ascii="Arial" w:hAnsi="Arial" w:cs="Arial"/>
          <w:lang w:val="zh-CN"/>
        </w:rPr>
      </w:pPr>
      <w:r w:rsidRPr="005D7961">
        <w:rPr>
          <w:rFonts w:ascii="Arial" w:hAnsi="Arial" w:cs="Arial"/>
        </w:rPr>
        <w:t xml:space="preserve">Based on the results of the Chow test in Table 4, it shows a Prob&gt;F value of 0.00 for Models 1 and 2, which is smaller than 0.05. </w:t>
      </w:r>
      <w:r w:rsidRPr="005D7961">
        <w:rPr>
          <w:rFonts w:ascii="Arial" w:hAnsi="Arial" w:cs="Arial"/>
          <w:lang w:val="zh-CN"/>
        </w:rPr>
        <w:t>This suggests that the fixed effect model is a better fit for this research</w:t>
      </w:r>
      <w:r w:rsidRPr="005D7961">
        <w:rPr>
          <w:rFonts w:ascii="Arial" w:hAnsi="Arial" w:cs="Arial"/>
        </w:rPr>
        <w:t xml:space="preserve">. </w:t>
      </w:r>
      <w:sdt>
        <w:sdtPr>
          <w:rPr>
            <w:rFonts w:ascii="Arial" w:hAnsi="Arial" w:cs="Arial"/>
            <w:color w:val="000000"/>
          </w:rPr>
          <w:tag w:val="MENDELEY_CITATION_v3_eyJjaXRhdGlvbklEIjoiTUVOREVMRVlfQ0lUQVRJT05fNmQ3NDQ4NDYtODU3Zi00ZmMwLWJlOWYtNmUzNzY4MDU0ZGQ4IiwicHJvcGVydGllcyI6eyJub3RlSW5kZXgiOjAsIm1vZGUiOiJjb21wb3NpdGUifSwiaXNFZGl0ZWQiOmZhbHNlLCJtYW51YWxPdmVycmlkZSI6eyJpc01hbnVhbGx5T3ZlcnJpZGRlbiI6ZmFsc2UsImNpdGVwcm9jVGV4dCI6Ikd1amFyYXRpICYjMzg7IFBvcnRlciAo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
          <w:id w:val="-19020384"/>
          <w:placeholder>
            <w:docPart w:val="DefaultPlaceholder_-1854013440"/>
          </w:placeholder>
        </w:sdtPr>
        <w:sdtEndPr/>
        <w:sdtContent>
          <w:r w:rsidR="007E0157" w:rsidRPr="005D7961">
            <w:rPr>
              <w:rFonts w:ascii="Arial" w:eastAsia="Times New Roman" w:hAnsi="Arial" w:cs="Arial"/>
              <w:color w:val="000000"/>
            </w:rPr>
            <w:t>Gujarati &amp; Porter (2009)</w:t>
          </w:r>
        </w:sdtContent>
      </w:sdt>
      <w:r w:rsidRPr="005D7961">
        <w:rPr>
          <w:rFonts w:ascii="Arial" w:hAnsi="Arial" w:cs="Arial"/>
        </w:rPr>
        <w:t xml:space="preserve"> explains that if a significant F test shows a difference in the parameters, then we need to move on to a more complex panel regression approach. The fixed effect model provides flexibility by allowing for different intercepts between individuals, thus being able to accommodate heterogeneities that cannot be observed directly</w:t>
      </w:r>
    </w:p>
    <w:p w14:paraId="627C6104" w14:textId="77777777" w:rsidR="002F52FB" w:rsidRPr="005D7961" w:rsidRDefault="002F52FB">
      <w:pPr>
        <w:jc w:val="both"/>
        <w:rPr>
          <w:rFonts w:ascii="Arial" w:hAnsi="Arial" w:cs="Arial"/>
          <w:i/>
          <w:iCs/>
          <w:u w:val="single"/>
        </w:rPr>
      </w:pPr>
    </w:p>
    <w:p w14:paraId="58A2B84F" w14:textId="77777777" w:rsidR="002F52FB" w:rsidRPr="005D7961" w:rsidRDefault="002F52FB">
      <w:pPr>
        <w:rPr>
          <w:rFonts w:ascii="Arial" w:hAnsi="Arial" w:cs="Arial"/>
          <w:i/>
          <w:iCs/>
        </w:rPr>
      </w:pPr>
    </w:p>
    <w:p w14:paraId="75859114" w14:textId="77777777" w:rsidR="002F52FB" w:rsidRPr="005D7961" w:rsidRDefault="0092538B">
      <w:pPr>
        <w:rPr>
          <w:rFonts w:ascii="Arial" w:hAnsi="Arial" w:cs="Arial"/>
          <w:i/>
          <w:iCs/>
        </w:rPr>
      </w:pPr>
      <w:r w:rsidRPr="005D7961">
        <w:rPr>
          <w:rFonts w:ascii="Arial" w:hAnsi="Arial" w:cs="Arial"/>
          <w:i/>
          <w:iCs/>
        </w:rPr>
        <w:t>3.1.2.2 Uji Lagrange Multiplier (LM) Breusch-Pagan</w:t>
      </w:r>
    </w:p>
    <w:p w14:paraId="201B9910" w14:textId="3BD9DC4F" w:rsidR="002F52FB" w:rsidRPr="005D7961" w:rsidRDefault="0092538B">
      <w:pPr>
        <w:ind w:firstLine="720"/>
        <w:jc w:val="both"/>
        <w:rPr>
          <w:rFonts w:ascii="Arial" w:hAnsi="Arial" w:cs="Arial"/>
          <w:lang w:val="zh-CN"/>
        </w:rPr>
      </w:pPr>
      <w:r w:rsidRPr="005D7961">
        <w:rPr>
          <w:rFonts w:ascii="Arial" w:hAnsi="Arial" w:cs="Arial"/>
          <w:lang w:val="zh-CN"/>
        </w:rPr>
        <w:t>According to Table 5's Breusch and Pagan Lagrange Multiplier (LM) test findings</w:t>
      </w:r>
      <w:r w:rsidRPr="005D7961">
        <w:rPr>
          <w:rFonts w:ascii="Arial" w:hAnsi="Arial" w:cs="Arial"/>
        </w:rPr>
        <w:t xml:space="preserve">, it is known that Model 1 and Model 2 have a significance value of 0.00. This shows that the Random Effect model is more appropriate than the pooled OLS model. </w:t>
      </w:r>
      <w:sdt>
        <w:sdtPr>
          <w:rPr>
            <w:rFonts w:ascii="Arial" w:hAnsi="Arial" w:cs="Arial"/>
            <w:color w:val="000000"/>
          </w:rPr>
          <w:tag w:val="MENDELEY_CITATION_v3_eyJjaXRhdGlvbklEIjoiTUVOREVMRVlfQ0lUQVRJT05fNGE5MjY3YTAtNzJlMi00ZDk2LTg5ZDItMDU4MDIxZTVmZGZhIiwicHJvcGVydGllcyI6eyJub3RlSW5kZXgiOjAsIm1vZGUiOiJjb21wb3NpdGUifSwiaXNFZGl0ZWQiOmZhbHNlLCJtYW51YWxPdmVycmlkZSI6eyJpc01hbnVhbGx5T3ZlcnJpZGRlbiI6ZmFsc2UsImNpdGVwcm9jVGV4dCI6Ikd1amFyYXRpICYjMzg7IFBvcnRlciAo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
          <w:id w:val="-1140807302"/>
          <w:placeholder>
            <w:docPart w:val="DefaultPlaceholder_-1854013440"/>
          </w:placeholder>
        </w:sdtPr>
        <w:sdtEndPr/>
        <w:sdtContent>
          <w:r w:rsidR="007E0157" w:rsidRPr="005D7961">
            <w:rPr>
              <w:rFonts w:ascii="Arial" w:eastAsia="Times New Roman" w:hAnsi="Arial" w:cs="Arial"/>
              <w:color w:val="000000"/>
            </w:rPr>
            <w:t>Gujarati &amp; Porter (2009)</w:t>
          </w:r>
        </w:sdtContent>
      </w:sdt>
      <w:r w:rsidRPr="005D7961">
        <w:rPr>
          <w:rFonts w:ascii="Arial" w:hAnsi="Arial" w:cs="Arial"/>
        </w:rPr>
        <w:t xml:space="preserve"> explains that if the statistical value of LM is significant, then the Random Effect model is selected. </w:t>
      </w:r>
    </w:p>
    <w:p w14:paraId="5DCBCAC2" w14:textId="77777777" w:rsidR="002F52FB" w:rsidRPr="005D7961" w:rsidRDefault="002F52FB">
      <w:pPr>
        <w:jc w:val="both"/>
        <w:rPr>
          <w:rFonts w:ascii="Arial" w:hAnsi="Arial" w:cs="Arial"/>
        </w:rPr>
      </w:pPr>
    </w:p>
    <w:p w14:paraId="6E2E6D69" w14:textId="77777777" w:rsidR="002F52FB" w:rsidRPr="005D7961" w:rsidRDefault="0092538B">
      <w:pPr>
        <w:jc w:val="both"/>
        <w:rPr>
          <w:rFonts w:ascii="Arial" w:hAnsi="Arial" w:cs="Arial"/>
          <w:i/>
          <w:iCs/>
        </w:rPr>
      </w:pPr>
      <w:r w:rsidRPr="005D7961">
        <w:rPr>
          <w:rFonts w:ascii="Arial" w:hAnsi="Arial" w:cs="Arial"/>
          <w:i/>
          <w:iCs/>
        </w:rPr>
        <w:t>3.1.2.3. Hausman Test</w:t>
      </w:r>
    </w:p>
    <w:p w14:paraId="0628356E" w14:textId="4577EFCA" w:rsidR="002F52FB" w:rsidRPr="005D7961" w:rsidRDefault="0092538B">
      <w:pPr>
        <w:ind w:firstLine="720"/>
        <w:jc w:val="both"/>
        <w:rPr>
          <w:rFonts w:ascii="Arial" w:hAnsi="Arial" w:cs="Arial"/>
          <w:lang w:val="zh-CN"/>
        </w:rPr>
      </w:pPr>
      <w:r w:rsidRPr="005D7961">
        <w:rPr>
          <w:rFonts w:ascii="Arial" w:hAnsi="Arial" w:cs="Arial"/>
        </w:rPr>
        <w:t>Based on the results of the Hausman Test shown in Table 6, Model 1 obtained a significance value of 0.0001 (P = 0.0001 &lt; 0.05). This suggests that there is a significant correlation between individual effects and independent variables, which makes</w:t>
      </w:r>
      <w:r w:rsidR="003852F3" w:rsidRPr="005D7961">
        <w:rPr>
          <w:rFonts w:ascii="Arial" w:hAnsi="Arial" w:cs="Arial"/>
        </w:rPr>
        <w:t xml:space="preserve"> </w:t>
      </w:r>
      <w:r w:rsidRPr="005D7961">
        <w:rPr>
          <w:rFonts w:ascii="Arial" w:hAnsi="Arial" w:cs="Arial"/>
        </w:rPr>
        <w:t>the defined fixed effect model</w:t>
      </w:r>
      <w:r w:rsidR="003852F3" w:rsidRPr="005D7961">
        <w:rPr>
          <w:rFonts w:ascii="Arial" w:hAnsi="Arial" w:cs="Arial"/>
        </w:rPr>
        <w:t xml:space="preserve"> </w:t>
      </w:r>
      <w:r w:rsidRPr="005D7961">
        <w:rPr>
          <w:rFonts w:ascii="Arial" w:hAnsi="Arial" w:cs="Arial"/>
        </w:rPr>
        <w:t xml:space="preserve">more appropriately used. In contrast, Model 2 showed a significance of 0.8717 (P = 0.8717 &gt; 0.05), indicating that there was no significant correlation between individual effects and independent variables, </w:t>
      </w:r>
      <w:r w:rsidRPr="005D7961">
        <w:rPr>
          <w:rFonts w:ascii="Arial" w:hAnsi="Arial" w:cs="Arial"/>
          <w:lang w:val="zh-CN"/>
        </w:rPr>
        <w:t>Consequently, the random effect model was more suitable</w:t>
      </w:r>
      <w:r w:rsidRPr="005D7961">
        <w:rPr>
          <w:rFonts w:ascii="Arial" w:hAnsi="Arial" w:cs="Arial"/>
        </w:rPr>
        <w:t xml:space="preserve">. </w:t>
      </w:r>
      <w:sdt>
        <w:sdtPr>
          <w:rPr>
            <w:rFonts w:ascii="Arial" w:hAnsi="Arial" w:cs="Arial"/>
            <w:color w:val="000000"/>
          </w:rPr>
          <w:tag w:val="MENDELEY_CITATION_v3_eyJjaXRhdGlvbklEIjoiTUVOREVMRVlfQ0lUQVRJT05fZjcwY2EzNDAtZmVkOS00ODBkLTlkYWMtMWIyY2RkZGQ1MDQ5IiwicHJvcGVydGllcyI6eyJub3RlSW5kZXgiOjB9LCJpc0VkaXRlZCI6ZmFsc2UsIm1hbnVhbE92ZXJyaWRlIjp7ImlzTWFudWFsbHlPdmVycmlkZGVuIjpmYWxzZSwiY2l0ZXByb2NUZXh0IjoiKEd1amFyYXRpICYjMzg7IFBvcnRlciwg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c3VwcHJlc3MtYXV0aG9yIjpmYWxzZSwiY29tcG9zaXRlIjpmYWxzZSwiYXV0aG9yLW9ubHkiOmZhbHNlfV19"/>
          <w:id w:val="791401208"/>
          <w:placeholder>
            <w:docPart w:val="DefaultPlaceholder_-1854013440"/>
          </w:placeholder>
        </w:sdtPr>
        <w:sdtEndPr/>
        <w:sdtContent>
          <w:r w:rsidR="007E0157" w:rsidRPr="005D7961">
            <w:rPr>
              <w:rFonts w:ascii="Arial" w:eastAsia="Times New Roman" w:hAnsi="Arial" w:cs="Arial"/>
              <w:color w:val="000000"/>
            </w:rPr>
            <w:t>(Gujarati &amp; Porter, 2009)</w:t>
          </w:r>
        </w:sdtContent>
      </w:sdt>
      <w:r w:rsidRPr="005D7961">
        <w:rPr>
          <w:rFonts w:ascii="Arial" w:hAnsi="Arial" w:cs="Arial"/>
        </w:rPr>
        <w:t xml:space="preserve"> states that if the zero hypothesis in the Hausman test is rejected, then</w:t>
      </w:r>
      <w:r w:rsidR="003852F3" w:rsidRPr="005D7961">
        <w:rPr>
          <w:rFonts w:ascii="Arial" w:hAnsi="Arial" w:cs="Arial"/>
        </w:rPr>
        <w:t xml:space="preserve"> </w:t>
      </w:r>
      <w:r w:rsidRPr="005D7961">
        <w:rPr>
          <w:rFonts w:ascii="Arial" w:hAnsi="Arial" w:cs="Arial"/>
        </w:rPr>
        <w:t>the fixed effect model</w:t>
      </w:r>
      <w:r w:rsidR="003852F3" w:rsidRPr="005D7961">
        <w:rPr>
          <w:rFonts w:ascii="Arial" w:hAnsi="Arial" w:cs="Arial"/>
        </w:rPr>
        <w:t xml:space="preserve"> </w:t>
      </w:r>
      <w:r w:rsidRPr="005D7961">
        <w:rPr>
          <w:rFonts w:ascii="Arial" w:hAnsi="Arial" w:cs="Arial"/>
        </w:rPr>
        <w:t xml:space="preserve">is more appropriately used. However, if it is not rejected, </w:t>
      </w:r>
      <w:r w:rsidRPr="005D7961">
        <w:rPr>
          <w:rFonts w:ascii="Arial" w:hAnsi="Arial" w:cs="Arial"/>
          <w:lang w:val="zh-CN"/>
        </w:rPr>
        <w:t>Since individual effects are seen as random and do not correlate with explanatory factors, the random effect model is deemed suitable.</w:t>
      </w:r>
    </w:p>
    <w:p w14:paraId="4F96802C" w14:textId="77777777" w:rsidR="002F52FB" w:rsidRPr="005D7961" w:rsidRDefault="002F52FB">
      <w:pPr>
        <w:jc w:val="both"/>
        <w:rPr>
          <w:rFonts w:ascii="Arial" w:hAnsi="Arial" w:cs="Arial"/>
          <w:lang w:val="zh-CN"/>
        </w:rPr>
        <w:sectPr w:rsidR="002F52FB" w:rsidRPr="005D7961">
          <w:type w:val="continuous"/>
          <w:pgSz w:w="11906" w:h="16838"/>
          <w:pgMar w:top="1440" w:right="2018" w:bottom="2018" w:left="2018" w:header="720" w:footer="720" w:gutter="0"/>
          <w:cols w:num="2" w:space="709"/>
          <w:docGrid w:linePitch="360"/>
        </w:sectPr>
      </w:pPr>
    </w:p>
    <w:p w14:paraId="5BBFEF33" w14:textId="77777777" w:rsidR="002F52FB" w:rsidRPr="005D7961" w:rsidRDefault="002F52FB">
      <w:pPr>
        <w:ind w:firstLine="720"/>
        <w:jc w:val="both"/>
        <w:rPr>
          <w:rFonts w:ascii="Arial" w:hAnsi="Arial" w:cs="Arial"/>
        </w:rPr>
        <w:sectPr w:rsidR="002F52FB" w:rsidRPr="005D7961">
          <w:type w:val="continuous"/>
          <w:pgSz w:w="11906" w:h="16838"/>
          <w:pgMar w:top="1440" w:right="2018" w:bottom="2018" w:left="2018" w:header="720" w:footer="720" w:gutter="0"/>
          <w:cols w:space="567"/>
          <w:docGrid w:linePitch="360"/>
        </w:sectPr>
      </w:pPr>
    </w:p>
    <w:p w14:paraId="6D4861D9" w14:textId="77777777" w:rsidR="002F52FB" w:rsidRPr="005D7961" w:rsidRDefault="0092538B">
      <w:pPr>
        <w:jc w:val="center"/>
        <w:rPr>
          <w:rFonts w:ascii="Arial" w:hAnsi="Arial" w:cs="Arial"/>
          <w:b/>
          <w:bCs/>
        </w:rPr>
      </w:pPr>
      <w:r w:rsidRPr="005D7961">
        <w:rPr>
          <w:rFonts w:ascii="Arial" w:hAnsi="Arial" w:cs="Arial"/>
          <w:b/>
          <w:bCs/>
        </w:rPr>
        <w:t xml:space="preserve">Tabel 7. Heteroscedasticity and </w:t>
      </w:r>
      <w:r w:rsidRPr="005D7961">
        <w:rPr>
          <w:rFonts w:ascii="Arial" w:eastAsia="SimSun" w:hAnsi="Arial" w:cs="Arial"/>
          <w:b/>
          <w:bCs/>
        </w:rPr>
        <w:t>Autocorrelation</w:t>
      </w:r>
      <w:r w:rsidRPr="005D7961">
        <w:rPr>
          <w:rFonts w:ascii="Arial" w:hAnsi="Arial" w:cs="Arial"/>
          <w:b/>
          <w:bCs/>
        </w:rPr>
        <w:t xml:space="preserve">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204" w:author="Maher" w:date="2025-07-21T10:39:00Z">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038"/>
        <w:gridCol w:w="1902"/>
        <w:gridCol w:w="2104"/>
        <w:gridCol w:w="1826"/>
        <w:tblGridChange w:id="205">
          <w:tblGrid>
            <w:gridCol w:w="2038"/>
            <w:gridCol w:w="1902"/>
            <w:gridCol w:w="2104"/>
            <w:gridCol w:w="1826"/>
          </w:tblGrid>
        </w:tblGridChange>
      </w:tblGrid>
      <w:tr w:rsidR="002F52FB" w:rsidRPr="005D7961" w14:paraId="0F6E70DB" w14:textId="77777777">
        <w:trPr>
          <w:trHeight w:val="90"/>
          <w:jc w:val="center"/>
          <w:trPrChange w:id="206" w:author="Maher" w:date="2025-07-21T10:39:00Z">
            <w:trPr>
              <w:trHeight w:val="90"/>
              <w:jc w:val="center"/>
            </w:trPr>
          </w:trPrChange>
        </w:trPr>
        <w:tc>
          <w:tcPr>
            <w:tcW w:w="2038" w:type="dxa"/>
            <w:tcBorders>
              <w:bottom w:val="single" w:sz="4" w:space="0" w:color="auto"/>
            </w:tcBorders>
            <w:tcPrChange w:id="207" w:author="Maher" w:date="2025-07-21T10:39:00Z">
              <w:tcPr>
                <w:tcW w:w="2038" w:type="dxa"/>
                <w:tcBorders>
                  <w:bottom w:val="single" w:sz="4" w:space="0" w:color="auto"/>
                </w:tcBorders>
              </w:tcPr>
            </w:tcPrChange>
          </w:tcPr>
          <w:p w14:paraId="0CDEB85F" w14:textId="77777777" w:rsidR="002F52FB" w:rsidRPr="005D7961" w:rsidRDefault="0092538B">
            <w:pPr>
              <w:rPr>
                <w:rFonts w:ascii="Arial" w:hAnsi="Arial" w:cs="Arial"/>
                <w:b/>
                <w:bCs/>
              </w:rPr>
            </w:pPr>
            <w:r w:rsidRPr="005D7961">
              <w:rPr>
                <w:rFonts w:ascii="Arial" w:hAnsi="Arial" w:cs="Arial"/>
                <w:b/>
                <w:bCs/>
              </w:rPr>
              <w:t>Model 1</w:t>
            </w:r>
          </w:p>
        </w:tc>
        <w:tc>
          <w:tcPr>
            <w:tcW w:w="1902" w:type="dxa"/>
            <w:tcBorders>
              <w:bottom w:val="single" w:sz="4" w:space="0" w:color="auto"/>
            </w:tcBorders>
            <w:tcPrChange w:id="208" w:author="Maher" w:date="2025-07-21T10:39:00Z">
              <w:tcPr>
                <w:tcW w:w="1902" w:type="dxa"/>
                <w:tcBorders>
                  <w:bottom w:val="single" w:sz="4" w:space="0" w:color="auto"/>
                </w:tcBorders>
              </w:tcPr>
            </w:tcPrChange>
          </w:tcPr>
          <w:p w14:paraId="5753D5C6" w14:textId="77777777" w:rsidR="002F52FB" w:rsidRPr="005D7961" w:rsidRDefault="002F52FB">
            <w:pPr>
              <w:rPr>
                <w:rFonts w:ascii="Arial" w:hAnsi="Arial" w:cs="Arial"/>
                <w:b/>
                <w:bCs/>
              </w:rPr>
            </w:pPr>
          </w:p>
        </w:tc>
        <w:tc>
          <w:tcPr>
            <w:tcW w:w="2104" w:type="dxa"/>
            <w:tcBorders>
              <w:bottom w:val="single" w:sz="4" w:space="0" w:color="auto"/>
            </w:tcBorders>
            <w:tcPrChange w:id="209" w:author="Maher" w:date="2025-07-21T10:39:00Z">
              <w:tcPr>
                <w:tcW w:w="2104" w:type="dxa"/>
                <w:tcBorders>
                  <w:bottom w:val="single" w:sz="4" w:space="0" w:color="auto"/>
                </w:tcBorders>
              </w:tcPr>
            </w:tcPrChange>
          </w:tcPr>
          <w:p w14:paraId="463CEEC9" w14:textId="77777777" w:rsidR="002F52FB" w:rsidRPr="005D7961" w:rsidRDefault="0092538B">
            <w:pPr>
              <w:rPr>
                <w:rFonts w:ascii="Arial" w:hAnsi="Arial" w:cs="Arial"/>
                <w:b/>
                <w:bCs/>
              </w:rPr>
            </w:pPr>
            <w:r w:rsidRPr="005D7961">
              <w:rPr>
                <w:rFonts w:ascii="Arial" w:hAnsi="Arial" w:cs="Arial"/>
                <w:b/>
                <w:bCs/>
              </w:rPr>
              <w:t>Model 2</w:t>
            </w:r>
          </w:p>
        </w:tc>
        <w:tc>
          <w:tcPr>
            <w:tcW w:w="1826" w:type="dxa"/>
            <w:tcBorders>
              <w:bottom w:val="single" w:sz="4" w:space="0" w:color="auto"/>
            </w:tcBorders>
            <w:tcPrChange w:id="210" w:author="Maher" w:date="2025-07-21T10:39:00Z">
              <w:tcPr>
                <w:tcW w:w="1826" w:type="dxa"/>
                <w:tcBorders>
                  <w:bottom w:val="single" w:sz="4" w:space="0" w:color="auto"/>
                </w:tcBorders>
              </w:tcPr>
            </w:tcPrChange>
          </w:tcPr>
          <w:p w14:paraId="2AA17767" w14:textId="77777777" w:rsidR="002F52FB" w:rsidRPr="005D7961" w:rsidRDefault="002F52FB">
            <w:pPr>
              <w:rPr>
                <w:rFonts w:ascii="Arial" w:hAnsi="Arial" w:cs="Arial"/>
                <w:b/>
                <w:bCs/>
              </w:rPr>
            </w:pPr>
          </w:p>
        </w:tc>
      </w:tr>
      <w:tr w:rsidR="002F52FB" w:rsidRPr="005D7961" w14:paraId="37360D36" w14:textId="77777777">
        <w:trPr>
          <w:jc w:val="center"/>
          <w:trPrChange w:id="211" w:author="Maher" w:date="2025-07-21T10:39:00Z">
            <w:trPr>
              <w:jc w:val="center"/>
            </w:trPr>
          </w:trPrChange>
        </w:trPr>
        <w:tc>
          <w:tcPr>
            <w:tcW w:w="2038" w:type="dxa"/>
            <w:tcBorders>
              <w:top w:val="single" w:sz="4" w:space="0" w:color="auto"/>
              <w:tl2br w:val="nil"/>
              <w:tr2bl w:val="nil"/>
            </w:tcBorders>
            <w:tcPrChange w:id="212" w:author="Maher" w:date="2025-07-21T10:39:00Z">
              <w:tcPr>
                <w:tcW w:w="2038" w:type="dxa"/>
                <w:tcBorders>
                  <w:top w:val="single" w:sz="4" w:space="0" w:color="auto"/>
                  <w:tl2br w:val="nil"/>
                  <w:tr2bl w:val="nil"/>
                </w:tcBorders>
              </w:tcPr>
            </w:tcPrChange>
          </w:tcPr>
          <w:p w14:paraId="1AEC2B25" w14:textId="77777777" w:rsidR="002F52FB" w:rsidRPr="005D7961" w:rsidRDefault="0092538B">
            <w:pPr>
              <w:rPr>
                <w:rFonts w:ascii="Arial" w:hAnsi="Arial" w:cs="Arial"/>
              </w:rPr>
            </w:pPr>
            <w:r w:rsidRPr="005D7961">
              <w:rPr>
                <w:rFonts w:ascii="Arial" w:hAnsi="Arial" w:cs="Arial"/>
              </w:rPr>
              <w:t>Full Sample</w:t>
            </w:r>
          </w:p>
        </w:tc>
        <w:tc>
          <w:tcPr>
            <w:tcW w:w="1902" w:type="dxa"/>
            <w:tcBorders>
              <w:top w:val="single" w:sz="4" w:space="0" w:color="auto"/>
              <w:tl2br w:val="nil"/>
              <w:tr2bl w:val="nil"/>
            </w:tcBorders>
            <w:tcPrChange w:id="213" w:author="Maher" w:date="2025-07-21T10:39:00Z">
              <w:tcPr>
                <w:tcW w:w="1902" w:type="dxa"/>
                <w:tcBorders>
                  <w:top w:val="single" w:sz="4" w:space="0" w:color="auto"/>
                  <w:tl2br w:val="nil"/>
                  <w:tr2bl w:val="nil"/>
                </w:tcBorders>
              </w:tcPr>
            </w:tcPrChange>
          </w:tcPr>
          <w:p w14:paraId="713FFD02" w14:textId="77777777" w:rsidR="002F52FB" w:rsidRPr="005D7961" w:rsidRDefault="0092538B">
            <w:pPr>
              <w:jc w:val="center"/>
              <w:rPr>
                <w:rFonts w:ascii="Arial" w:hAnsi="Arial" w:cs="Arial"/>
              </w:rPr>
            </w:pPr>
            <w:r w:rsidRPr="005D7961">
              <w:rPr>
                <w:rFonts w:ascii="Arial" w:hAnsi="Arial" w:cs="Arial"/>
              </w:rPr>
              <w:t>474</w:t>
            </w:r>
          </w:p>
        </w:tc>
        <w:tc>
          <w:tcPr>
            <w:tcW w:w="2104" w:type="dxa"/>
            <w:tcBorders>
              <w:top w:val="single" w:sz="4" w:space="0" w:color="auto"/>
              <w:tl2br w:val="nil"/>
              <w:tr2bl w:val="nil"/>
            </w:tcBorders>
            <w:tcPrChange w:id="214" w:author="Maher" w:date="2025-07-21T10:39:00Z">
              <w:tcPr>
                <w:tcW w:w="2104" w:type="dxa"/>
                <w:tcBorders>
                  <w:top w:val="single" w:sz="4" w:space="0" w:color="auto"/>
                  <w:tl2br w:val="nil"/>
                  <w:tr2bl w:val="nil"/>
                </w:tcBorders>
              </w:tcPr>
            </w:tcPrChange>
          </w:tcPr>
          <w:p w14:paraId="3EDA3C60" w14:textId="77777777" w:rsidR="002F52FB" w:rsidRPr="005D7961" w:rsidRDefault="0092538B">
            <w:pPr>
              <w:rPr>
                <w:rFonts w:ascii="Arial" w:hAnsi="Arial" w:cs="Arial"/>
              </w:rPr>
            </w:pPr>
            <w:r w:rsidRPr="005D7961">
              <w:rPr>
                <w:rFonts w:ascii="Arial" w:hAnsi="Arial" w:cs="Arial"/>
              </w:rPr>
              <w:t>Full Sample</w:t>
            </w:r>
          </w:p>
        </w:tc>
        <w:tc>
          <w:tcPr>
            <w:tcW w:w="1826" w:type="dxa"/>
            <w:tcBorders>
              <w:top w:val="single" w:sz="4" w:space="0" w:color="auto"/>
              <w:tl2br w:val="nil"/>
              <w:tr2bl w:val="nil"/>
            </w:tcBorders>
            <w:tcPrChange w:id="215" w:author="Maher" w:date="2025-07-21T10:39:00Z">
              <w:tcPr>
                <w:tcW w:w="1826" w:type="dxa"/>
                <w:tcBorders>
                  <w:top w:val="single" w:sz="4" w:space="0" w:color="auto"/>
                  <w:tl2br w:val="nil"/>
                  <w:tr2bl w:val="nil"/>
                </w:tcBorders>
              </w:tcPr>
            </w:tcPrChange>
          </w:tcPr>
          <w:p w14:paraId="554AF216" w14:textId="77777777" w:rsidR="002F52FB" w:rsidRPr="005D7961" w:rsidRDefault="0092538B">
            <w:pPr>
              <w:jc w:val="center"/>
              <w:rPr>
                <w:rFonts w:ascii="Arial" w:hAnsi="Arial" w:cs="Arial"/>
              </w:rPr>
            </w:pPr>
            <w:r w:rsidRPr="005D7961">
              <w:rPr>
                <w:rFonts w:ascii="Arial" w:hAnsi="Arial" w:cs="Arial"/>
              </w:rPr>
              <w:t>474</w:t>
            </w:r>
          </w:p>
        </w:tc>
      </w:tr>
      <w:tr w:rsidR="002F52FB" w:rsidRPr="005D7961" w14:paraId="1FD6C358" w14:textId="77777777">
        <w:trPr>
          <w:jc w:val="center"/>
          <w:trPrChange w:id="216" w:author="Maher" w:date="2025-07-21T10:39:00Z">
            <w:trPr>
              <w:jc w:val="center"/>
            </w:trPr>
          </w:trPrChange>
        </w:trPr>
        <w:tc>
          <w:tcPr>
            <w:tcW w:w="2038" w:type="dxa"/>
            <w:tcBorders>
              <w:tl2br w:val="nil"/>
              <w:tr2bl w:val="nil"/>
            </w:tcBorders>
            <w:tcPrChange w:id="217" w:author="Maher" w:date="2025-07-21T10:39:00Z">
              <w:tcPr>
                <w:tcW w:w="2038" w:type="dxa"/>
                <w:tcBorders>
                  <w:tl2br w:val="nil"/>
                  <w:tr2bl w:val="nil"/>
                </w:tcBorders>
              </w:tcPr>
            </w:tcPrChange>
          </w:tcPr>
          <w:p w14:paraId="2FA59494" w14:textId="77777777" w:rsidR="002F52FB" w:rsidRPr="005D7961" w:rsidRDefault="0092538B">
            <w:pPr>
              <w:rPr>
                <w:rFonts w:ascii="Arial" w:hAnsi="Arial" w:cs="Arial"/>
                <w:b/>
                <w:bCs/>
              </w:rPr>
            </w:pPr>
            <w:r w:rsidRPr="005D7961">
              <w:rPr>
                <w:rFonts w:ascii="Arial" w:hAnsi="Arial" w:cs="Arial"/>
                <w:b/>
                <w:bCs/>
              </w:rPr>
              <w:t>Heteroscedasticity</w:t>
            </w:r>
          </w:p>
        </w:tc>
        <w:tc>
          <w:tcPr>
            <w:tcW w:w="1902" w:type="dxa"/>
            <w:tcBorders>
              <w:tl2br w:val="nil"/>
              <w:tr2bl w:val="nil"/>
            </w:tcBorders>
            <w:tcPrChange w:id="218" w:author="Maher" w:date="2025-07-21T10:39:00Z">
              <w:tcPr>
                <w:tcW w:w="1902" w:type="dxa"/>
                <w:tcBorders>
                  <w:tl2br w:val="nil"/>
                  <w:tr2bl w:val="nil"/>
                </w:tcBorders>
              </w:tcPr>
            </w:tcPrChange>
          </w:tcPr>
          <w:p w14:paraId="7E41C1EF" w14:textId="77777777" w:rsidR="002F52FB" w:rsidRPr="005D7961" w:rsidRDefault="002F52FB">
            <w:pPr>
              <w:jc w:val="center"/>
              <w:rPr>
                <w:rFonts w:ascii="Arial" w:hAnsi="Arial" w:cs="Arial"/>
              </w:rPr>
            </w:pPr>
          </w:p>
        </w:tc>
        <w:tc>
          <w:tcPr>
            <w:tcW w:w="2104" w:type="dxa"/>
            <w:tcBorders>
              <w:tl2br w:val="nil"/>
              <w:tr2bl w:val="nil"/>
            </w:tcBorders>
            <w:tcPrChange w:id="219" w:author="Maher" w:date="2025-07-21T10:39:00Z">
              <w:tcPr>
                <w:tcW w:w="2104" w:type="dxa"/>
                <w:tcBorders>
                  <w:tl2br w:val="nil"/>
                  <w:tr2bl w:val="nil"/>
                </w:tcBorders>
              </w:tcPr>
            </w:tcPrChange>
          </w:tcPr>
          <w:p w14:paraId="3BB9FBAA" w14:textId="77777777" w:rsidR="002F52FB" w:rsidRPr="005D7961" w:rsidRDefault="0092538B">
            <w:pPr>
              <w:rPr>
                <w:rFonts w:ascii="Arial" w:hAnsi="Arial" w:cs="Arial"/>
                <w:b/>
                <w:bCs/>
              </w:rPr>
            </w:pPr>
            <w:r w:rsidRPr="005D7961">
              <w:rPr>
                <w:rFonts w:ascii="Arial" w:hAnsi="Arial" w:cs="Arial"/>
                <w:b/>
                <w:bCs/>
              </w:rPr>
              <w:t>Heteroscedasticity</w:t>
            </w:r>
          </w:p>
        </w:tc>
        <w:tc>
          <w:tcPr>
            <w:tcW w:w="1826" w:type="dxa"/>
            <w:tcBorders>
              <w:tl2br w:val="nil"/>
              <w:tr2bl w:val="nil"/>
            </w:tcBorders>
            <w:tcPrChange w:id="220" w:author="Maher" w:date="2025-07-21T10:39:00Z">
              <w:tcPr>
                <w:tcW w:w="1826" w:type="dxa"/>
                <w:tcBorders>
                  <w:tl2br w:val="nil"/>
                  <w:tr2bl w:val="nil"/>
                </w:tcBorders>
              </w:tcPr>
            </w:tcPrChange>
          </w:tcPr>
          <w:p w14:paraId="68F87CC0" w14:textId="77777777" w:rsidR="002F52FB" w:rsidRPr="005D7961" w:rsidRDefault="002F52FB">
            <w:pPr>
              <w:jc w:val="center"/>
              <w:rPr>
                <w:rFonts w:ascii="Arial" w:hAnsi="Arial" w:cs="Arial"/>
              </w:rPr>
            </w:pPr>
          </w:p>
        </w:tc>
      </w:tr>
      <w:tr w:rsidR="002F52FB" w:rsidRPr="005D7961" w14:paraId="1B5E8D24" w14:textId="77777777">
        <w:trPr>
          <w:jc w:val="center"/>
          <w:trPrChange w:id="221" w:author="Maher" w:date="2025-07-21T10:39:00Z">
            <w:trPr>
              <w:jc w:val="center"/>
            </w:trPr>
          </w:trPrChange>
        </w:trPr>
        <w:tc>
          <w:tcPr>
            <w:tcW w:w="2038" w:type="dxa"/>
            <w:tcBorders>
              <w:tl2br w:val="nil"/>
              <w:tr2bl w:val="nil"/>
            </w:tcBorders>
            <w:tcPrChange w:id="222" w:author="Maher" w:date="2025-07-21T10:39:00Z">
              <w:tcPr>
                <w:tcW w:w="2038" w:type="dxa"/>
                <w:tcBorders>
                  <w:tl2br w:val="nil"/>
                  <w:tr2bl w:val="nil"/>
                </w:tcBorders>
              </w:tcPr>
            </w:tcPrChange>
          </w:tcPr>
          <w:p w14:paraId="0D10C889" w14:textId="77777777" w:rsidR="002F52FB" w:rsidRPr="005D7961" w:rsidRDefault="0092538B">
            <w:pPr>
              <w:rPr>
                <w:rFonts w:ascii="Arial" w:hAnsi="Arial" w:cs="Arial"/>
              </w:rPr>
            </w:pPr>
            <w:r w:rsidRPr="005D7961">
              <w:rPr>
                <w:rFonts w:ascii="Arial" w:hAnsi="Arial" w:cs="Arial"/>
              </w:rPr>
              <w:t>LR Chi2</w:t>
            </w:r>
          </w:p>
        </w:tc>
        <w:tc>
          <w:tcPr>
            <w:tcW w:w="1902" w:type="dxa"/>
            <w:tcBorders>
              <w:tl2br w:val="nil"/>
              <w:tr2bl w:val="nil"/>
            </w:tcBorders>
            <w:tcPrChange w:id="223" w:author="Maher" w:date="2025-07-21T10:39:00Z">
              <w:tcPr>
                <w:tcW w:w="1902" w:type="dxa"/>
                <w:tcBorders>
                  <w:tl2br w:val="nil"/>
                  <w:tr2bl w:val="nil"/>
                </w:tcBorders>
              </w:tcPr>
            </w:tcPrChange>
          </w:tcPr>
          <w:p w14:paraId="57E9E0C6" w14:textId="77777777" w:rsidR="002F52FB" w:rsidRPr="005D7961" w:rsidRDefault="0092538B">
            <w:pPr>
              <w:jc w:val="center"/>
              <w:rPr>
                <w:rFonts w:ascii="Arial" w:hAnsi="Arial" w:cs="Arial"/>
              </w:rPr>
            </w:pPr>
            <w:r w:rsidRPr="005D7961">
              <w:rPr>
                <w:rFonts w:ascii="Arial" w:hAnsi="Arial" w:cs="Arial"/>
              </w:rPr>
              <w:t>-1346.09</w:t>
            </w:r>
          </w:p>
        </w:tc>
        <w:tc>
          <w:tcPr>
            <w:tcW w:w="2104" w:type="dxa"/>
            <w:tcBorders>
              <w:tl2br w:val="nil"/>
              <w:tr2bl w:val="nil"/>
            </w:tcBorders>
            <w:tcPrChange w:id="224" w:author="Maher" w:date="2025-07-21T10:39:00Z">
              <w:tcPr>
                <w:tcW w:w="2104" w:type="dxa"/>
                <w:tcBorders>
                  <w:tl2br w:val="nil"/>
                  <w:tr2bl w:val="nil"/>
                </w:tcBorders>
              </w:tcPr>
            </w:tcPrChange>
          </w:tcPr>
          <w:p w14:paraId="4260DDD4" w14:textId="77777777" w:rsidR="002F52FB" w:rsidRPr="005D7961" w:rsidRDefault="0092538B">
            <w:pPr>
              <w:rPr>
                <w:rFonts w:ascii="Arial" w:hAnsi="Arial" w:cs="Arial"/>
              </w:rPr>
            </w:pPr>
            <w:r w:rsidRPr="005D7961">
              <w:rPr>
                <w:rFonts w:ascii="Arial" w:hAnsi="Arial" w:cs="Arial"/>
              </w:rPr>
              <w:t>LR Chi2</w:t>
            </w:r>
          </w:p>
        </w:tc>
        <w:tc>
          <w:tcPr>
            <w:tcW w:w="1826" w:type="dxa"/>
            <w:tcBorders>
              <w:tl2br w:val="nil"/>
              <w:tr2bl w:val="nil"/>
            </w:tcBorders>
            <w:tcPrChange w:id="225" w:author="Maher" w:date="2025-07-21T10:39:00Z">
              <w:tcPr>
                <w:tcW w:w="1826" w:type="dxa"/>
                <w:tcBorders>
                  <w:tl2br w:val="nil"/>
                  <w:tr2bl w:val="nil"/>
                </w:tcBorders>
              </w:tcPr>
            </w:tcPrChange>
          </w:tcPr>
          <w:p w14:paraId="192AD5F3" w14:textId="77777777" w:rsidR="002F52FB" w:rsidRPr="005D7961" w:rsidRDefault="0092538B">
            <w:pPr>
              <w:jc w:val="center"/>
              <w:rPr>
                <w:rFonts w:ascii="Arial" w:hAnsi="Arial" w:cs="Arial"/>
              </w:rPr>
            </w:pPr>
            <w:r w:rsidRPr="005D7961">
              <w:rPr>
                <w:rFonts w:ascii="Arial" w:hAnsi="Arial" w:cs="Arial"/>
              </w:rPr>
              <w:t>-2163.5</w:t>
            </w:r>
          </w:p>
        </w:tc>
      </w:tr>
      <w:tr w:rsidR="002F52FB" w:rsidRPr="005D7961" w14:paraId="0DCD37B8" w14:textId="77777777">
        <w:trPr>
          <w:jc w:val="center"/>
          <w:trPrChange w:id="226" w:author="Maher" w:date="2025-07-21T10:39:00Z">
            <w:trPr>
              <w:jc w:val="center"/>
            </w:trPr>
          </w:trPrChange>
        </w:trPr>
        <w:tc>
          <w:tcPr>
            <w:tcW w:w="2038" w:type="dxa"/>
            <w:tcBorders>
              <w:tl2br w:val="nil"/>
              <w:tr2bl w:val="nil"/>
            </w:tcBorders>
            <w:tcPrChange w:id="227" w:author="Maher" w:date="2025-07-21T10:39:00Z">
              <w:tcPr>
                <w:tcW w:w="2038" w:type="dxa"/>
                <w:tcBorders>
                  <w:tl2br w:val="nil"/>
                  <w:tr2bl w:val="nil"/>
                </w:tcBorders>
              </w:tcPr>
            </w:tcPrChange>
          </w:tcPr>
          <w:p w14:paraId="15596AF5" w14:textId="77777777" w:rsidR="002F52FB" w:rsidRPr="005D7961" w:rsidRDefault="0092538B">
            <w:pPr>
              <w:rPr>
                <w:rFonts w:ascii="Arial" w:hAnsi="Arial" w:cs="Arial"/>
              </w:rPr>
            </w:pPr>
            <w:r w:rsidRPr="005D7961">
              <w:rPr>
                <w:rFonts w:ascii="Arial" w:hAnsi="Arial" w:cs="Arial"/>
              </w:rPr>
              <w:t>Prob&gt;Chi2</w:t>
            </w:r>
          </w:p>
        </w:tc>
        <w:tc>
          <w:tcPr>
            <w:tcW w:w="1902" w:type="dxa"/>
            <w:tcBorders>
              <w:tl2br w:val="nil"/>
              <w:tr2bl w:val="nil"/>
            </w:tcBorders>
            <w:tcPrChange w:id="228" w:author="Maher" w:date="2025-07-21T10:39:00Z">
              <w:tcPr>
                <w:tcW w:w="1902" w:type="dxa"/>
                <w:tcBorders>
                  <w:tl2br w:val="nil"/>
                  <w:tr2bl w:val="nil"/>
                </w:tcBorders>
              </w:tcPr>
            </w:tcPrChange>
          </w:tcPr>
          <w:p w14:paraId="2268FA6B" w14:textId="77777777" w:rsidR="002F52FB" w:rsidRPr="005D7961" w:rsidRDefault="0092538B">
            <w:pPr>
              <w:jc w:val="center"/>
              <w:rPr>
                <w:rFonts w:ascii="Arial" w:hAnsi="Arial" w:cs="Arial"/>
              </w:rPr>
            </w:pPr>
            <w:r w:rsidRPr="005D7961">
              <w:rPr>
                <w:rFonts w:ascii="Arial" w:hAnsi="Arial" w:cs="Arial"/>
              </w:rPr>
              <w:t>1.0000</w:t>
            </w:r>
          </w:p>
        </w:tc>
        <w:tc>
          <w:tcPr>
            <w:tcW w:w="2104" w:type="dxa"/>
            <w:tcBorders>
              <w:tl2br w:val="nil"/>
              <w:tr2bl w:val="nil"/>
            </w:tcBorders>
            <w:tcPrChange w:id="229" w:author="Maher" w:date="2025-07-21T10:39:00Z">
              <w:tcPr>
                <w:tcW w:w="2104" w:type="dxa"/>
                <w:tcBorders>
                  <w:tl2br w:val="nil"/>
                  <w:tr2bl w:val="nil"/>
                </w:tcBorders>
              </w:tcPr>
            </w:tcPrChange>
          </w:tcPr>
          <w:p w14:paraId="305BA44D" w14:textId="77777777" w:rsidR="002F52FB" w:rsidRPr="005D7961" w:rsidRDefault="0092538B">
            <w:pPr>
              <w:rPr>
                <w:rFonts w:ascii="Arial" w:hAnsi="Arial" w:cs="Arial"/>
              </w:rPr>
            </w:pPr>
            <w:r w:rsidRPr="005D7961">
              <w:rPr>
                <w:rFonts w:ascii="Arial" w:hAnsi="Arial" w:cs="Arial"/>
              </w:rPr>
              <w:t>Prob&gt;Chi2</w:t>
            </w:r>
          </w:p>
        </w:tc>
        <w:tc>
          <w:tcPr>
            <w:tcW w:w="1826" w:type="dxa"/>
            <w:tcBorders>
              <w:tl2br w:val="nil"/>
              <w:tr2bl w:val="nil"/>
            </w:tcBorders>
            <w:tcPrChange w:id="230" w:author="Maher" w:date="2025-07-21T10:39:00Z">
              <w:tcPr>
                <w:tcW w:w="1826" w:type="dxa"/>
                <w:tcBorders>
                  <w:tl2br w:val="nil"/>
                  <w:tr2bl w:val="nil"/>
                </w:tcBorders>
              </w:tcPr>
            </w:tcPrChange>
          </w:tcPr>
          <w:p w14:paraId="46BAF81C" w14:textId="77777777" w:rsidR="002F52FB" w:rsidRPr="005D7961" w:rsidRDefault="0092538B">
            <w:pPr>
              <w:jc w:val="center"/>
              <w:rPr>
                <w:rFonts w:ascii="Arial" w:hAnsi="Arial" w:cs="Arial"/>
              </w:rPr>
            </w:pPr>
            <w:r w:rsidRPr="005D7961">
              <w:rPr>
                <w:rFonts w:ascii="Arial" w:hAnsi="Arial" w:cs="Arial"/>
              </w:rPr>
              <w:t>1.0000</w:t>
            </w:r>
          </w:p>
        </w:tc>
      </w:tr>
      <w:tr w:rsidR="002F52FB" w:rsidRPr="005D7961" w14:paraId="68D13C2C" w14:textId="77777777">
        <w:trPr>
          <w:jc w:val="center"/>
          <w:trPrChange w:id="231" w:author="Maher" w:date="2025-07-21T10:39:00Z">
            <w:trPr>
              <w:jc w:val="center"/>
            </w:trPr>
          </w:trPrChange>
        </w:trPr>
        <w:tc>
          <w:tcPr>
            <w:tcW w:w="2038" w:type="dxa"/>
            <w:tcBorders>
              <w:tl2br w:val="nil"/>
              <w:tr2bl w:val="nil"/>
            </w:tcBorders>
            <w:tcPrChange w:id="232" w:author="Maher" w:date="2025-07-21T10:39:00Z">
              <w:tcPr>
                <w:tcW w:w="2038" w:type="dxa"/>
                <w:tcBorders>
                  <w:tl2br w:val="nil"/>
                  <w:tr2bl w:val="nil"/>
                </w:tcBorders>
              </w:tcPr>
            </w:tcPrChange>
          </w:tcPr>
          <w:p w14:paraId="14DF56C0" w14:textId="77777777" w:rsidR="002F52FB" w:rsidRPr="005D7961" w:rsidRDefault="0092538B">
            <w:pPr>
              <w:rPr>
                <w:rFonts w:ascii="Arial" w:hAnsi="Arial" w:cs="Arial"/>
                <w:b/>
                <w:bCs/>
              </w:rPr>
            </w:pPr>
            <w:r w:rsidRPr="005D7961">
              <w:rPr>
                <w:rFonts w:ascii="Arial" w:hAnsi="Arial" w:cs="Arial"/>
                <w:b/>
                <w:bCs/>
              </w:rPr>
              <w:t>Autokorelasi</w:t>
            </w:r>
          </w:p>
        </w:tc>
        <w:tc>
          <w:tcPr>
            <w:tcW w:w="1902" w:type="dxa"/>
            <w:tcBorders>
              <w:tl2br w:val="nil"/>
              <w:tr2bl w:val="nil"/>
            </w:tcBorders>
            <w:tcPrChange w:id="233" w:author="Maher" w:date="2025-07-21T10:39:00Z">
              <w:tcPr>
                <w:tcW w:w="1902" w:type="dxa"/>
                <w:tcBorders>
                  <w:tl2br w:val="nil"/>
                  <w:tr2bl w:val="nil"/>
                </w:tcBorders>
              </w:tcPr>
            </w:tcPrChange>
          </w:tcPr>
          <w:p w14:paraId="570FD379" w14:textId="77777777" w:rsidR="002F52FB" w:rsidRPr="005D7961" w:rsidRDefault="002F52FB">
            <w:pPr>
              <w:jc w:val="center"/>
              <w:rPr>
                <w:rFonts w:ascii="Arial" w:hAnsi="Arial" w:cs="Arial"/>
              </w:rPr>
            </w:pPr>
          </w:p>
        </w:tc>
        <w:tc>
          <w:tcPr>
            <w:tcW w:w="2104" w:type="dxa"/>
            <w:tcBorders>
              <w:tl2br w:val="nil"/>
              <w:tr2bl w:val="nil"/>
            </w:tcBorders>
            <w:tcPrChange w:id="234" w:author="Maher" w:date="2025-07-21T10:39:00Z">
              <w:tcPr>
                <w:tcW w:w="2104" w:type="dxa"/>
                <w:tcBorders>
                  <w:tl2br w:val="nil"/>
                  <w:tr2bl w:val="nil"/>
                </w:tcBorders>
              </w:tcPr>
            </w:tcPrChange>
          </w:tcPr>
          <w:p w14:paraId="1530ACFD" w14:textId="77777777" w:rsidR="002F52FB" w:rsidRPr="005D7961" w:rsidRDefault="0092538B">
            <w:pPr>
              <w:rPr>
                <w:rFonts w:ascii="Arial" w:hAnsi="Arial" w:cs="Arial"/>
                <w:b/>
                <w:bCs/>
              </w:rPr>
            </w:pPr>
            <w:r w:rsidRPr="005D7961">
              <w:rPr>
                <w:rFonts w:ascii="Arial" w:hAnsi="Arial" w:cs="Arial"/>
                <w:b/>
                <w:bCs/>
              </w:rPr>
              <w:t>Autokorelasi</w:t>
            </w:r>
          </w:p>
        </w:tc>
        <w:tc>
          <w:tcPr>
            <w:tcW w:w="1826" w:type="dxa"/>
            <w:tcBorders>
              <w:tl2br w:val="nil"/>
              <w:tr2bl w:val="nil"/>
            </w:tcBorders>
            <w:tcPrChange w:id="235" w:author="Maher" w:date="2025-07-21T10:39:00Z">
              <w:tcPr>
                <w:tcW w:w="1826" w:type="dxa"/>
                <w:tcBorders>
                  <w:tl2br w:val="nil"/>
                  <w:tr2bl w:val="nil"/>
                </w:tcBorders>
              </w:tcPr>
            </w:tcPrChange>
          </w:tcPr>
          <w:p w14:paraId="07692C32" w14:textId="77777777" w:rsidR="002F52FB" w:rsidRPr="005D7961" w:rsidRDefault="002F52FB">
            <w:pPr>
              <w:jc w:val="center"/>
              <w:rPr>
                <w:rFonts w:ascii="Arial" w:hAnsi="Arial" w:cs="Arial"/>
              </w:rPr>
            </w:pPr>
          </w:p>
        </w:tc>
      </w:tr>
      <w:tr w:rsidR="002F52FB" w:rsidRPr="005D7961" w14:paraId="0B7E59B0" w14:textId="77777777">
        <w:trPr>
          <w:jc w:val="center"/>
          <w:trPrChange w:id="236" w:author="Maher" w:date="2025-07-21T10:39:00Z">
            <w:trPr>
              <w:jc w:val="center"/>
            </w:trPr>
          </w:trPrChange>
        </w:trPr>
        <w:tc>
          <w:tcPr>
            <w:tcW w:w="2038" w:type="dxa"/>
            <w:tcBorders>
              <w:tl2br w:val="nil"/>
              <w:tr2bl w:val="nil"/>
            </w:tcBorders>
            <w:tcPrChange w:id="237" w:author="Maher" w:date="2025-07-21T10:39:00Z">
              <w:tcPr>
                <w:tcW w:w="2038" w:type="dxa"/>
                <w:tcBorders>
                  <w:tl2br w:val="nil"/>
                  <w:tr2bl w:val="nil"/>
                </w:tcBorders>
              </w:tcPr>
            </w:tcPrChange>
          </w:tcPr>
          <w:p w14:paraId="3DFE6529" w14:textId="77777777" w:rsidR="002F52FB" w:rsidRPr="005D7961" w:rsidRDefault="0092538B">
            <w:pPr>
              <w:rPr>
                <w:rFonts w:ascii="Arial" w:hAnsi="Arial" w:cs="Arial"/>
              </w:rPr>
            </w:pPr>
            <w:r w:rsidRPr="005D7961">
              <w:rPr>
                <w:rFonts w:ascii="Arial" w:hAnsi="Arial" w:cs="Arial"/>
              </w:rPr>
              <w:t>F</w:t>
            </w:r>
          </w:p>
        </w:tc>
        <w:tc>
          <w:tcPr>
            <w:tcW w:w="1902" w:type="dxa"/>
            <w:tcBorders>
              <w:tl2br w:val="nil"/>
              <w:tr2bl w:val="nil"/>
            </w:tcBorders>
            <w:tcPrChange w:id="238" w:author="Maher" w:date="2025-07-21T10:39:00Z">
              <w:tcPr>
                <w:tcW w:w="1902" w:type="dxa"/>
                <w:tcBorders>
                  <w:tl2br w:val="nil"/>
                  <w:tr2bl w:val="nil"/>
                </w:tcBorders>
              </w:tcPr>
            </w:tcPrChange>
          </w:tcPr>
          <w:p w14:paraId="637BB56D" w14:textId="77777777" w:rsidR="002F52FB" w:rsidRPr="005D7961" w:rsidRDefault="0092538B">
            <w:pPr>
              <w:jc w:val="center"/>
              <w:rPr>
                <w:rFonts w:ascii="Arial" w:hAnsi="Arial" w:cs="Arial"/>
              </w:rPr>
            </w:pPr>
            <w:r w:rsidRPr="005D7961">
              <w:rPr>
                <w:rFonts w:ascii="Arial" w:hAnsi="Arial" w:cs="Arial"/>
              </w:rPr>
              <w:t>2.895</w:t>
            </w:r>
          </w:p>
        </w:tc>
        <w:tc>
          <w:tcPr>
            <w:tcW w:w="2104" w:type="dxa"/>
            <w:tcBorders>
              <w:tl2br w:val="nil"/>
              <w:tr2bl w:val="nil"/>
            </w:tcBorders>
            <w:tcPrChange w:id="239" w:author="Maher" w:date="2025-07-21T10:39:00Z">
              <w:tcPr>
                <w:tcW w:w="2104" w:type="dxa"/>
                <w:tcBorders>
                  <w:tl2br w:val="nil"/>
                  <w:tr2bl w:val="nil"/>
                </w:tcBorders>
              </w:tcPr>
            </w:tcPrChange>
          </w:tcPr>
          <w:p w14:paraId="1BEC0724" w14:textId="77777777" w:rsidR="002F52FB" w:rsidRPr="005D7961" w:rsidRDefault="0092538B">
            <w:pPr>
              <w:rPr>
                <w:rFonts w:ascii="Arial" w:hAnsi="Arial" w:cs="Arial"/>
              </w:rPr>
            </w:pPr>
            <w:r w:rsidRPr="005D7961">
              <w:rPr>
                <w:rFonts w:ascii="Arial" w:hAnsi="Arial" w:cs="Arial"/>
              </w:rPr>
              <w:t>F</w:t>
            </w:r>
          </w:p>
        </w:tc>
        <w:tc>
          <w:tcPr>
            <w:tcW w:w="1826" w:type="dxa"/>
            <w:tcBorders>
              <w:tl2br w:val="nil"/>
              <w:tr2bl w:val="nil"/>
            </w:tcBorders>
            <w:tcPrChange w:id="240" w:author="Maher" w:date="2025-07-21T10:39:00Z">
              <w:tcPr>
                <w:tcW w:w="1826" w:type="dxa"/>
                <w:tcBorders>
                  <w:tl2br w:val="nil"/>
                  <w:tr2bl w:val="nil"/>
                </w:tcBorders>
              </w:tcPr>
            </w:tcPrChange>
          </w:tcPr>
          <w:p w14:paraId="48DAC32C" w14:textId="77777777" w:rsidR="002F52FB" w:rsidRPr="005D7961" w:rsidRDefault="0092538B">
            <w:pPr>
              <w:jc w:val="center"/>
              <w:rPr>
                <w:rFonts w:ascii="Arial" w:hAnsi="Arial" w:cs="Arial"/>
              </w:rPr>
            </w:pPr>
            <w:r w:rsidRPr="005D7961">
              <w:rPr>
                <w:rFonts w:ascii="Arial" w:hAnsi="Arial" w:cs="Arial"/>
              </w:rPr>
              <w:t>92.432</w:t>
            </w:r>
          </w:p>
        </w:tc>
      </w:tr>
      <w:tr w:rsidR="002F52FB" w:rsidRPr="005D7961" w14:paraId="730E0229" w14:textId="77777777">
        <w:trPr>
          <w:jc w:val="center"/>
          <w:trPrChange w:id="241" w:author="Maher" w:date="2025-07-21T10:39:00Z">
            <w:trPr>
              <w:jc w:val="center"/>
            </w:trPr>
          </w:trPrChange>
        </w:trPr>
        <w:tc>
          <w:tcPr>
            <w:tcW w:w="2038" w:type="dxa"/>
            <w:tcBorders>
              <w:tl2br w:val="nil"/>
              <w:tr2bl w:val="nil"/>
            </w:tcBorders>
            <w:tcPrChange w:id="242" w:author="Maher" w:date="2025-07-21T10:39:00Z">
              <w:tcPr>
                <w:tcW w:w="2038" w:type="dxa"/>
                <w:tcBorders>
                  <w:tl2br w:val="nil"/>
                  <w:tr2bl w:val="nil"/>
                </w:tcBorders>
              </w:tcPr>
            </w:tcPrChange>
          </w:tcPr>
          <w:p w14:paraId="09435B3B" w14:textId="77777777" w:rsidR="002F52FB" w:rsidRPr="005D7961" w:rsidRDefault="0092538B">
            <w:pPr>
              <w:rPr>
                <w:rFonts w:ascii="Arial" w:hAnsi="Arial" w:cs="Arial"/>
              </w:rPr>
            </w:pPr>
            <w:r w:rsidRPr="005D7961">
              <w:rPr>
                <w:rFonts w:ascii="Arial" w:hAnsi="Arial" w:cs="Arial"/>
              </w:rPr>
              <w:t>Prob&gt;F</w:t>
            </w:r>
          </w:p>
        </w:tc>
        <w:tc>
          <w:tcPr>
            <w:tcW w:w="1902" w:type="dxa"/>
            <w:tcBorders>
              <w:tl2br w:val="nil"/>
              <w:tr2bl w:val="nil"/>
            </w:tcBorders>
            <w:tcPrChange w:id="243" w:author="Maher" w:date="2025-07-21T10:39:00Z">
              <w:tcPr>
                <w:tcW w:w="1902" w:type="dxa"/>
                <w:tcBorders>
                  <w:tl2br w:val="nil"/>
                  <w:tr2bl w:val="nil"/>
                </w:tcBorders>
              </w:tcPr>
            </w:tcPrChange>
          </w:tcPr>
          <w:p w14:paraId="780F92F0" w14:textId="77777777" w:rsidR="002F52FB" w:rsidRPr="005D7961" w:rsidRDefault="0092538B">
            <w:pPr>
              <w:jc w:val="center"/>
              <w:rPr>
                <w:rFonts w:ascii="Arial" w:hAnsi="Arial" w:cs="Arial"/>
              </w:rPr>
            </w:pPr>
            <w:r w:rsidRPr="005D7961">
              <w:rPr>
                <w:rFonts w:ascii="Arial" w:hAnsi="Arial" w:cs="Arial"/>
              </w:rPr>
              <w:t>0.0922</w:t>
            </w:r>
          </w:p>
        </w:tc>
        <w:tc>
          <w:tcPr>
            <w:tcW w:w="2104" w:type="dxa"/>
            <w:tcBorders>
              <w:tl2br w:val="nil"/>
              <w:tr2bl w:val="nil"/>
            </w:tcBorders>
            <w:tcPrChange w:id="244" w:author="Maher" w:date="2025-07-21T10:39:00Z">
              <w:tcPr>
                <w:tcW w:w="2104" w:type="dxa"/>
                <w:tcBorders>
                  <w:tl2br w:val="nil"/>
                  <w:tr2bl w:val="nil"/>
                </w:tcBorders>
              </w:tcPr>
            </w:tcPrChange>
          </w:tcPr>
          <w:p w14:paraId="0884FD59" w14:textId="77777777" w:rsidR="002F52FB" w:rsidRPr="005D7961" w:rsidRDefault="0092538B">
            <w:pPr>
              <w:rPr>
                <w:rFonts w:ascii="Arial" w:hAnsi="Arial" w:cs="Arial"/>
              </w:rPr>
            </w:pPr>
            <w:r w:rsidRPr="005D7961">
              <w:rPr>
                <w:rFonts w:ascii="Arial" w:hAnsi="Arial" w:cs="Arial"/>
              </w:rPr>
              <w:t>Prob&gt;F</w:t>
            </w:r>
          </w:p>
        </w:tc>
        <w:tc>
          <w:tcPr>
            <w:tcW w:w="1826" w:type="dxa"/>
            <w:tcBorders>
              <w:tl2br w:val="nil"/>
              <w:tr2bl w:val="nil"/>
            </w:tcBorders>
            <w:tcPrChange w:id="245" w:author="Maher" w:date="2025-07-21T10:39:00Z">
              <w:tcPr>
                <w:tcW w:w="1826" w:type="dxa"/>
                <w:tcBorders>
                  <w:tl2br w:val="nil"/>
                  <w:tr2bl w:val="nil"/>
                </w:tcBorders>
              </w:tcPr>
            </w:tcPrChange>
          </w:tcPr>
          <w:p w14:paraId="70F7F20E" w14:textId="77777777" w:rsidR="002F52FB" w:rsidRPr="005D7961" w:rsidRDefault="0092538B">
            <w:pPr>
              <w:jc w:val="center"/>
              <w:rPr>
                <w:rFonts w:ascii="Arial" w:hAnsi="Arial" w:cs="Arial"/>
              </w:rPr>
            </w:pPr>
            <w:r w:rsidRPr="005D7961">
              <w:rPr>
                <w:rFonts w:ascii="Arial" w:hAnsi="Arial" w:cs="Arial"/>
              </w:rPr>
              <w:t>0.0000</w:t>
            </w:r>
          </w:p>
        </w:tc>
      </w:tr>
    </w:tbl>
    <w:p w14:paraId="7B75E17E" w14:textId="77777777" w:rsidR="002F52FB" w:rsidRPr="005D7961" w:rsidRDefault="0092538B">
      <w:pPr>
        <w:rPr>
          <w:rFonts w:ascii="Arial" w:hAnsi="Arial" w:cs="Arial"/>
          <w:b/>
          <w:bCs/>
          <w:u w:val="single"/>
        </w:rPr>
        <w:sectPr w:rsidR="002F52FB" w:rsidRPr="005D7961">
          <w:type w:val="continuous"/>
          <w:pgSz w:w="11906" w:h="16838"/>
          <w:pgMar w:top="1440" w:right="2018" w:bottom="2018" w:left="2018" w:header="720" w:footer="720" w:gutter="0"/>
          <w:cols w:space="567"/>
          <w:docGrid w:linePitch="360"/>
        </w:sectPr>
      </w:pPr>
      <w:r w:rsidRPr="005D7961">
        <w:rPr>
          <w:rFonts w:ascii="Arial" w:hAnsi="Arial" w:cs="Arial"/>
          <w:i/>
          <w:iCs/>
          <w:sz w:val="18"/>
          <w:szCs w:val="18"/>
        </w:rPr>
        <w:t>*Source; Data processed, 2025</w:t>
      </w:r>
    </w:p>
    <w:p w14:paraId="74588FB0" w14:textId="77777777" w:rsidR="002F52FB" w:rsidRPr="005D7961" w:rsidRDefault="002F52FB">
      <w:pPr>
        <w:rPr>
          <w:rFonts w:ascii="Arial" w:hAnsi="Arial" w:cs="Arial"/>
          <w:b/>
          <w:bCs/>
        </w:rPr>
      </w:pPr>
      <w:bookmarkStart w:id="246" w:name="_Hlk201778622"/>
    </w:p>
    <w:p w14:paraId="048D48F4" w14:textId="77777777" w:rsidR="002F52FB" w:rsidRPr="005D7961" w:rsidRDefault="0092538B">
      <w:pPr>
        <w:jc w:val="center"/>
        <w:rPr>
          <w:rFonts w:ascii="Arial" w:hAnsi="Arial" w:cs="Arial"/>
          <w:b/>
          <w:bCs/>
        </w:rPr>
      </w:pPr>
      <w:r w:rsidRPr="005D7961">
        <w:rPr>
          <w:rFonts w:ascii="Arial" w:hAnsi="Arial" w:cs="Arial"/>
          <w:b/>
          <w:bCs/>
        </w:rPr>
        <w:t>Tabel 8. Hypothesis Test Results</w:t>
      </w:r>
    </w:p>
    <w:tbl>
      <w:tblPr>
        <w:tblStyle w:val="TableGrid"/>
        <w:tblW w:w="0" w:type="auto"/>
        <w:jc w:val="center"/>
        <w:tblLook w:val="04A0" w:firstRow="1" w:lastRow="0" w:firstColumn="1" w:lastColumn="0" w:noHBand="0" w:noVBand="1"/>
        <w:tblPrChange w:id="247" w:author="Maher" w:date="2025-07-21T10:39:00Z">
          <w:tblPr>
            <w:tblStyle w:val="TableGrid"/>
            <w:tblW w:w="0" w:type="auto"/>
            <w:jc w:val="center"/>
            <w:tblLook w:val="04A0" w:firstRow="1" w:lastRow="0" w:firstColumn="1" w:lastColumn="0" w:noHBand="0" w:noVBand="1"/>
          </w:tblPr>
        </w:tblPrChange>
      </w:tblPr>
      <w:tblGrid>
        <w:gridCol w:w="1701"/>
        <w:gridCol w:w="1560"/>
        <w:gridCol w:w="1559"/>
        <w:gridCol w:w="1417"/>
        <w:gridCol w:w="1633"/>
        <w:tblGridChange w:id="248">
          <w:tblGrid>
            <w:gridCol w:w="1701"/>
            <w:gridCol w:w="1560"/>
            <w:gridCol w:w="1559"/>
            <w:gridCol w:w="1417"/>
            <w:gridCol w:w="1633"/>
          </w:tblGrid>
        </w:tblGridChange>
      </w:tblGrid>
      <w:tr w:rsidR="002F52FB" w:rsidRPr="005D7961" w14:paraId="1405A96E" w14:textId="77777777">
        <w:trPr>
          <w:trHeight w:val="338"/>
          <w:jc w:val="center"/>
          <w:trPrChange w:id="249" w:author="Maher" w:date="2025-07-21T10:39:00Z">
            <w:trPr>
              <w:trHeight w:val="338"/>
              <w:jc w:val="center"/>
            </w:trPr>
          </w:trPrChange>
        </w:trPr>
        <w:tc>
          <w:tcPr>
            <w:tcW w:w="1701" w:type="dxa"/>
            <w:tcBorders>
              <w:left w:val="nil"/>
              <w:bottom w:val="nil"/>
              <w:right w:val="nil"/>
            </w:tcBorders>
            <w:tcPrChange w:id="250" w:author="Maher" w:date="2025-07-21T10:39:00Z">
              <w:tcPr>
                <w:tcW w:w="1701" w:type="dxa"/>
                <w:tcBorders>
                  <w:left w:val="nil"/>
                  <w:bottom w:val="nil"/>
                  <w:right w:val="nil"/>
                </w:tcBorders>
              </w:tcPr>
            </w:tcPrChange>
          </w:tcPr>
          <w:p w14:paraId="3B346F6A" w14:textId="77777777" w:rsidR="002F52FB" w:rsidRPr="005D7961" w:rsidRDefault="0092538B">
            <w:pPr>
              <w:rPr>
                <w:rFonts w:ascii="Arial" w:hAnsi="Arial" w:cs="Arial"/>
                <w:b/>
                <w:bCs/>
              </w:rPr>
            </w:pPr>
            <w:bookmarkStart w:id="251" w:name="_Hlk202429764"/>
            <w:r w:rsidRPr="005D7961">
              <w:rPr>
                <w:rFonts w:ascii="Arial" w:hAnsi="Arial" w:cs="Arial"/>
                <w:b/>
                <w:bCs/>
              </w:rPr>
              <w:t>Independent Variable</w:t>
            </w:r>
          </w:p>
        </w:tc>
        <w:tc>
          <w:tcPr>
            <w:tcW w:w="1560" w:type="dxa"/>
            <w:tcBorders>
              <w:left w:val="nil"/>
              <w:right w:val="nil"/>
            </w:tcBorders>
            <w:tcPrChange w:id="252" w:author="Maher" w:date="2025-07-21T10:39:00Z">
              <w:tcPr>
                <w:tcW w:w="1560" w:type="dxa"/>
                <w:tcBorders>
                  <w:left w:val="nil"/>
                  <w:right w:val="nil"/>
                </w:tcBorders>
              </w:tcPr>
            </w:tcPrChange>
          </w:tcPr>
          <w:p w14:paraId="65A306E1" w14:textId="77777777" w:rsidR="002F52FB" w:rsidRPr="005D7961" w:rsidRDefault="002F52FB">
            <w:pPr>
              <w:jc w:val="center"/>
              <w:rPr>
                <w:rFonts w:ascii="Arial" w:hAnsi="Arial" w:cs="Arial"/>
                <w:b/>
                <w:bCs/>
              </w:rPr>
            </w:pPr>
          </w:p>
        </w:tc>
        <w:tc>
          <w:tcPr>
            <w:tcW w:w="2976" w:type="dxa"/>
            <w:gridSpan w:val="2"/>
            <w:tcBorders>
              <w:left w:val="nil"/>
              <w:right w:val="nil"/>
            </w:tcBorders>
            <w:tcPrChange w:id="253" w:author="Maher" w:date="2025-07-21T10:39:00Z">
              <w:tcPr>
                <w:tcW w:w="2976" w:type="dxa"/>
                <w:gridSpan w:val="2"/>
                <w:tcBorders>
                  <w:left w:val="nil"/>
                  <w:right w:val="nil"/>
                </w:tcBorders>
              </w:tcPr>
            </w:tcPrChange>
          </w:tcPr>
          <w:p w14:paraId="3A4BC99E" w14:textId="77777777" w:rsidR="002F52FB" w:rsidRPr="005D7961" w:rsidRDefault="0092538B">
            <w:pPr>
              <w:jc w:val="center"/>
              <w:rPr>
                <w:rFonts w:ascii="Arial" w:hAnsi="Arial" w:cs="Arial"/>
                <w:b/>
                <w:bCs/>
              </w:rPr>
            </w:pPr>
            <w:r w:rsidRPr="005D7961">
              <w:rPr>
                <w:rFonts w:ascii="Arial" w:hAnsi="Arial" w:cs="Arial"/>
                <w:b/>
                <w:bCs/>
              </w:rPr>
              <w:t>Dependent Variabel</w:t>
            </w:r>
          </w:p>
        </w:tc>
        <w:tc>
          <w:tcPr>
            <w:tcW w:w="1633" w:type="dxa"/>
            <w:tcBorders>
              <w:left w:val="nil"/>
              <w:right w:val="nil"/>
            </w:tcBorders>
            <w:tcPrChange w:id="254" w:author="Maher" w:date="2025-07-21T10:39:00Z">
              <w:tcPr>
                <w:tcW w:w="1633" w:type="dxa"/>
                <w:tcBorders>
                  <w:left w:val="nil"/>
                  <w:right w:val="nil"/>
                </w:tcBorders>
              </w:tcPr>
            </w:tcPrChange>
          </w:tcPr>
          <w:p w14:paraId="0882911D" w14:textId="77777777" w:rsidR="002F52FB" w:rsidRPr="005D7961" w:rsidRDefault="002F52FB">
            <w:pPr>
              <w:jc w:val="center"/>
              <w:rPr>
                <w:rFonts w:ascii="Arial" w:hAnsi="Arial" w:cs="Arial"/>
              </w:rPr>
            </w:pPr>
          </w:p>
        </w:tc>
      </w:tr>
      <w:tr w:rsidR="002F52FB" w:rsidRPr="005D7961" w14:paraId="48676969" w14:textId="77777777">
        <w:trPr>
          <w:trHeight w:val="318"/>
          <w:jc w:val="center"/>
          <w:trPrChange w:id="255" w:author="Maher" w:date="2025-07-21T10:39:00Z">
            <w:trPr>
              <w:trHeight w:val="318"/>
              <w:jc w:val="center"/>
            </w:trPr>
          </w:trPrChange>
        </w:trPr>
        <w:tc>
          <w:tcPr>
            <w:tcW w:w="1701" w:type="dxa"/>
            <w:tcBorders>
              <w:top w:val="nil"/>
              <w:left w:val="nil"/>
              <w:bottom w:val="nil"/>
              <w:right w:val="nil"/>
            </w:tcBorders>
            <w:tcPrChange w:id="256" w:author="Maher" w:date="2025-07-21T10:39:00Z">
              <w:tcPr>
                <w:tcW w:w="1701" w:type="dxa"/>
                <w:tcBorders>
                  <w:top w:val="nil"/>
                  <w:left w:val="nil"/>
                  <w:bottom w:val="nil"/>
                  <w:right w:val="nil"/>
                </w:tcBorders>
              </w:tcPr>
            </w:tcPrChange>
          </w:tcPr>
          <w:p w14:paraId="384194AA" w14:textId="77777777" w:rsidR="002F52FB" w:rsidRPr="005D7961" w:rsidRDefault="002F52FB">
            <w:pPr>
              <w:rPr>
                <w:rFonts w:ascii="Arial" w:hAnsi="Arial" w:cs="Arial"/>
              </w:rPr>
            </w:pPr>
          </w:p>
        </w:tc>
        <w:tc>
          <w:tcPr>
            <w:tcW w:w="1560" w:type="dxa"/>
            <w:tcBorders>
              <w:left w:val="nil"/>
              <w:bottom w:val="nil"/>
              <w:right w:val="nil"/>
            </w:tcBorders>
            <w:tcPrChange w:id="257" w:author="Maher" w:date="2025-07-21T10:39:00Z">
              <w:tcPr>
                <w:tcW w:w="1560" w:type="dxa"/>
                <w:tcBorders>
                  <w:left w:val="nil"/>
                  <w:bottom w:val="nil"/>
                  <w:right w:val="nil"/>
                </w:tcBorders>
              </w:tcPr>
            </w:tcPrChange>
          </w:tcPr>
          <w:p w14:paraId="46F0FDF9" w14:textId="77777777" w:rsidR="002F52FB" w:rsidRPr="005D7961" w:rsidRDefault="0092538B">
            <w:pPr>
              <w:jc w:val="center"/>
              <w:rPr>
                <w:rFonts w:ascii="Arial" w:hAnsi="Arial" w:cs="Arial"/>
                <w:b/>
                <w:bCs/>
              </w:rPr>
            </w:pPr>
            <w:r w:rsidRPr="005D7961">
              <w:rPr>
                <w:rFonts w:ascii="Arial" w:hAnsi="Arial" w:cs="Arial"/>
                <w:b/>
                <w:bCs/>
              </w:rPr>
              <w:t>Intrinsic Value</w:t>
            </w:r>
          </w:p>
        </w:tc>
        <w:tc>
          <w:tcPr>
            <w:tcW w:w="1559" w:type="dxa"/>
            <w:tcBorders>
              <w:left w:val="nil"/>
              <w:bottom w:val="nil"/>
              <w:right w:val="nil"/>
            </w:tcBorders>
            <w:tcPrChange w:id="258" w:author="Maher" w:date="2025-07-21T10:39:00Z">
              <w:tcPr>
                <w:tcW w:w="1559" w:type="dxa"/>
                <w:tcBorders>
                  <w:left w:val="nil"/>
                  <w:bottom w:val="nil"/>
                  <w:right w:val="nil"/>
                </w:tcBorders>
              </w:tcPr>
            </w:tcPrChange>
          </w:tcPr>
          <w:p w14:paraId="264C067C" w14:textId="77777777" w:rsidR="002F52FB" w:rsidRPr="005D7961" w:rsidRDefault="002F52FB">
            <w:pPr>
              <w:jc w:val="center"/>
              <w:rPr>
                <w:rFonts w:ascii="Arial" w:hAnsi="Arial" w:cs="Arial"/>
                <w:b/>
                <w:bCs/>
              </w:rPr>
            </w:pPr>
          </w:p>
        </w:tc>
        <w:tc>
          <w:tcPr>
            <w:tcW w:w="1417" w:type="dxa"/>
            <w:tcBorders>
              <w:left w:val="nil"/>
              <w:bottom w:val="nil"/>
              <w:right w:val="nil"/>
            </w:tcBorders>
            <w:tcPrChange w:id="259" w:author="Maher" w:date="2025-07-21T10:39:00Z">
              <w:tcPr>
                <w:tcW w:w="1417" w:type="dxa"/>
                <w:tcBorders>
                  <w:left w:val="nil"/>
                  <w:bottom w:val="nil"/>
                  <w:right w:val="nil"/>
                </w:tcBorders>
              </w:tcPr>
            </w:tcPrChange>
          </w:tcPr>
          <w:p w14:paraId="4DA19265" w14:textId="77777777" w:rsidR="002F52FB" w:rsidRPr="005D7961" w:rsidRDefault="0092538B">
            <w:pPr>
              <w:jc w:val="center"/>
              <w:rPr>
                <w:rFonts w:ascii="Arial" w:hAnsi="Arial" w:cs="Arial"/>
                <w:b/>
                <w:bCs/>
              </w:rPr>
            </w:pPr>
            <w:r w:rsidRPr="005D7961">
              <w:rPr>
                <w:rFonts w:ascii="Arial" w:hAnsi="Arial" w:cs="Arial"/>
                <w:b/>
                <w:bCs/>
              </w:rPr>
              <w:t>Stock Price</w:t>
            </w:r>
          </w:p>
        </w:tc>
        <w:tc>
          <w:tcPr>
            <w:tcW w:w="1633" w:type="dxa"/>
            <w:tcBorders>
              <w:left w:val="nil"/>
              <w:bottom w:val="nil"/>
              <w:right w:val="nil"/>
            </w:tcBorders>
            <w:tcPrChange w:id="260" w:author="Maher" w:date="2025-07-21T10:39:00Z">
              <w:tcPr>
                <w:tcW w:w="1633" w:type="dxa"/>
                <w:tcBorders>
                  <w:left w:val="nil"/>
                  <w:bottom w:val="nil"/>
                  <w:right w:val="nil"/>
                </w:tcBorders>
              </w:tcPr>
            </w:tcPrChange>
          </w:tcPr>
          <w:p w14:paraId="4A7A143E" w14:textId="77777777" w:rsidR="002F52FB" w:rsidRPr="005D7961" w:rsidRDefault="002F52FB">
            <w:pPr>
              <w:jc w:val="center"/>
              <w:rPr>
                <w:rFonts w:ascii="Arial" w:hAnsi="Arial" w:cs="Arial"/>
                <w:b/>
                <w:bCs/>
              </w:rPr>
            </w:pPr>
          </w:p>
        </w:tc>
      </w:tr>
      <w:tr w:rsidR="002F52FB" w:rsidRPr="005D7961" w14:paraId="522B4B7D" w14:textId="77777777">
        <w:trPr>
          <w:trHeight w:val="318"/>
          <w:jc w:val="center"/>
          <w:trPrChange w:id="261" w:author="Maher" w:date="2025-07-21T10:39:00Z">
            <w:trPr>
              <w:trHeight w:val="318"/>
              <w:jc w:val="center"/>
            </w:trPr>
          </w:trPrChange>
        </w:trPr>
        <w:tc>
          <w:tcPr>
            <w:tcW w:w="1701" w:type="dxa"/>
            <w:tcBorders>
              <w:top w:val="nil"/>
              <w:left w:val="nil"/>
              <w:bottom w:val="nil"/>
              <w:right w:val="nil"/>
            </w:tcBorders>
            <w:tcPrChange w:id="262" w:author="Maher" w:date="2025-07-21T10:39:00Z">
              <w:tcPr>
                <w:tcW w:w="1701" w:type="dxa"/>
                <w:tcBorders>
                  <w:top w:val="nil"/>
                  <w:left w:val="nil"/>
                  <w:bottom w:val="nil"/>
                  <w:right w:val="nil"/>
                </w:tcBorders>
              </w:tcPr>
            </w:tcPrChange>
          </w:tcPr>
          <w:p w14:paraId="4243C7A6" w14:textId="77777777" w:rsidR="002F52FB" w:rsidRPr="005D7961" w:rsidRDefault="002F52FB">
            <w:pPr>
              <w:rPr>
                <w:rFonts w:ascii="Arial" w:hAnsi="Arial" w:cs="Arial"/>
              </w:rPr>
            </w:pPr>
          </w:p>
        </w:tc>
        <w:tc>
          <w:tcPr>
            <w:tcW w:w="1560" w:type="dxa"/>
            <w:tcBorders>
              <w:left w:val="nil"/>
              <w:bottom w:val="nil"/>
              <w:right w:val="nil"/>
            </w:tcBorders>
            <w:tcPrChange w:id="263" w:author="Maher" w:date="2025-07-21T10:39:00Z">
              <w:tcPr>
                <w:tcW w:w="1560" w:type="dxa"/>
                <w:tcBorders>
                  <w:left w:val="nil"/>
                  <w:bottom w:val="nil"/>
                  <w:right w:val="nil"/>
                </w:tcBorders>
              </w:tcPr>
            </w:tcPrChange>
          </w:tcPr>
          <w:p w14:paraId="3D4EF15D" w14:textId="77777777" w:rsidR="002F52FB" w:rsidRPr="005D7961" w:rsidRDefault="0092538B">
            <w:pPr>
              <w:jc w:val="center"/>
              <w:rPr>
                <w:rFonts w:ascii="Arial" w:hAnsi="Arial" w:cs="Arial"/>
                <w:b/>
                <w:bCs/>
              </w:rPr>
            </w:pPr>
            <w:r w:rsidRPr="005D7961">
              <w:rPr>
                <w:rFonts w:ascii="Arial" w:hAnsi="Arial" w:cs="Arial"/>
                <w:b/>
                <w:bCs/>
              </w:rPr>
              <w:t>Model 1</w:t>
            </w:r>
          </w:p>
        </w:tc>
        <w:tc>
          <w:tcPr>
            <w:tcW w:w="1559" w:type="dxa"/>
            <w:tcBorders>
              <w:left w:val="nil"/>
              <w:bottom w:val="nil"/>
              <w:right w:val="nil"/>
            </w:tcBorders>
            <w:tcPrChange w:id="264" w:author="Maher" w:date="2025-07-21T10:39:00Z">
              <w:tcPr>
                <w:tcW w:w="1559" w:type="dxa"/>
                <w:tcBorders>
                  <w:left w:val="nil"/>
                  <w:bottom w:val="nil"/>
                  <w:right w:val="nil"/>
                </w:tcBorders>
              </w:tcPr>
            </w:tcPrChange>
          </w:tcPr>
          <w:p w14:paraId="188E5042" w14:textId="77777777" w:rsidR="002F52FB" w:rsidRPr="005D7961" w:rsidRDefault="0092538B">
            <w:pPr>
              <w:jc w:val="left"/>
              <w:rPr>
                <w:rFonts w:ascii="Arial" w:hAnsi="Arial" w:cs="Arial"/>
                <w:b/>
                <w:bCs/>
              </w:rPr>
            </w:pPr>
            <w:r w:rsidRPr="005D7961">
              <w:rPr>
                <w:rFonts w:ascii="Arial" w:hAnsi="Arial" w:cs="Arial"/>
                <w:b/>
                <w:bCs/>
              </w:rPr>
              <w:t xml:space="preserve">Information </w:t>
            </w:r>
          </w:p>
        </w:tc>
        <w:tc>
          <w:tcPr>
            <w:tcW w:w="1417" w:type="dxa"/>
            <w:tcBorders>
              <w:left w:val="nil"/>
              <w:bottom w:val="nil"/>
              <w:right w:val="nil"/>
            </w:tcBorders>
            <w:tcPrChange w:id="265" w:author="Maher" w:date="2025-07-21T10:39:00Z">
              <w:tcPr>
                <w:tcW w:w="1417" w:type="dxa"/>
                <w:tcBorders>
                  <w:left w:val="nil"/>
                  <w:bottom w:val="nil"/>
                  <w:right w:val="nil"/>
                </w:tcBorders>
              </w:tcPr>
            </w:tcPrChange>
          </w:tcPr>
          <w:p w14:paraId="26A9B4CB" w14:textId="77777777" w:rsidR="002F52FB" w:rsidRPr="005D7961" w:rsidRDefault="0092538B">
            <w:pPr>
              <w:jc w:val="center"/>
              <w:rPr>
                <w:rFonts w:ascii="Arial" w:hAnsi="Arial" w:cs="Arial"/>
                <w:b/>
                <w:bCs/>
              </w:rPr>
            </w:pPr>
            <w:r w:rsidRPr="005D7961">
              <w:rPr>
                <w:rFonts w:ascii="Arial" w:hAnsi="Arial" w:cs="Arial"/>
                <w:b/>
                <w:bCs/>
              </w:rPr>
              <w:t>Model 2</w:t>
            </w:r>
          </w:p>
        </w:tc>
        <w:tc>
          <w:tcPr>
            <w:tcW w:w="1633" w:type="dxa"/>
            <w:tcBorders>
              <w:left w:val="nil"/>
              <w:bottom w:val="nil"/>
              <w:right w:val="nil"/>
            </w:tcBorders>
            <w:tcPrChange w:id="266" w:author="Maher" w:date="2025-07-21T10:39:00Z">
              <w:tcPr>
                <w:tcW w:w="1633" w:type="dxa"/>
                <w:tcBorders>
                  <w:left w:val="nil"/>
                  <w:bottom w:val="nil"/>
                  <w:right w:val="nil"/>
                </w:tcBorders>
              </w:tcPr>
            </w:tcPrChange>
          </w:tcPr>
          <w:p w14:paraId="578987CB" w14:textId="77777777" w:rsidR="002F52FB" w:rsidRPr="005D7961" w:rsidRDefault="0092538B">
            <w:pPr>
              <w:jc w:val="left"/>
              <w:rPr>
                <w:rFonts w:ascii="Arial" w:hAnsi="Arial" w:cs="Arial"/>
                <w:b/>
                <w:bCs/>
              </w:rPr>
            </w:pPr>
            <w:r w:rsidRPr="005D7961">
              <w:rPr>
                <w:rFonts w:ascii="Arial" w:hAnsi="Arial" w:cs="Arial"/>
                <w:b/>
                <w:bCs/>
              </w:rPr>
              <w:t xml:space="preserve">Information </w:t>
            </w:r>
          </w:p>
        </w:tc>
      </w:tr>
      <w:tr w:rsidR="002F52FB" w:rsidRPr="005D7961" w14:paraId="5CBFF882" w14:textId="77777777">
        <w:trPr>
          <w:trHeight w:val="338"/>
          <w:jc w:val="center"/>
          <w:trPrChange w:id="267" w:author="Maher" w:date="2025-07-21T10:39:00Z">
            <w:trPr>
              <w:trHeight w:val="338"/>
              <w:jc w:val="center"/>
            </w:trPr>
          </w:trPrChange>
        </w:trPr>
        <w:tc>
          <w:tcPr>
            <w:tcW w:w="1701" w:type="dxa"/>
            <w:tcBorders>
              <w:top w:val="nil"/>
              <w:left w:val="nil"/>
              <w:bottom w:val="nil"/>
              <w:right w:val="nil"/>
            </w:tcBorders>
            <w:tcPrChange w:id="268" w:author="Maher" w:date="2025-07-21T10:39:00Z">
              <w:tcPr>
                <w:tcW w:w="1701" w:type="dxa"/>
                <w:tcBorders>
                  <w:top w:val="nil"/>
                  <w:left w:val="nil"/>
                  <w:bottom w:val="nil"/>
                  <w:right w:val="nil"/>
                </w:tcBorders>
              </w:tcPr>
            </w:tcPrChange>
          </w:tcPr>
          <w:p w14:paraId="61FBE4F5" w14:textId="77777777" w:rsidR="002F52FB" w:rsidRPr="005D7961" w:rsidRDefault="0092538B">
            <w:pPr>
              <w:rPr>
                <w:rFonts w:ascii="Arial" w:hAnsi="Arial" w:cs="Arial"/>
              </w:rPr>
            </w:pPr>
            <w:r w:rsidRPr="005D7961">
              <w:rPr>
                <w:rFonts w:ascii="Arial" w:hAnsi="Arial" w:cs="Arial"/>
              </w:rPr>
              <w:t>Const.</w:t>
            </w:r>
          </w:p>
        </w:tc>
        <w:tc>
          <w:tcPr>
            <w:tcW w:w="1560" w:type="dxa"/>
            <w:tcBorders>
              <w:top w:val="nil"/>
              <w:left w:val="nil"/>
              <w:bottom w:val="nil"/>
              <w:right w:val="nil"/>
            </w:tcBorders>
            <w:tcPrChange w:id="269" w:author="Maher" w:date="2025-07-21T10:39:00Z">
              <w:tcPr>
                <w:tcW w:w="1560" w:type="dxa"/>
                <w:tcBorders>
                  <w:top w:val="nil"/>
                  <w:left w:val="nil"/>
                  <w:bottom w:val="nil"/>
                  <w:right w:val="nil"/>
                </w:tcBorders>
              </w:tcPr>
            </w:tcPrChange>
          </w:tcPr>
          <w:p w14:paraId="178B7016" w14:textId="77777777" w:rsidR="002F52FB" w:rsidRPr="005D7961" w:rsidRDefault="0092538B">
            <w:pPr>
              <w:jc w:val="center"/>
              <w:rPr>
                <w:rFonts w:ascii="Arial" w:hAnsi="Arial" w:cs="Arial"/>
              </w:rPr>
            </w:pPr>
            <w:r w:rsidRPr="005D7961">
              <w:rPr>
                <w:rFonts w:ascii="Arial" w:hAnsi="Arial" w:cs="Arial"/>
              </w:rPr>
              <w:t>28.31077</w:t>
            </w:r>
          </w:p>
          <w:p w14:paraId="5B57B0BE" w14:textId="77777777" w:rsidR="002F52FB" w:rsidRPr="005D7961" w:rsidRDefault="0092538B">
            <w:pPr>
              <w:jc w:val="center"/>
              <w:rPr>
                <w:rFonts w:ascii="Arial" w:hAnsi="Arial" w:cs="Arial"/>
              </w:rPr>
            </w:pPr>
            <w:r w:rsidRPr="005D7961">
              <w:rPr>
                <w:rFonts w:ascii="Arial" w:hAnsi="Arial" w:cs="Arial"/>
              </w:rPr>
              <w:t>(1,28)</w:t>
            </w:r>
          </w:p>
        </w:tc>
        <w:tc>
          <w:tcPr>
            <w:tcW w:w="1559" w:type="dxa"/>
            <w:tcBorders>
              <w:top w:val="nil"/>
              <w:left w:val="nil"/>
              <w:bottom w:val="nil"/>
              <w:right w:val="nil"/>
            </w:tcBorders>
            <w:tcPrChange w:id="270" w:author="Maher" w:date="2025-07-21T10:39:00Z">
              <w:tcPr>
                <w:tcW w:w="1559" w:type="dxa"/>
                <w:tcBorders>
                  <w:top w:val="nil"/>
                  <w:left w:val="nil"/>
                  <w:bottom w:val="nil"/>
                  <w:right w:val="nil"/>
                </w:tcBorders>
              </w:tcPr>
            </w:tcPrChange>
          </w:tcPr>
          <w:p w14:paraId="4E243E11" w14:textId="77777777" w:rsidR="002F52FB" w:rsidRPr="005D7961" w:rsidRDefault="002F52FB">
            <w:pPr>
              <w:jc w:val="left"/>
              <w:rPr>
                <w:rFonts w:ascii="Arial" w:hAnsi="Arial" w:cs="Arial"/>
              </w:rPr>
            </w:pPr>
          </w:p>
        </w:tc>
        <w:tc>
          <w:tcPr>
            <w:tcW w:w="1417" w:type="dxa"/>
            <w:tcBorders>
              <w:top w:val="nil"/>
              <w:left w:val="nil"/>
              <w:bottom w:val="nil"/>
              <w:right w:val="nil"/>
            </w:tcBorders>
            <w:tcPrChange w:id="271" w:author="Maher" w:date="2025-07-21T10:39:00Z">
              <w:tcPr>
                <w:tcW w:w="1417" w:type="dxa"/>
                <w:tcBorders>
                  <w:top w:val="nil"/>
                  <w:left w:val="nil"/>
                  <w:bottom w:val="nil"/>
                  <w:right w:val="nil"/>
                </w:tcBorders>
              </w:tcPr>
            </w:tcPrChange>
          </w:tcPr>
          <w:p w14:paraId="5F6DF23B" w14:textId="77777777" w:rsidR="002F52FB" w:rsidRPr="005D7961" w:rsidRDefault="0092538B">
            <w:pPr>
              <w:jc w:val="center"/>
              <w:rPr>
                <w:rFonts w:ascii="Arial" w:hAnsi="Arial" w:cs="Arial"/>
              </w:rPr>
            </w:pPr>
            <w:r w:rsidRPr="005D7961">
              <w:rPr>
                <w:rFonts w:ascii="Arial" w:hAnsi="Arial" w:cs="Arial"/>
              </w:rPr>
              <w:t>-24694.5</w:t>
            </w:r>
          </w:p>
          <w:p w14:paraId="17F2BC65" w14:textId="77777777" w:rsidR="002F52FB" w:rsidRPr="005D7961" w:rsidRDefault="0092538B">
            <w:pPr>
              <w:jc w:val="center"/>
              <w:rPr>
                <w:rFonts w:ascii="Arial" w:hAnsi="Arial" w:cs="Arial"/>
              </w:rPr>
            </w:pPr>
            <w:r w:rsidRPr="005D7961">
              <w:rPr>
                <w:rFonts w:ascii="Arial" w:hAnsi="Arial" w:cs="Arial"/>
              </w:rPr>
              <w:t>(-3.25)***</w:t>
            </w:r>
          </w:p>
        </w:tc>
        <w:tc>
          <w:tcPr>
            <w:tcW w:w="1633" w:type="dxa"/>
            <w:tcBorders>
              <w:top w:val="nil"/>
              <w:left w:val="nil"/>
              <w:bottom w:val="nil"/>
              <w:right w:val="nil"/>
            </w:tcBorders>
            <w:tcPrChange w:id="272" w:author="Maher" w:date="2025-07-21T10:39:00Z">
              <w:tcPr>
                <w:tcW w:w="1633" w:type="dxa"/>
                <w:tcBorders>
                  <w:top w:val="nil"/>
                  <w:left w:val="nil"/>
                  <w:bottom w:val="nil"/>
                  <w:right w:val="nil"/>
                </w:tcBorders>
              </w:tcPr>
            </w:tcPrChange>
          </w:tcPr>
          <w:p w14:paraId="563224F0" w14:textId="77777777" w:rsidR="002F52FB" w:rsidRPr="005D7961" w:rsidRDefault="002F52FB">
            <w:pPr>
              <w:jc w:val="center"/>
              <w:rPr>
                <w:rFonts w:ascii="Arial" w:hAnsi="Arial" w:cs="Arial"/>
              </w:rPr>
            </w:pPr>
          </w:p>
        </w:tc>
      </w:tr>
      <w:tr w:rsidR="002F52FB" w:rsidRPr="005D7961" w14:paraId="213115B3" w14:textId="77777777">
        <w:trPr>
          <w:trHeight w:val="338"/>
          <w:jc w:val="center"/>
          <w:trPrChange w:id="273" w:author="Maher" w:date="2025-07-21T10:39:00Z">
            <w:trPr>
              <w:trHeight w:val="338"/>
              <w:jc w:val="center"/>
            </w:trPr>
          </w:trPrChange>
        </w:trPr>
        <w:tc>
          <w:tcPr>
            <w:tcW w:w="1701" w:type="dxa"/>
            <w:tcBorders>
              <w:top w:val="nil"/>
              <w:left w:val="nil"/>
              <w:bottom w:val="nil"/>
              <w:right w:val="nil"/>
            </w:tcBorders>
            <w:tcPrChange w:id="274" w:author="Maher" w:date="2025-07-21T10:39:00Z">
              <w:tcPr>
                <w:tcW w:w="1701" w:type="dxa"/>
                <w:tcBorders>
                  <w:top w:val="nil"/>
                  <w:left w:val="nil"/>
                  <w:bottom w:val="nil"/>
                  <w:right w:val="nil"/>
                </w:tcBorders>
              </w:tcPr>
            </w:tcPrChange>
          </w:tcPr>
          <w:p w14:paraId="4BAD6D97" w14:textId="77777777" w:rsidR="002F52FB" w:rsidRPr="005D7961" w:rsidRDefault="0092538B">
            <w:pPr>
              <w:rPr>
                <w:rFonts w:ascii="Arial" w:hAnsi="Arial" w:cs="Arial"/>
              </w:rPr>
            </w:pPr>
            <w:r w:rsidRPr="005D7961">
              <w:rPr>
                <w:rFonts w:ascii="Arial" w:hAnsi="Arial" w:cs="Arial"/>
              </w:rPr>
              <w:t>Profitability</w:t>
            </w:r>
          </w:p>
        </w:tc>
        <w:tc>
          <w:tcPr>
            <w:tcW w:w="1560" w:type="dxa"/>
            <w:tcBorders>
              <w:top w:val="nil"/>
              <w:left w:val="nil"/>
              <w:bottom w:val="nil"/>
              <w:right w:val="nil"/>
            </w:tcBorders>
            <w:tcPrChange w:id="275" w:author="Maher" w:date="2025-07-21T10:39:00Z">
              <w:tcPr>
                <w:tcW w:w="1560" w:type="dxa"/>
                <w:tcBorders>
                  <w:top w:val="nil"/>
                  <w:left w:val="nil"/>
                  <w:bottom w:val="nil"/>
                  <w:right w:val="nil"/>
                </w:tcBorders>
              </w:tcPr>
            </w:tcPrChange>
          </w:tcPr>
          <w:p w14:paraId="575215F1" w14:textId="77777777" w:rsidR="002F52FB" w:rsidRPr="005D7961" w:rsidRDefault="0092538B">
            <w:pPr>
              <w:jc w:val="center"/>
              <w:rPr>
                <w:rFonts w:ascii="Arial" w:hAnsi="Arial" w:cs="Arial"/>
              </w:rPr>
            </w:pPr>
            <w:r w:rsidRPr="005D7961">
              <w:rPr>
                <w:rFonts w:ascii="Arial" w:hAnsi="Arial" w:cs="Arial"/>
              </w:rPr>
              <w:t>2.89417</w:t>
            </w:r>
          </w:p>
          <w:p w14:paraId="0320A176" w14:textId="77777777" w:rsidR="002F52FB" w:rsidRPr="005D7961" w:rsidRDefault="0092538B">
            <w:pPr>
              <w:jc w:val="center"/>
              <w:rPr>
                <w:rFonts w:ascii="Arial" w:hAnsi="Arial" w:cs="Arial"/>
              </w:rPr>
            </w:pPr>
            <w:r w:rsidRPr="005D7961">
              <w:rPr>
                <w:rFonts w:ascii="Arial" w:hAnsi="Arial" w:cs="Arial"/>
              </w:rPr>
              <w:t>(1.71)*</w:t>
            </w:r>
          </w:p>
        </w:tc>
        <w:tc>
          <w:tcPr>
            <w:tcW w:w="1559" w:type="dxa"/>
            <w:tcBorders>
              <w:top w:val="nil"/>
              <w:left w:val="nil"/>
              <w:bottom w:val="nil"/>
              <w:right w:val="nil"/>
            </w:tcBorders>
            <w:tcPrChange w:id="276" w:author="Maher" w:date="2025-07-21T10:39:00Z">
              <w:tcPr>
                <w:tcW w:w="1559" w:type="dxa"/>
                <w:tcBorders>
                  <w:top w:val="nil"/>
                  <w:left w:val="nil"/>
                  <w:bottom w:val="nil"/>
                  <w:right w:val="nil"/>
                </w:tcBorders>
              </w:tcPr>
            </w:tcPrChange>
          </w:tcPr>
          <w:p w14:paraId="15DED65B" w14:textId="77777777" w:rsidR="002F52FB" w:rsidRPr="005D7961" w:rsidRDefault="0092538B">
            <w:pPr>
              <w:jc w:val="left"/>
              <w:rPr>
                <w:rFonts w:ascii="Arial" w:hAnsi="Arial" w:cs="Arial"/>
                <w:i/>
                <w:iCs/>
              </w:rPr>
            </w:pPr>
            <w:r w:rsidRPr="005D7961">
              <w:rPr>
                <w:rFonts w:ascii="Arial" w:hAnsi="Arial" w:cs="Arial"/>
                <w:i/>
                <w:iCs/>
              </w:rPr>
              <w:t>Supported</w:t>
            </w:r>
          </w:p>
        </w:tc>
        <w:tc>
          <w:tcPr>
            <w:tcW w:w="1417" w:type="dxa"/>
            <w:tcBorders>
              <w:top w:val="nil"/>
              <w:left w:val="nil"/>
              <w:bottom w:val="nil"/>
              <w:right w:val="nil"/>
            </w:tcBorders>
            <w:tcPrChange w:id="277" w:author="Maher" w:date="2025-07-21T10:39:00Z">
              <w:tcPr>
                <w:tcW w:w="1417" w:type="dxa"/>
                <w:tcBorders>
                  <w:top w:val="nil"/>
                  <w:left w:val="nil"/>
                  <w:bottom w:val="nil"/>
                  <w:right w:val="nil"/>
                </w:tcBorders>
              </w:tcPr>
            </w:tcPrChange>
          </w:tcPr>
          <w:p w14:paraId="20D2142A" w14:textId="77777777" w:rsidR="002F52FB" w:rsidRPr="005D7961" w:rsidRDefault="0092538B">
            <w:pPr>
              <w:jc w:val="center"/>
              <w:rPr>
                <w:rFonts w:ascii="Arial" w:hAnsi="Arial" w:cs="Arial"/>
              </w:rPr>
            </w:pPr>
            <w:r w:rsidRPr="005D7961">
              <w:rPr>
                <w:rFonts w:ascii="Arial" w:hAnsi="Arial" w:cs="Arial"/>
              </w:rPr>
              <w:t>2313.021</w:t>
            </w:r>
          </w:p>
          <w:p w14:paraId="365C5518" w14:textId="77777777" w:rsidR="002F52FB" w:rsidRPr="005D7961" w:rsidRDefault="0092538B">
            <w:pPr>
              <w:jc w:val="center"/>
              <w:rPr>
                <w:rFonts w:ascii="Arial" w:hAnsi="Arial" w:cs="Arial"/>
              </w:rPr>
            </w:pPr>
            <w:r w:rsidRPr="005D7961">
              <w:rPr>
                <w:rFonts w:ascii="Arial" w:hAnsi="Arial" w:cs="Arial"/>
              </w:rPr>
              <w:t>(1.89)*</w:t>
            </w:r>
          </w:p>
        </w:tc>
        <w:tc>
          <w:tcPr>
            <w:tcW w:w="1633" w:type="dxa"/>
            <w:tcBorders>
              <w:top w:val="nil"/>
              <w:left w:val="nil"/>
              <w:bottom w:val="nil"/>
              <w:right w:val="nil"/>
            </w:tcBorders>
            <w:tcPrChange w:id="278" w:author="Maher" w:date="2025-07-21T10:39:00Z">
              <w:tcPr>
                <w:tcW w:w="1633" w:type="dxa"/>
                <w:tcBorders>
                  <w:top w:val="nil"/>
                  <w:left w:val="nil"/>
                  <w:bottom w:val="nil"/>
                  <w:right w:val="nil"/>
                </w:tcBorders>
              </w:tcPr>
            </w:tcPrChange>
          </w:tcPr>
          <w:p w14:paraId="0F39384A" w14:textId="77777777" w:rsidR="002F52FB" w:rsidRPr="005D7961" w:rsidRDefault="0092538B">
            <w:pPr>
              <w:jc w:val="left"/>
              <w:rPr>
                <w:rFonts w:ascii="Arial" w:hAnsi="Arial" w:cs="Arial"/>
                <w:i/>
                <w:iCs/>
              </w:rPr>
            </w:pPr>
            <w:r w:rsidRPr="005D7961">
              <w:rPr>
                <w:rFonts w:ascii="Arial" w:hAnsi="Arial" w:cs="Arial"/>
                <w:i/>
                <w:iCs/>
              </w:rPr>
              <w:t xml:space="preserve">Supported </w:t>
            </w:r>
          </w:p>
        </w:tc>
      </w:tr>
      <w:tr w:rsidR="002F52FB" w:rsidRPr="005D7961" w14:paraId="43974C73" w14:textId="77777777">
        <w:trPr>
          <w:trHeight w:val="338"/>
          <w:jc w:val="center"/>
          <w:trPrChange w:id="279" w:author="Maher" w:date="2025-07-21T10:39:00Z">
            <w:trPr>
              <w:trHeight w:val="338"/>
              <w:jc w:val="center"/>
            </w:trPr>
          </w:trPrChange>
        </w:trPr>
        <w:tc>
          <w:tcPr>
            <w:tcW w:w="1701" w:type="dxa"/>
            <w:tcBorders>
              <w:top w:val="nil"/>
              <w:left w:val="nil"/>
              <w:bottom w:val="nil"/>
              <w:right w:val="nil"/>
            </w:tcBorders>
            <w:tcPrChange w:id="280" w:author="Maher" w:date="2025-07-21T10:39:00Z">
              <w:tcPr>
                <w:tcW w:w="1701" w:type="dxa"/>
                <w:tcBorders>
                  <w:top w:val="nil"/>
                  <w:left w:val="nil"/>
                  <w:bottom w:val="nil"/>
                  <w:right w:val="nil"/>
                </w:tcBorders>
              </w:tcPr>
            </w:tcPrChange>
          </w:tcPr>
          <w:p w14:paraId="731A2AF2" w14:textId="77777777" w:rsidR="002F52FB" w:rsidRPr="005D7961" w:rsidRDefault="0092538B">
            <w:pPr>
              <w:rPr>
                <w:rFonts w:ascii="Arial" w:hAnsi="Arial" w:cs="Arial"/>
              </w:rPr>
            </w:pPr>
            <w:r w:rsidRPr="005D7961">
              <w:rPr>
                <w:rFonts w:ascii="Arial" w:hAnsi="Arial" w:cs="Arial"/>
              </w:rPr>
              <w:t>Leverage</w:t>
            </w:r>
          </w:p>
        </w:tc>
        <w:tc>
          <w:tcPr>
            <w:tcW w:w="1560" w:type="dxa"/>
            <w:tcBorders>
              <w:top w:val="nil"/>
              <w:left w:val="nil"/>
              <w:bottom w:val="nil"/>
              <w:right w:val="nil"/>
            </w:tcBorders>
            <w:tcPrChange w:id="281" w:author="Maher" w:date="2025-07-21T10:39:00Z">
              <w:tcPr>
                <w:tcW w:w="1560" w:type="dxa"/>
                <w:tcBorders>
                  <w:top w:val="nil"/>
                  <w:left w:val="nil"/>
                  <w:bottom w:val="nil"/>
                  <w:right w:val="nil"/>
                </w:tcBorders>
              </w:tcPr>
            </w:tcPrChange>
          </w:tcPr>
          <w:p w14:paraId="4DEE8B96" w14:textId="77777777" w:rsidR="002F52FB" w:rsidRPr="005D7961" w:rsidRDefault="0092538B">
            <w:pPr>
              <w:jc w:val="center"/>
              <w:rPr>
                <w:rFonts w:ascii="Arial" w:hAnsi="Arial" w:cs="Arial"/>
              </w:rPr>
            </w:pPr>
            <w:r w:rsidRPr="005D7961">
              <w:rPr>
                <w:rFonts w:ascii="Arial" w:hAnsi="Arial" w:cs="Arial"/>
              </w:rPr>
              <w:t>0.5312385</w:t>
            </w:r>
          </w:p>
          <w:p w14:paraId="536DD521" w14:textId="77777777" w:rsidR="002F52FB" w:rsidRPr="005D7961" w:rsidRDefault="0092538B">
            <w:pPr>
              <w:jc w:val="center"/>
              <w:rPr>
                <w:rFonts w:ascii="Arial" w:hAnsi="Arial" w:cs="Arial"/>
              </w:rPr>
            </w:pPr>
            <w:r w:rsidRPr="005D7961">
              <w:rPr>
                <w:rFonts w:ascii="Arial" w:hAnsi="Arial" w:cs="Arial"/>
              </w:rPr>
              <w:t>(9.22)***</w:t>
            </w:r>
          </w:p>
        </w:tc>
        <w:tc>
          <w:tcPr>
            <w:tcW w:w="1559" w:type="dxa"/>
            <w:tcBorders>
              <w:top w:val="nil"/>
              <w:left w:val="nil"/>
              <w:bottom w:val="nil"/>
              <w:right w:val="nil"/>
            </w:tcBorders>
            <w:tcPrChange w:id="282" w:author="Maher" w:date="2025-07-21T10:39:00Z">
              <w:tcPr>
                <w:tcW w:w="1559" w:type="dxa"/>
                <w:tcBorders>
                  <w:top w:val="nil"/>
                  <w:left w:val="nil"/>
                  <w:bottom w:val="nil"/>
                  <w:right w:val="nil"/>
                </w:tcBorders>
              </w:tcPr>
            </w:tcPrChange>
          </w:tcPr>
          <w:p w14:paraId="37963273" w14:textId="77777777" w:rsidR="002F52FB" w:rsidRPr="005D7961" w:rsidRDefault="0092538B">
            <w:pPr>
              <w:jc w:val="left"/>
              <w:rPr>
                <w:rFonts w:ascii="Arial" w:hAnsi="Arial" w:cs="Arial"/>
                <w:i/>
                <w:iCs/>
              </w:rPr>
            </w:pPr>
            <w:r w:rsidRPr="005D7961">
              <w:rPr>
                <w:rFonts w:ascii="Arial" w:hAnsi="Arial" w:cs="Arial"/>
                <w:i/>
                <w:iCs/>
              </w:rPr>
              <w:t xml:space="preserve">Supported </w:t>
            </w:r>
          </w:p>
        </w:tc>
        <w:tc>
          <w:tcPr>
            <w:tcW w:w="1417" w:type="dxa"/>
            <w:tcBorders>
              <w:top w:val="nil"/>
              <w:left w:val="nil"/>
              <w:bottom w:val="nil"/>
              <w:right w:val="nil"/>
            </w:tcBorders>
            <w:tcPrChange w:id="283" w:author="Maher" w:date="2025-07-21T10:39:00Z">
              <w:tcPr>
                <w:tcW w:w="1417" w:type="dxa"/>
                <w:tcBorders>
                  <w:top w:val="nil"/>
                  <w:left w:val="nil"/>
                  <w:bottom w:val="nil"/>
                  <w:right w:val="nil"/>
                </w:tcBorders>
              </w:tcPr>
            </w:tcPrChange>
          </w:tcPr>
          <w:p w14:paraId="181A28FE" w14:textId="77777777" w:rsidR="002F52FB" w:rsidRPr="005D7961" w:rsidRDefault="0092538B">
            <w:pPr>
              <w:jc w:val="center"/>
              <w:rPr>
                <w:rFonts w:ascii="Arial" w:hAnsi="Arial" w:cs="Arial"/>
              </w:rPr>
            </w:pPr>
            <w:r w:rsidRPr="005D7961">
              <w:rPr>
                <w:rFonts w:ascii="Arial" w:hAnsi="Arial" w:cs="Arial"/>
              </w:rPr>
              <w:t>-53.09138</w:t>
            </w:r>
          </w:p>
          <w:p w14:paraId="3EA34921" w14:textId="77777777" w:rsidR="002F52FB" w:rsidRPr="005D7961" w:rsidRDefault="0092538B">
            <w:pPr>
              <w:jc w:val="center"/>
              <w:rPr>
                <w:rFonts w:ascii="Arial" w:hAnsi="Arial" w:cs="Arial"/>
              </w:rPr>
            </w:pPr>
            <w:r w:rsidRPr="005D7961">
              <w:rPr>
                <w:rFonts w:ascii="Arial" w:hAnsi="Arial" w:cs="Arial"/>
              </w:rPr>
              <w:t>(-1.56)</w:t>
            </w:r>
          </w:p>
        </w:tc>
        <w:tc>
          <w:tcPr>
            <w:tcW w:w="1633" w:type="dxa"/>
            <w:tcBorders>
              <w:top w:val="nil"/>
              <w:left w:val="nil"/>
              <w:bottom w:val="nil"/>
              <w:right w:val="nil"/>
            </w:tcBorders>
            <w:tcPrChange w:id="284" w:author="Maher" w:date="2025-07-21T10:39:00Z">
              <w:tcPr>
                <w:tcW w:w="1633" w:type="dxa"/>
                <w:tcBorders>
                  <w:top w:val="nil"/>
                  <w:left w:val="nil"/>
                  <w:bottom w:val="nil"/>
                  <w:right w:val="nil"/>
                </w:tcBorders>
              </w:tcPr>
            </w:tcPrChange>
          </w:tcPr>
          <w:p w14:paraId="19393AF3" w14:textId="77777777" w:rsidR="002F52FB" w:rsidRPr="005D7961" w:rsidRDefault="0092538B">
            <w:pPr>
              <w:jc w:val="left"/>
              <w:rPr>
                <w:rFonts w:ascii="Arial" w:hAnsi="Arial" w:cs="Arial"/>
                <w:i/>
                <w:iCs/>
              </w:rPr>
            </w:pPr>
            <w:r w:rsidRPr="005D7961">
              <w:rPr>
                <w:rFonts w:ascii="Arial" w:hAnsi="Arial" w:cs="Arial"/>
                <w:i/>
                <w:iCs/>
              </w:rPr>
              <w:t>Not supported</w:t>
            </w:r>
          </w:p>
        </w:tc>
      </w:tr>
      <w:tr w:rsidR="002F52FB" w:rsidRPr="005D7961" w14:paraId="5AC5DB43" w14:textId="77777777">
        <w:trPr>
          <w:trHeight w:val="338"/>
          <w:jc w:val="center"/>
          <w:trPrChange w:id="285" w:author="Maher" w:date="2025-07-21T10:39:00Z">
            <w:trPr>
              <w:trHeight w:val="338"/>
              <w:jc w:val="center"/>
            </w:trPr>
          </w:trPrChange>
        </w:trPr>
        <w:tc>
          <w:tcPr>
            <w:tcW w:w="1701" w:type="dxa"/>
            <w:tcBorders>
              <w:top w:val="nil"/>
              <w:left w:val="nil"/>
              <w:bottom w:val="nil"/>
              <w:right w:val="nil"/>
            </w:tcBorders>
            <w:tcPrChange w:id="286" w:author="Maher" w:date="2025-07-21T10:39:00Z">
              <w:tcPr>
                <w:tcW w:w="1701" w:type="dxa"/>
                <w:tcBorders>
                  <w:top w:val="nil"/>
                  <w:left w:val="nil"/>
                  <w:bottom w:val="nil"/>
                  <w:right w:val="nil"/>
                </w:tcBorders>
              </w:tcPr>
            </w:tcPrChange>
          </w:tcPr>
          <w:p w14:paraId="1E5CBF41" w14:textId="77777777" w:rsidR="002F52FB" w:rsidRPr="005D7961" w:rsidRDefault="0092538B">
            <w:pPr>
              <w:rPr>
                <w:rFonts w:ascii="Arial" w:hAnsi="Arial" w:cs="Arial"/>
              </w:rPr>
            </w:pPr>
            <w:r w:rsidRPr="005D7961">
              <w:rPr>
                <w:rFonts w:ascii="Arial" w:hAnsi="Arial" w:cs="Arial"/>
              </w:rPr>
              <w:t>Liquidity</w:t>
            </w:r>
          </w:p>
        </w:tc>
        <w:tc>
          <w:tcPr>
            <w:tcW w:w="1560" w:type="dxa"/>
            <w:tcBorders>
              <w:top w:val="nil"/>
              <w:left w:val="nil"/>
              <w:bottom w:val="nil"/>
              <w:right w:val="nil"/>
            </w:tcBorders>
            <w:tcPrChange w:id="287" w:author="Maher" w:date="2025-07-21T10:39:00Z">
              <w:tcPr>
                <w:tcW w:w="1560" w:type="dxa"/>
                <w:tcBorders>
                  <w:top w:val="nil"/>
                  <w:left w:val="nil"/>
                  <w:bottom w:val="nil"/>
                  <w:right w:val="nil"/>
                </w:tcBorders>
              </w:tcPr>
            </w:tcPrChange>
          </w:tcPr>
          <w:p w14:paraId="6721F488" w14:textId="77777777" w:rsidR="002F52FB" w:rsidRPr="005D7961" w:rsidRDefault="0092538B">
            <w:pPr>
              <w:jc w:val="center"/>
              <w:rPr>
                <w:rFonts w:ascii="Arial" w:hAnsi="Arial" w:cs="Arial"/>
              </w:rPr>
            </w:pPr>
            <w:r w:rsidRPr="005D7961">
              <w:rPr>
                <w:rFonts w:ascii="Arial" w:hAnsi="Arial" w:cs="Arial"/>
              </w:rPr>
              <w:t>-0.0796829</w:t>
            </w:r>
          </w:p>
          <w:p w14:paraId="1CAEF008" w14:textId="77777777" w:rsidR="002F52FB" w:rsidRPr="005D7961" w:rsidRDefault="0092538B">
            <w:pPr>
              <w:jc w:val="center"/>
              <w:rPr>
                <w:rFonts w:ascii="Arial" w:hAnsi="Arial" w:cs="Arial"/>
              </w:rPr>
            </w:pPr>
            <w:r w:rsidRPr="005D7961">
              <w:rPr>
                <w:rFonts w:ascii="Arial" w:hAnsi="Arial" w:cs="Arial"/>
              </w:rPr>
              <w:t>(-0.71)</w:t>
            </w:r>
          </w:p>
        </w:tc>
        <w:tc>
          <w:tcPr>
            <w:tcW w:w="1559" w:type="dxa"/>
            <w:tcBorders>
              <w:top w:val="nil"/>
              <w:left w:val="nil"/>
              <w:bottom w:val="nil"/>
              <w:right w:val="nil"/>
            </w:tcBorders>
            <w:tcPrChange w:id="288" w:author="Maher" w:date="2025-07-21T10:39:00Z">
              <w:tcPr>
                <w:tcW w:w="1559" w:type="dxa"/>
                <w:tcBorders>
                  <w:top w:val="nil"/>
                  <w:left w:val="nil"/>
                  <w:bottom w:val="nil"/>
                  <w:right w:val="nil"/>
                </w:tcBorders>
              </w:tcPr>
            </w:tcPrChange>
          </w:tcPr>
          <w:p w14:paraId="7E3B2896" w14:textId="77777777" w:rsidR="002F52FB" w:rsidRPr="005D7961" w:rsidRDefault="0092538B">
            <w:pPr>
              <w:jc w:val="left"/>
              <w:rPr>
                <w:rFonts w:ascii="Arial" w:hAnsi="Arial" w:cs="Arial"/>
                <w:i/>
                <w:iCs/>
              </w:rPr>
            </w:pPr>
            <w:r w:rsidRPr="005D7961">
              <w:rPr>
                <w:rFonts w:ascii="Arial" w:hAnsi="Arial" w:cs="Arial"/>
                <w:i/>
                <w:iCs/>
              </w:rPr>
              <w:t>Not supported</w:t>
            </w:r>
          </w:p>
        </w:tc>
        <w:tc>
          <w:tcPr>
            <w:tcW w:w="1417" w:type="dxa"/>
            <w:tcBorders>
              <w:top w:val="nil"/>
              <w:left w:val="nil"/>
              <w:bottom w:val="nil"/>
              <w:right w:val="nil"/>
            </w:tcBorders>
            <w:tcPrChange w:id="289" w:author="Maher" w:date="2025-07-21T10:39:00Z">
              <w:tcPr>
                <w:tcW w:w="1417" w:type="dxa"/>
                <w:tcBorders>
                  <w:top w:val="nil"/>
                  <w:left w:val="nil"/>
                  <w:bottom w:val="nil"/>
                  <w:right w:val="nil"/>
                </w:tcBorders>
              </w:tcPr>
            </w:tcPrChange>
          </w:tcPr>
          <w:p w14:paraId="3E90FFD9" w14:textId="77777777" w:rsidR="002F52FB" w:rsidRPr="005D7961" w:rsidRDefault="0092538B">
            <w:pPr>
              <w:jc w:val="center"/>
              <w:rPr>
                <w:rFonts w:ascii="Arial" w:hAnsi="Arial" w:cs="Arial"/>
              </w:rPr>
            </w:pPr>
            <w:r w:rsidRPr="005D7961">
              <w:rPr>
                <w:rFonts w:ascii="Arial" w:hAnsi="Arial" w:cs="Arial"/>
              </w:rPr>
              <w:t>68.93715</w:t>
            </w:r>
          </w:p>
          <w:p w14:paraId="5BB3FD53" w14:textId="77777777" w:rsidR="002F52FB" w:rsidRPr="005D7961" w:rsidRDefault="0092538B">
            <w:pPr>
              <w:jc w:val="center"/>
              <w:rPr>
                <w:rFonts w:ascii="Arial" w:hAnsi="Arial" w:cs="Arial"/>
              </w:rPr>
            </w:pPr>
            <w:r w:rsidRPr="005D7961">
              <w:rPr>
                <w:rFonts w:ascii="Arial" w:hAnsi="Arial" w:cs="Arial"/>
              </w:rPr>
              <w:t>(2.03)**</w:t>
            </w:r>
          </w:p>
        </w:tc>
        <w:tc>
          <w:tcPr>
            <w:tcW w:w="1633" w:type="dxa"/>
            <w:tcBorders>
              <w:top w:val="nil"/>
              <w:left w:val="nil"/>
              <w:bottom w:val="nil"/>
              <w:right w:val="nil"/>
            </w:tcBorders>
            <w:tcPrChange w:id="290" w:author="Maher" w:date="2025-07-21T10:39:00Z">
              <w:tcPr>
                <w:tcW w:w="1633" w:type="dxa"/>
                <w:tcBorders>
                  <w:top w:val="nil"/>
                  <w:left w:val="nil"/>
                  <w:bottom w:val="nil"/>
                  <w:right w:val="nil"/>
                </w:tcBorders>
              </w:tcPr>
            </w:tcPrChange>
          </w:tcPr>
          <w:p w14:paraId="230A3CA9" w14:textId="77777777" w:rsidR="002F52FB" w:rsidRPr="005D7961" w:rsidRDefault="0092538B">
            <w:pPr>
              <w:jc w:val="left"/>
              <w:rPr>
                <w:rFonts w:ascii="Arial" w:hAnsi="Arial" w:cs="Arial"/>
                <w:i/>
                <w:iCs/>
              </w:rPr>
            </w:pPr>
            <w:r w:rsidRPr="005D7961">
              <w:rPr>
                <w:rFonts w:ascii="Arial" w:hAnsi="Arial" w:cs="Arial"/>
                <w:i/>
                <w:iCs/>
              </w:rPr>
              <w:t xml:space="preserve">Supported </w:t>
            </w:r>
          </w:p>
        </w:tc>
      </w:tr>
      <w:tr w:rsidR="002F52FB" w:rsidRPr="005D7961" w14:paraId="1E38C0D4" w14:textId="77777777">
        <w:trPr>
          <w:trHeight w:val="338"/>
          <w:jc w:val="center"/>
          <w:trPrChange w:id="291" w:author="Maher" w:date="2025-07-21T10:39:00Z">
            <w:trPr>
              <w:trHeight w:val="338"/>
              <w:jc w:val="center"/>
            </w:trPr>
          </w:trPrChange>
        </w:trPr>
        <w:tc>
          <w:tcPr>
            <w:tcW w:w="1701" w:type="dxa"/>
            <w:tcBorders>
              <w:top w:val="nil"/>
              <w:left w:val="nil"/>
              <w:bottom w:val="nil"/>
              <w:right w:val="nil"/>
            </w:tcBorders>
            <w:tcPrChange w:id="292" w:author="Maher" w:date="2025-07-21T10:39:00Z">
              <w:tcPr>
                <w:tcW w:w="1701" w:type="dxa"/>
                <w:tcBorders>
                  <w:top w:val="nil"/>
                  <w:left w:val="nil"/>
                  <w:bottom w:val="nil"/>
                  <w:right w:val="nil"/>
                </w:tcBorders>
              </w:tcPr>
            </w:tcPrChange>
          </w:tcPr>
          <w:p w14:paraId="73797832" w14:textId="77777777" w:rsidR="002F52FB" w:rsidRPr="005D7961" w:rsidRDefault="0092538B">
            <w:pPr>
              <w:rPr>
                <w:rFonts w:ascii="Arial" w:hAnsi="Arial" w:cs="Arial"/>
              </w:rPr>
            </w:pPr>
            <w:r w:rsidRPr="005D7961">
              <w:rPr>
                <w:rFonts w:ascii="Arial" w:hAnsi="Arial" w:cs="Arial"/>
              </w:rPr>
              <w:t>Asset Efficiency</w:t>
            </w:r>
          </w:p>
        </w:tc>
        <w:tc>
          <w:tcPr>
            <w:tcW w:w="1560" w:type="dxa"/>
            <w:tcBorders>
              <w:top w:val="nil"/>
              <w:left w:val="nil"/>
              <w:bottom w:val="nil"/>
              <w:right w:val="nil"/>
            </w:tcBorders>
            <w:tcPrChange w:id="293" w:author="Maher" w:date="2025-07-21T10:39:00Z">
              <w:tcPr>
                <w:tcW w:w="1560" w:type="dxa"/>
                <w:tcBorders>
                  <w:top w:val="nil"/>
                  <w:left w:val="nil"/>
                  <w:bottom w:val="nil"/>
                  <w:right w:val="nil"/>
                </w:tcBorders>
              </w:tcPr>
            </w:tcPrChange>
          </w:tcPr>
          <w:p w14:paraId="160514B9" w14:textId="77777777" w:rsidR="002F52FB" w:rsidRPr="005D7961" w:rsidRDefault="0092538B">
            <w:pPr>
              <w:jc w:val="center"/>
              <w:rPr>
                <w:rFonts w:ascii="Arial" w:hAnsi="Arial" w:cs="Arial"/>
              </w:rPr>
            </w:pPr>
            <w:r w:rsidRPr="005D7961">
              <w:rPr>
                <w:rFonts w:ascii="Arial" w:hAnsi="Arial" w:cs="Arial"/>
              </w:rPr>
              <w:t>-0.2444768</w:t>
            </w:r>
          </w:p>
          <w:p w14:paraId="5BF8A8BD" w14:textId="77777777" w:rsidR="002F52FB" w:rsidRPr="005D7961" w:rsidRDefault="0092538B">
            <w:pPr>
              <w:jc w:val="center"/>
              <w:rPr>
                <w:rFonts w:ascii="Arial" w:hAnsi="Arial" w:cs="Arial"/>
              </w:rPr>
            </w:pPr>
            <w:r w:rsidRPr="005D7961">
              <w:rPr>
                <w:rFonts w:ascii="Arial" w:hAnsi="Arial" w:cs="Arial"/>
              </w:rPr>
              <w:t>(-0.95)</w:t>
            </w:r>
          </w:p>
        </w:tc>
        <w:tc>
          <w:tcPr>
            <w:tcW w:w="1559" w:type="dxa"/>
            <w:tcBorders>
              <w:top w:val="nil"/>
              <w:left w:val="nil"/>
              <w:bottom w:val="nil"/>
              <w:right w:val="nil"/>
            </w:tcBorders>
            <w:tcPrChange w:id="294" w:author="Maher" w:date="2025-07-21T10:39:00Z">
              <w:tcPr>
                <w:tcW w:w="1559" w:type="dxa"/>
                <w:tcBorders>
                  <w:top w:val="nil"/>
                  <w:left w:val="nil"/>
                  <w:bottom w:val="nil"/>
                  <w:right w:val="nil"/>
                </w:tcBorders>
              </w:tcPr>
            </w:tcPrChange>
          </w:tcPr>
          <w:p w14:paraId="6D6E48F4" w14:textId="77777777" w:rsidR="002F52FB" w:rsidRPr="005D7961" w:rsidRDefault="0092538B">
            <w:pPr>
              <w:jc w:val="left"/>
              <w:rPr>
                <w:rFonts w:ascii="Arial" w:hAnsi="Arial" w:cs="Arial"/>
                <w:i/>
                <w:iCs/>
              </w:rPr>
            </w:pPr>
            <w:r w:rsidRPr="005D7961">
              <w:rPr>
                <w:rFonts w:ascii="Arial" w:hAnsi="Arial" w:cs="Arial"/>
                <w:i/>
                <w:iCs/>
              </w:rPr>
              <w:t>Not supported</w:t>
            </w:r>
          </w:p>
        </w:tc>
        <w:tc>
          <w:tcPr>
            <w:tcW w:w="1417" w:type="dxa"/>
            <w:tcBorders>
              <w:top w:val="nil"/>
              <w:left w:val="nil"/>
              <w:bottom w:val="nil"/>
              <w:right w:val="nil"/>
            </w:tcBorders>
            <w:tcPrChange w:id="295" w:author="Maher" w:date="2025-07-21T10:39:00Z">
              <w:tcPr>
                <w:tcW w:w="1417" w:type="dxa"/>
                <w:tcBorders>
                  <w:top w:val="nil"/>
                  <w:left w:val="nil"/>
                  <w:bottom w:val="nil"/>
                  <w:right w:val="nil"/>
                </w:tcBorders>
              </w:tcPr>
            </w:tcPrChange>
          </w:tcPr>
          <w:p w14:paraId="3AF1A0DE" w14:textId="77777777" w:rsidR="002F52FB" w:rsidRPr="005D7961" w:rsidRDefault="0092538B">
            <w:pPr>
              <w:jc w:val="center"/>
              <w:rPr>
                <w:rFonts w:ascii="Arial" w:hAnsi="Arial" w:cs="Arial"/>
              </w:rPr>
            </w:pPr>
            <w:r w:rsidRPr="005D7961">
              <w:rPr>
                <w:rFonts w:ascii="Arial" w:hAnsi="Arial" w:cs="Arial"/>
              </w:rPr>
              <w:t>140.1973</w:t>
            </w:r>
          </w:p>
          <w:p w14:paraId="62B53199" w14:textId="77777777" w:rsidR="002F52FB" w:rsidRPr="005D7961" w:rsidRDefault="0092538B">
            <w:pPr>
              <w:jc w:val="center"/>
              <w:rPr>
                <w:rFonts w:ascii="Arial" w:hAnsi="Arial" w:cs="Arial"/>
              </w:rPr>
            </w:pPr>
            <w:r w:rsidRPr="005D7961">
              <w:rPr>
                <w:rFonts w:ascii="Arial" w:hAnsi="Arial" w:cs="Arial"/>
              </w:rPr>
              <w:t>(2.55)**</w:t>
            </w:r>
          </w:p>
        </w:tc>
        <w:tc>
          <w:tcPr>
            <w:tcW w:w="1633" w:type="dxa"/>
            <w:tcBorders>
              <w:top w:val="nil"/>
              <w:left w:val="nil"/>
              <w:bottom w:val="nil"/>
              <w:right w:val="nil"/>
            </w:tcBorders>
            <w:tcPrChange w:id="296" w:author="Maher" w:date="2025-07-21T10:39:00Z">
              <w:tcPr>
                <w:tcW w:w="1633" w:type="dxa"/>
                <w:tcBorders>
                  <w:top w:val="nil"/>
                  <w:left w:val="nil"/>
                  <w:bottom w:val="nil"/>
                  <w:right w:val="nil"/>
                </w:tcBorders>
              </w:tcPr>
            </w:tcPrChange>
          </w:tcPr>
          <w:p w14:paraId="5C3CA953" w14:textId="77777777" w:rsidR="002F52FB" w:rsidRPr="005D7961" w:rsidRDefault="0092538B">
            <w:pPr>
              <w:jc w:val="left"/>
              <w:rPr>
                <w:rFonts w:ascii="Arial" w:hAnsi="Arial" w:cs="Arial"/>
                <w:i/>
                <w:iCs/>
              </w:rPr>
            </w:pPr>
            <w:r w:rsidRPr="005D7961">
              <w:rPr>
                <w:rFonts w:ascii="Arial" w:hAnsi="Arial" w:cs="Arial"/>
                <w:i/>
                <w:iCs/>
              </w:rPr>
              <w:t xml:space="preserve">Supported </w:t>
            </w:r>
          </w:p>
        </w:tc>
      </w:tr>
      <w:tr w:rsidR="002F52FB" w:rsidRPr="005D7961" w14:paraId="3FFA2C65" w14:textId="77777777">
        <w:trPr>
          <w:trHeight w:val="338"/>
          <w:jc w:val="center"/>
          <w:trPrChange w:id="297" w:author="Maher" w:date="2025-07-21T10:39:00Z">
            <w:trPr>
              <w:trHeight w:val="338"/>
              <w:jc w:val="center"/>
            </w:trPr>
          </w:trPrChange>
        </w:trPr>
        <w:tc>
          <w:tcPr>
            <w:tcW w:w="1701" w:type="dxa"/>
            <w:tcBorders>
              <w:top w:val="nil"/>
              <w:left w:val="nil"/>
              <w:bottom w:val="nil"/>
              <w:right w:val="nil"/>
            </w:tcBorders>
            <w:tcPrChange w:id="298" w:author="Maher" w:date="2025-07-21T10:39:00Z">
              <w:tcPr>
                <w:tcW w:w="1701" w:type="dxa"/>
                <w:tcBorders>
                  <w:top w:val="nil"/>
                  <w:left w:val="nil"/>
                  <w:bottom w:val="nil"/>
                  <w:right w:val="nil"/>
                </w:tcBorders>
              </w:tcPr>
            </w:tcPrChange>
          </w:tcPr>
          <w:p w14:paraId="024A392B" w14:textId="77777777" w:rsidR="002F52FB" w:rsidRPr="005D7961" w:rsidRDefault="0092538B">
            <w:pPr>
              <w:rPr>
                <w:rFonts w:ascii="Arial" w:hAnsi="Arial" w:cs="Arial"/>
              </w:rPr>
            </w:pPr>
            <w:r w:rsidRPr="005D7961">
              <w:rPr>
                <w:rFonts w:ascii="Arial" w:hAnsi="Arial" w:cs="Arial"/>
              </w:rPr>
              <w:t>Intrinsic Value</w:t>
            </w:r>
          </w:p>
        </w:tc>
        <w:tc>
          <w:tcPr>
            <w:tcW w:w="1560" w:type="dxa"/>
            <w:tcBorders>
              <w:top w:val="nil"/>
              <w:left w:val="nil"/>
              <w:bottom w:val="nil"/>
              <w:right w:val="nil"/>
            </w:tcBorders>
            <w:tcPrChange w:id="299" w:author="Maher" w:date="2025-07-21T10:39:00Z">
              <w:tcPr>
                <w:tcW w:w="1560" w:type="dxa"/>
                <w:tcBorders>
                  <w:top w:val="nil"/>
                  <w:left w:val="nil"/>
                  <w:bottom w:val="nil"/>
                  <w:right w:val="nil"/>
                </w:tcBorders>
              </w:tcPr>
            </w:tcPrChange>
          </w:tcPr>
          <w:p w14:paraId="747FEA47" w14:textId="77777777" w:rsidR="002F52FB" w:rsidRPr="005D7961" w:rsidRDefault="002F52FB">
            <w:pPr>
              <w:jc w:val="center"/>
              <w:rPr>
                <w:rFonts w:ascii="Arial" w:hAnsi="Arial" w:cs="Arial"/>
              </w:rPr>
            </w:pPr>
          </w:p>
        </w:tc>
        <w:tc>
          <w:tcPr>
            <w:tcW w:w="1559" w:type="dxa"/>
            <w:tcBorders>
              <w:top w:val="nil"/>
              <w:left w:val="nil"/>
              <w:bottom w:val="nil"/>
              <w:right w:val="nil"/>
            </w:tcBorders>
            <w:tcPrChange w:id="300" w:author="Maher" w:date="2025-07-21T10:39:00Z">
              <w:tcPr>
                <w:tcW w:w="1559" w:type="dxa"/>
                <w:tcBorders>
                  <w:top w:val="nil"/>
                  <w:left w:val="nil"/>
                  <w:bottom w:val="nil"/>
                  <w:right w:val="nil"/>
                </w:tcBorders>
              </w:tcPr>
            </w:tcPrChange>
          </w:tcPr>
          <w:p w14:paraId="6A4BA6D2" w14:textId="77777777" w:rsidR="002F52FB" w:rsidRPr="005D7961" w:rsidRDefault="002F52FB">
            <w:pPr>
              <w:jc w:val="left"/>
              <w:rPr>
                <w:rFonts w:ascii="Arial" w:hAnsi="Arial" w:cs="Arial"/>
                <w:i/>
                <w:iCs/>
              </w:rPr>
            </w:pPr>
          </w:p>
        </w:tc>
        <w:tc>
          <w:tcPr>
            <w:tcW w:w="1417" w:type="dxa"/>
            <w:tcBorders>
              <w:top w:val="nil"/>
              <w:left w:val="nil"/>
              <w:bottom w:val="nil"/>
              <w:right w:val="nil"/>
            </w:tcBorders>
            <w:tcPrChange w:id="301" w:author="Maher" w:date="2025-07-21T10:39:00Z">
              <w:tcPr>
                <w:tcW w:w="1417" w:type="dxa"/>
                <w:tcBorders>
                  <w:top w:val="nil"/>
                  <w:left w:val="nil"/>
                  <w:bottom w:val="nil"/>
                  <w:right w:val="nil"/>
                </w:tcBorders>
              </w:tcPr>
            </w:tcPrChange>
          </w:tcPr>
          <w:p w14:paraId="734BAEF6" w14:textId="77777777" w:rsidR="002F52FB" w:rsidRPr="005D7961" w:rsidRDefault="0092538B">
            <w:pPr>
              <w:jc w:val="center"/>
              <w:rPr>
                <w:rFonts w:ascii="Arial" w:hAnsi="Arial" w:cs="Arial"/>
              </w:rPr>
            </w:pPr>
            <w:r w:rsidRPr="005D7961">
              <w:rPr>
                <w:rFonts w:ascii="Arial" w:hAnsi="Arial" w:cs="Arial"/>
              </w:rPr>
              <w:t>83.08046</w:t>
            </w:r>
          </w:p>
          <w:p w14:paraId="39840A0E" w14:textId="77777777" w:rsidR="002F52FB" w:rsidRPr="005D7961" w:rsidRDefault="0092538B">
            <w:pPr>
              <w:jc w:val="center"/>
              <w:rPr>
                <w:rFonts w:ascii="Arial" w:hAnsi="Arial" w:cs="Arial"/>
              </w:rPr>
            </w:pPr>
            <w:r w:rsidRPr="005D7961">
              <w:rPr>
                <w:rFonts w:ascii="Arial" w:hAnsi="Arial" w:cs="Arial"/>
              </w:rPr>
              <w:t>(1.39)</w:t>
            </w:r>
          </w:p>
        </w:tc>
        <w:tc>
          <w:tcPr>
            <w:tcW w:w="1633" w:type="dxa"/>
            <w:tcBorders>
              <w:top w:val="nil"/>
              <w:left w:val="nil"/>
              <w:bottom w:val="nil"/>
              <w:right w:val="nil"/>
            </w:tcBorders>
            <w:tcPrChange w:id="302" w:author="Maher" w:date="2025-07-21T10:39:00Z">
              <w:tcPr>
                <w:tcW w:w="1633" w:type="dxa"/>
                <w:tcBorders>
                  <w:top w:val="nil"/>
                  <w:left w:val="nil"/>
                  <w:bottom w:val="nil"/>
                  <w:right w:val="nil"/>
                </w:tcBorders>
              </w:tcPr>
            </w:tcPrChange>
          </w:tcPr>
          <w:p w14:paraId="19828A23" w14:textId="77777777" w:rsidR="002F52FB" w:rsidRPr="005D7961" w:rsidRDefault="0092538B">
            <w:pPr>
              <w:jc w:val="left"/>
              <w:rPr>
                <w:rFonts w:ascii="Arial" w:hAnsi="Arial" w:cs="Arial"/>
                <w:i/>
                <w:iCs/>
              </w:rPr>
            </w:pPr>
            <w:r w:rsidRPr="005D7961">
              <w:rPr>
                <w:rFonts w:ascii="Arial" w:hAnsi="Arial" w:cs="Arial"/>
                <w:i/>
                <w:iCs/>
              </w:rPr>
              <w:t>Not supported</w:t>
            </w:r>
          </w:p>
        </w:tc>
      </w:tr>
      <w:tr w:rsidR="002F52FB" w:rsidRPr="005D7961" w14:paraId="5C99C003" w14:textId="77777777">
        <w:trPr>
          <w:trHeight w:val="338"/>
          <w:jc w:val="center"/>
          <w:trPrChange w:id="303" w:author="Maher" w:date="2025-07-21T10:39:00Z">
            <w:trPr>
              <w:trHeight w:val="338"/>
              <w:jc w:val="center"/>
            </w:trPr>
          </w:trPrChange>
        </w:trPr>
        <w:tc>
          <w:tcPr>
            <w:tcW w:w="1701" w:type="dxa"/>
            <w:tcBorders>
              <w:top w:val="nil"/>
              <w:left w:val="nil"/>
              <w:bottom w:val="nil"/>
              <w:right w:val="nil"/>
            </w:tcBorders>
            <w:tcPrChange w:id="304" w:author="Maher" w:date="2025-07-21T10:39:00Z">
              <w:tcPr>
                <w:tcW w:w="1701" w:type="dxa"/>
                <w:tcBorders>
                  <w:top w:val="nil"/>
                  <w:left w:val="nil"/>
                  <w:bottom w:val="nil"/>
                  <w:right w:val="nil"/>
                </w:tcBorders>
              </w:tcPr>
            </w:tcPrChange>
          </w:tcPr>
          <w:p w14:paraId="7B85E3B2" w14:textId="77777777" w:rsidR="002F52FB" w:rsidRPr="005D7961" w:rsidRDefault="0092538B">
            <w:pPr>
              <w:rPr>
                <w:rFonts w:ascii="Arial" w:hAnsi="Arial" w:cs="Arial"/>
              </w:rPr>
            </w:pPr>
            <w:r w:rsidRPr="005D7961">
              <w:rPr>
                <w:rFonts w:ascii="Arial" w:hAnsi="Arial" w:cs="Arial"/>
              </w:rPr>
              <w:t>Size</w:t>
            </w:r>
          </w:p>
        </w:tc>
        <w:tc>
          <w:tcPr>
            <w:tcW w:w="1560" w:type="dxa"/>
            <w:tcBorders>
              <w:top w:val="nil"/>
              <w:left w:val="nil"/>
              <w:bottom w:val="nil"/>
              <w:right w:val="nil"/>
            </w:tcBorders>
            <w:tcPrChange w:id="305" w:author="Maher" w:date="2025-07-21T10:39:00Z">
              <w:tcPr>
                <w:tcW w:w="1560" w:type="dxa"/>
                <w:tcBorders>
                  <w:top w:val="nil"/>
                  <w:left w:val="nil"/>
                  <w:bottom w:val="nil"/>
                  <w:right w:val="nil"/>
                </w:tcBorders>
              </w:tcPr>
            </w:tcPrChange>
          </w:tcPr>
          <w:p w14:paraId="5A7D2F08" w14:textId="77777777" w:rsidR="002F52FB" w:rsidRPr="005D7961" w:rsidRDefault="0092538B">
            <w:pPr>
              <w:jc w:val="center"/>
              <w:rPr>
                <w:rFonts w:ascii="Arial" w:hAnsi="Arial" w:cs="Arial"/>
              </w:rPr>
            </w:pPr>
            <w:r w:rsidRPr="005D7961">
              <w:rPr>
                <w:rFonts w:ascii="Arial" w:hAnsi="Arial" w:cs="Arial"/>
              </w:rPr>
              <w:t>-0.9060788</w:t>
            </w:r>
          </w:p>
          <w:p w14:paraId="0F821A0E" w14:textId="77777777" w:rsidR="002F52FB" w:rsidRPr="005D7961" w:rsidRDefault="0092538B">
            <w:pPr>
              <w:jc w:val="center"/>
              <w:rPr>
                <w:rFonts w:ascii="Arial" w:hAnsi="Arial" w:cs="Arial"/>
              </w:rPr>
            </w:pPr>
            <w:r w:rsidRPr="005D7961">
              <w:rPr>
                <w:rFonts w:ascii="Arial" w:hAnsi="Arial" w:cs="Arial"/>
              </w:rPr>
              <w:t>(-1.18)</w:t>
            </w:r>
          </w:p>
        </w:tc>
        <w:tc>
          <w:tcPr>
            <w:tcW w:w="1559" w:type="dxa"/>
            <w:tcBorders>
              <w:top w:val="nil"/>
              <w:left w:val="nil"/>
              <w:bottom w:val="nil"/>
              <w:right w:val="nil"/>
            </w:tcBorders>
            <w:tcPrChange w:id="306" w:author="Maher" w:date="2025-07-21T10:39:00Z">
              <w:tcPr>
                <w:tcW w:w="1559" w:type="dxa"/>
                <w:tcBorders>
                  <w:top w:val="nil"/>
                  <w:left w:val="nil"/>
                  <w:bottom w:val="nil"/>
                  <w:right w:val="nil"/>
                </w:tcBorders>
              </w:tcPr>
            </w:tcPrChange>
          </w:tcPr>
          <w:p w14:paraId="0D2E3DE4" w14:textId="77777777" w:rsidR="002F52FB" w:rsidRPr="005D7961" w:rsidRDefault="002F52FB">
            <w:pPr>
              <w:rPr>
                <w:rFonts w:ascii="Arial" w:hAnsi="Arial" w:cs="Arial"/>
                <w:i/>
                <w:iCs/>
              </w:rPr>
            </w:pPr>
          </w:p>
        </w:tc>
        <w:tc>
          <w:tcPr>
            <w:tcW w:w="1417" w:type="dxa"/>
            <w:tcBorders>
              <w:top w:val="nil"/>
              <w:left w:val="nil"/>
              <w:bottom w:val="nil"/>
              <w:right w:val="nil"/>
            </w:tcBorders>
            <w:tcPrChange w:id="307" w:author="Maher" w:date="2025-07-21T10:39:00Z">
              <w:tcPr>
                <w:tcW w:w="1417" w:type="dxa"/>
                <w:tcBorders>
                  <w:top w:val="nil"/>
                  <w:left w:val="nil"/>
                  <w:bottom w:val="nil"/>
                  <w:right w:val="nil"/>
                </w:tcBorders>
              </w:tcPr>
            </w:tcPrChange>
          </w:tcPr>
          <w:p w14:paraId="42090D26" w14:textId="77777777" w:rsidR="002F52FB" w:rsidRPr="005D7961" w:rsidRDefault="0092538B">
            <w:pPr>
              <w:jc w:val="center"/>
              <w:rPr>
                <w:rFonts w:ascii="Arial" w:hAnsi="Arial" w:cs="Arial"/>
              </w:rPr>
            </w:pPr>
            <w:r w:rsidRPr="005D7961">
              <w:rPr>
                <w:rFonts w:ascii="Arial" w:hAnsi="Arial" w:cs="Arial"/>
              </w:rPr>
              <w:t>907.706</w:t>
            </w:r>
          </w:p>
          <w:p w14:paraId="704A42EB" w14:textId="77777777" w:rsidR="002F52FB" w:rsidRPr="005D7961" w:rsidRDefault="0092538B">
            <w:pPr>
              <w:jc w:val="center"/>
              <w:rPr>
                <w:rFonts w:ascii="Arial" w:hAnsi="Arial" w:cs="Arial"/>
              </w:rPr>
            </w:pPr>
            <w:r w:rsidRPr="005D7961">
              <w:rPr>
                <w:rFonts w:ascii="Arial" w:hAnsi="Arial" w:cs="Arial"/>
              </w:rPr>
              <w:t>(3.34)***</w:t>
            </w:r>
          </w:p>
        </w:tc>
        <w:tc>
          <w:tcPr>
            <w:tcW w:w="1633" w:type="dxa"/>
            <w:tcBorders>
              <w:top w:val="nil"/>
              <w:left w:val="nil"/>
              <w:bottom w:val="nil"/>
              <w:right w:val="nil"/>
            </w:tcBorders>
            <w:tcPrChange w:id="308" w:author="Maher" w:date="2025-07-21T10:39:00Z">
              <w:tcPr>
                <w:tcW w:w="1633" w:type="dxa"/>
                <w:tcBorders>
                  <w:top w:val="nil"/>
                  <w:left w:val="nil"/>
                  <w:bottom w:val="nil"/>
                  <w:right w:val="nil"/>
                </w:tcBorders>
              </w:tcPr>
            </w:tcPrChange>
          </w:tcPr>
          <w:p w14:paraId="6BF62296" w14:textId="77777777" w:rsidR="002F52FB" w:rsidRPr="005D7961" w:rsidRDefault="002F52FB">
            <w:pPr>
              <w:rPr>
                <w:rFonts w:ascii="Arial" w:hAnsi="Arial" w:cs="Arial"/>
                <w:i/>
                <w:iCs/>
              </w:rPr>
            </w:pPr>
          </w:p>
        </w:tc>
      </w:tr>
      <w:tr w:rsidR="002F52FB" w:rsidRPr="005D7961" w14:paraId="222A85E8" w14:textId="77777777">
        <w:trPr>
          <w:trHeight w:val="338"/>
          <w:jc w:val="center"/>
          <w:trPrChange w:id="309" w:author="Maher" w:date="2025-07-21T10:39:00Z">
            <w:trPr>
              <w:trHeight w:val="338"/>
              <w:jc w:val="center"/>
            </w:trPr>
          </w:trPrChange>
        </w:trPr>
        <w:tc>
          <w:tcPr>
            <w:tcW w:w="1701" w:type="dxa"/>
            <w:tcBorders>
              <w:top w:val="nil"/>
              <w:left w:val="nil"/>
              <w:bottom w:val="nil"/>
              <w:right w:val="nil"/>
            </w:tcBorders>
            <w:tcPrChange w:id="310" w:author="Maher" w:date="2025-07-21T10:39:00Z">
              <w:tcPr>
                <w:tcW w:w="1701" w:type="dxa"/>
                <w:tcBorders>
                  <w:top w:val="nil"/>
                  <w:left w:val="nil"/>
                  <w:bottom w:val="nil"/>
                  <w:right w:val="nil"/>
                </w:tcBorders>
              </w:tcPr>
            </w:tcPrChange>
          </w:tcPr>
          <w:p w14:paraId="1168261C" w14:textId="77777777" w:rsidR="002F52FB" w:rsidRPr="005D7961" w:rsidRDefault="002F52FB">
            <w:pPr>
              <w:rPr>
                <w:rFonts w:ascii="Arial" w:hAnsi="Arial" w:cs="Arial"/>
              </w:rPr>
            </w:pPr>
          </w:p>
        </w:tc>
        <w:tc>
          <w:tcPr>
            <w:tcW w:w="1560" w:type="dxa"/>
            <w:tcBorders>
              <w:top w:val="nil"/>
              <w:left w:val="nil"/>
              <w:bottom w:val="nil"/>
              <w:right w:val="nil"/>
            </w:tcBorders>
            <w:tcPrChange w:id="311" w:author="Maher" w:date="2025-07-21T10:39:00Z">
              <w:tcPr>
                <w:tcW w:w="1560" w:type="dxa"/>
                <w:tcBorders>
                  <w:top w:val="nil"/>
                  <w:left w:val="nil"/>
                  <w:bottom w:val="nil"/>
                  <w:right w:val="nil"/>
                </w:tcBorders>
              </w:tcPr>
            </w:tcPrChange>
          </w:tcPr>
          <w:p w14:paraId="638AACAD" w14:textId="77777777" w:rsidR="002F52FB" w:rsidRPr="005D7961" w:rsidRDefault="002F52FB">
            <w:pPr>
              <w:jc w:val="center"/>
              <w:rPr>
                <w:rFonts w:ascii="Arial" w:hAnsi="Arial" w:cs="Arial"/>
              </w:rPr>
            </w:pPr>
          </w:p>
        </w:tc>
        <w:tc>
          <w:tcPr>
            <w:tcW w:w="1559" w:type="dxa"/>
            <w:tcBorders>
              <w:top w:val="nil"/>
              <w:left w:val="nil"/>
              <w:bottom w:val="nil"/>
              <w:right w:val="nil"/>
            </w:tcBorders>
            <w:tcPrChange w:id="312" w:author="Maher" w:date="2025-07-21T10:39:00Z">
              <w:tcPr>
                <w:tcW w:w="1559" w:type="dxa"/>
                <w:tcBorders>
                  <w:top w:val="nil"/>
                  <w:left w:val="nil"/>
                  <w:bottom w:val="nil"/>
                  <w:right w:val="nil"/>
                </w:tcBorders>
              </w:tcPr>
            </w:tcPrChange>
          </w:tcPr>
          <w:p w14:paraId="5A0F6501" w14:textId="77777777" w:rsidR="002F52FB" w:rsidRPr="005D7961" w:rsidRDefault="002F52FB">
            <w:pPr>
              <w:jc w:val="center"/>
              <w:rPr>
                <w:rFonts w:ascii="Arial" w:hAnsi="Arial" w:cs="Arial"/>
              </w:rPr>
            </w:pPr>
          </w:p>
        </w:tc>
        <w:tc>
          <w:tcPr>
            <w:tcW w:w="1417" w:type="dxa"/>
            <w:tcBorders>
              <w:top w:val="nil"/>
              <w:left w:val="nil"/>
              <w:bottom w:val="nil"/>
              <w:right w:val="nil"/>
            </w:tcBorders>
            <w:tcPrChange w:id="313" w:author="Maher" w:date="2025-07-21T10:39:00Z">
              <w:tcPr>
                <w:tcW w:w="1417" w:type="dxa"/>
                <w:tcBorders>
                  <w:top w:val="nil"/>
                  <w:left w:val="nil"/>
                  <w:bottom w:val="nil"/>
                  <w:right w:val="nil"/>
                </w:tcBorders>
              </w:tcPr>
            </w:tcPrChange>
          </w:tcPr>
          <w:p w14:paraId="1BA2B061" w14:textId="77777777" w:rsidR="002F52FB" w:rsidRPr="005D7961" w:rsidRDefault="002F52FB">
            <w:pPr>
              <w:jc w:val="center"/>
              <w:rPr>
                <w:rFonts w:ascii="Arial" w:hAnsi="Arial" w:cs="Arial"/>
              </w:rPr>
            </w:pPr>
          </w:p>
        </w:tc>
        <w:tc>
          <w:tcPr>
            <w:tcW w:w="1633" w:type="dxa"/>
            <w:tcBorders>
              <w:top w:val="nil"/>
              <w:left w:val="nil"/>
              <w:bottom w:val="nil"/>
              <w:right w:val="nil"/>
            </w:tcBorders>
            <w:tcPrChange w:id="314" w:author="Maher" w:date="2025-07-21T10:39:00Z">
              <w:tcPr>
                <w:tcW w:w="1633" w:type="dxa"/>
                <w:tcBorders>
                  <w:top w:val="nil"/>
                  <w:left w:val="nil"/>
                  <w:bottom w:val="nil"/>
                  <w:right w:val="nil"/>
                </w:tcBorders>
              </w:tcPr>
            </w:tcPrChange>
          </w:tcPr>
          <w:p w14:paraId="4B554AFC" w14:textId="77777777" w:rsidR="002F52FB" w:rsidRPr="005D7961" w:rsidRDefault="002F52FB">
            <w:pPr>
              <w:jc w:val="center"/>
              <w:rPr>
                <w:rFonts w:ascii="Arial" w:hAnsi="Arial" w:cs="Arial"/>
              </w:rPr>
            </w:pPr>
          </w:p>
        </w:tc>
      </w:tr>
      <w:tr w:rsidR="002F52FB" w:rsidRPr="005D7961" w14:paraId="5E3F801C" w14:textId="77777777">
        <w:trPr>
          <w:trHeight w:val="338"/>
          <w:jc w:val="center"/>
          <w:trPrChange w:id="315" w:author="Maher" w:date="2025-07-21T10:39:00Z">
            <w:trPr>
              <w:trHeight w:val="338"/>
              <w:jc w:val="center"/>
            </w:trPr>
          </w:trPrChange>
        </w:trPr>
        <w:tc>
          <w:tcPr>
            <w:tcW w:w="1701" w:type="dxa"/>
            <w:tcBorders>
              <w:top w:val="nil"/>
              <w:left w:val="nil"/>
              <w:bottom w:val="nil"/>
              <w:right w:val="nil"/>
            </w:tcBorders>
            <w:tcPrChange w:id="316" w:author="Maher" w:date="2025-07-21T10:39:00Z">
              <w:tcPr>
                <w:tcW w:w="1701" w:type="dxa"/>
                <w:tcBorders>
                  <w:top w:val="nil"/>
                  <w:left w:val="nil"/>
                  <w:bottom w:val="nil"/>
                  <w:right w:val="nil"/>
                </w:tcBorders>
              </w:tcPr>
            </w:tcPrChange>
          </w:tcPr>
          <w:p w14:paraId="545FDF62" w14:textId="77777777" w:rsidR="002F52FB" w:rsidRPr="005D7961" w:rsidRDefault="0092538B">
            <w:pPr>
              <w:rPr>
                <w:rFonts w:ascii="Arial" w:hAnsi="Arial" w:cs="Arial"/>
              </w:rPr>
            </w:pPr>
            <w:r w:rsidRPr="005D7961">
              <w:rPr>
                <w:rFonts w:ascii="Arial" w:hAnsi="Arial" w:cs="Arial"/>
              </w:rPr>
              <w:t>F</w:t>
            </w:r>
          </w:p>
        </w:tc>
        <w:tc>
          <w:tcPr>
            <w:tcW w:w="1560" w:type="dxa"/>
            <w:tcBorders>
              <w:top w:val="nil"/>
              <w:left w:val="nil"/>
              <w:bottom w:val="nil"/>
              <w:right w:val="nil"/>
            </w:tcBorders>
            <w:tcPrChange w:id="317" w:author="Maher" w:date="2025-07-21T10:39:00Z">
              <w:tcPr>
                <w:tcW w:w="1560" w:type="dxa"/>
                <w:tcBorders>
                  <w:top w:val="nil"/>
                  <w:left w:val="nil"/>
                  <w:bottom w:val="nil"/>
                  <w:right w:val="nil"/>
                </w:tcBorders>
              </w:tcPr>
            </w:tcPrChange>
          </w:tcPr>
          <w:p w14:paraId="7D09A517" w14:textId="77777777" w:rsidR="002F52FB" w:rsidRPr="005D7961" w:rsidRDefault="0092538B">
            <w:pPr>
              <w:jc w:val="center"/>
              <w:rPr>
                <w:rFonts w:ascii="Arial" w:hAnsi="Arial" w:cs="Arial"/>
              </w:rPr>
            </w:pPr>
            <w:r w:rsidRPr="005D7961">
              <w:rPr>
                <w:rFonts w:ascii="Arial" w:hAnsi="Arial" w:cs="Arial"/>
              </w:rPr>
              <w:t>17.40</w:t>
            </w:r>
          </w:p>
        </w:tc>
        <w:tc>
          <w:tcPr>
            <w:tcW w:w="1559" w:type="dxa"/>
            <w:tcBorders>
              <w:top w:val="nil"/>
              <w:left w:val="nil"/>
              <w:bottom w:val="nil"/>
              <w:right w:val="nil"/>
            </w:tcBorders>
            <w:tcPrChange w:id="318" w:author="Maher" w:date="2025-07-21T10:39:00Z">
              <w:tcPr>
                <w:tcW w:w="1559" w:type="dxa"/>
                <w:tcBorders>
                  <w:top w:val="nil"/>
                  <w:left w:val="nil"/>
                  <w:bottom w:val="nil"/>
                  <w:right w:val="nil"/>
                </w:tcBorders>
              </w:tcPr>
            </w:tcPrChange>
          </w:tcPr>
          <w:p w14:paraId="760F522C" w14:textId="77777777" w:rsidR="002F52FB" w:rsidRPr="005D7961" w:rsidRDefault="002F52FB">
            <w:pPr>
              <w:jc w:val="center"/>
              <w:rPr>
                <w:rFonts w:ascii="Arial" w:hAnsi="Arial" w:cs="Arial"/>
              </w:rPr>
            </w:pPr>
          </w:p>
        </w:tc>
        <w:tc>
          <w:tcPr>
            <w:tcW w:w="1417" w:type="dxa"/>
            <w:tcBorders>
              <w:top w:val="nil"/>
              <w:left w:val="nil"/>
              <w:bottom w:val="nil"/>
              <w:right w:val="nil"/>
            </w:tcBorders>
            <w:tcPrChange w:id="319" w:author="Maher" w:date="2025-07-21T10:39:00Z">
              <w:tcPr>
                <w:tcW w:w="1417" w:type="dxa"/>
                <w:tcBorders>
                  <w:top w:val="nil"/>
                  <w:left w:val="nil"/>
                  <w:bottom w:val="nil"/>
                  <w:right w:val="nil"/>
                </w:tcBorders>
              </w:tcPr>
            </w:tcPrChange>
          </w:tcPr>
          <w:p w14:paraId="44D054B3" w14:textId="77777777" w:rsidR="002F52FB" w:rsidRPr="005D7961" w:rsidRDefault="0092538B">
            <w:pPr>
              <w:jc w:val="center"/>
              <w:rPr>
                <w:rFonts w:ascii="Arial" w:hAnsi="Arial" w:cs="Arial"/>
              </w:rPr>
            </w:pPr>
            <w:r w:rsidRPr="005D7961">
              <w:rPr>
                <w:rFonts w:ascii="Arial" w:hAnsi="Arial" w:cs="Arial"/>
              </w:rPr>
              <w:t>13.47</w:t>
            </w:r>
          </w:p>
        </w:tc>
        <w:tc>
          <w:tcPr>
            <w:tcW w:w="1633" w:type="dxa"/>
            <w:tcBorders>
              <w:top w:val="nil"/>
              <w:left w:val="nil"/>
              <w:bottom w:val="nil"/>
              <w:right w:val="nil"/>
            </w:tcBorders>
            <w:tcPrChange w:id="320" w:author="Maher" w:date="2025-07-21T10:39:00Z">
              <w:tcPr>
                <w:tcW w:w="1633" w:type="dxa"/>
                <w:tcBorders>
                  <w:top w:val="nil"/>
                  <w:left w:val="nil"/>
                  <w:bottom w:val="nil"/>
                  <w:right w:val="nil"/>
                </w:tcBorders>
              </w:tcPr>
            </w:tcPrChange>
          </w:tcPr>
          <w:p w14:paraId="074E3477" w14:textId="77777777" w:rsidR="002F52FB" w:rsidRPr="005D7961" w:rsidRDefault="002F52FB">
            <w:pPr>
              <w:jc w:val="center"/>
              <w:rPr>
                <w:rFonts w:ascii="Arial" w:hAnsi="Arial" w:cs="Arial"/>
              </w:rPr>
            </w:pPr>
          </w:p>
        </w:tc>
      </w:tr>
      <w:tr w:rsidR="002F52FB" w:rsidRPr="005D7961" w14:paraId="245F1DEE" w14:textId="77777777">
        <w:trPr>
          <w:trHeight w:val="338"/>
          <w:jc w:val="center"/>
          <w:trPrChange w:id="321" w:author="Maher" w:date="2025-07-21T10:39:00Z">
            <w:trPr>
              <w:trHeight w:val="338"/>
              <w:jc w:val="center"/>
            </w:trPr>
          </w:trPrChange>
        </w:trPr>
        <w:tc>
          <w:tcPr>
            <w:tcW w:w="1701" w:type="dxa"/>
            <w:tcBorders>
              <w:top w:val="nil"/>
              <w:left w:val="nil"/>
              <w:bottom w:val="nil"/>
              <w:right w:val="nil"/>
            </w:tcBorders>
            <w:tcPrChange w:id="322" w:author="Maher" w:date="2025-07-21T10:39:00Z">
              <w:tcPr>
                <w:tcW w:w="1701" w:type="dxa"/>
                <w:tcBorders>
                  <w:top w:val="nil"/>
                  <w:left w:val="nil"/>
                  <w:bottom w:val="nil"/>
                  <w:right w:val="nil"/>
                </w:tcBorders>
              </w:tcPr>
            </w:tcPrChange>
          </w:tcPr>
          <w:p w14:paraId="4522ABEE" w14:textId="77777777" w:rsidR="002F52FB" w:rsidRPr="005D7961" w:rsidRDefault="0092538B">
            <w:pPr>
              <w:rPr>
                <w:rFonts w:ascii="Arial" w:hAnsi="Arial" w:cs="Arial"/>
              </w:rPr>
            </w:pPr>
            <w:r w:rsidRPr="005D7961">
              <w:rPr>
                <w:rFonts w:ascii="Arial" w:hAnsi="Arial" w:cs="Arial"/>
              </w:rPr>
              <w:t>R</w:t>
            </w:r>
            <w:r w:rsidRPr="005D7961">
              <w:rPr>
                <w:rFonts w:ascii="Arial" w:hAnsi="Arial" w:cs="Arial"/>
                <w:vertAlign w:val="superscript"/>
              </w:rPr>
              <w:t>2</w:t>
            </w:r>
            <w:r w:rsidRPr="005D7961">
              <w:rPr>
                <w:rFonts w:ascii="Arial" w:hAnsi="Arial" w:cs="Arial"/>
              </w:rPr>
              <w:t xml:space="preserve"> Within</w:t>
            </w:r>
          </w:p>
        </w:tc>
        <w:tc>
          <w:tcPr>
            <w:tcW w:w="1560" w:type="dxa"/>
            <w:tcBorders>
              <w:top w:val="nil"/>
              <w:left w:val="nil"/>
              <w:bottom w:val="nil"/>
              <w:right w:val="nil"/>
            </w:tcBorders>
            <w:tcPrChange w:id="323" w:author="Maher" w:date="2025-07-21T10:39:00Z">
              <w:tcPr>
                <w:tcW w:w="1560" w:type="dxa"/>
                <w:tcBorders>
                  <w:top w:val="nil"/>
                  <w:left w:val="nil"/>
                  <w:bottom w:val="nil"/>
                  <w:right w:val="nil"/>
                </w:tcBorders>
              </w:tcPr>
            </w:tcPrChange>
          </w:tcPr>
          <w:p w14:paraId="5E2AA9AB" w14:textId="77777777" w:rsidR="002F52FB" w:rsidRPr="005D7961" w:rsidRDefault="0092538B">
            <w:pPr>
              <w:jc w:val="center"/>
              <w:rPr>
                <w:rFonts w:ascii="Arial" w:hAnsi="Arial" w:cs="Arial"/>
              </w:rPr>
            </w:pPr>
            <w:r w:rsidRPr="005D7961">
              <w:rPr>
                <w:rFonts w:ascii="Arial" w:hAnsi="Arial" w:cs="Arial"/>
              </w:rPr>
              <w:t>0.20</w:t>
            </w:r>
          </w:p>
        </w:tc>
        <w:tc>
          <w:tcPr>
            <w:tcW w:w="1559" w:type="dxa"/>
            <w:tcBorders>
              <w:top w:val="nil"/>
              <w:left w:val="nil"/>
              <w:bottom w:val="nil"/>
              <w:right w:val="nil"/>
            </w:tcBorders>
            <w:tcPrChange w:id="324" w:author="Maher" w:date="2025-07-21T10:39:00Z">
              <w:tcPr>
                <w:tcW w:w="1559" w:type="dxa"/>
                <w:tcBorders>
                  <w:top w:val="nil"/>
                  <w:left w:val="nil"/>
                  <w:bottom w:val="nil"/>
                  <w:right w:val="nil"/>
                </w:tcBorders>
              </w:tcPr>
            </w:tcPrChange>
          </w:tcPr>
          <w:p w14:paraId="25BBE7A7" w14:textId="77777777" w:rsidR="002F52FB" w:rsidRPr="005D7961" w:rsidRDefault="002F52FB">
            <w:pPr>
              <w:jc w:val="center"/>
              <w:rPr>
                <w:rFonts w:ascii="Arial" w:hAnsi="Arial" w:cs="Arial"/>
              </w:rPr>
            </w:pPr>
          </w:p>
        </w:tc>
        <w:tc>
          <w:tcPr>
            <w:tcW w:w="1417" w:type="dxa"/>
            <w:tcBorders>
              <w:top w:val="nil"/>
              <w:left w:val="nil"/>
              <w:bottom w:val="nil"/>
              <w:right w:val="nil"/>
            </w:tcBorders>
            <w:tcPrChange w:id="325" w:author="Maher" w:date="2025-07-21T10:39:00Z">
              <w:tcPr>
                <w:tcW w:w="1417" w:type="dxa"/>
                <w:tcBorders>
                  <w:top w:val="nil"/>
                  <w:left w:val="nil"/>
                  <w:bottom w:val="nil"/>
                  <w:right w:val="nil"/>
                </w:tcBorders>
              </w:tcPr>
            </w:tcPrChange>
          </w:tcPr>
          <w:p w14:paraId="34B2C60A" w14:textId="77777777" w:rsidR="002F52FB" w:rsidRPr="005D7961" w:rsidRDefault="0092538B">
            <w:pPr>
              <w:jc w:val="center"/>
              <w:rPr>
                <w:rFonts w:ascii="Arial" w:hAnsi="Arial" w:cs="Arial"/>
              </w:rPr>
            </w:pPr>
            <w:r w:rsidRPr="005D7961">
              <w:rPr>
                <w:rFonts w:ascii="Arial" w:hAnsi="Arial" w:cs="Arial"/>
              </w:rPr>
              <w:t>0.0273</w:t>
            </w:r>
          </w:p>
        </w:tc>
        <w:tc>
          <w:tcPr>
            <w:tcW w:w="1633" w:type="dxa"/>
            <w:tcBorders>
              <w:top w:val="nil"/>
              <w:left w:val="nil"/>
              <w:bottom w:val="nil"/>
              <w:right w:val="nil"/>
            </w:tcBorders>
            <w:tcPrChange w:id="326" w:author="Maher" w:date="2025-07-21T10:39:00Z">
              <w:tcPr>
                <w:tcW w:w="1633" w:type="dxa"/>
                <w:tcBorders>
                  <w:top w:val="nil"/>
                  <w:left w:val="nil"/>
                  <w:bottom w:val="nil"/>
                  <w:right w:val="nil"/>
                </w:tcBorders>
              </w:tcPr>
            </w:tcPrChange>
          </w:tcPr>
          <w:p w14:paraId="49643557" w14:textId="77777777" w:rsidR="002F52FB" w:rsidRPr="005D7961" w:rsidRDefault="002F52FB">
            <w:pPr>
              <w:jc w:val="center"/>
              <w:rPr>
                <w:rFonts w:ascii="Arial" w:hAnsi="Arial" w:cs="Arial"/>
              </w:rPr>
            </w:pPr>
          </w:p>
        </w:tc>
      </w:tr>
      <w:tr w:rsidR="002F52FB" w:rsidRPr="005D7961" w14:paraId="007F8A5A" w14:textId="77777777">
        <w:trPr>
          <w:trHeight w:val="338"/>
          <w:jc w:val="center"/>
          <w:trPrChange w:id="327" w:author="Maher" w:date="2025-07-21T10:39:00Z">
            <w:trPr>
              <w:trHeight w:val="338"/>
              <w:jc w:val="center"/>
            </w:trPr>
          </w:trPrChange>
        </w:trPr>
        <w:tc>
          <w:tcPr>
            <w:tcW w:w="1701" w:type="dxa"/>
            <w:tcBorders>
              <w:top w:val="nil"/>
              <w:left w:val="nil"/>
              <w:bottom w:val="nil"/>
              <w:right w:val="nil"/>
            </w:tcBorders>
            <w:tcPrChange w:id="328" w:author="Maher" w:date="2025-07-21T10:39:00Z">
              <w:tcPr>
                <w:tcW w:w="1701" w:type="dxa"/>
                <w:tcBorders>
                  <w:top w:val="nil"/>
                  <w:left w:val="nil"/>
                  <w:bottom w:val="nil"/>
                  <w:right w:val="nil"/>
                </w:tcBorders>
              </w:tcPr>
            </w:tcPrChange>
          </w:tcPr>
          <w:p w14:paraId="700BE656" w14:textId="77777777" w:rsidR="002F52FB" w:rsidRPr="005D7961" w:rsidRDefault="0092538B">
            <w:pPr>
              <w:rPr>
                <w:rFonts w:ascii="Arial" w:hAnsi="Arial" w:cs="Arial"/>
              </w:rPr>
            </w:pPr>
            <w:r w:rsidRPr="005D7961">
              <w:rPr>
                <w:rFonts w:ascii="Arial" w:hAnsi="Arial" w:cs="Arial"/>
              </w:rPr>
              <w:t>No.Observation</w:t>
            </w:r>
          </w:p>
        </w:tc>
        <w:tc>
          <w:tcPr>
            <w:tcW w:w="1560" w:type="dxa"/>
            <w:tcBorders>
              <w:top w:val="nil"/>
              <w:left w:val="nil"/>
              <w:bottom w:val="nil"/>
              <w:right w:val="nil"/>
            </w:tcBorders>
            <w:tcPrChange w:id="329" w:author="Maher" w:date="2025-07-21T10:39:00Z">
              <w:tcPr>
                <w:tcW w:w="1560" w:type="dxa"/>
                <w:tcBorders>
                  <w:top w:val="nil"/>
                  <w:left w:val="nil"/>
                  <w:bottom w:val="nil"/>
                  <w:right w:val="nil"/>
                </w:tcBorders>
              </w:tcPr>
            </w:tcPrChange>
          </w:tcPr>
          <w:p w14:paraId="139057E6" w14:textId="77777777" w:rsidR="002F52FB" w:rsidRPr="005D7961" w:rsidRDefault="0092538B">
            <w:pPr>
              <w:jc w:val="center"/>
              <w:rPr>
                <w:rFonts w:ascii="Arial" w:hAnsi="Arial" w:cs="Arial"/>
              </w:rPr>
            </w:pPr>
            <w:r w:rsidRPr="005D7961">
              <w:rPr>
                <w:rFonts w:ascii="Arial" w:hAnsi="Arial" w:cs="Arial"/>
              </w:rPr>
              <w:t>474</w:t>
            </w:r>
          </w:p>
        </w:tc>
        <w:tc>
          <w:tcPr>
            <w:tcW w:w="1559" w:type="dxa"/>
            <w:tcBorders>
              <w:top w:val="nil"/>
              <w:left w:val="nil"/>
              <w:bottom w:val="nil"/>
              <w:right w:val="nil"/>
            </w:tcBorders>
            <w:tcPrChange w:id="330" w:author="Maher" w:date="2025-07-21T10:39:00Z">
              <w:tcPr>
                <w:tcW w:w="1559" w:type="dxa"/>
                <w:tcBorders>
                  <w:top w:val="nil"/>
                  <w:left w:val="nil"/>
                  <w:bottom w:val="nil"/>
                  <w:right w:val="nil"/>
                </w:tcBorders>
              </w:tcPr>
            </w:tcPrChange>
          </w:tcPr>
          <w:p w14:paraId="2388C057" w14:textId="77777777" w:rsidR="002F52FB" w:rsidRPr="005D7961" w:rsidRDefault="002F52FB">
            <w:pPr>
              <w:jc w:val="center"/>
              <w:rPr>
                <w:rFonts w:ascii="Arial" w:hAnsi="Arial" w:cs="Arial"/>
              </w:rPr>
            </w:pPr>
          </w:p>
        </w:tc>
        <w:tc>
          <w:tcPr>
            <w:tcW w:w="1417" w:type="dxa"/>
            <w:tcBorders>
              <w:top w:val="nil"/>
              <w:left w:val="nil"/>
              <w:bottom w:val="nil"/>
              <w:right w:val="nil"/>
            </w:tcBorders>
            <w:tcPrChange w:id="331" w:author="Maher" w:date="2025-07-21T10:39:00Z">
              <w:tcPr>
                <w:tcW w:w="1417" w:type="dxa"/>
                <w:tcBorders>
                  <w:top w:val="nil"/>
                  <w:left w:val="nil"/>
                  <w:bottom w:val="nil"/>
                  <w:right w:val="nil"/>
                </w:tcBorders>
              </w:tcPr>
            </w:tcPrChange>
          </w:tcPr>
          <w:p w14:paraId="50477C68" w14:textId="77777777" w:rsidR="002F52FB" w:rsidRPr="005D7961" w:rsidRDefault="0092538B">
            <w:pPr>
              <w:jc w:val="center"/>
              <w:rPr>
                <w:rFonts w:ascii="Arial" w:hAnsi="Arial" w:cs="Arial"/>
              </w:rPr>
            </w:pPr>
            <w:r w:rsidRPr="005D7961">
              <w:rPr>
                <w:rFonts w:ascii="Arial" w:hAnsi="Arial" w:cs="Arial"/>
              </w:rPr>
              <w:t>474</w:t>
            </w:r>
          </w:p>
        </w:tc>
        <w:tc>
          <w:tcPr>
            <w:tcW w:w="1633" w:type="dxa"/>
            <w:tcBorders>
              <w:top w:val="nil"/>
              <w:left w:val="nil"/>
              <w:bottom w:val="nil"/>
              <w:right w:val="nil"/>
            </w:tcBorders>
            <w:tcPrChange w:id="332" w:author="Maher" w:date="2025-07-21T10:39:00Z">
              <w:tcPr>
                <w:tcW w:w="1633" w:type="dxa"/>
                <w:tcBorders>
                  <w:top w:val="nil"/>
                  <w:left w:val="nil"/>
                  <w:bottom w:val="nil"/>
                  <w:right w:val="nil"/>
                </w:tcBorders>
              </w:tcPr>
            </w:tcPrChange>
          </w:tcPr>
          <w:p w14:paraId="617C8177" w14:textId="77777777" w:rsidR="002F52FB" w:rsidRPr="005D7961" w:rsidRDefault="002F52FB">
            <w:pPr>
              <w:jc w:val="center"/>
              <w:rPr>
                <w:rFonts w:ascii="Arial" w:hAnsi="Arial" w:cs="Arial"/>
              </w:rPr>
            </w:pPr>
          </w:p>
        </w:tc>
      </w:tr>
      <w:tr w:rsidR="002F52FB" w:rsidRPr="005D7961" w14:paraId="6131E16B" w14:textId="77777777">
        <w:trPr>
          <w:trHeight w:val="338"/>
          <w:jc w:val="center"/>
          <w:trPrChange w:id="333" w:author="Maher" w:date="2025-07-21T10:39:00Z">
            <w:trPr>
              <w:trHeight w:val="338"/>
              <w:jc w:val="center"/>
            </w:trPr>
          </w:trPrChange>
        </w:trPr>
        <w:tc>
          <w:tcPr>
            <w:tcW w:w="1701" w:type="dxa"/>
            <w:tcBorders>
              <w:top w:val="nil"/>
              <w:left w:val="nil"/>
              <w:right w:val="nil"/>
            </w:tcBorders>
            <w:tcPrChange w:id="334" w:author="Maher" w:date="2025-07-21T10:39:00Z">
              <w:tcPr>
                <w:tcW w:w="1701" w:type="dxa"/>
                <w:tcBorders>
                  <w:top w:val="nil"/>
                  <w:left w:val="nil"/>
                  <w:right w:val="nil"/>
                </w:tcBorders>
              </w:tcPr>
            </w:tcPrChange>
          </w:tcPr>
          <w:p w14:paraId="37EB4330" w14:textId="77777777" w:rsidR="002F52FB" w:rsidRPr="005D7961" w:rsidRDefault="0092538B">
            <w:pPr>
              <w:rPr>
                <w:rFonts w:ascii="Arial" w:hAnsi="Arial" w:cs="Arial"/>
              </w:rPr>
            </w:pPr>
            <w:r w:rsidRPr="005D7961">
              <w:rPr>
                <w:rFonts w:ascii="Arial" w:hAnsi="Arial" w:cs="Arial"/>
              </w:rPr>
              <w:t>*10%</w:t>
            </w:r>
          </w:p>
        </w:tc>
        <w:tc>
          <w:tcPr>
            <w:tcW w:w="1560" w:type="dxa"/>
            <w:tcBorders>
              <w:top w:val="nil"/>
              <w:left w:val="nil"/>
              <w:right w:val="nil"/>
            </w:tcBorders>
            <w:tcPrChange w:id="335" w:author="Maher" w:date="2025-07-21T10:39:00Z">
              <w:tcPr>
                <w:tcW w:w="1560" w:type="dxa"/>
                <w:tcBorders>
                  <w:top w:val="nil"/>
                  <w:left w:val="nil"/>
                  <w:right w:val="nil"/>
                </w:tcBorders>
              </w:tcPr>
            </w:tcPrChange>
          </w:tcPr>
          <w:p w14:paraId="577D4D85" w14:textId="77777777" w:rsidR="002F52FB" w:rsidRPr="005D7961" w:rsidRDefault="0092538B">
            <w:pPr>
              <w:rPr>
                <w:rFonts w:ascii="Arial" w:hAnsi="Arial" w:cs="Arial"/>
              </w:rPr>
            </w:pPr>
            <w:r w:rsidRPr="005D7961">
              <w:rPr>
                <w:rFonts w:ascii="Arial" w:hAnsi="Arial" w:cs="Arial"/>
              </w:rPr>
              <w:t>**5%</w:t>
            </w:r>
          </w:p>
        </w:tc>
        <w:tc>
          <w:tcPr>
            <w:tcW w:w="1559" w:type="dxa"/>
            <w:tcBorders>
              <w:top w:val="nil"/>
              <w:left w:val="nil"/>
              <w:right w:val="nil"/>
            </w:tcBorders>
            <w:tcPrChange w:id="336" w:author="Maher" w:date="2025-07-21T10:39:00Z">
              <w:tcPr>
                <w:tcW w:w="1559" w:type="dxa"/>
                <w:tcBorders>
                  <w:top w:val="nil"/>
                  <w:left w:val="nil"/>
                  <w:right w:val="nil"/>
                </w:tcBorders>
              </w:tcPr>
            </w:tcPrChange>
          </w:tcPr>
          <w:p w14:paraId="7D13DEC0" w14:textId="3F32AAED" w:rsidR="002F52FB" w:rsidRPr="005D7961" w:rsidRDefault="0092538B">
            <w:pPr>
              <w:rPr>
                <w:rFonts w:ascii="Arial" w:hAnsi="Arial" w:cs="Arial"/>
              </w:rPr>
            </w:pPr>
            <w:r w:rsidRPr="005D7961">
              <w:rPr>
                <w:rFonts w:ascii="Arial" w:hAnsi="Arial" w:cs="Arial"/>
              </w:rPr>
              <w:t>***1%</w:t>
            </w:r>
          </w:p>
        </w:tc>
        <w:tc>
          <w:tcPr>
            <w:tcW w:w="1417" w:type="dxa"/>
            <w:tcBorders>
              <w:top w:val="nil"/>
              <w:left w:val="nil"/>
              <w:right w:val="nil"/>
            </w:tcBorders>
            <w:tcPrChange w:id="337" w:author="Maher" w:date="2025-07-21T10:39:00Z">
              <w:tcPr>
                <w:tcW w:w="1417" w:type="dxa"/>
                <w:tcBorders>
                  <w:top w:val="nil"/>
                  <w:left w:val="nil"/>
                  <w:right w:val="nil"/>
                </w:tcBorders>
              </w:tcPr>
            </w:tcPrChange>
          </w:tcPr>
          <w:p w14:paraId="7E555A1E" w14:textId="77777777" w:rsidR="002F52FB" w:rsidRPr="005D7961" w:rsidRDefault="002F52FB">
            <w:pPr>
              <w:rPr>
                <w:rFonts w:ascii="Arial" w:hAnsi="Arial" w:cs="Arial"/>
              </w:rPr>
            </w:pPr>
          </w:p>
        </w:tc>
        <w:tc>
          <w:tcPr>
            <w:tcW w:w="1633" w:type="dxa"/>
            <w:tcBorders>
              <w:top w:val="nil"/>
              <w:left w:val="nil"/>
              <w:right w:val="nil"/>
            </w:tcBorders>
            <w:tcPrChange w:id="338" w:author="Maher" w:date="2025-07-21T10:39:00Z">
              <w:tcPr>
                <w:tcW w:w="1633" w:type="dxa"/>
                <w:tcBorders>
                  <w:top w:val="nil"/>
                  <w:left w:val="nil"/>
                  <w:right w:val="nil"/>
                </w:tcBorders>
              </w:tcPr>
            </w:tcPrChange>
          </w:tcPr>
          <w:p w14:paraId="2B6F202B" w14:textId="77777777" w:rsidR="002F52FB" w:rsidRPr="005D7961" w:rsidRDefault="002F52FB">
            <w:pPr>
              <w:rPr>
                <w:rFonts w:ascii="Arial" w:hAnsi="Arial" w:cs="Arial"/>
              </w:rPr>
            </w:pPr>
          </w:p>
        </w:tc>
      </w:tr>
    </w:tbl>
    <w:p w14:paraId="51A1B0DE" w14:textId="77777777" w:rsidR="002F52FB" w:rsidRPr="005D7961" w:rsidRDefault="0092538B">
      <w:pPr>
        <w:rPr>
          <w:rFonts w:ascii="Arial" w:hAnsi="Arial" w:cs="Arial"/>
          <w:i/>
          <w:iCs/>
          <w:sz w:val="16"/>
          <w:szCs w:val="16"/>
        </w:rPr>
      </w:pPr>
      <w:r w:rsidRPr="005D7961">
        <w:rPr>
          <w:rFonts w:ascii="Arial" w:hAnsi="Arial" w:cs="Arial"/>
          <w:i/>
          <w:iCs/>
          <w:sz w:val="16"/>
          <w:szCs w:val="16"/>
        </w:rPr>
        <w:t>*Source; Data processed, 2025</w:t>
      </w:r>
      <w:bookmarkEnd w:id="251"/>
    </w:p>
    <w:p w14:paraId="430B1D2C" w14:textId="77777777" w:rsidR="002F52FB" w:rsidRPr="005D7961" w:rsidRDefault="002F52FB">
      <w:pPr>
        <w:jc w:val="center"/>
        <w:rPr>
          <w:rFonts w:ascii="Arial" w:hAnsi="Arial" w:cs="Arial"/>
          <w:b/>
          <w:bCs/>
        </w:rPr>
      </w:pPr>
    </w:p>
    <w:p w14:paraId="1C6B09BD" w14:textId="77777777" w:rsidR="002F52FB" w:rsidRPr="005D7961" w:rsidRDefault="0092538B">
      <w:pPr>
        <w:jc w:val="center"/>
        <w:rPr>
          <w:rFonts w:ascii="Arial" w:hAnsi="Arial" w:cs="Arial"/>
          <w:b/>
          <w:bCs/>
        </w:rPr>
      </w:pPr>
      <w:r w:rsidRPr="005D7961">
        <w:rPr>
          <w:rFonts w:ascii="Arial" w:hAnsi="Arial" w:cs="Arial"/>
          <w:b/>
          <w:bCs/>
        </w:rPr>
        <w:t>Table 9. Mediation Test Results</w:t>
      </w:r>
    </w:p>
    <w:tbl>
      <w:tblPr>
        <w:tblStyle w:val="TableGrid"/>
        <w:tblW w:w="5035" w:type="pct"/>
        <w:jc w:val="center"/>
        <w:tblCellMar>
          <w:top w:w="15" w:type="dxa"/>
          <w:left w:w="15" w:type="dxa"/>
          <w:bottom w:w="15" w:type="dxa"/>
          <w:right w:w="15" w:type="dxa"/>
        </w:tblCellMar>
        <w:tblLook w:val="04A0" w:firstRow="1" w:lastRow="0" w:firstColumn="1" w:lastColumn="0" w:noHBand="0" w:noVBand="1"/>
        <w:tblPrChange w:id="339" w:author="Maher" w:date="2025-07-21T10:39:00Z">
          <w:tblPr>
            <w:tblStyle w:val="TableGrid"/>
            <w:tblW w:w="5035" w:type="pct"/>
            <w:jc w:val="center"/>
            <w:tblCellMar>
              <w:top w:w="15" w:type="dxa"/>
              <w:left w:w="15" w:type="dxa"/>
              <w:bottom w:w="15" w:type="dxa"/>
              <w:right w:w="15" w:type="dxa"/>
            </w:tblCellMar>
            <w:tblLook w:val="04A0" w:firstRow="1" w:lastRow="0" w:firstColumn="1" w:lastColumn="0" w:noHBand="0" w:noVBand="1"/>
          </w:tblPr>
        </w:tblPrChange>
      </w:tblPr>
      <w:tblGrid>
        <w:gridCol w:w="2739"/>
        <w:gridCol w:w="1990"/>
        <w:gridCol w:w="1091"/>
        <w:gridCol w:w="624"/>
        <w:gridCol w:w="1511"/>
        <w:tblGridChange w:id="340">
          <w:tblGrid>
            <w:gridCol w:w="2728"/>
            <w:gridCol w:w="1983"/>
            <w:gridCol w:w="1087"/>
            <w:gridCol w:w="621"/>
            <w:gridCol w:w="1506"/>
          </w:tblGrid>
        </w:tblGridChange>
      </w:tblGrid>
      <w:tr w:rsidR="002F52FB" w:rsidRPr="005D7961" w14:paraId="7ED15596" w14:textId="77777777">
        <w:trPr>
          <w:trHeight w:val="298"/>
          <w:jc w:val="center"/>
          <w:trPrChange w:id="341" w:author="Maher" w:date="2025-07-21T10:39:00Z">
            <w:trPr>
              <w:trHeight w:val="298"/>
              <w:jc w:val="center"/>
            </w:trPr>
          </w:trPrChange>
        </w:trPr>
        <w:tc>
          <w:tcPr>
            <w:tcW w:w="1721" w:type="pct"/>
            <w:tcBorders>
              <w:top w:val="outset" w:sz="6" w:space="0" w:color="auto"/>
              <w:left w:val="nil"/>
              <w:bottom w:val="outset" w:sz="6" w:space="0" w:color="auto"/>
              <w:right w:val="nil"/>
            </w:tcBorders>
            <w:tcPrChange w:id="342" w:author="Maher" w:date="2025-07-21T10:39:00Z">
              <w:tcPr>
                <w:tcW w:w="1721" w:type="pct"/>
                <w:tcBorders>
                  <w:top w:val="outset" w:sz="6" w:space="0" w:color="auto"/>
                  <w:left w:val="nil"/>
                  <w:bottom w:val="outset" w:sz="6" w:space="0" w:color="auto"/>
                  <w:right w:val="nil"/>
                </w:tcBorders>
              </w:tcPr>
            </w:tcPrChange>
          </w:tcPr>
          <w:p w14:paraId="51614896" w14:textId="77777777" w:rsidR="002F52FB" w:rsidRPr="005D7961" w:rsidRDefault="0092538B">
            <w:pPr>
              <w:rPr>
                <w:rFonts w:ascii="Arial" w:hAnsi="Arial" w:cs="Arial"/>
                <w:i/>
                <w:iCs/>
                <w:sz w:val="16"/>
                <w:szCs w:val="16"/>
              </w:rPr>
            </w:pPr>
            <w:r w:rsidRPr="005D7961">
              <w:rPr>
                <w:rFonts w:ascii="Arial" w:hAnsi="Arial" w:cs="Arial"/>
                <w:b/>
                <w:bCs/>
              </w:rPr>
              <w:t>Framework</w:t>
            </w:r>
          </w:p>
        </w:tc>
        <w:tc>
          <w:tcPr>
            <w:tcW w:w="1251" w:type="pct"/>
            <w:tcBorders>
              <w:top w:val="outset" w:sz="6" w:space="0" w:color="auto"/>
              <w:left w:val="nil"/>
              <w:bottom w:val="outset" w:sz="6" w:space="0" w:color="auto"/>
              <w:right w:val="nil"/>
            </w:tcBorders>
            <w:tcPrChange w:id="343" w:author="Maher" w:date="2025-07-21T10:39:00Z">
              <w:tcPr>
                <w:tcW w:w="1251" w:type="pct"/>
                <w:tcBorders>
                  <w:top w:val="outset" w:sz="6" w:space="0" w:color="auto"/>
                  <w:left w:val="nil"/>
                  <w:bottom w:val="outset" w:sz="6" w:space="0" w:color="auto"/>
                  <w:right w:val="nil"/>
                </w:tcBorders>
              </w:tcPr>
            </w:tcPrChange>
          </w:tcPr>
          <w:p w14:paraId="1C2A93C9" w14:textId="77777777" w:rsidR="002F52FB" w:rsidRPr="005D7961" w:rsidRDefault="0092538B">
            <w:pPr>
              <w:widowControl/>
              <w:jc w:val="center"/>
              <w:rPr>
                <w:rFonts w:ascii="Arial" w:hAnsi="Arial" w:cs="Arial"/>
                <w:b/>
                <w:bCs/>
              </w:rPr>
            </w:pPr>
            <w:r w:rsidRPr="005D7961">
              <w:rPr>
                <w:rFonts w:ascii="Arial" w:hAnsi="Arial" w:cs="Arial"/>
                <w:b/>
                <w:bCs/>
              </w:rPr>
              <w:t>Sobel statistik (Z)</w:t>
            </w:r>
          </w:p>
        </w:tc>
        <w:tc>
          <w:tcPr>
            <w:tcW w:w="686" w:type="pct"/>
            <w:tcBorders>
              <w:top w:val="outset" w:sz="6" w:space="0" w:color="auto"/>
              <w:left w:val="nil"/>
              <w:bottom w:val="outset" w:sz="6" w:space="0" w:color="auto"/>
              <w:right w:val="nil"/>
            </w:tcBorders>
            <w:tcPrChange w:id="344" w:author="Maher" w:date="2025-07-21T10:39:00Z">
              <w:tcPr>
                <w:tcW w:w="686" w:type="pct"/>
                <w:tcBorders>
                  <w:top w:val="outset" w:sz="6" w:space="0" w:color="auto"/>
                  <w:left w:val="nil"/>
                  <w:bottom w:val="outset" w:sz="6" w:space="0" w:color="auto"/>
                  <w:right w:val="nil"/>
                </w:tcBorders>
              </w:tcPr>
            </w:tcPrChange>
          </w:tcPr>
          <w:p w14:paraId="28745213" w14:textId="77777777" w:rsidR="002F52FB" w:rsidRPr="005D7961" w:rsidRDefault="0092538B">
            <w:pPr>
              <w:widowControl/>
              <w:jc w:val="center"/>
              <w:rPr>
                <w:rFonts w:ascii="Arial" w:hAnsi="Arial" w:cs="Arial"/>
                <w:b/>
                <w:bCs/>
              </w:rPr>
            </w:pPr>
            <w:r w:rsidRPr="005D7961">
              <w:rPr>
                <w:rFonts w:ascii="Arial" w:hAnsi="Arial" w:cs="Arial"/>
                <w:b/>
                <w:bCs/>
              </w:rPr>
              <w:t>Std, error</w:t>
            </w:r>
          </w:p>
        </w:tc>
        <w:tc>
          <w:tcPr>
            <w:tcW w:w="392" w:type="pct"/>
            <w:tcBorders>
              <w:top w:val="outset" w:sz="6" w:space="0" w:color="auto"/>
              <w:left w:val="nil"/>
              <w:bottom w:val="outset" w:sz="6" w:space="0" w:color="auto"/>
              <w:right w:val="nil"/>
            </w:tcBorders>
            <w:tcPrChange w:id="345" w:author="Maher" w:date="2025-07-21T10:39:00Z">
              <w:tcPr>
                <w:tcW w:w="392" w:type="pct"/>
                <w:tcBorders>
                  <w:top w:val="outset" w:sz="6" w:space="0" w:color="auto"/>
                  <w:left w:val="nil"/>
                  <w:bottom w:val="outset" w:sz="6" w:space="0" w:color="auto"/>
                  <w:right w:val="nil"/>
                </w:tcBorders>
              </w:tcPr>
            </w:tcPrChange>
          </w:tcPr>
          <w:p w14:paraId="117D6465" w14:textId="77777777" w:rsidR="002F52FB" w:rsidRPr="005D7961" w:rsidRDefault="0092538B">
            <w:pPr>
              <w:widowControl/>
              <w:jc w:val="center"/>
              <w:rPr>
                <w:rFonts w:ascii="Arial" w:hAnsi="Arial" w:cs="Arial"/>
                <w:b/>
                <w:bCs/>
              </w:rPr>
            </w:pPr>
            <w:r w:rsidRPr="005D7961">
              <w:rPr>
                <w:rFonts w:ascii="Arial" w:hAnsi="Arial" w:cs="Arial"/>
                <w:b/>
                <w:bCs/>
              </w:rPr>
              <w:t>Sig</w:t>
            </w:r>
          </w:p>
        </w:tc>
        <w:tc>
          <w:tcPr>
            <w:tcW w:w="950" w:type="pct"/>
            <w:tcBorders>
              <w:top w:val="outset" w:sz="6" w:space="0" w:color="auto"/>
              <w:left w:val="nil"/>
              <w:bottom w:val="outset" w:sz="6" w:space="0" w:color="auto"/>
              <w:right w:val="nil"/>
            </w:tcBorders>
            <w:tcPrChange w:id="346" w:author="Maher" w:date="2025-07-21T10:39:00Z">
              <w:tcPr>
                <w:tcW w:w="950" w:type="pct"/>
                <w:tcBorders>
                  <w:top w:val="outset" w:sz="6" w:space="0" w:color="auto"/>
                  <w:left w:val="nil"/>
                  <w:bottom w:val="outset" w:sz="6" w:space="0" w:color="auto"/>
                  <w:right w:val="nil"/>
                </w:tcBorders>
              </w:tcPr>
            </w:tcPrChange>
          </w:tcPr>
          <w:p w14:paraId="128120BB" w14:textId="77777777" w:rsidR="002F52FB" w:rsidRPr="005D7961" w:rsidRDefault="0092538B">
            <w:pPr>
              <w:jc w:val="center"/>
              <w:rPr>
                <w:rFonts w:ascii="Arial" w:hAnsi="Arial" w:cs="Arial"/>
                <w:b/>
                <w:bCs/>
              </w:rPr>
            </w:pPr>
            <w:r w:rsidRPr="005D7961">
              <w:rPr>
                <w:rFonts w:ascii="Arial" w:hAnsi="Arial" w:cs="Arial"/>
                <w:b/>
                <w:bCs/>
              </w:rPr>
              <w:t>Information</w:t>
            </w:r>
          </w:p>
        </w:tc>
      </w:tr>
      <w:tr w:rsidR="002F52FB" w:rsidRPr="005D7961" w14:paraId="47F5A2FE" w14:textId="77777777">
        <w:trPr>
          <w:trHeight w:val="298"/>
          <w:jc w:val="center"/>
          <w:trPrChange w:id="347" w:author="Maher" w:date="2025-07-21T10:39:00Z">
            <w:trPr>
              <w:trHeight w:val="298"/>
              <w:jc w:val="center"/>
            </w:trPr>
          </w:trPrChange>
        </w:trPr>
        <w:tc>
          <w:tcPr>
            <w:tcW w:w="1721" w:type="pct"/>
            <w:tcBorders>
              <w:top w:val="nil"/>
              <w:left w:val="nil"/>
              <w:bottom w:val="nil"/>
              <w:right w:val="nil"/>
            </w:tcBorders>
            <w:tcPrChange w:id="348" w:author="Maher" w:date="2025-07-21T10:39:00Z">
              <w:tcPr>
                <w:tcW w:w="1721" w:type="pct"/>
                <w:tcBorders>
                  <w:top w:val="nil"/>
                  <w:left w:val="nil"/>
                  <w:bottom w:val="nil"/>
                  <w:right w:val="nil"/>
                </w:tcBorders>
              </w:tcPr>
            </w:tcPrChange>
          </w:tcPr>
          <w:p w14:paraId="3FCD496A" w14:textId="77777777" w:rsidR="002F52FB" w:rsidRPr="005D7961" w:rsidRDefault="0092538B">
            <w:pPr>
              <w:widowControl/>
              <w:rPr>
                <w:rFonts w:ascii="Arial" w:hAnsi="Arial" w:cs="Arial"/>
              </w:rPr>
            </w:pPr>
            <w:r w:rsidRPr="005D7961">
              <w:rPr>
                <w:rFonts w:ascii="Arial" w:hAnsi="Arial" w:cs="Arial"/>
                <w:i/>
                <w:iCs/>
              </w:rPr>
              <w:t xml:space="preserve">Profit </w:t>
            </w:r>
            <w:r w:rsidRPr="005D7961">
              <w:rPr>
                <w:rFonts w:ascii="Arial" w:hAnsi="Arial" w:cs="Arial"/>
                <w:i/>
                <w:iCs/>
              </w:rPr>
              <w:sym w:font="Wingdings" w:char="F0E0"/>
            </w:r>
            <w:r w:rsidRPr="005D7961">
              <w:rPr>
                <w:rFonts w:ascii="Arial" w:hAnsi="Arial" w:cs="Arial"/>
                <w:i/>
                <w:iCs/>
              </w:rPr>
              <w:t xml:space="preserve"> </w:t>
            </w:r>
            <w:r w:rsidRPr="005D7961">
              <w:rPr>
                <w:rFonts w:ascii="Arial" w:hAnsi="Arial" w:cs="Arial"/>
              </w:rPr>
              <w:t>Intrinsic</w:t>
            </w:r>
            <w:r w:rsidRPr="005D7961">
              <w:rPr>
                <w:rFonts w:ascii="Arial" w:hAnsi="Arial" w:cs="Arial"/>
              </w:rPr>
              <w:sym w:font="Wingdings" w:char="F0E0"/>
            </w:r>
            <w:r w:rsidRPr="005D7961">
              <w:rPr>
                <w:rFonts w:ascii="Arial" w:hAnsi="Arial" w:cs="Arial"/>
              </w:rPr>
              <w:t>Price</w:t>
            </w:r>
          </w:p>
        </w:tc>
        <w:tc>
          <w:tcPr>
            <w:tcW w:w="1251" w:type="pct"/>
            <w:tcBorders>
              <w:top w:val="nil"/>
              <w:left w:val="nil"/>
              <w:bottom w:val="nil"/>
              <w:right w:val="nil"/>
            </w:tcBorders>
            <w:tcPrChange w:id="349" w:author="Maher" w:date="2025-07-21T10:39:00Z">
              <w:tcPr>
                <w:tcW w:w="1251" w:type="pct"/>
                <w:tcBorders>
                  <w:top w:val="nil"/>
                  <w:left w:val="nil"/>
                  <w:bottom w:val="nil"/>
                  <w:right w:val="nil"/>
                </w:tcBorders>
              </w:tcPr>
            </w:tcPrChange>
          </w:tcPr>
          <w:p w14:paraId="41862CF7" w14:textId="77777777" w:rsidR="002F52FB" w:rsidRPr="005D7961" w:rsidRDefault="0092538B">
            <w:pPr>
              <w:widowControl/>
              <w:jc w:val="center"/>
              <w:rPr>
                <w:rFonts w:ascii="Arial" w:hAnsi="Arial" w:cs="Arial"/>
              </w:rPr>
            </w:pPr>
            <w:r w:rsidRPr="005D7961">
              <w:rPr>
                <w:rFonts w:ascii="Arial" w:hAnsi="Arial" w:cs="Arial"/>
              </w:rPr>
              <w:t>1.08</w:t>
            </w:r>
          </w:p>
        </w:tc>
        <w:tc>
          <w:tcPr>
            <w:tcW w:w="686" w:type="pct"/>
            <w:tcBorders>
              <w:top w:val="nil"/>
              <w:left w:val="nil"/>
              <w:bottom w:val="nil"/>
              <w:right w:val="nil"/>
            </w:tcBorders>
            <w:tcPrChange w:id="350" w:author="Maher" w:date="2025-07-21T10:39:00Z">
              <w:tcPr>
                <w:tcW w:w="686" w:type="pct"/>
                <w:tcBorders>
                  <w:top w:val="nil"/>
                  <w:left w:val="nil"/>
                  <w:bottom w:val="nil"/>
                  <w:right w:val="nil"/>
                </w:tcBorders>
              </w:tcPr>
            </w:tcPrChange>
          </w:tcPr>
          <w:p w14:paraId="5377E82E" w14:textId="77777777" w:rsidR="002F52FB" w:rsidRPr="005D7961" w:rsidRDefault="0092538B">
            <w:pPr>
              <w:widowControl/>
              <w:jc w:val="center"/>
              <w:rPr>
                <w:rFonts w:ascii="Arial" w:hAnsi="Arial" w:cs="Arial"/>
              </w:rPr>
            </w:pPr>
            <w:r w:rsidRPr="005D7961">
              <w:rPr>
                <w:rFonts w:ascii="Arial" w:hAnsi="Arial" w:cs="Arial"/>
              </w:rPr>
              <w:t>222.33</w:t>
            </w:r>
          </w:p>
        </w:tc>
        <w:tc>
          <w:tcPr>
            <w:tcW w:w="392" w:type="pct"/>
            <w:tcBorders>
              <w:top w:val="nil"/>
              <w:left w:val="nil"/>
              <w:bottom w:val="nil"/>
              <w:right w:val="nil"/>
            </w:tcBorders>
            <w:tcPrChange w:id="351" w:author="Maher" w:date="2025-07-21T10:39:00Z">
              <w:tcPr>
                <w:tcW w:w="392" w:type="pct"/>
                <w:tcBorders>
                  <w:top w:val="nil"/>
                  <w:left w:val="nil"/>
                  <w:bottom w:val="nil"/>
                  <w:right w:val="nil"/>
                </w:tcBorders>
              </w:tcPr>
            </w:tcPrChange>
          </w:tcPr>
          <w:p w14:paraId="3A130E7E" w14:textId="77777777" w:rsidR="002F52FB" w:rsidRPr="005D7961" w:rsidRDefault="0092538B">
            <w:pPr>
              <w:widowControl/>
              <w:jc w:val="center"/>
              <w:rPr>
                <w:rFonts w:ascii="Arial" w:hAnsi="Arial" w:cs="Arial"/>
              </w:rPr>
            </w:pPr>
            <w:r w:rsidRPr="005D7961">
              <w:rPr>
                <w:rFonts w:ascii="Arial" w:hAnsi="Arial" w:cs="Arial"/>
              </w:rPr>
              <w:t>0.279</w:t>
            </w:r>
          </w:p>
        </w:tc>
        <w:tc>
          <w:tcPr>
            <w:tcW w:w="950" w:type="pct"/>
            <w:tcBorders>
              <w:top w:val="nil"/>
              <w:left w:val="nil"/>
              <w:bottom w:val="nil"/>
              <w:right w:val="nil"/>
            </w:tcBorders>
            <w:tcPrChange w:id="352" w:author="Maher" w:date="2025-07-21T10:39:00Z">
              <w:tcPr>
                <w:tcW w:w="950" w:type="pct"/>
                <w:tcBorders>
                  <w:top w:val="nil"/>
                  <w:left w:val="nil"/>
                  <w:bottom w:val="nil"/>
                  <w:right w:val="nil"/>
                </w:tcBorders>
              </w:tcPr>
            </w:tcPrChange>
          </w:tcPr>
          <w:p w14:paraId="081FD331" w14:textId="77777777" w:rsidR="002F52FB" w:rsidRPr="005D7961" w:rsidRDefault="0092538B">
            <w:pPr>
              <w:jc w:val="center"/>
              <w:rPr>
                <w:rFonts w:ascii="Arial" w:hAnsi="Arial" w:cs="Arial"/>
                <w:i/>
                <w:iCs/>
              </w:rPr>
            </w:pPr>
            <w:r w:rsidRPr="005D7961">
              <w:rPr>
                <w:rFonts w:ascii="Arial" w:hAnsi="Arial" w:cs="Arial"/>
                <w:i/>
                <w:iCs/>
              </w:rPr>
              <w:t>Not supported</w:t>
            </w:r>
          </w:p>
        </w:tc>
      </w:tr>
      <w:tr w:rsidR="002F52FB" w:rsidRPr="005D7961" w14:paraId="720501AB" w14:textId="77777777">
        <w:trPr>
          <w:trHeight w:val="309"/>
          <w:jc w:val="center"/>
          <w:trPrChange w:id="353" w:author="Maher" w:date="2025-07-21T10:39:00Z">
            <w:trPr>
              <w:trHeight w:val="309"/>
              <w:jc w:val="center"/>
            </w:trPr>
          </w:trPrChange>
        </w:trPr>
        <w:tc>
          <w:tcPr>
            <w:tcW w:w="1721" w:type="pct"/>
            <w:tcBorders>
              <w:top w:val="nil"/>
              <w:left w:val="nil"/>
              <w:bottom w:val="nil"/>
              <w:right w:val="nil"/>
            </w:tcBorders>
            <w:tcPrChange w:id="354" w:author="Maher" w:date="2025-07-21T10:39:00Z">
              <w:tcPr>
                <w:tcW w:w="1721" w:type="pct"/>
                <w:tcBorders>
                  <w:top w:val="nil"/>
                  <w:left w:val="nil"/>
                  <w:bottom w:val="nil"/>
                  <w:right w:val="nil"/>
                </w:tcBorders>
              </w:tcPr>
            </w:tcPrChange>
          </w:tcPr>
          <w:p w14:paraId="357AB9D9" w14:textId="77777777" w:rsidR="002F52FB" w:rsidRPr="005D7961" w:rsidRDefault="0092538B">
            <w:pPr>
              <w:widowControl/>
              <w:rPr>
                <w:rFonts w:ascii="Arial" w:hAnsi="Arial" w:cs="Arial"/>
              </w:rPr>
            </w:pPr>
            <w:r w:rsidRPr="005D7961">
              <w:rPr>
                <w:rFonts w:ascii="Arial" w:hAnsi="Arial" w:cs="Arial"/>
                <w:i/>
                <w:iCs/>
              </w:rPr>
              <w:t>Lev</w:t>
            </w:r>
            <w:r w:rsidRPr="005D7961">
              <w:rPr>
                <w:rFonts w:ascii="Arial" w:hAnsi="Arial" w:cs="Arial"/>
                <w:i/>
                <w:iCs/>
              </w:rPr>
              <w:sym w:font="Wingdings" w:char="F0E0"/>
            </w:r>
            <w:r w:rsidRPr="005D7961">
              <w:rPr>
                <w:rFonts w:ascii="Arial" w:hAnsi="Arial" w:cs="Arial"/>
              </w:rPr>
              <w:t xml:space="preserve"> Intrinsic</w:t>
            </w:r>
            <w:r w:rsidRPr="005D7961">
              <w:rPr>
                <w:rFonts w:ascii="Arial" w:hAnsi="Arial" w:cs="Arial"/>
              </w:rPr>
              <w:sym w:font="Wingdings" w:char="F0E0"/>
            </w:r>
            <w:r w:rsidRPr="005D7961">
              <w:rPr>
                <w:rFonts w:ascii="Arial" w:hAnsi="Arial" w:cs="Arial"/>
              </w:rPr>
              <w:t>Price</w:t>
            </w:r>
          </w:p>
        </w:tc>
        <w:tc>
          <w:tcPr>
            <w:tcW w:w="1251" w:type="pct"/>
            <w:tcBorders>
              <w:top w:val="nil"/>
              <w:left w:val="nil"/>
              <w:bottom w:val="nil"/>
              <w:right w:val="nil"/>
            </w:tcBorders>
            <w:tcPrChange w:id="355" w:author="Maher" w:date="2025-07-21T10:39:00Z">
              <w:tcPr>
                <w:tcW w:w="1251" w:type="pct"/>
                <w:tcBorders>
                  <w:top w:val="nil"/>
                  <w:left w:val="nil"/>
                  <w:bottom w:val="nil"/>
                  <w:right w:val="nil"/>
                </w:tcBorders>
              </w:tcPr>
            </w:tcPrChange>
          </w:tcPr>
          <w:p w14:paraId="40388FED" w14:textId="77777777" w:rsidR="002F52FB" w:rsidRPr="005D7961" w:rsidRDefault="0092538B">
            <w:pPr>
              <w:widowControl/>
              <w:jc w:val="center"/>
              <w:rPr>
                <w:rFonts w:ascii="Arial" w:hAnsi="Arial" w:cs="Arial"/>
              </w:rPr>
            </w:pPr>
            <w:r w:rsidRPr="005D7961">
              <w:rPr>
                <w:rFonts w:ascii="Arial" w:hAnsi="Arial" w:cs="Arial"/>
              </w:rPr>
              <w:t>1.39</w:t>
            </w:r>
          </w:p>
        </w:tc>
        <w:tc>
          <w:tcPr>
            <w:tcW w:w="686" w:type="pct"/>
            <w:tcBorders>
              <w:top w:val="nil"/>
              <w:left w:val="nil"/>
              <w:bottom w:val="nil"/>
              <w:right w:val="nil"/>
            </w:tcBorders>
            <w:tcPrChange w:id="356" w:author="Maher" w:date="2025-07-21T10:39:00Z">
              <w:tcPr>
                <w:tcW w:w="686" w:type="pct"/>
                <w:tcBorders>
                  <w:top w:val="nil"/>
                  <w:left w:val="nil"/>
                  <w:bottom w:val="nil"/>
                  <w:right w:val="nil"/>
                </w:tcBorders>
              </w:tcPr>
            </w:tcPrChange>
          </w:tcPr>
          <w:p w14:paraId="54F6459F" w14:textId="77777777" w:rsidR="002F52FB" w:rsidRPr="005D7961" w:rsidRDefault="0092538B">
            <w:pPr>
              <w:widowControl/>
              <w:jc w:val="center"/>
              <w:rPr>
                <w:rFonts w:ascii="Arial" w:hAnsi="Arial" w:cs="Arial"/>
              </w:rPr>
            </w:pPr>
            <w:r w:rsidRPr="005D7961">
              <w:rPr>
                <w:rFonts w:ascii="Arial" w:hAnsi="Arial" w:cs="Arial"/>
              </w:rPr>
              <w:t>31.65</w:t>
            </w:r>
          </w:p>
        </w:tc>
        <w:tc>
          <w:tcPr>
            <w:tcW w:w="392" w:type="pct"/>
            <w:tcBorders>
              <w:top w:val="nil"/>
              <w:left w:val="nil"/>
              <w:bottom w:val="nil"/>
              <w:right w:val="nil"/>
            </w:tcBorders>
            <w:tcPrChange w:id="357" w:author="Maher" w:date="2025-07-21T10:39:00Z">
              <w:tcPr>
                <w:tcW w:w="392" w:type="pct"/>
                <w:tcBorders>
                  <w:top w:val="nil"/>
                  <w:left w:val="nil"/>
                  <w:bottom w:val="nil"/>
                  <w:right w:val="nil"/>
                </w:tcBorders>
              </w:tcPr>
            </w:tcPrChange>
          </w:tcPr>
          <w:p w14:paraId="06D9CC64" w14:textId="77777777" w:rsidR="002F52FB" w:rsidRPr="005D7961" w:rsidRDefault="0092538B">
            <w:pPr>
              <w:widowControl/>
              <w:jc w:val="center"/>
              <w:rPr>
                <w:rFonts w:ascii="Arial" w:hAnsi="Arial" w:cs="Arial"/>
              </w:rPr>
            </w:pPr>
            <w:r w:rsidRPr="005D7961">
              <w:rPr>
                <w:rFonts w:ascii="Arial" w:hAnsi="Arial" w:cs="Arial"/>
              </w:rPr>
              <w:t>0.163</w:t>
            </w:r>
          </w:p>
        </w:tc>
        <w:tc>
          <w:tcPr>
            <w:tcW w:w="950" w:type="pct"/>
            <w:tcBorders>
              <w:top w:val="nil"/>
              <w:left w:val="nil"/>
              <w:bottom w:val="nil"/>
              <w:right w:val="nil"/>
            </w:tcBorders>
            <w:tcPrChange w:id="358" w:author="Maher" w:date="2025-07-21T10:39:00Z">
              <w:tcPr>
                <w:tcW w:w="950" w:type="pct"/>
                <w:tcBorders>
                  <w:top w:val="nil"/>
                  <w:left w:val="nil"/>
                  <w:bottom w:val="nil"/>
                  <w:right w:val="nil"/>
                </w:tcBorders>
              </w:tcPr>
            </w:tcPrChange>
          </w:tcPr>
          <w:p w14:paraId="6C82D3D2" w14:textId="77777777" w:rsidR="002F52FB" w:rsidRPr="005D7961" w:rsidRDefault="0092538B">
            <w:pPr>
              <w:jc w:val="center"/>
              <w:rPr>
                <w:rFonts w:ascii="Arial" w:hAnsi="Arial" w:cs="Arial"/>
                <w:i/>
                <w:iCs/>
              </w:rPr>
            </w:pPr>
            <w:r w:rsidRPr="005D7961">
              <w:rPr>
                <w:rFonts w:ascii="Arial" w:hAnsi="Arial" w:cs="Arial"/>
                <w:i/>
                <w:iCs/>
              </w:rPr>
              <w:t>Not supported</w:t>
            </w:r>
          </w:p>
        </w:tc>
      </w:tr>
      <w:tr w:rsidR="002F52FB" w:rsidRPr="005D7961" w14:paraId="3123D85A" w14:textId="77777777">
        <w:trPr>
          <w:trHeight w:val="298"/>
          <w:jc w:val="center"/>
          <w:trPrChange w:id="359" w:author="Maher" w:date="2025-07-21T10:39:00Z">
            <w:trPr>
              <w:trHeight w:val="298"/>
              <w:jc w:val="center"/>
            </w:trPr>
          </w:trPrChange>
        </w:trPr>
        <w:tc>
          <w:tcPr>
            <w:tcW w:w="1721" w:type="pct"/>
            <w:tcBorders>
              <w:top w:val="nil"/>
              <w:left w:val="nil"/>
              <w:bottom w:val="nil"/>
              <w:right w:val="nil"/>
            </w:tcBorders>
            <w:tcPrChange w:id="360" w:author="Maher" w:date="2025-07-21T10:39:00Z">
              <w:tcPr>
                <w:tcW w:w="1721" w:type="pct"/>
                <w:tcBorders>
                  <w:top w:val="nil"/>
                  <w:left w:val="nil"/>
                  <w:bottom w:val="nil"/>
                  <w:right w:val="nil"/>
                </w:tcBorders>
              </w:tcPr>
            </w:tcPrChange>
          </w:tcPr>
          <w:p w14:paraId="451DE9FE" w14:textId="77777777" w:rsidR="002F52FB" w:rsidRPr="005D7961" w:rsidRDefault="0092538B">
            <w:pPr>
              <w:widowControl/>
              <w:rPr>
                <w:rFonts w:ascii="Arial" w:hAnsi="Arial" w:cs="Arial"/>
              </w:rPr>
            </w:pPr>
            <w:r w:rsidRPr="005D7961">
              <w:rPr>
                <w:rFonts w:ascii="Arial" w:hAnsi="Arial" w:cs="Arial"/>
                <w:i/>
                <w:iCs/>
              </w:rPr>
              <w:t>Liquid</w:t>
            </w:r>
            <w:r w:rsidRPr="005D7961">
              <w:rPr>
                <w:rFonts w:ascii="Arial" w:hAnsi="Arial" w:cs="Arial"/>
                <w:i/>
                <w:iCs/>
              </w:rPr>
              <w:sym w:font="Wingdings" w:char="F0E0"/>
            </w:r>
            <w:r w:rsidRPr="005D7961">
              <w:rPr>
                <w:rFonts w:ascii="Arial" w:hAnsi="Arial" w:cs="Arial"/>
              </w:rPr>
              <w:t>Intrinsic</w:t>
            </w:r>
            <w:r w:rsidRPr="005D7961">
              <w:rPr>
                <w:rFonts w:ascii="Arial" w:hAnsi="Arial" w:cs="Arial"/>
              </w:rPr>
              <w:sym w:font="Wingdings" w:char="F0E0"/>
            </w:r>
            <w:r w:rsidRPr="005D7961">
              <w:rPr>
                <w:rFonts w:ascii="Arial" w:hAnsi="Arial" w:cs="Arial"/>
              </w:rPr>
              <w:t>Price</w:t>
            </w:r>
          </w:p>
        </w:tc>
        <w:tc>
          <w:tcPr>
            <w:tcW w:w="1251" w:type="pct"/>
            <w:tcBorders>
              <w:top w:val="nil"/>
              <w:left w:val="nil"/>
              <w:bottom w:val="nil"/>
              <w:right w:val="nil"/>
            </w:tcBorders>
            <w:tcPrChange w:id="361" w:author="Maher" w:date="2025-07-21T10:39:00Z">
              <w:tcPr>
                <w:tcW w:w="1251" w:type="pct"/>
                <w:tcBorders>
                  <w:top w:val="nil"/>
                  <w:left w:val="nil"/>
                  <w:bottom w:val="nil"/>
                  <w:right w:val="nil"/>
                </w:tcBorders>
              </w:tcPr>
            </w:tcPrChange>
          </w:tcPr>
          <w:p w14:paraId="27A68C44" w14:textId="77777777" w:rsidR="002F52FB" w:rsidRPr="005D7961" w:rsidRDefault="0092538B">
            <w:pPr>
              <w:widowControl/>
              <w:jc w:val="center"/>
              <w:rPr>
                <w:rFonts w:ascii="Arial" w:hAnsi="Arial" w:cs="Arial"/>
              </w:rPr>
            </w:pPr>
            <w:r w:rsidRPr="005D7961">
              <w:rPr>
                <w:rFonts w:ascii="Arial" w:hAnsi="Arial" w:cs="Arial"/>
              </w:rPr>
              <w:t>-0.63</w:t>
            </w:r>
          </w:p>
        </w:tc>
        <w:tc>
          <w:tcPr>
            <w:tcW w:w="686" w:type="pct"/>
            <w:tcBorders>
              <w:top w:val="nil"/>
              <w:left w:val="nil"/>
              <w:bottom w:val="nil"/>
              <w:right w:val="nil"/>
            </w:tcBorders>
            <w:tcPrChange w:id="362" w:author="Maher" w:date="2025-07-21T10:39:00Z">
              <w:tcPr>
                <w:tcW w:w="686" w:type="pct"/>
                <w:tcBorders>
                  <w:top w:val="nil"/>
                  <w:left w:val="nil"/>
                  <w:bottom w:val="nil"/>
                  <w:right w:val="nil"/>
                </w:tcBorders>
              </w:tcPr>
            </w:tcPrChange>
          </w:tcPr>
          <w:p w14:paraId="3B5FE21F" w14:textId="77777777" w:rsidR="002F52FB" w:rsidRPr="005D7961" w:rsidRDefault="0092538B">
            <w:pPr>
              <w:widowControl/>
              <w:jc w:val="center"/>
              <w:rPr>
                <w:rFonts w:ascii="Arial" w:hAnsi="Arial" w:cs="Arial"/>
              </w:rPr>
            </w:pPr>
            <w:r w:rsidRPr="005D7961">
              <w:rPr>
                <w:rFonts w:ascii="Arial" w:hAnsi="Arial" w:cs="Arial"/>
              </w:rPr>
              <w:t>10.41</w:t>
            </w:r>
          </w:p>
        </w:tc>
        <w:tc>
          <w:tcPr>
            <w:tcW w:w="392" w:type="pct"/>
            <w:tcBorders>
              <w:top w:val="nil"/>
              <w:left w:val="nil"/>
              <w:bottom w:val="nil"/>
              <w:right w:val="nil"/>
            </w:tcBorders>
            <w:tcPrChange w:id="363" w:author="Maher" w:date="2025-07-21T10:39:00Z">
              <w:tcPr>
                <w:tcW w:w="392" w:type="pct"/>
                <w:tcBorders>
                  <w:top w:val="nil"/>
                  <w:left w:val="nil"/>
                  <w:bottom w:val="nil"/>
                  <w:right w:val="nil"/>
                </w:tcBorders>
              </w:tcPr>
            </w:tcPrChange>
          </w:tcPr>
          <w:p w14:paraId="68729BCC" w14:textId="77777777" w:rsidR="002F52FB" w:rsidRPr="005D7961" w:rsidRDefault="0092538B">
            <w:pPr>
              <w:widowControl/>
              <w:jc w:val="center"/>
              <w:rPr>
                <w:rFonts w:ascii="Arial" w:hAnsi="Arial" w:cs="Arial"/>
              </w:rPr>
            </w:pPr>
            <w:r w:rsidRPr="005D7961">
              <w:rPr>
                <w:rFonts w:ascii="Arial" w:hAnsi="Arial" w:cs="Arial"/>
              </w:rPr>
              <w:t>0.524</w:t>
            </w:r>
          </w:p>
        </w:tc>
        <w:tc>
          <w:tcPr>
            <w:tcW w:w="950" w:type="pct"/>
            <w:tcBorders>
              <w:top w:val="nil"/>
              <w:left w:val="nil"/>
              <w:bottom w:val="nil"/>
              <w:right w:val="nil"/>
            </w:tcBorders>
            <w:tcPrChange w:id="364" w:author="Maher" w:date="2025-07-21T10:39:00Z">
              <w:tcPr>
                <w:tcW w:w="950" w:type="pct"/>
                <w:tcBorders>
                  <w:top w:val="nil"/>
                  <w:left w:val="nil"/>
                  <w:bottom w:val="nil"/>
                  <w:right w:val="nil"/>
                </w:tcBorders>
              </w:tcPr>
            </w:tcPrChange>
          </w:tcPr>
          <w:p w14:paraId="0FCFC777" w14:textId="77777777" w:rsidR="002F52FB" w:rsidRPr="005D7961" w:rsidRDefault="0092538B">
            <w:pPr>
              <w:jc w:val="center"/>
              <w:rPr>
                <w:rFonts w:ascii="Arial" w:hAnsi="Arial" w:cs="Arial"/>
                <w:i/>
                <w:iCs/>
              </w:rPr>
            </w:pPr>
            <w:r w:rsidRPr="005D7961">
              <w:rPr>
                <w:rFonts w:ascii="Arial" w:hAnsi="Arial" w:cs="Arial"/>
                <w:i/>
                <w:iCs/>
              </w:rPr>
              <w:t>Not supported</w:t>
            </w:r>
          </w:p>
        </w:tc>
      </w:tr>
      <w:tr w:rsidR="002F52FB" w:rsidRPr="005D7961" w14:paraId="1C654E80" w14:textId="77777777">
        <w:trPr>
          <w:trHeight w:val="298"/>
          <w:jc w:val="center"/>
          <w:trPrChange w:id="365" w:author="Maher" w:date="2025-07-21T10:39:00Z">
            <w:trPr>
              <w:trHeight w:val="298"/>
              <w:jc w:val="center"/>
            </w:trPr>
          </w:trPrChange>
        </w:trPr>
        <w:tc>
          <w:tcPr>
            <w:tcW w:w="1721" w:type="pct"/>
            <w:tcBorders>
              <w:top w:val="nil"/>
              <w:left w:val="nil"/>
              <w:bottom w:val="outset" w:sz="6" w:space="0" w:color="auto"/>
              <w:right w:val="nil"/>
            </w:tcBorders>
            <w:tcPrChange w:id="366" w:author="Maher" w:date="2025-07-21T10:39:00Z">
              <w:tcPr>
                <w:tcW w:w="1721" w:type="pct"/>
                <w:tcBorders>
                  <w:top w:val="nil"/>
                  <w:left w:val="nil"/>
                  <w:bottom w:val="outset" w:sz="6" w:space="0" w:color="auto"/>
                  <w:right w:val="nil"/>
                </w:tcBorders>
              </w:tcPr>
            </w:tcPrChange>
          </w:tcPr>
          <w:p w14:paraId="472FD068" w14:textId="77777777" w:rsidR="002F52FB" w:rsidRPr="005D7961" w:rsidRDefault="0092538B">
            <w:pPr>
              <w:widowControl/>
              <w:rPr>
                <w:rFonts w:ascii="Arial" w:hAnsi="Arial" w:cs="Arial"/>
              </w:rPr>
            </w:pPr>
            <w:r w:rsidRPr="005D7961">
              <w:rPr>
                <w:rFonts w:ascii="Arial" w:hAnsi="Arial" w:cs="Arial"/>
                <w:i/>
                <w:iCs/>
              </w:rPr>
              <w:t>Efficient</w:t>
            </w:r>
            <w:r w:rsidRPr="005D7961">
              <w:rPr>
                <w:rFonts w:ascii="Arial" w:hAnsi="Arial" w:cs="Arial"/>
                <w:i/>
                <w:iCs/>
              </w:rPr>
              <w:sym w:font="Wingdings" w:char="F0E0"/>
            </w:r>
            <w:r w:rsidRPr="005D7961">
              <w:rPr>
                <w:rFonts w:ascii="Arial" w:hAnsi="Arial" w:cs="Arial"/>
              </w:rPr>
              <w:t xml:space="preserve"> Intrinsic</w:t>
            </w:r>
            <w:r w:rsidRPr="005D7961">
              <w:rPr>
                <w:rFonts w:ascii="Arial" w:hAnsi="Arial" w:cs="Arial"/>
              </w:rPr>
              <w:sym w:font="Wingdings" w:char="F0E0"/>
            </w:r>
            <w:r w:rsidRPr="005D7961">
              <w:rPr>
                <w:rFonts w:ascii="Arial" w:hAnsi="Arial" w:cs="Arial"/>
              </w:rPr>
              <w:t>Price</w:t>
            </w:r>
          </w:p>
        </w:tc>
        <w:tc>
          <w:tcPr>
            <w:tcW w:w="1251" w:type="pct"/>
            <w:tcBorders>
              <w:top w:val="nil"/>
              <w:left w:val="nil"/>
              <w:bottom w:val="outset" w:sz="6" w:space="0" w:color="auto"/>
              <w:right w:val="nil"/>
            </w:tcBorders>
            <w:tcPrChange w:id="367" w:author="Maher" w:date="2025-07-21T10:39:00Z">
              <w:tcPr>
                <w:tcW w:w="1251" w:type="pct"/>
                <w:tcBorders>
                  <w:top w:val="nil"/>
                  <w:left w:val="nil"/>
                  <w:bottom w:val="outset" w:sz="6" w:space="0" w:color="auto"/>
                  <w:right w:val="nil"/>
                </w:tcBorders>
              </w:tcPr>
            </w:tcPrChange>
          </w:tcPr>
          <w:p w14:paraId="105B0C36" w14:textId="77777777" w:rsidR="002F52FB" w:rsidRPr="005D7961" w:rsidRDefault="0092538B">
            <w:pPr>
              <w:widowControl/>
              <w:jc w:val="center"/>
              <w:rPr>
                <w:rFonts w:ascii="Arial" w:hAnsi="Arial" w:cs="Arial"/>
              </w:rPr>
            </w:pPr>
            <w:r w:rsidRPr="005D7961">
              <w:rPr>
                <w:rFonts w:ascii="Arial" w:hAnsi="Arial" w:cs="Arial"/>
              </w:rPr>
              <w:t>-0.90</w:t>
            </w:r>
          </w:p>
        </w:tc>
        <w:tc>
          <w:tcPr>
            <w:tcW w:w="686" w:type="pct"/>
            <w:tcBorders>
              <w:top w:val="nil"/>
              <w:left w:val="nil"/>
              <w:bottom w:val="outset" w:sz="6" w:space="0" w:color="auto"/>
              <w:right w:val="nil"/>
            </w:tcBorders>
            <w:tcPrChange w:id="368" w:author="Maher" w:date="2025-07-21T10:39:00Z">
              <w:tcPr>
                <w:tcW w:w="686" w:type="pct"/>
                <w:tcBorders>
                  <w:top w:val="nil"/>
                  <w:left w:val="nil"/>
                  <w:bottom w:val="outset" w:sz="6" w:space="0" w:color="auto"/>
                  <w:right w:val="nil"/>
                </w:tcBorders>
              </w:tcPr>
            </w:tcPrChange>
          </w:tcPr>
          <w:p w14:paraId="0FF032B6" w14:textId="77777777" w:rsidR="002F52FB" w:rsidRPr="005D7961" w:rsidRDefault="0092538B">
            <w:pPr>
              <w:widowControl/>
              <w:jc w:val="center"/>
              <w:rPr>
                <w:rFonts w:ascii="Arial" w:hAnsi="Arial" w:cs="Arial"/>
              </w:rPr>
            </w:pPr>
            <w:r w:rsidRPr="005D7961">
              <w:rPr>
                <w:rFonts w:ascii="Arial" w:hAnsi="Arial" w:cs="Arial"/>
              </w:rPr>
              <w:t>9787.78</w:t>
            </w:r>
          </w:p>
        </w:tc>
        <w:tc>
          <w:tcPr>
            <w:tcW w:w="392" w:type="pct"/>
            <w:tcBorders>
              <w:top w:val="nil"/>
              <w:left w:val="nil"/>
              <w:bottom w:val="outset" w:sz="6" w:space="0" w:color="auto"/>
              <w:right w:val="nil"/>
            </w:tcBorders>
            <w:tcPrChange w:id="369" w:author="Maher" w:date="2025-07-21T10:39:00Z">
              <w:tcPr>
                <w:tcW w:w="392" w:type="pct"/>
                <w:tcBorders>
                  <w:top w:val="nil"/>
                  <w:left w:val="nil"/>
                  <w:bottom w:val="outset" w:sz="6" w:space="0" w:color="auto"/>
                  <w:right w:val="nil"/>
                </w:tcBorders>
              </w:tcPr>
            </w:tcPrChange>
          </w:tcPr>
          <w:p w14:paraId="0CD62159" w14:textId="77777777" w:rsidR="002F52FB" w:rsidRPr="005D7961" w:rsidRDefault="0092538B">
            <w:pPr>
              <w:widowControl/>
              <w:jc w:val="center"/>
              <w:rPr>
                <w:rFonts w:ascii="Arial" w:hAnsi="Arial" w:cs="Arial"/>
              </w:rPr>
            </w:pPr>
            <w:r w:rsidRPr="005D7961">
              <w:rPr>
                <w:rFonts w:ascii="Arial" w:hAnsi="Arial" w:cs="Arial"/>
              </w:rPr>
              <w:t>0.367</w:t>
            </w:r>
          </w:p>
        </w:tc>
        <w:tc>
          <w:tcPr>
            <w:tcW w:w="950" w:type="pct"/>
            <w:tcBorders>
              <w:top w:val="nil"/>
              <w:left w:val="nil"/>
              <w:bottom w:val="outset" w:sz="6" w:space="0" w:color="auto"/>
              <w:right w:val="nil"/>
            </w:tcBorders>
            <w:tcPrChange w:id="370" w:author="Maher" w:date="2025-07-21T10:39:00Z">
              <w:tcPr>
                <w:tcW w:w="950" w:type="pct"/>
                <w:tcBorders>
                  <w:top w:val="nil"/>
                  <w:left w:val="nil"/>
                  <w:bottom w:val="outset" w:sz="6" w:space="0" w:color="auto"/>
                  <w:right w:val="nil"/>
                </w:tcBorders>
              </w:tcPr>
            </w:tcPrChange>
          </w:tcPr>
          <w:p w14:paraId="0DCA13C6" w14:textId="77777777" w:rsidR="002F52FB" w:rsidRPr="005D7961" w:rsidRDefault="0092538B">
            <w:pPr>
              <w:jc w:val="center"/>
              <w:rPr>
                <w:rFonts w:ascii="Arial" w:hAnsi="Arial" w:cs="Arial"/>
                <w:i/>
                <w:iCs/>
              </w:rPr>
            </w:pPr>
            <w:r w:rsidRPr="005D7961">
              <w:rPr>
                <w:rFonts w:ascii="Arial" w:hAnsi="Arial" w:cs="Arial"/>
                <w:i/>
                <w:iCs/>
              </w:rPr>
              <w:t>Not supported</w:t>
            </w:r>
          </w:p>
        </w:tc>
      </w:tr>
    </w:tbl>
    <w:p w14:paraId="7581477C" w14:textId="77777777" w:rsidR="002F52FB" w:rsidRPr="005D7961" w:rsidRDefault="0092538B">
      <w:pPr>
        <w:rPr>
          <w:rFonts w:ascii="Arial" w:hAnsi="Arial" w:cs="Arial"/>
          <w:i/>
          <w:iCs/>
          <w:sz w:val="16"/>
          <w:szCs w:val="16"/>
        </w:rPr>
      </w:pPr>
      <w:r w:rsidRPr="005D7961">
        <w:rPr>
          <w:rFonts w:ascii="Arial" w:hAnsi="Arial" w:cs="Arial"/>
          <w:i/>
          <w:iCs/>
          <w:sz w:val="16"/>
          <w:szCs w:val="16"/>
        </w:rPr>
        <w:t>*Source : Data processed, 2025</w:t>
      </w:r>
    </w:p>
    <w:p w14:paraId="7BA048B8" w14:textId="77777777" w:rsidR="002F52FB" w:rsidRPr="005D7961" w:rsidRDefault="002F52FB">
      <w:pPr>
        <w:jc w:val="both"/>
        <w:rPr>
          <w:rFonts w:ascii="Arial" w:hAnsi="Arial" w:cs="Arial"/>
          <w:i/>
          <w:iCs/>
          <w:sz w:val="16"/>
          <w:szCs w:val="16"/>
        </w:rPr>
        <w:sectPr w:rsidR="002F52FB" w:rsidRPr="005D7961">
          <w:type w:val="continuous"/>
          <w:pgSz w:w="11906" w:h="16838"/>
          <w:pgMar w:top="1440" w:right="2018" w:bottom="2018" w:left="2018" w:header="720" w:footer="720" w:gutter="0"/>
          <w:cols w:space="567"/>
          <w:docGrid w:linePitch="360"/>
        </w:sectPr>
      </w:pPr>
    </w:p>
    <w:p w14:paraId="4F12B19B" w14:textId="77777777" w:rsidR="002F52FB" w:rsidRPr="005D7961" w:rsidRDefault="002F52FB">
      <w:pPr>
        <w:rPr>
          <w:rFonts w:ascii="Arial" w:hAnsi="Arial" w:cs="Arial"/>
          <w:b/>
          <w:bCs/>
          <w:u w:val="single"/>
        </w:rPr>
      </w:pPr>
    </w:p>
    <w:p w14:paraId="49D87BC6" w14:textId="77777777" w:rsidR="007E0157" w:rsidRPr="005D7961" w:rsidRDefault="007E0157">
      <w:pPr>
        <w:rPr>
          <w:rFonts w:ascii="Arial" w:hAnsi="Arial" w:cs="Arial"/>
          <w:b/>
          <w:bCs/>
          <w:u w:val="single"/>
        </w:rPr>
        <w:sectPr w:rsidR="007E0157" w:rsidRPr="005D7961">
          <w:type w:val="continuous"/>
          <w:pgSz w:w="11906" w:h="16838"/>
          <w:pgMar w:top="1440" w:right="2018" w:bottom="2018" w:left="2018" w:header="720" w:footer="720" w:gutter="0"/>
          <w:cols w:num="2" w:space="709"/>
          <w:docGrid w:linePitch="360"/>
        </w:sectPr>
      </w:pPr>
    </w:p>
    <w:p w14:paraId="1B345D67" w14:textId="77777777" w:rsidR="002F52FB" w:rsidRPr="005D7961" w:rsidRDefault="0092538B">
      <w:pPr>
        <w:rPr>
          <w:rFonts w:ascii="Arial" w:hAnsi="Arial" w:cs="Arial"/>
          <w:b/>
          <w:bCs/>
          <w:u w:val="single"/>
        </w:rPr>
      </w:pPr>
      <w:r w:rsidRPr="005D7961">
        <w:rPr>
          <w:rFonts w:ascii="Arial" w:hAnsi="Arial" w:cs="Arial"/>
          <w:b/>
          <w:bCs/>
          <w:u w:val="single"/>
        </w:rPr>
        <w:t>3.1.3 Heteroscedasticity and Autocorrelation Test</w:t>
      </w:r>
    </w:p>
    <w:p w14:paraId="42F006F1" w14:textId="3333A777" w:rsidR="002F52FB" w:rsidRPr="005D7961" w:rsidRDefault="0092538B">
      <w:pPr>
        <w:ind w:firstLine="720"/>
        <w:jc w:val="both"/>
        <w:rPr>
          <w:rFonts w:ascii="Arial" w:hAnsi="Arial" w:cs="Arial"/>
          <w:lang w:val="zh-CN"/>
        </w:rPr>
      </w:pPr>
      <w:r w:rsidRPr="005D7961">
        <w:rPr>
          <w:rFonts w:ascii="Arial" w:hAnsi="Arial" w:cs="Arial"/>
          <w:lang w:val="zh-CN"/>
        </w:rPr>
        <w:t>Table 7 indicates that the findings of the correlation and heteroscedasticity tests are known</w:t>
      </w:r>
      <w:r w:rsidRPr="005D7961">
        <w:rPr>
          <w:rFonts w:ascii="Arial" w:hAnsi="Arial" w:cs="Arial"/>
        </w:rPr>
        <w:t>, Model 1 shows no symptoms of heteroscedasticity (</w:t>
      </w:r>
      <w:r w:rsidRPr="005D7961">
        <w:rPr>
          <w:rFonts w:ascii="Arial" w:hAnsi="Arial" w:cs="Arial"/>
          <w:i/>
          <w:iCs/>
        </w:rPr>
        <w:t>P</w:t>
      </w:r>
      <w:r w:rsidRPr="005D7961">
        <w:rPr>
          <w:rFonts w:ascii="Arial" w:hAnsi="Arial" w:cs="Arial"/>
        </w:rPr>
        <w:t xml:space="preserve"> = 1.00 &gt; 0.05) and does not contain autocorrelation (</w:t>
      </w:r>
      <w:r w:rsidRPr="005D7961">
        <w:rPr>
          <w:rFonts w:ascii="Arial" w:hAnsi="Arial" w:cs="Arial"/>
          <w:i/>
          <w:iCs/>
        </w:rPr>
        <w:t>P</w:t>
      </w:r>
      <w:r w:rsidRPr="005D7961">
        <w:rPr>
          <w:rFonts w:ascii="Arial" w:hAnsi="Arial" w:cs="Arial"/>
        </w:rPr>
        <w:t xml:space="preserve"> = 0.086 &gt; 0.05). This is in accordance with </w:t>
      </w:r>
      <w:sdt>
        <w:sdtPr>
          <w:rPr>
            <w:rFonts w:ascii="Arial" w:hAnsi="Arial" w:cs="Arial"/>
            <w:color w:val="000000"/>
          </w:rPr>
          <w:tag w:val="MENDELEY_CITATION_v3_eyJjaXRhdGlvbklEIjoiTUVOREVMRVlfQ0lUQVRJT05fMmQxYzViNTctNzFkYi00MDNmLTlmZTItMmRlZTZhY2RiY2E4IiwicHJvcGVydGllcyI6eyJub3RlSW5kZXgiOjB9LCJpc0VkaXRlZCI6ZmFsc2UsIm1hbnVhbE92ZXJyaWRlIjp7ImlzTWFudWFsbHlPdmVycmlkZGVuIjpmYWxzZSwiY2l0ZXByb2NUZXh0IjoiKEd1amFyYXRpICYjMzg7IFBvcnRlciwg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c3VwcHJlc3MtYXV0aG9yIjpmYWxzZSwiY29tcG9zaXRlIjpmYWxzZSwiYXV0aG9yLW9ubHkiOmZhbHNlfV19"/>
          <w:id w:val="2101595334"/>
          <w:placeholder>
            <w:docPart w:val="69E6D424A2F14E41AFC590E6CBDAC925"/>
          </w:placeholder>
        </w:sdtPr>
        <w:sdtEndPr/>
        <w:sdtContent>
          <w:r w:rsidR="007E0157" w:rsidRPr="005D7961">
            <w:rPr>
              <w:rFonts w:ascii="Arial" w:eastAsia="Times New Roman" w:hAnsi="Arial" w:cs="Arial"/>
              <w:color w:val="000000"/>
            </w:rPr>
            <w:t>(Gujarati &amp; Porter, 2009)</w:t>
          </w:r>
        </w:sdtContent>
      </w:sdt>
      <w:r w:rsidRPr="005D7961">
        <w:rPr>
          <w:rFonts w:ascii="Arial" w:hAnsi="Arial" w:cs="Arial"/>
        </w:rPr>
        <w:t xml:space="preserve"> which states that heteroscedasticity is indicated by a significant significance value, whereas </w:t>
      </w:r>
      <w:r w:rsidRPr="005D7961">
        <w:rPr>
          <w:rFonts w:ascii="Arial" w:hAnsi="Arial" w:cs="Arial"/>
          <w:lang w:val="zh-CN"/>
        </w:rPr>
        <w:t>A p value greater than 5% indicates the lack of autocorrelation.</w:t>
      </w:r>
    </w:p>
    <w:p w14:paraId="0D47332E" w14:textId="7340141E" w:rsidR="002F52FB" w:rsidRPr="005D7961" w:rsidRDefault="0092538B">
      <w:pPr>
        <w:ind w:firstLine="720"/>
        <w:jc w:val="both"/>
        <w:rPr>
          <w:rFonts w:ascii="Arial" w:hAnsi="Arial" w:cs="Arial"/>
        </w:rPr>
      </w:pPr>
      <w:r w:rsidRPr="005D7961">
        <w:rPr>
          <w:rFonts w:ascii="Arial" w:hAnsi="Arial" w:cs="Arial"/>
        </w:rPr>
        <w:t>In Model 2, heteroscedasticity was not found (</w:t>
      </w:r>
      <w:r w:rsidRPr="005D7961">
        <w:rPr>
          <w:rFonts w:ascii="Arial" w:hAnsi="Arial" w:cs="Arial"/>
          <w:i/>
          <w:iCs/>
        </w:rPr>
        <w:t>P</w:t>
      </w:r>
      <w:r w:rsidRPr="005D7961">
        <w:rPr>
          <w:rFonts w:ascii="Arial" w:hAnsi="Arial" w:cs="Arial"/>
        </w:rPr>
        <w:t xml:space="preserve"> = 1.00 &gt; 0.05), but there were autocorrelation symptoms (</w:t>
      </w:r>
      <w:r w:rsidRPr="005D7961">
        <w:rPr>
          <w:rFonts w:ascii="Arial" w:hAnsi="Arial" w:cs="Arial"/>
          <w:i/>
          <w:iCs/>
        </w:rPr>
        <w:t>P</w:t>
      </w:r>
      <w:r w:rsidRPr="005D7961">
        <w:rPr>
          <w:rFonts w:ascii="Arial" w:hAnsi="Arial" w:cs="Arial"/>
        </w:rPr>
        <w:t xml:space="preserve"> = 0.00 &lt; 0.05). To overcome this, a robust standard errors approach is used, because with this method it is possible to correct standard errors from the influence of heteroscedasticity and autocorrelation simultaneously </w:t>
      </w:r>
      <w:sdt>
        <w:sdtPr>
          <w:rPr>
            <w:rFonts w:ascii="Arial" w:hAnsi="Arial" w:cs="Arial"/>
            <w:color w:val="000000"/>
          </w:rPr>
          <w:tag w:val="MENDELEY_CITATION_v3_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"/>
          <w:id w:val="890301232"/>
          <w:placeholder>
            <w:docPart w:val="69E6D424A2F14E41AFC590E6CBDAC925"/>
          </w:placeholder>
        </w:sdtPr>
        <w:sdtEndPr/>
        <w:sdtContent>
          <w:r w:rsidR="007E0157" w:rsidRPr="005D7961">
            <w:rPr>
              <w:rFonts w:ascii="Arial" w:eastAsia="Times New Roman" w:hAnsi="Arial" w:cs="Arial"/>
              <w:color w:val="000000"/>
            </w:rPr>
            <w:t>(Gujarati &amp; Porter, 2009).</w:t>
          </w:r>
        </w:sdtContent>
      </w:sdt>
    </w:p>
    <w:p w14:paraId="7F832733" w14:textId="77777777" w:rsidR="002F52FB" w:rsidRPr="005D7961" w:rsidRDefault="002F52FB">
      <w:pPr>
        <w:jc w:val="both"/>
        <w:rPr>
          <w:rFonts w:ascii="Arial" w:hAnsi="Arial" w:cs="Arial"/>
          <w:b/>
          <w:bCs/>
        </w:rPr>
      </w:pPr>
    </w:p>
    <w:p w14:paraId="6583D845" w14:textId="77777777" w:rsidR="002F52FB" w:rsidRPr="005D7961" w:rsidRDefault="0092538B">
      <w:pPr>
        <w:jc w:val="both"/>
        <w:rPr>
          <w:rFonts w:ascii="Arial" w:hAnsi="Arial" w:cs="Arial"/>
          <w:b/>
          <w:bCs/>
        </w:rPr>
      </w:pPr>
      <w:r w:rsidRPr="005D7961">
        <w:rPr>
          <w:rFonts w:ascii="Arial" w:hAnsi="Arial" w:cs="Arial"/>
          <w:b/>
          <w:bCs/>
        </w:rPr>
        <w:t>3.1.4 Hypothesis Testing Results</w:t>
      </w:r>
    </w:p>
    <w:p w14:paraId="0E0CBBF1" w14:textId="75B8A291" w:rsidR="002F52FB" w:rsidRPr="005D7961" w:rsidRDefault="0092538B">
      <w:pPr>
        <w:ind w:firstLine="720"/>
        <w:jc w:val="both"/>
        <w:rPr>
          <w:rFonts w:ascii="Arial" w:hAnsi="Arial" w:cs="Arial"/>
          <w:lang w:val="zh-CN"/>
        </w:rPr>
      </w:pPr>
      <w:r w:rsidRPr="005D7961">
        <w:rPr>
          <w:rFonts w:ascii="Arial" w:hAnsi="Arial" w:cs="Arial"/>
        </w:rPr>
        <w:t xml:space="preserve">Hypothesis testing aims to find out the relationship between independent variables and dependent variables The criteria for this test, </w:t>
      </w:r>
      <w:r w:rsidRPr="005D7961">
        <w:rPr>
          <w:rFonts w:ascii="Arial" w:hAnsi="Arial" w:cs="Arial"/>
          <w:lang w:val="zh-CN"/>
        </w:rPr>
        <w:t>there is a link between the independent and dependent variables if the t-test's significance threshold is less than 0.05</w:t>
      </w:r>
      <w:r w:rsidRPr="005D7961">
        <w:rPr>
          <w:rFonts w:ascii="Arial" w:hAnsi="Arial" w:cs="Arial"/>
        </w:rPr>
        <w:t xml:space="preserve">. In contrast, there was no effect if the significance level was greater than 0.05. However, according to experts, the use of 10% significance is still allowed to be used even though the effect is marginally significant </w:t>
      </w:r>
      <w:sdt>
        <w:sdtPr>
          <w:rPr>
            <w:rFonts w:ascii="Arial" w:hAnsi="Arial" w:cs="Arial"/>
            <w:color w:val="000000"/>
          </w:rPr>
          <w:tag w:val="MENDELEY_CITATION_v3_eyJjaXRhdGlvbklEIjoiTUVOREVMRVlfQ0lUQVRJT05fNjRiNDUxZDktYmM0OC00NTgxLTgwMTUtZGU2NmI1YWVkZTQ5IiwicHJvcGVydGllcyI6eyJub3RlSW5kZXgiOjAsIm1vZGUiOiJjb21wb3NpdGUifSwiaXNFZGl0ZWQiOmZhbHNlLCJtYW51YWxPdmVycmlkZSI6eyJpc01hbnVhbGx5T3ZlcnJpZGRlbiI6dHJ1ZSwiY2l0ZXByb2NUZXh0IjoiR3VqYXJhdGkgJiMzODsgUG9ydGVyICgyMDA5KSIsIm1hbnVhbE92ZXJyaWRlVGV4dCI6Ikd1amFyYXRpICYgUG9ydGVyICgyMDA5IDogMTIyKS4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
          <w:id w:val="-76443671"/>
          <w:placeholder>
            <w:docPart w:val="EFF55DCCC4634D4A9BE2A5C34FB4F775"/>
          </w:placeholder>
        </w:sdtPr>
        <w:sdtEndPr/>
        <w:sdtContent>
          <w:r w:rsidR="007E0157" w:rsidRPr="005D7961">
            <w:rPr>
              <w:rFonts w:ascii="Arial" w:eastAsia="Times New Roman" w:hAnsi="Arial" w:cs="Arial"/>
              <w:color w:val="000000"/>
            </w:rPr>
            <w:t>Gujarati &amp; Porter (2009 : 122).</w:t>
          </w:r>
        </w:sdtContent>
      </w:sdt>
      <w:r w:rsidRPr="005D7961">
        <w:rPr>
          <w:rFonts w:ascii="Arial" w:hAnsi="Arial" w:cs="Arial"/>
        </w:rPr>
        <w:t xml:space="preserve"> Based on table 8 for the direct influence of independent variables on stock prices, it is known; the significance value</w:t>
      </w:r>
      <w:r w:rsidR="003852F3" w:rsidRPr="005D7961">
        <w:rPr>
          <w:rFonts w:ascii="Arial" w:hAnsi="Arial" w:cs="Arial"/>
        </w:rPr>
        <w:t xml:space="preserve"> </w:t>
      </w:r>
      <w:r w:rsidRPr="005D7961">
        <w:rPr>
          <w:rFonts w:ascii="Arial" w:hAnsi="Arial" w:cs="Arial"/>
        </w:rPr>
        <w:t xml:space="preserve">of the </w:t>
      </w:r>
      <w:r w:rsidRPr="005D7961">
        <w:rPr>
          <w:rFonts w:ascii="Arial" w:hAnsi="Arial" w:cs="Arial"/>
          <w:iCs/>
        </w:rPr>
        <w:t>profitability</w:t>
      </w:r>
      <w:r w:rsidRPr="005D7961">
        <w:rPr>
          <w:rFonts w:ascii="Arial" w:hAnsi="Arial" w:cs="Arial"/>
        </w:rPr>
        <w:t xml:space="preserve"> variable</w:t>
      </w:r>
      <w:r w:rsidR="003852F3" w:rsidRPr="005D7961">
        <w:rPr>
          <w:rFonts w:ascii="Arial" w:hAnsi="Arial" w:cs="Arial"/>
        </w:rPr>
        <w:t xml:space="preserve"> </w:t>
      </w:r>
      <w:r w:rsidRPr="005D7961">
        <w:rPr>
          <w:rFonts w:ascii="Arial" w:hAnsi="Arial" w:cs="Arial"/>
        </w:rPr>
        <w:t>of (</w:t>
      </w:r>
      <w:r w:rsidRPr="005D7961">
        <w:rPr>
          <w:rFonts w:ascii="Arial" w:hAnsi="Arial" w:cs="Arial"/>
          <w:i/>
          <w:iCs/>
        </w:rPr>
        <w:t>P =</w:t>
      </w:r>
      <w:r w:rsidR="003852F3" w:rsidRPr="005D7961">
        <w:rPr>
          <w:rFonts w:ascii="Arial" w:hAnsi="Arial" w:cs="Arial"/>
          <w:i/>
          <w:iCs/>
        </w:rPr>
        <w:t xml:space="preserve"> </w:t>
      </w:r>
      <w:r w:rsidRPr="005D7961">
        <w:rPr>
          <w:rFonts w:ascii="Arial" w:hAnsi="Arial" w:cs="Arial"/>
        </w:rPr>
        <w:t xml:space="preserve">0.058 &lt; 10%) indicates that </w:t>
      </w:r>
      <w:r w:rsidRPr="005D7961">
        <w:rPr>
          <w:rFonts w:ascii="Arial" w:hAnsi="Arial" w:cs="Arial"/>
          <w:iCs/>
        </w:rPr>
        <w:t>profitability</w:t>
      </w:r>
      <w:r w:rsidRPr="005D7961">
        <w:rPr>
          <w:rFonts w:ascii="Arial" w:hAnsi="Arial" w:cs="Arial"/>
        </w:rPr>
        <w:t xml:space="preserve"> has a marginally significant positive effect. </w:t>
      </w:r>
      <w:r w:rsidRPr="005D7961">
        <w:rPr>
          <w:rFonts w:ascii="Arial" w:hAnsi="Arial" w:cs="Arial"/>
          <w:iCs/>
        </w:rPr>
        <w:t>Leverage</w:t>
      </w:r>
      <w:r w:rsidRPr="005D7961">
        <w:rPr>
          <w:rFonts w:ascii="Arial" w:hAnsi="Arial" w:cs="Arial"/>
        </w:rPr>
        <w:t xml:space="preserve"> with significance value (</w:t>
      </w:r>
      <w:r w:rsidRPr="005D7961">
        <w:rPr>
          <w:rFonts w:ascii="Arial" w:hAnsi="Arial" w:cs="Arial"/>
          <w:i/>
          <w:iCs/>
        </w:rPr>
        <w:t xml:space="preserve">P = </w:t>
      </w:r>
      <w:r w:rsidRPr="005D7961">
        <w:rPr>
          <w:rFonts w:ascii="Arial" w:hAnsi="Arial" w:cs="Arial"/>
        </w:rPr>
        <w:t>0.118 &gt; 10%) indicates</w:t>
      </w:r>
      <w:r w:rsidR="003852F3" w:rsidRPr="005D7961">
        <w:rPr>
          <w:rFonts w:ascii="Arial" w:hAnsi="Arial" w:cs="Arial"/>
        </w:rPr>
        <w:t xml:space="preserve"> </w:t>
      </w:r>
      <w:r w:rsidRPr="005D7961">
        <w:rPr>
          <w:rFonts w:ascii="Arial" w:hAnsi="Arial" w:cs="Arial"/>
        </w:rPr>
        <w:t xml:space="preserve">that </w:t>
      </w:r>
      <w:r w:rsidRPr="005D7961">
        <w:rPr>
          <w:rFonts w:ascii="Arial" w:hAnsi="Arial" w:cs="Arial"/>
          <w:iCs/>
        </w:rPr>
        <w:t xml:space="preserve">leverage </w:t>
      </w:r>
      <w:r w:rsidRPr="005D7961">
        <w:rPr>
          <w:rFonts w:ascii="Arial" w:hAnsi="Arial" w:cs="Arial"/>
        </w:rPr>
        <w:t>has</w:t>
      </w:r>
      <w:r w:rsidR="003852F3" w:rsidRPr="005D7961">
        <w:rPr>
          <w:rFonts w:ascii="Arial" w:hAnsi="Arial" w:cs="Arial"/>
        </w:rPr>
        <w:t xml:space="preserve"> </w:t>
      </w:r>
      <w:r w:rsidRPr="005D7961">
        <w:rPr>
          <w:rFonts w:ascii="Arial" w:hAnsi="Arial" w:cs="Arial"/>
        </w:rPr>
        <w:t>no effect on the stock price, liquidity with a significance value (</w:t>
      </w:r>
      <w:r w:rsidRPr="005D7961">
        <w:rPr>
          <w:rFonts w:ascii="Arial" w:hAnsi="Arial" w:cs="Arial"/>
          <w:i/>
          <w:iCs/>
        </w:rPr>
        <w:t>P =</w:t>
      </w:r>
      <w:r w:rsidRPr="005D7961">
        <w:rPr>
          <w:rFonts w:ascii="Arial" w:hAnsi="Arial" w:cs="Arial"/>
        </w:rPr>
        <w:t xml:space="preserve"> 0.042 &lt; 5%) means that</w:t>
      </w:r>
      <w:r w:rsidR="003852F3" w:rsidRPr="005D7961">
        <w:rPr>
          <w:rFonts w:ascii="Arial" w:hAnsi="Arial" w:cs="Arial"/>
        </w:rPr>
        <w:t xml:space="preserve"> </w:t>
      </w:r>
      <w:r w:rsidRPr="005D7961">
        <w:rPr>
          <w:rFonts w:ascii="Arial" w:hAnsi="Arial" w:cs="Arial"/>
          <w:iCs/>
        </w:rPr>
        <w:t>liquidity</w:t>
      </w:r>
      <w:r w:rsidR="003852F3" w:rsidRPr="005D7961">
        <w:rPr>
          <w:rFonts w:ascii="Arial" w:hAnsi="Arial" w:cs="Arial"/>
          <w:i/>
        </w:rPr>
        <w:t xml:space="preserve"> </w:t>
      </w:r>
      <w:r w:rsidRPr="005D7961">
        <w:rPr>
          <w:rFonts w:ascii="Arial" w:hAnsi="Arial" w:cs="Arial"/>
        </w:rPr>
        <w:t xml:space="preserve">has a significant positive effect on the stock price, then </w:t>
      </w:r>
      <w:r w:rsidRPr="005D7961">
        <w:rPr>
          <w:rFonts w:ascii="Arial" w:hAnsi="Arial" w:cs="Arial"/>
          <w:iCs/>
        </w:rPr>
        <w:t>the efficiency of the asset with a significant value</w:t>
      </w:r>
      <w:r w:rsidRPr="005D7961">
        <w:rPr>
          <w:rFonts w:ascii="Arial" w:hAnsi="Arial" w:cs="Arial"/>
        </w:rPr>
        <w:t xml:space="preserve"> (</w:t>
      </w:r>
      <w:r w:rsidRPr="005D7961">
        <w:rPr>
          <w:rFonts w:ascii="Arial" w:hAnsi="Arial" w:cs="Arial"/>
          <w:i/>
          <w:iCs/>
        </w:rPr>
        <w:t>P =</w:t>
      </w:r>
      <w:r w:rsidRPr="005D7961">
        <w:rPr>
          <w:rFonts w:ascii="Arial" w:hAnsi="Arial" w:cs="Arial"/>
        </w:rPr>
        <w:t xml:space="preserve"> 0.011 &lt; 5%) indicates a significant positive influence between efficiency and stock price</w:t>
      </w:r>
      <w:r w:rsidRPr="005D7961">
        <w:rPr>
          <w:rFonts w:ascii="Arial" w:hAnsi="Arial" w:cs="Arial"/>
          <w:i/>
          <w:iCs/>
        </w:rPr>
        <w:t>,</w:t>
      </w:r>
      <w:r w:rsidRPr="005D7961">
        <w:rPr>
          <w:rFonts w:ascii="Arial" w:hAnsi="Arial" w:cs="Arial"/>
        </w:rPr>
        <w:t xml:space="preserve"> then intrinsic value on stock price, it is known that the significance value of intrinsic value (</w:t>
      </w:r>
      <w:r w:rsidRPr="005D7961">
        <w:rPr>
          <w:rFonts w:ascii="Arial" w:hAnsi="Arial" w:cs="Arial"/>
          <w:i/>
          <w:iCs/>
        </w:rPr>
        <w:t xml:space="preserve">P </w:t>
      </w:r>
      <w:r w:rsidRPr="005D7961">
        <w:rPr>
          <w:rFonts w:ascii="Arial" w:hAnsi="Arial" w:cs="Arial"/>
        </w:rPr>
        <w:t xml:space="preserve">= 0.163 &gt; 10%) indicates that intrinsic value has no effect on stock price. </w:t>
      </w:r>
    </w:p>
    <w:p w14:paraId="1992BD1B" w14:textId="2EB356B3" w:rsidR="002F52FB" w:rsidRPr="005D7961" w:rsidRDefault="0092538B">
      <w:pPr>
        <w:ind w:firstLine="720"/>
        <w:jc w:val="both"/>
        <w:rPr>
          <w:rFonts w:ascii="Arial" w:hAnsi="Arial" w:cs="Arial"/>
          <w:lang w:val="zh-CN"/>
        </w:rPr>
      </w:pPr>
      <w:r w:rsidRPr="005D7961">
        <w:rPr>
          <w:rFonts w:ascii="Arial" w:hAnsi="Arial" w:cs="Arial"/>
          <w:lang w:val="zh-CN"/>
        </w:rPr>
        <w:t>The relationship between the independent variable and the mediating variable is tested next, following the direct relationship between the independent variable and the mediation on the stock price</w:t>
      </w:r>
      <w:r w:rsidRPr="005D7961">
        <w:rPr>
          <w:rFonts w:ascii="Arial" w:hAnsi="Arial" w:cs="Arial"/>
        </w:rPr>
        <w:t>. For the significance value of</w:t>
      </w:r>
      <w:r w:rsidR="003852F3" w:rsidRPr="005D7961">
        <w:rPr>
          <w:rFonts w:ascii="Arial" w:hAnsi="Arial" w:cs="Arial"/>
        </w:rPr>
        <w:t xml:space="preserve"> </w:t>
      </w:r>
      <w:r w:rsidRPr="005D7961">
        <w:rPr>
          <w:rFonts w:ascii="Arial" w:hAnsi="Arial" w:cs="Arial"/>
        </w:rPr>
        <w:t>the profitability variable</w:t>
      </w:r>
      <w:r w:rsidR="003852F3" w:rsidRPr="005D7961">
        <w:rPr>
          <w:rFonts w:ascii="Arial" w:hAnsi="Arial" w:cs="Arial"/>
        </w:rPr>
        <w:t xml:space="preserve"> </w:t>
      </w:r>
      <w:r w:rsidRPr="005D7961">
        <w:rPr>
          <w:rFonts w:ascii="Arial" w:hAnsi="Arial" w:cs="Arial"/>
        </w:rPr>
        <w:t>(</w:t>
      </w:r>
      <w:r w:rsidRPr="005D7961">
        <w:rPr>
          <w:rFonts w:ascii="Arial" w:hAnsi="Arial" w:cs="Arial"/>
          <w:i/>
          <w:iCs/>
        </w:rPr>
        <w:t xml:space="preserve">P= 0.068 &lt; 10%), </w:t>
      </w:r>
      <w:r w:rsidRPr="005D7961">
        <w:rPr>
          <w:rFonts w:ascii="Arial" w:hAnsi="Arial" w:cs="Arial"/>
        </w:rPr>
        <w:t>this result indicates that profitability has a marginally significant positive effect,</w:t>
      </w:r>
      <w:r w:rsidR="003852F3" w:rsidRPr="005D7961">
        <w:rPr>
          <w:rFonts w:ascii="Arial" w:hAnsi="Arial" w:cs="Arial"/>
        </w:rPr>
        <w:t xml:space="preserve"> </w:t>
      </w:r>
      <w:r w:rsidRPr="005D7961">
        <w:rPr>
          <w:rFonts w:ascii="Arial" w:hAnsi="Arial" w:cs="Arial"/>
        </w:rPr>
        <w:t>the leverage variable with a</w:t>
      </w:r>
      <w:r w:rsidR="003852F3" w:rsidRPr="005D7961">
        <w:rPr>
          <w:rFonts w:ascii="Arial" w:hAnsi="Arial" w:cs="Arial"/>
        </w:rPr>
        <w:t xml:space="preserve"> </w:t>
      </w:r>
      <w:r w:rsidRPr="005D7961">
        <w:rPr>
          <w:rFonts w:ascii="Arial" w:hAnsi="Arial" w:cs="Arial"/>
        </w:rPr>
        <w:t>significance value (</w:t>
      </w:r>
      <w:r w:rsidRPr="005D7961">
        <w:rPr>
          <w:rFonts w:ascii="Arial" w:hAnsi="Arial" w:cs="Arial"/>
          <w:i/>
          <w:iCs/>
        </w:rPr>
        <w:t>P=</w:t>
      </w:r>
      <w:r w:rsidRPr="005D7961">
        <w:rPr>
          <w:rFonts w:ascii="Arial" w:hAnsi="Arial" w:cs="Arial"/>
        </w:rPr>
        <w:t xml:space="preserve"> 0.00 &lt; 5%) means that leverage has a significant positive influence on intrinsic value,</w:t>
      </w:r>
      <w:r w:rsidR="003852F3" w:rsidRPr="005D7961">
        <w:rPr>
          <w:rFonts w:ascii="Arial" w:hAnsi="Arial" w:cs="Arial"/>
        </w:rPr>
        <w:t xml:space="preserve"> </w:t>
      </w:r>
      <w:r w:rsidRPr="005D7961">
        <w:rPr>
          <w:rFonts w:ascii="Arial" w:hAnsi="Arial" w:cs="Arial"/>
        </w:rPr>
        <w:t>liquidity</w:t>
      </w:r>
      <w:r w:rsidR="003852F3" w:rsidRPr="005D7961">
        <w:rPr>
          <w:rFonts w:ascii="Arial" w:hAnsi="Arial" w:cs="Arial"/>
        </w:rPr>
        <w:t xml:space="preserve"> </w:t>
      </w:r>
      <w:r w:rsidRPr="005D7961">
        <w:rPr>
          <w:rFonts w:ascii="Arial" w:hAnsi="Arial" w:cs="Arial"/>
        </w:rPr>
        <w:t>has a significant significance value (</w:t>
      </w:r>
      <w:r w:rsidRPr="005D7961">
        <w:rPr>
          <w:rFonts w:ascii="Arial" w:hAnsi="Arial" w:cs="Arial"/>
          <w:i/>
          <w:iCs/>
        </w:rPr>
        <w:t xml:space="preserve">P= </w:t>
      </w:r>
      <w:r w:rsidRPr="005D7961">
        <w:rPr>
          <w:rFonts w:ascii="Arial" w:hAnsi="Arial" w:cs="Arial"/>
        </w:rPr>
        <w:t>0.475 &gt; 10%) so that there is no influence between liquidity and intrinsic value, then asset efficiency with significance value (</w:t>
      </w:r>
      <w:r w:rsidRPr="005D7961">
        <w:rPr>
          <w:rFonts w:ascii="Arial" w:hAnsi="Arial" w:cs="Arial"/>
          <w:i/>
          <w:iCs/>
        </w:rPr>
        <w:t xml:space="preserve">P = </w:t>
      </w:r>
      <w:r w:rsidRPr="005D7961">
        <w:rPr>
          <w:rFonts w:ascii="Arial" w:hAnsi="Arial" w:cs="Arial"/>
        </w:rPr>
        <w:t xml:space="preserve">0.342 &gt; 10%) means that asset efficiency has no effect on intrinsic value. </w:t>
      </w:r>
    </w:p>
    <w:p w14:paraId="2D6D8343" w14:textId="77777777" w:rsidR="002F52FB" w:rsidRPr="005D7961" w:rsidRDefault="002F52FB">
      <w:pPr>
        <w:rPr>
          <w:rFonts w:ascii="Arial" w:hAnsi="Arial" w:cs="Arial"/>
          <w:b/>
          <w:bCs/>
        </w:rPr>
      </w:pPr>
    </w:p>
    <w:p w14:paraId="5D515BA2" w14:textId="77777777" w:rsidR="002F52FB" w:rsidRPr="005D7961" w:rsidRDefault="0092538B">
      <w:pPr>
        <w:rPr>
          <w:rFonts w:ascii="Arial" w:hAnsi="Arial" w:cs="Arial"/>
          <w:b/>
          <w:bCs/>
        </w:rPr>
      </w:pPr>
      <w:r w:rsidRPr="005D7961">
        <w:rPr>
          <w:rFonts w:ascii="Arial" w:hAnsi="Arial" w:cs="Arial"/>
          <w:b/>
          <w:bCs/>
        </w:rPr>
        <w:t>3.1.5 Sobel Test Results</w:t>
      </w:r>
    </w:p>
    <w:p w14:paraId="15353BD5" w14:textId="37825175" w:rsidR="002F52FB" w:rsidRPr="005D7961" w:rsidRDefault="0092538B">
      <w:pPr>
        <w:ind w:firstLine="720"/>
        <w:jc w:val="both"/>
        <w:rPr>
          <w:rFonts w:ascii="Arial" w:hAnsi="Arial" w:cs="Arial"/>
          <w:lang w:val="zh-CN"/>
        </w:rPr>
      </w:pPr>
      <w:r w:rsidRPr="005D7961">
        <w:rPr>
          <w:rFonts w:ascii="Arial" w:hAnsi="Arial" w:cs="Arial"/>
        </w:rPr>
        <w:t xml:space="preserve">The Sobel test serves to find out whether the mediating variable has a mediator role in the relationship between independent variables and dependent variables. The results of the sobel test indicated mediation if the Z value was calculated&gt; 1.96 and with a significance of 0.05 </w:t>
      </w:r>
      <w:sdt>
        <w:sdtPr>
          <w:rPr>
            <w:rFonts w:ascii="Arial" w:hAnsi="Arial" w:cs="Arial"/>
            <w:color w:val="000000"/>
          </w:rPr>
          <w:tag w:val="MENDELEY_CITATION_v3_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"/>
          <w:id w:val="-1673640581"/>
          <w:placeholder>
            <w:docPart w:val="DefaultPlaceholder_-1854013440"/>
          </w:placeholder>
        </w:sdtPr>
        <w:sdtEndPr/>
        <w:sdtContent>
          <w:r w:rsidR="007E0157" w:rsidRPr="005D7961">
            <w:rPr>
              <w:rFonts w:ascii="Arial" w:eastAsia="Times New Roman" w:hAnsi="Arial" w:cs="Arial"/>
              <w:color w:val="000000"/>
            </w:rPr>
            <w:t>(Abu-Bader &amp; Jones, 2021).</w:t>
          </w:r>
        </w:sdtContent>
      </w:sdt>
      <w:r w:rsidRPr="005D7961">
        <w:rPr>
          <w:rFonts w:ascii="Arial" w:hAnsi="Arial" w:cs="Arial"/>
        </w:rPr>
        <w:t xml:space="preserve"> </w:t>
      </w:r>
      <w:bookmarkEnd w:id="246"/>
      <w:r w:rsidRPr="005D7961">
        <w:rPr>
          <w:rFonts w:ascii="Arial" w:hAnsi="Arial" w:cs="Arial"/>
          <w:lang w:val="zh-CN"/>
        </w:rPr>
        <w:t>according to Table 9. According to the Sobel test results, for every line connection</w:t>
      </w:r>
      <w:r w:rsidRPr="005D7961">
        <w:rPr>
          <w:rFonts w:ascii="Arial" w:hAnsi="Arial" w:cs="Arial"/>
        </w:rPr>
        <w:t>, it was found that the Z value of the table was less than 1.96 (Z &lt; 1.96) and the significance value was greater than 0.05 (&gt;0.05) so that the results showed that the intrinsic value did not mediate the relationship for each variable (profitability, leverage, liquidity, and asset efficiency) to the stock price</w:t>
      </w:r>
    </w:p>
    <w:p w14:paraId="36451606" w14:textId="77777777" w:rsidR="002F52FB" w:rsidRPr="005D7961" w:rsidRDefault="002F52FB">
      <w:pPr>
        <w:jc w:val="both"/>
        <w:rPr>
          <w:rFonts w:ascii="Arial" w:hAnsi="Arial" w:cs="Arial"/>
          <w:b/>
          <w:bCs/>
        </w:rPr>
      </w:pPr>
    </w:p>
    <w:p w14:paraId="136AAE23" w14:textId="77777777" w:rsidR="002F52FB" w:rsidRPr="005D7961" w:rsidRDefault="0092538B" w:rsidP="001A6218">
      <w:pPr>
        <w:jc w:val="both"/>
        <w:rPr>
          <w:rFonts w:ascii="Arial" w:hAnsi="Arial" w:cs="Arial"/>
          <w:b/>
          <w:bCs/>
          <w:sz w:val="22"/>
          <w:szCs w:val="22"/>
        </w:rPr>
      </w:pPr>
      <w:r w:rsidRPr="005D7961">
        <w:rPr>
          <w:rFonts w:ascii="Arial" w:hAnsi="Arial" w:cs="Arial"/>
          <w:b/>
          <w:bCs/>
          <w:sz w:val="22"/>
          <w:szCs w:val="22"/>
        </w:rPr>
        <w:t>3.2 DISCUSSION</w:t>
      </w:r>
    </w:p>
    <w:p w14:paraId="7EA732E7" w14:textId="77777777" w:rsidR="002F52FB" w:rsidRPr="005D7961" w:rsidRDefault="0092538B">
      <w:pPr>
        <w:rPr>
          <w:rFonts w:ascii="Arial" w:hAnsi="Arial" w:cs="Arial"/>
          <w:b/>
          <w:bCs/>
          <w:u w:val="single"/>
        </w:rPr>
      </w:pPr>
      <w:r w:rsidRPr="005D7961">
        <w:rPr>
          <w:rFonts w:ascii="Arial" w:hAnsi="Arial" w:cs="Arial"/>
          <w:b/>
          <w:bCs/>
          <w:u w:val="single"/>
        </w:rPr>
        <w:t>3.2.1 The Effect of Profitability on Stock Prices.</w:t>
      </w:r>
    </w:p>
    <w:p w14:paraId="6F58BEFA" w14:textId="055ABA86" w:rsidR="002F52FB" w:rsidRPr="005D7961" w:rsidRDefault="0092538B">
      <w:pPr>
        <w:ind w:firstLine="720"/>
        <w:jc w:val="both"/>
        <w:rPr>
          <w:rFonts w:ascii="Arial" w:hAnsi="Arial" w:cs="Arial"/>
          <w:color w:val="000000"/>
          <w:lang w:val="zh-CN"/>
        </w:rPr>
      </w:pPr>
      <w:r w:rsidRPr="005D7961">
        <w:rPr>
          <w:rFonts w:ascii="Arial" w:eastAsia="SimSun" w:hAnsi="Arial" w:cs="Arial"/>
        </w:rPr>
        <w:t>Referring to Table 8,</w:t>
      </w:r>
      <w:r w:rsidR="003852F3" w:rsidRPr="005D7961">
        <w:rPr>
          <w:rFonts w:ascii="Arial" w:eastAsia="SimSun" w:hAnsi="Arial" w:cs="Arial"/>
        </w:rPr>
        <w:t xml:space="preserve"> </w:t>
      </w:r>
      <w:r w:rsidRPr="005D7961">
        <w:rPr>
          <w:rFonts w:ascii="Arial" w:eastAsia="SimSun" w:hAnsi="Arial" w:cs="Arial"/>
        </w:rPr>
        <w:t>the profitability variable</w:t>
      </w:r>
      <w:r w:rsidR="003852F3" w:rsidRPr="005D7961">
        <w:rPr>
          <w:rFonts w:ascii="Arial" w:eastAsia="SimSun" w:hAnsi="Arial" w:cs="Arial"/>
        </w:rPr>
        <w:t xml:space="preserve"> </w:t>
      </w:r>
      <w:r w:rsidRPr="005D7961">
        <w:rPr>
          <w:rFonts w:ascii="Arial" w:eastAsia="SimSun" w:hAnsi="Arial" w:cs="Arial"/>
        </w:rPr>
        <w:t>shows a marginally significant positive relationship. Therefore, the hypothesis that profitability</w:t>
      </w:r>
      <w:r w:rsidR="003852F3" w:rsidRPr="005D7961">
        <w:rPr>
          <w:rFonts w:ascii="Arial" w:eastAsia="SimSun" w:hAnsi="Arial" w:cs="Arial"/>
        </w:rPr>
        <w:t xml:space="preserve"> </w:t>
      </w:r>
      <w:r w:rsidRPr="005D7961">
        <w:rPr>
          <w:rFonts w:ascii="Arial" w:eastAsia="SimSun" w:hAnsi="Arial" w:cs="Arial"/>
        </w:rPr>
        <w:t>has a significant positive impact on the stock price is supported. This result is consistent with signaling theory, where</w:t>
      </w:r>
      <w:r w:rsidR="003852F3" w:rsidRPr="005D7961">
        <w:rPr>
          <w:rFonts w:ascii="Arial" w:eastAsia="SimSun" w:hAnsi="Arial" w:cs="Arial"/>
        </w:rPr>
        <w:t xml:space="preserve"> </w:t>
      </w:r>
      <w:r w:rsidRPr="005D7961">
        <w:rPr>
          <w:rFonts w:ascii="Arial" w:eastAsia="SimSun" w:hAnsi="Arial" w:cs="Arial"/>
        </w:rPr>
        <w:t xml:space="preserve">a high level of profitability reflects a positive signal on the stability and prospects of the company's future performance. Investors usually respond positively to companies that are able to generate profits sustainably, as this reflects efficient managerial performance. As a result, there is an increase in demand for stocks and encourages an increase in stock prices. </w:t>
      </w:r>
      <w:r w:rsidRPr="005D7961">
        <w:rPr>
          <w:rFonts w:ascii="Arial" w:hAnsi="Arial" w:cs="Arial"/>
        </w:rPr>
        <w:t xml:space="preserve">These results are in line with research </w:t>
      </w:r>
      <w:sdt>
        <w:sdtPr>
          <w:rPr>
            <w:rFonts w:ascii="Arial" w:hAnsi="Arial" w:cs="Arial"/>
            <w:color w:val="000000"/>
          </w:rPr>
          <w:tag w:val="MENDELEY_CITATION_v3_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"/>
          <w:id w:val="-846403728"/>
          <w:placeholder>
            <w:docPart w:val="DefaultPlaceholder_-1854013440"/>
          </w:placeholder>
        </w:sdtPr>
        <w:sdtEndPr/>
        <w:sdtContent>
          <w:r w:rsidR="007E0157" w:rsidRPr="005D7961">
            <w:rPr>
              <w:rFonts w:ascii="Arial" w:hAnsi="Arial" w:cs="Arial"/>
              <w:color w:val="000000"/>
            </w:rPr>
            <w:t>(Puspitasari et al., 2025; Putri et al., 2024; Saputra, 2022).</w:t>
          </w:r>
        </w:sdtContent>
      </w:sdt>
      <w:r w:rsidRPr="005D7961">
        <w:rPr>
          <w:rFonts w:ascii="Arial" w:hAnsi="Arial" w:cs="Arial"/>
        </w:rPr>
        <w:t xml:space="preserve"> </w:t>
      </w:r>
      <w:r w:rsidRPr="005D7961">
        <w:rPr>
          <w:rFonts w:ascii="Arial" w:hAnsi="Arial" w:cs="Arial"/>
          <w:lang w:val="zh-CN"/>
        </w:rPr>
        <w:t xml:space="preserve">These results, however, go counter to prior research that indicated a strong negative correlation between profitability and stock prices. </w:t>
      </w:r>
      <w:sdt>
        <w:sdtPr>
          <w:rPr>
            <w:rFonts w:ascii="Arial" w:hAnsi="Arial" w:cs="Arial"/>
            <w:color w:val="000000"/>
          </w:rPr>
          <w:tag w:val="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"/>
          <w:id w:val="571632521"/>
          <w:placeholder>
            <w:docPart w:val="DefaultPlaceholder_-1854013440"/>
          </w:placeholder>
        </w:sdtPr>
        <w:sdtEndPr/>
        <w:sdtContent>
          <w:r w:rsidR="007E0157" w:rsidRPr="005D7961">
            <w:rPr>
              <w:rFonts w:ascii="Arial" w:eastAsia="Times New Roman" w:hAnsi="Arial" w:cs="Arial"/>
              <w:color w:val="000000"/>
            </w:rPr>
            <w:t>(Ginting et al., 2024; Kusumaningrum &amp; Iswara, 2022; Muktiadji &amp; Pamungkas, 2022)</w:t>
          </w:r>
        </w:sdtContent>
      </w:sdt>
      <w:r w:rsidRPr="005D7961">
        <w:rPr>
          <w:rFonts w:ascii="Arial" w:hAnsi="Arial" w:cs="Arial"/>
          <w:color w:val="000000"/>
        </w:rPr>
        <w:t xml:space="preserve"> </w:t>
      </w:r>
      <w:r w:rsidRPr="005D7961">
        <w:rPr>
          <w:rFonts w:ascii="Arial" w:hAnsi="Arial" w:cs="Arial"/>
          <w:color w:val="000000"/>
          <w:lang w:val="zh-CN"/>
        </w:rPr>
        <w:t>which discovered that stock values are significantly impacted negatively by profitability.</w:t>
      </w:r>
    </w:p>
    <w:p w14:paraId="3AA36EC9" w14:textId="77777777" w:rsidR="002F52FB" w:rsidRPr="005D7961" w:rsidRDefault="002F52FB">
      <w:pPr>
        <w:ind w:firstLine="720"/>
        <w:jc w:val="both"/>
        <w:rPr>
          <w:rFonts w:ascii="Arial" w:hAnsi="Arial" w:cs="Arial"/>
          <w:color w:val="000000"/>
          <w:lang w:val="zh-CN"/>
        </w:rPr>
      </w:pPr>
    </w:p>
    <w:p w14:paraId="2ADDF980" w14:textId="77777777" w:rsidR="002F52FB" w:rsidRPr="005D7961" w:rsidRDefault="0092538B">
      <w:pPr>
        <w:rPr>
          <w:rFonts w:ascii="Arial" w:hAnsi="Arial" w:cs="Arial"/>
          <w:b/>
          <w:bCs/>
          <w:u w:val="single"/>
        </w:rPr>
      </w:pPr>
      <w:r w:rsidRPr="005D7961">
        <w:rPr>
          <w:rFonts w:ascii="Arial" w:hAnsi="Arial" w:cs="Arial"/>
          <w:b/>
          <w:bCs/>
          <w:u w:val="single"/>
        </w:rPr>
        <w:t>3.2.2 The Effect of Leverage on Stock Prices.</w:t>
      </w:r>
    </w:p>
    <w:p w14:paraId="20B96D3B" w14:textId="2837A47E" w:rsidR="002F52FB" w:rsidRPr="005D7961" w:rsidRDefault="0092538B">
      <w:pPr>
        <w:ind w:firstLine="720"/>
        <w:jc w:val="both"/>
        <w:rPr>
          <w:rFonts w:ascii="Arial" w:hAnsi="Arial" w:cs="Arial"/>
          <w:color w:val="000000"/>
          <w:lang w:val="zh-CN"/>
        </w:rPr>
      </w:pPr>
      <w:r w:rsidRPr="005D7961">
        <w:rPr>
          <w:rFonts w:ascii="Arial" w:hAnsi="Arial" w:cs="Arial"/>
          <w:lang w:val="zh-CN"/>
        </w:rPr>
        <w:t>Table 8's hypothesis test findings demonstrate that the leverage variable has no discernible impact on the stock price</w:t>
      </w:r>
      <w:r w:rsidRPr="005D7961">
        <w:rPr>
          <w:rFonts w:ascii="Arial" w:hAnsi="Arial" w:cs="Arial"/>
        </w:rPr>
        <w:t>. Therefore, the hypothesis that leverage</w:t>
      </w:r>
      <w:r w:rsidR="003852F3" w:rsidRPr="005D7961">
        <w:rPr>
          <w:rFonts w:ascii="Arial" w:hAnsi="Arial" w:cs="Arial"/>
        </w:rPr>
        <w:t xml:space="preserve"> </w:t>
      </w:r>
      <w:r w:rsidRPr="005D7961">
        <w:rPr>
          <w:rFonts w:ascii="Arial" w:hAnsi="Arial" w:cs="Arial"/>
        </w:rPr>
        <w:t xml:space="preserve">has a significant positive effect on the stock price is not supported. Although in theory leverage reflects a company's reliance on debt funding and can be a signal of management's confidence in the future cash flow prospects </w:t>
      </w:r>
      <w:sdt>
        <w:sdtPr>
          <w:rPr>
            <w:rFonts w:ascii="Arial" w:hAnsi="Arial" w:cs="Arial"/>
            <w:color w:val="000000"/>
          </w:rPr>
          <w:tag w:val="MENDELEY_CITATION_v3_eyJjaXRhdGlvbklEIjoiTUVOREVMRVlfQ0lUQVRJT05fMTdiN2Q3NTAtMzE0My00ZWNlLTgyZmUtODJiNWViZGI3YzRmIiwicHJvcGVydGllcyI6eyJub3RlSW5kZXgiOjB9LCJpc0VkaXRlZCI6ZmFsc2UsIm1hbnVhbE92ZXJyaWRlIjp7ImlzTWFudWFsbHlPdmVycmlkZGVuIjp0cnVlLCJjaXRlcHJvY1RleHQiOiIoV2FoeXVuaW5ncnVtICYjMzg7IFN1bmFydG8sIDIwMjMpIiwibWFudWFsT3ZlcnJpZGVUZXh0IjoiKFdhaHl1bmluZ3J1bSAmIFN1bmFydG8sIDIwMjMpLC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
          <w:id w:val="408809387"/>
          <w:placeholder>
            <w:docPart w:val="DefaultPlaceholder_-1854013440"/>
          </w:placeholder>
        </w:sdtPr>
        <w:sdtEndPr/>
        <w:sdtContent>
          <w:r w:rsidR="007E0157" w:rsidRPr="005D7961">
            <w:rPr>
              <w:rFonts w:ascii="Arial" w:eastAsia="Times New Roman" w:hAnsi="Arial" w:cs="Arial"/>
              <w:color w:val="000000"/>
            </w:rPr>
            <w:t>(Wahyuningrum &amp; Sunarto, 2023),</w:t>
          </w:r>
        </w:sdtContent>
      </w:sdt>
      <w:r w:rsidRPr="005D7961">
        <w:rPr>
          <w:rFonts w:ascii="Arial" w:hAnsi="Arial" w:cs="Arial"/>
        </w:rPr>
        <w:t xml:space="preserve"> These results show that the market does not always respond positively to such signals. This can be due to the increased perception of financial risk due to high debt, as well as the tendency of investors in the non-cyclical consumer sector to value conservative capital structures and stable incomes. Thus, in the context of this study, signaling theory is not confirmed for the leverage variable. The results of this study are supported by </w:t>
      </w:r>
      <w:sdt>
        <w:sdtPr>
          <w:rPr>
            <w:rFonts w:ascii="Arial" w:hAnsi="Arial" w:cs="Arial"/>
            <w:color w:val="000000"/>
          </w:rPr>
          <w:tag w:val="MENDELEY_CITATION_v3_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"/>
          <w:id w:val="-405299335"/>
          <w:placeholder>
            <w:docPart w:val="DefaultPlaceholder_-1854013440"/>
          </w:placeholder>
        </w:sdtPr>
        <w:sdtEndPr/>
        <w:sdtContent>
          <w:r w:rsidR="007E0157" w:rsidRPr="005D7961">
            <w:rPr>
              <w:rFonts w:ascii="Arial" w:eastAsia="Times New Roman" w:hAnsi="Arial" w:cs="Arial"/>
              <w:color w:val="000000"/>
            </w:rPr>
            <w:t>(Elieser et al., 2022; Halimah &amp; Nurmasari, 2024; Kardinal &amp; Wijaya, 2024).</w:t>
          </w:r>
        </w:sdtContent>
      </w:sdt>
      <w:r w:rsidRPr="005D7961">
        <w:rPr>
          <w:rFonts w:ascii="Arial" w:hAnsi="Arial" w:cs="Arial"/>
          <w:color w:val="000000"/>
        </w:rPr>
        <w:t xml:space="preserve"> However, these results contradict research </w:t>
      </w:r>
      <w:sdt>
        <w:sdtPr>
          <w:rPr>
            <w:rFonts w:ascii="Arial" w:hAnsi="Arial" w:cs="Arial"/>
            <w:color w:val="000000"/>
          </w:rPr>
          <w:tag w:val="MENDELEY_CITATION_v3_eyJjaXRhdGlvbklEIjoiTUVOREVMRVlfQ0lUQVRJT05fMjAyYmNiODYtYTQ1YS00NDMzLTg0ZDYtMmQ5NGUxYWY4MDczIiwicHJvcGVydGllcyI6eyJub3RlSW5kZXgiOjB9LCJpc0VkaXRlZCI6ZmFsc2UsIm1hbnVhbE92ZXJyaWRlIjp7ImlzTWFudWFsbHlPdmVycmlkZGVuIjpmYWxzZSwiY2l0ZXByb2NUZXh0IjoiKEVtYW51ZSAmIzM4OyBSaXdheWF0aSwgMjAyNDsgS3VzdW1hIGV0IGFsLiwgMjAyNDsgU3V3YXJubyAmIzM4OyBNdXRobWFpbm5haCwgMjAyNCkiLCJtYW51YWxPdmVycmlkZVRleHQiOiI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
          <w:id w:val="-1668932490"/>
          <w:placeholder>
            <w:docPart w:val="DefaultPlaceholder_-1854013440"/>
          </w:placeholder>
        </w:sdtPr>
        <w:sdtEndPr/>
        <w:sdtContent>
          <w:r w:rsidR="007E0157" w:rsidRPr="005D7961">
            <w:rPr>
              <w:rFonts w:ascii="Arial" w:eastAsia="Times New Roman" w:hAnsi="Arial" w:cs="Arial"/>
              <w:color w:val="000000"/>
            </w:rPr>
            <w:t>(Emanue &amp; Riwayati, 2024; Kusuma et al., 2024; Suwarno &amp; Muthmainnah, 2024)</w:t>
          </w:r>
        </w:sdtContent>
      </w:sdt>
      <w:r w:rsidR="003852F3" w:rsidRPr="005D7961">
        <w:rPr>
          <w:rFonts w:ascii="Arial" w:hAnsi="Arial" w:cs="Arial"/>
          <w:color w:val="000000"/>
        </w:rPr>
        <w:t xml:space="preserve"> </w:t>
      </w:r>
      <w:r w:rsidRPr="005D7961">
        <w:rPr>
          <w:rFonts w:ascii="Arial" w:hAnsi="Arial" w:cs="Arial"/>
          <w:color w:val="000000"/>
          <w:lang w:val="zh-CN"/>
        </w:rPr>
        <w:t>demonstrates that leverage has a favourable impact as it represents tax savings and financing efficiency.</w:t>
      </w:r>
    </w:p>
    <w:p w14:paraId="04A04016" w14:textId="77777777" w:rsidR="002F52FB" w:rsidRPr="005D7961" w:rsidRDefault="002F52FB">
      <w:pPr>
        <w:ind w:firstLine="720"/>
        <w:jc w:val="both"/>
        <w:rPr>
          <w:rFonts w:ascii="Arial" w:eastAsia="SimSun" w:hAnsi="Arial" w:cs="Arial"/>
          <w:lang w:bidi="ar"/>
        </w:rPr>
      </w:pPr>
    </w:p>
    <w:p w14:paraId="12C742B1" w14:textId="77777777" w:rsidR="002F52FB" w:rsidRPr="005D7961" w:rsidRDefault="0092538B">
      <w:pPr>
        <w:rPr>
          <w:rFonts w:ascii="Arial" w:hAnsi="Arial" w:cs="Arial"/>
          <w:b/>
          <w:bCs/>
          <w:u w:val="single"/>
        </w:rPr>
      </w:pPr>
      <w:r w:rsidRPr="005D7961">
        <w:rPr>
          <w:rFonts w:ascii="Arial" w:hAnsi="Arial" w:cs="Arial"/>
          <w:b/>
          <w:bCs/>
          <w:u w:val="single"/>
        </w:rPr>
        <w:t>3.2.3 The Effect of Liquidity on Stock Prices.</w:t>
      </w:r>
    </w:p>
    <w:p w14:paraId="01564AB5" w14:textId="3368B56E" w:rsidR="002F52FB" w:rsidRPr="005D7961" w:rsidRDefault="0092538B">
      <w:pPr>
        <w:ind w:firstLine="720"/>
        <w:jc w:val="both"/>
        <w:rPr>
          <w:rFonts w:ascii="Arial" w:hAnsi="Arial" w:cs="Arial"/>
          <w:lang w:val="zh-CN"/>
        </w:rPr>
      </w:pPr>
      <w:r w:rsidRPr="005D7961">
        <w:rPr>
          <w:rFonts w:ascii="Arial" w:hAnsi="Arial" w:cs="Arial"/>
        </w:rPr>
        <w:t>Based on table 8, liquidity has a significant positive influence on stock prices. Thus, the hypothesis that liquidity</w:t>
      </w:r>
      <w:r w:rsidR="003852F3" w:rsidRPr="005D7961">
        <w:rPr>
          <w:rFonts w:ascii="Arial" w:hAnsi="Arial" w:cs="Arial"/>
        </w:rPr>
        <w:t xml:space="preserve"> </w:t>
      </w:r>
      <w:r w:rsidRPr="005D7961">
        <w:rPr>
          <w:rFonts w:ascii="Arial" w:hAnsi="Arial" w:cs="Arial"/>
        </w:rPr>
        <w:t>has a significant positive effect on stock prices is supported. This finding is in line with signal theory, as companies with</w:t>
      </w:r>
      <w:r w:rsidR="003852F3" w:rsidRPr="005D7961">
        <w:rPr>
          <w:rFonts w:ascii="Arial" w:hAnsi="Arial" w:cs="Arial"/>
        </w:rPr>
        <w:t xml:space="preserve"> </w:t>
      </w:r>
      <w:r w:rsidRPr="005D7961">
        <w:rPr>
          <w:rFonts w:ascii="Arial" w:hAnsi="Arial" w:cs="Arial"/>
        </w:rPr>
        <w:t xml:space="preserve">high liquidity are considered positive by investors, given that they are able to meet their short-term obligations. This reflects the stability of cash flow and operational strength, which makes the company's shares more attractive to investors. The results of this study are in line with the findings </w:t>
      </w:r>
      <w:sdt>
        <w:sdtPr>
          <w:rPr>
            <w:rFonts w:ascii="Arial" w:hAnsi="Arial" w:cs="Arial"/>
            <w:color w:val="000000"/>
          </w:rPr>
          <w:tag w:val="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"/>
          <w:id w:val="1235435298"/>
          <w:placeholder>
            <w:docPart w:val="DefaultPlaceholder_-1854013440"/>
          </w:placeholder>
        </w:sdtPr>
        <w:sdtEndPr/>
        <w:sdtContent>
          <w:r w:rsidR="007E0157" w:rsidRPr="005D7961">
            <w:rPr>
              <w:rFonts w:ascii="Arial" w:eastAsia="Times New Roman" w:hAnsi="Arial" w:cs="Arial"/>
              <w:color w:val="000000"/>
            </w:rPr>
            <w:t>(Argyanezar &amp; Damayanti, 2024; Purwanto &amp; Perkasa, 2024; Wulansari et al., 2023)</w:t>
          </w:r>
        </w:sdtContent>
      </w:sdt>
      <w:r w:rsidRPr="005D7961">
        <w:rPr>
          <w:rFonts w:ascii="Arial" w:hAnsi="Arial" w:cs="Arial"/>
        </w:rPr>
        <w:t xml:space="preserve"> </w:t>
      </w:r>
      <w:r w:rsidRPr="005D7961">
        <w:rPr>
          <w:rFonts w:ascii="Arial" w:hAnsi="Arial" w:cs="Arial"/>
          <w:lang w:val="zh-CN"/>
        </w:rPr>
        <w:t xml:space="preserve">demonstrates that stock prices are positively impacted by liquidity. But according to a number of other research, liquidity has a detrimental impact on stock prices </w:t>
      </w:r>
      <w:sdt>
        <w:sdtPr>
          <w:rPr>
            <w:rFonts w:ascii="Arial" w:eastAsia="SimSun" w:hAnsi="Arial" w:cs="Arial"/>
            <w:color w:val="000000"/>
            <w:lang w:bidi="ar"/>
          </w:rPr>
          <w:tag w:val="MENDELEY_CITATION_v3_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"/>
          <w:id w:val="1234053868"/>
          <w:placeholder>
            <w:docPart w:val="DefaultPlaceholder_-1854013440"/>
          </w:placeholder>
        </w:sdtPr>
        <w:sdtEndPr/>
        <w:sdtContent>
          <w:r w:rsidR="007E0157" w:rsidRPr="005D7961">
            <w:rPr>
              <w:rFonts w:ascii="Arial" w:eastAsia="Times New Roman" w:hAnsi="Arial" w:cs="Arial"/>
              <w:color w:val="000000"/>
            </w:rPr>
            <w:t>(Kusuma et al., 2024; Nugraha &amp; Artini, 2022; Sa’adah et al., 2024)</w:t>
          </w:r>
        </w:sdtContent>
      </w:sdt>
    </w:p>
    <w:p w14:paraId="667CC364" w14:textId="77777777" w:rsidR="002F52FB" w:rsidRPr="005D7961" w:rsidRDefault="002F52FB">
      <w:pPr>
        <w:rPr>
          <w:rFonts w:ascii="Arial" w:hAnsi="Arial" w:cs="Arial"/>
          <w:b/>
          <w:bCs/>
        </w:rPr>
      </w:pPr>
    </w:p>
    <w:p w14:paraId="5B60B1AA" w14:textId="77777777" w:rsidR="002F52FB" w:rsidRPr="005D7961" w:rsidRDefault="0092538B">
      <w:pPr>
        <w:rPr>
          <w:rFonts w:ascii="Arial" w:hAnsi="Arial" w:cs="Arial"/>
          <w:b/>
          <w:bCs/>
          <w:u w:val="single"/>
        </w:rPr>
      </w:pPr>
      <w:r w:rsidRPr="005D7961">
        <w:rPr>
          <w:rFonts w:ascii="Arial" w:hAnsi="Arial" w:cs="Arial"/>
          <w:b/>
          <w:bCs/>
          <w:u w:val="single"/>
        </w:rPr>
        <w:t>3.2.4 The Effect of Asset Efficiency on Stock Prices.</w:t>
      </w:r>
    </w:p>
    <w:p w14:paraId="278CA000" w14:textId="62104D31" w:rsidR="002F52FB" w:rsidRPr="005D7961" w:rsidRDefault="0092538B">
      <w:pPr>
        <w:ind w:firstLine="720"/>
        <w:jc w:val="both"/>
        <w:rPr>
          <w:rFonts w:ascii="Arial" w:hAnsi="Arial" w:cs="Arial"/>
          <w:lang w:val="zh-CN"/>
        </w:rPr>
      </w:pPr>
      <w:r w:rsidRPr="005D7961">
        <w:rPr>
          <w:rFonts w:ascii="Arial" w:hAnsi="Arial" w:cs="Arial"/>
          <w:lang w:val="zh-CN"/>
        </w:rPr>
        <w:t>Table 8 demonstrates that the stock price is significantly positively impacted by the asset efficiency variable</w:t>
      </w:r>
      <w:r w:rsidRPr="005D7961">
        <w:rPr>
          <w:rFonts w:ascii="Arial" w:hAnsi="Arial" w:cs="Arial"/>
        </w:rPr>
        <w:t xml:space="preserve">. So the hypothesis that states that asset efficiency has a significant positive effect on the stock price is supported. These results support signaling theory, because companies that are able to maximize the use of assets to generate revenue are considered to have efficient management. </w:t>
      </w:r>
      <w:r w:rsidRPr="005D7961">
        <w:rPr>
          <w:rFonts w:ascii="Arial" w:hAnsi="Arial" w:cs="Arial"/>
          <w:lang w:val="zh-CN"/>
        </w:rPr>
        <w:t>This is encouraging for investors and makes them more interested in purchasing stocks in order to see the price of those equities rise.</w:t>
      </w:r>
      <w:r w:rsidRPr="005D7961">
        <w:rPr>
          <w:rFonts w:ascii="Arial" w:hAnsi="Arial" w:cs="Arial"/>
        </w:rPr>
        <w:t xml:space="preserve"> These results are in line with research</w:t>
      </w:r>
      <w:r w:rsidR="003852F3" w:rsidRPr="005D7961">
        <w:rPr>
          <w:rFonts w:ascii="Arial" w:hAnsi="Arial" w:cs="Arial"/>
        </w:rPr>
        <w:t xml:space="preserve"> </w:t>
      </w:r>
      <w:sdt>
        <w:sdtPr>
          <w:rPr>
            <w:rFonts w:ascii="Arial" w:hAnsi="Arial" w:cs="Arial"/>
            <w:color w:val="000000"/>
          </w:rPr>
          <w:tag w:val="MENDELEY_CITATION_v3_eyJjaXRhdGlvbklEIjoiTUVOREVMRVlfQ0lUQVRJT05fNmIzZThlMmUtMTQ4Mi00MmNiLThmMGEtOWJlMTEwM2Q3ZjVl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
          <w:id w:val="1685314548"/>
          <w:placeholder>
            <w:docPart w:val="DefaultPlaceholder_-1854013440"/>
          </w:placeholder>
        </w:sdtPr>
        <w:sdtEndPr>
          <w:rPr>
            <w:rFonts w:eastAsia="SimSun"/>
            <w:lang w:bidi="ar"/>
          </w:rPr>
        </w:sdtEndPr>
        <w:sdtContent>
          <w:r w:rsidR="007E0157" w:rsidRPr="005D7961">
            <w:rPr>
              <w:rFonts w:ascii="Arial" w:eastAsia="Times New Roman" w:hAnsi="Arial" w:cs="Arial"/>
              <w:color w:val="000000"/>
            </w:rPr>
            <w:t>(Argyanezar &amp; Damayanti, 2024; Nurcholis et al., 2024; Tantorio et al., 2023).</w:t>
          </w:r>
        </w:sdtContent>
      </w:sdt>
      <w:r w:rsidRPr="005D7961">
        <w:rPr>
          <w:rFonts w:ascii="Arial" w:eastAsia="SimSun" w:hAnsi="Arial" w:cs="Arial"/>
          <w:color w:val="000000"/>
          <w:lang w:bidi="ar"/>
        </w:rPr>
        <w:t xml:space="preserve"> However, contrary to the results of the research </w:t>
      </w:r>
      <w:sdt>
        <w:sdtPr>
          <w:rPr>
            <w:rFonts w:ascii="Arial" w:eastAsia="SimSun" w:hAnsi="Arial" w:cs="Arial"/>
            <w:color w:val="000000"/>
            <w:lang w:bidi="ar"/>
          </w:rPr>
          <w:tag w:val="MENDELEY_CITATION_v3_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"/>
          <w:id w:val="1489980619"/>
          <w:placeholder>
            <w:docPart w:val="DefaultPlaceholder_-1854013440"/>
          </w:placeholder>
        </w:sdtPr>
        <w:sdtEndPr/>
        <w:sdtContent>
          <w:r w:rsidR="007E0157" w:rsidRPr="005D7961">
            <w:rPr>
              <w:rFonts w:ascii="Arial" w:eastAsia="Times New Roman" w:hAnsi="Arial" w:cs="Arial"/>
              <w:color w:val="000000"/>
            </w:rPr>
            <w:t>(Aanggraini &amp; Kardinal, 2023; Nurbaiti &amp; Mardiati, 2024; Sihombing &amp; Zakchona, 2024)</w:t>
          </w:r>
        </w:sdtContent>
      </w:sdt>
      <w:r w:rsidRPr="005D7961">
        <w:rPr>
          <w:rFonts w:ascii="Arial" w:eastAsia="SimSun" w:hAnsi="Arial" w:cs="Arial"/>
          <w:color w:val="000000"/>
          <w:lang w:bidi="ar"/>
        </w:rPr>
        <w:t xml:space="preserve"> who find asset efficiency is actually able to reduce stock prices.</w:t>
      </w:r>
    </w:p>
    <w:p w14:paraId="58E2E04A" w14:textId="77777777" w:rsidR="002F52FB" w:rsidRPr="005D7961" w:rsidRDefault="002F52FB">
      <w:pPr>
        <w:jc w:val="both"/>
        <w:rPr>
          <w:rFonts w:ascii="Arial" w:hAnsi="Arial" w:cs="Arial"/>
        </w:rPr>
      </w:pPr>
    </w:p>
    <w:p w14:paraId="12C34AE1" w14:textId="77777777" w:rsidR="002F52FB" w:rsidRPr="005D7961" w:rsidRDefault="0092538B">
      <w:pPr>
        <w:rPr>
          <w:rFonts w:ascii="Arial" w:hAnsi="Arial" w:cs="Arial"/>
          <w:b/>
          <w:bCs/>
          <w:u w:val="single"/>
        </w:rPr>
      </w:pPr>
      <w:r w:rsidRPr="005D7961">
        <w:rPr>
          <w:rFonts w:ascii="Arial" w:hAnsi="Arial" w:cs="Arial"/>
          <w:b/>
          <w:bCs/>
          <w:u w:val="single"/>
        </w:rPr>
        <w:t>3.2.5 The Effect of Intrinsic Value on Stock Prices.</w:t>
      </w:r>
    </w:p>
    <w:p w14:paraId="691C64F7" w14:textId="01C03B50" w:rsidR="002F52FB" w:rsidRPr="005D7961" w:rsidRDefault="0092538B">
      <w:pPr>
        <w:ind w:firstLine="720"/>
        <w:jc w:val="both"/>
        <w:rPr>
          <w:rFonts w:ascii="Arial" w:hAnsi="Arial" w:cs="Arial"/>
          <w:lang w:val="zh-CN"/>
        </w:rPr>
      </w:pPr>
      <w:r w:rsidRPr="005D7961">
        <w:rPr>
          <w:rFonts w:ascii="Arial" w:hAnsi="Arial" w:cs="Arial"/>
        </w:rPr>
        <w:t>Referring to table 8, it can be concluded that intrinsic value</w:t>
      </w:r>
      <w:r w:rsidR="003B10A9" w:rsidRPr="005D7961">
        <w:rPr>
          <w:rFonts w:ascii="Arial" w:hAnsi="Arial" w:cs="Arial"/>
        </w:rPr>
        <w:t>.</w:t>
      </w:r>
      <w:r w:rsidRPr="005D7961">
        <w:rPr>
          <w:rFonts w:ascii="Arial" w:hAnsi="Arial" w:cs="Arial"/>
        </w:rPr>
        <w:t xml:space="preserve"> </w:t>
      </w:r>
      <w:r w:rsidRPr="005D7961">
        <w:rPr>
          <w:rFonts w:ascii="Arial" w:hAnsi="Arial" w:cs="Arial"/>
          <w:lang w:val="zh-CN"/>
        </w:rPr>
        <w:t xml:space="preserve">The idea that intrinsic value has a substantial positive impact is not substantiated because it has no effect on the stock price. </w:t>
      </w:r>
      <w:r w:rsidRPr="005D7961">
        <w:rPr>
          <w:rFonts w:ascii="Arial" w:hAnsi="Arial" w:cs="Arial"/>
        </w:rPr>
        <w:t xml:space="preserve">This finding contradicts signaling theory, which states that intrinsic value can be a market signal regarding a company's prospects </w:t>
      </w:r>
      <w:sdt>
        <w:sdtPr>
          <w:rPr>
            <w:rFonts w:ascii="Arial" w:hAnsi="Arial" w:cs="Arial"/>
            <w:color w:val="000000"/>
          </w:rPr>
          <w:tag w:val="MENDELEY_CITATION_v3_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"/>
          <w:id w:val="-2094928684"/>
          <w:placeholder>
            <w:docPart w:val="DefaultPlaceholder_-1854013440"/>
          </w:placeholder>
        </w:sdtPr>
        <w:sdtEndPr/>
        <w:sdtContent>
          <w:r w:rsidR="007E0157" w:rsidRPr="005D7961">
            <w:rPr>
              <w:rFonts w:ascii="Arial" w:hAnsi="Arial" w:cs="Arial"/>
              <w:color w:val="000000"/>
            </w:rPr>
            <w:t>(Connelly et al., 2011),</w:t>
          </w:r>
        </w:sdtContent>
      </w:sdt>
      <w:r w:rsidRPr="005D7961">
        <w:rPr>
          <w:rFonts w:ascii="Arial" w:hAnsi="Arial" w:cs="Arial"/>
        </w:rPr>
        <w:t xml:space="preserve"> This is because investors are likely to focus more on other factors such as market sentiment, information outside the company, or their expectations for the future, so that intrinsic value is not too influential in determining stock prices in the non-cyclical consumer</w:t>
      </w:r>
      <w:r w:rsidR="003852F3" w:rsidRPr="005D7961">
        <w:rPr>
          <w:rFonts w:ascii="Arial" w:hAnsi="Arial" w:cs="Arial"/>
        </w:rPr>
        <w:t xml:space="preserve"> </w:t>
      </w:r>
      <w:r w:rsidRPr="005D7961">
        <w:rPr>
          <w:rFonts w:ascii="Arial" w:hAnsi="Arial" w:cs="Arial"/>
        </w:rPr>
        <w:t xml:space="preserve">sector during this research period. </w:t>
      </w:r>
      <w:r w:rsidRPr="005D7961">
        <w:rPr>
          <w:rFonts w:ascii="Arial" w:hAnsi="Arial" w:cs="Arial"/>
          <w:lang w:val="zh-CN"/>
        </w:rPr>
        <w:t>This outcome is consistent with research showing that stock prices are unaffected by intrinsic value</w:t>
      </w:r>
      <w:r w:rsidRPr="005D7961">
        <w:rPr>
          <w:rFonts w:ascii="Arial" w:hAnsi="Arial" w:cs="Arial"/>
        </w:rPr>
        <w:t xml:space="preserve"> </w:t>
      </w:r>
      <w:sdt>
        <w:sdtPr>
          <w:rPr>
            <w:rFonts w:ascii="Arial" w:hAnsi="Arial" w:cs="Arial"/>
            <w:color w:val="000000"/>
          </w:rPr>
          <w:tag w:val="MENDELEY_CITATION_v3_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"/>
          <w:id w:val="-18398072"/>
          <w:placeholder>
            <w:docPart w:val="DefaultPlaceholder_-1854013440"/>
          </w:placeholder>
        </w:sdtPr>
        <w:sdtEndPr>
          <w:rPr>
            <w:rFonts w:eastAsia="SimSun"/>
            <w:lang w:bidi="ar"/>
          </w:rPr>
        </w:sdtEndPr>
        <w:sdtContent>
          <w:r w:rsidR="007E0157" w:rsidRPr="005D7961">
            <w:rPr>
              <w:rFonts w:ascii="Arial" w:eastAsia="Times New Roman" w:hAnsi="Arial" w:cs="Arial"/>
              <w:color w:val="000000"/>
            </w:rPr>
            <w:t>(Harlan &amp; Wijaya, 2022; Lestari &amp; Yudiantoro, 2023; Wulandari et al., 2022).</w:t>
          </w:r>
        </w:sdtContent>
      </w:sdt>
      <w:r w:rsidRPr="005D7961">
        <w:rPr>
          <w:rFonts w:ascii="Arial" w:eastAsia="SimSun" w:hAnsi="Arial" w:cs="Arial"/>
          <w:color w:val="000000"/>
          <w:lang w:bidi="ar"/>
        </w:rPr>
        <w:t xml:space="preserve"> However, the results of the study differ from </w:t>
      </w:r>
      <w:sdt>
        <w:sdtPr>
          <w:rPr>
            <w:rFonts w:ascii="Arial" w:eastAsia="SimSun" w:hAnsi="Arial" w:cs="Arial"/>
            <w:color w:val="000000"/>
            <w:lang w:bidi="ar"/>
          </w:rPr>
          <w:tag w:val="MENDELEY_CITATION_v3_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"/>
          <w:id w:val="-1170565330"/>
          <w:placeholder>
            <w:docPart w:val="DefaultPlaceholder_-1854013440"/>
          </w:placeholder>
        </w:sdtPr>
        <w:sdtEndPr/>
        <w:sdtContent>
          <w:r w:rsidR="007E0157" w:rsidRPr="005D7961">
            <w:rPr>
              <w:rFonts w:ascii="Arial" w:eastAsia="SimSun" w:hAnsi="Arial" w:cs="Arial"/>
              <w:color w:val="000000"/>
              <w:lang w:bidi="ar"/>
            </w:rPr>
            <w:t>(Elieser et al., 2022; Yulia et al., 2023)</w:t>
          </w:r>
        </w:sdtContent>
      </w:sdt>
      <w:r w:rsidRPr="005D7961">
        <w:rPr>
          <w:rFonts w:ascii="Arial" w:eastAsia="SimSun" w:hAnsi="Arial" w:cs="Arial"/>
          <w:color w:val="000000"/>
          <w:lang w:bidi="ar"/>
        </w:rPr>
        <w:t xml:space="preserve"> where intrinsic value is able to increase the stock price.</w:t>
      </w:r>
    </w:p>
    <w:p w14:paraId="015A3FA9" w14:textId="77777777" w:rsidR="002F52FB" w:rsidRPr="005D7961" w:rsidRDefault="002F52FB">
      <w:pPr>
        <w:rPr>
          <w:rFonts w:ascii="Arial" w:hAnsi="Arial" w:cs="Arial"/>
          <w:b/>
          <w:bCs/>
        </w:rPr>
      </w:pPr>
    </w:p>
    <w:p w14:paraId="7E48E765" w14:textId="77777777" w:rsidR="002F52FB" w:rsidRPr="005D7961" w:rsidRDefault="0092538B">
      <w:pPr>
        <w:rPr>
          <w:rFonts w:ascii="Arial" w:eastAsia="SimSun" w:hAnsi="Arial" w:cs="Arial"/>
          <w:u w:val="single"/>
          <w:lang w:bidi="ar"/>
        </w:rPr>
      </w:pPr>
      <w:r w:rsidRPr="005D7961">
        <w:rPr>
          <w:rFonts w:ascii="Arial" w:hAnsi="Arial" w:cs="Arial"/>
          <w:b/>
          <w:bCs/>
          <w:u w:val="single"/>
        </w:rPr>
        <w:t>3.2.6 The Effect of Profitability on Intrinsic Value.</w:t>
      </w:r>
    </w:p>
    <w:p w14:paraId="4DE205F4" w14:textId="0D0B205E" w:rsidR="002F52FB" w:rsidRPr="005D7961" w:rsidRDefault="0092538B">
      <w:pPr>
        <w:ind w:firstLine="720"/>
        <w:jc w:val="both"/>
        <w:rPr>
          <w:rFonts w:ascii="Arial" w:hAnsi="Arial" w:cs="Arial"/>
          <w:lang w:val="zh-CN"/>
        </w:rPr>
      </w:pPr>
      <w:r w:rsidRPr="005D7961">
        <w:rPr>
          <w:rFonts w:ascii="Arial" w:hAnsi="Arial" w:cs="Arial"/>
          <w:lang w:val="zh-CN"/>
        </w:rPr>
        <w:t>Table 8 indicates that intrinsic value is positively and marginally significantly impacted by profitability</w:t>
      </w:r>
      <w:r w:rsidRPr="005D7961">
        <w:rPr>
          <w:rFonts w:ascii="Arial" w:hAnsi="Arial" w:cs="Arial"/>
        </w:rPr>
        <w:t xml:space="preserve">. This supports the hypothesis: profitability has a significant positive influence on intrinsic value. In the framework of </w:t>
      </w:r>
      <w:r w:rsidRPr="005D7961">
        <w:rPr>
          <w:rStyle w:val="Emphasis"/>
          <w:rFonts w:ascii="Arial" w:hAnsi="Arial" w:cs="Arial"/>
          <w:i w:val="0"/>
          <w:iCs w:val="0"/>
        </w:rPr>
        <w:t>signaling theory</w:t>
      </w:r>
      <w:r w:rsidRPr="005D7961">
        <w:rPr>
          <w:rFonts w:ascii="Arial" w:hAnsi="Arial" w:cs="Arial"/>
        </w:rPr>
        <w:t>, profitability is a signal that shows the company's financial performance to investors, where the higher</w:t>
      </w:r>
      <w:r w:rsidR="003852F3" w:rsidRPr="005D7961">
        <w:rPr>
          <w:rFonts w:ascii="Arial" w:hAnsi="Arial" w:cs="Arial"/>
        </w:rPr>
        <w:t xml:space="preserve"> </w:t>
      </w:r>
      <w:r w:rsidRPr="005D7961">
        <w:rPr>
          <w:rFonts w:ascii="Arial" w:hAnsi="Arial" w:cs="Arial"/>
        </w:rPr>
        <w:t xml:space="preserve">the profitability, the better the company's image in the eyes of the market. Thus, profitability is able to have a meaningful influence on intrinsic value. This suggests that investors use profitability as the primary basis in assessing a company's intrinsic value. </w:t>
      </w:r>
      <w:r w:rsidRPr="005D7961">
        <w:rPr>
          <w:rFonts w:ascii="Arial" w:hAnsi="Arial" w:cs="Arial"/>
          <w:lang w:val="zh-CN"/>
        </w:rPr>
        <w:t xml:space="preserve">The findings of this investigation align with the findings of the study carried out by </w:t>
      </w:r>
      <w:sdt>
        <w:sdtPr>
          <w:rPr>
            <w:rFonts w:ascii="Arial" w:hAnsi="Arial" w:cs="Arial"/>
            <w:color w:val="000000"/>
          </w:rPr>
          <w:tag w:val="MENDELEY_CITATION_v3_eyJjaXRhdGlvbklEIjoiTUVOREVMRVlfQ0lUQVRJT05fZTFiYTFjNjAtYzE2YS00ZDljLWI3ZWQtZGY3MGFlNDE5OWEy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sIn0sImNpdGF0aW9uSXRlbXMiOlt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
          <w:id w:val="1649470784"/>
          <w:placeholder>
            <w:docPart w:val="DefaultPlaceholder_-1854013440"/>
          </w:placeholder>
        </w:sdtPr>
        <w:sdtEndPr/>
        <w:sdtContent>
          <w:r w:rsidR="007E0157" w:rsidRPr="005D7961">
            <w:rPr>
              <w:rFonts w:ascii="Arial" w:eastAsia="Times New Roman" w:hAnsi="Arial" w:cs="Arial"/>
              <w:color w:val="000000"/>
            </w:rPr>
            <w:t>(Novita &amp; Aminah, 2024; Pertiwi &amp; Sukoco, 2022),</w:t>
          </w:r>
        </w:sdtContent>
      </w:sdt>
      <w:r w:rsidR="003852F3" w:rsidRPr="005D7961">
        <w:rPr>
          <w:rFonts w:ascii="Arial" w:hAnsi="Arial" w:cs="Arial"/>
          <w:color w:val="000000"/>
        </w:rPr>
        <w:t xml:space="preserve"> </w:t>
      </w:r>
    </w:p>
    <w:p w14:paraId="730B352F" w14:textId="77777777" w:rsidR="002F52FB" w:rsidRPr="005D7961" w:rsidRDefault="002F52FB">
      <w:pPr>
        <w:rPr>
          <w:rFonts w:ascii="Arial" w:hAnsi="Arial" w:cs="Arial"/>
          <w:b/>
          <w:bCs/>
        </w:rPr>
      </w:pPr>
    </w:p>
    <w:p w14:paraId="10043A39" w14:textId="77777777" w:rsidR="002F52FB" w:rsidRPr="005D7961" w:rsidRDefault="0092538B">
      <w:pPr>
        <w:rPr>
          <w:rFonts w:ascii="Arial" w:eastAsia="SimSun" w:hAnsi="Arial" w:cs="Arial"/>
          <w:u w:val="single"/>
          <w:lang w:bidi="ar"/>
        </w:rPr>
      </w:pPr>
      <w:r w:rsidRPr="005D7961">
        <w:rPr>
          <w:rFonts w:ascii="Arial" w:hAnsi="Arial" w:cs="Arial"/>
          <w:b/>
          <w:bCs/>
          <w:u w:val="single"/>
        </w:rPr>
        <w:t>3.2.7 The Effect of Leverage on Intrinsic Value.</w:t>
      </w:r>
    </w:p>
    <w:p w14:paraId="0D3A50C9" w14:textId="7A017D23" w:rsidR="002F52FB" w:rsidRPr="005D7961" w:rsidRDefault="0092538B">
      <w:pPr>
        <w:ind w:firstLine="720"/>
        <w:jc w:val="both"/>
        <w:rPr>
          <w:rFonts w:ascii="Arial" w:hAnsi="Arial" w:cs="Arial"/>
          <w:lang w:val="zh-CN"/>
        </w:rPr>
      </w:pPr>
      <w:r w:rsidRPr="005D7961">
        <w:rPr>
          <w:rFonts w:ascii="Arial" w:hAnsi="Arial" w:cs="Arial"/>
          <w:lang w:val="zh-CN"/>
        </w:rPr>
        <w:t>Leverage has a favourable impact on intrinsic value, according to Table 8. This lends credence to the idea that leverage significantly increases intrinsic value.</w:t>
      </w:r>
      <w:r w:rsidRPr="005D7961">
        <w:rPr>
          <w:rFonts w:ascii="Arial" w:hAnsi="Arial" w:cs="Arial"/>
        </w:rPr>
        <w:t xml:space="preserve"> This means that an increase</w:t>
      </w:r>
      <w:r w:rsidR="003852F3" w:rsidRPr="005D7961">
        <w:rPr>
          <w:rFonts w:ascii="Arial" w:hAnsi="Arial" w:cs="Arial"/>
        </w:rPr>
        <w:t xml:space="preserve"> </w:t>
      </w:r>
      <w:r w:rsidRPr="005D7961">
        <w:rPr>
          <w:rFonts w:ascii="Arial" w:hAnsi="Arial" w:cs="Arial"/>
        </w:rPr>
        <w:t>in effectively managed leverage is considered an efficient financing strategy. This is a positive signal for investors, which ultimately strengthens the market's perception of the company's value, as reflected in the increase in intrinsic value so that these findings support</w:t>
      </w:r>
      <w:r w:rsidR="003852F3" w:rsidRPr="005D7961">
        <w:rPr>
          <w:rFonts w:ascii="Arial" w:hAnsi="Arial" w:cs="Arial"/>
        </w:rPr>
        <w:t xml:space="preserve"> </w:t>
      </w:r>
      <w:r w:rsidRPr="005D7961">
        <w:rPr>
          <w:rFonts w:ascii="Arial" w:hAnsi="Arial" w:cs="Arial"/>
        </w:rPr>
        <w:t xml:space="preserve">the signaling theory. </w:t>
      </w:r>
      <w:r w:rsidRPr="005D7961">
        <w:rPr>
          <w:rFonts w:ascii="Arial" w:hAnsi="Arial" w:cs="Arial"/>
          <w:lang w:val="zh-CN"/>
        </w:rPr>
        <w:t xml:space="preserve">The findings of this investigation are consistent with the work carried out by </w:t>
      </w:r>
      <w:sdt>
        <w:sdtPr>
          <w:rPr>
            <w:rFonts w:ascii="Arial" w:hAnsi="Arial" w:cs="Arial"/>
            <w:color w:val="000000"/>
          </w:rPr>
          <w:tag w:val="MENDELEY_CITATION_v3_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"/>
          <w:id w:val="865338337"/>
          <w:placeholder>
            <w:docPart w:val="DefaultPlaceholder_-1854013440"/>
          </w:placeholder>
        </w:sdtPr>
        <w:sdtEndPr>
          <w:rPr>
            <w:rFonts w:eastAsia="SimSun"/>
            <w:lang w:bidi="ar"/>
          </w:rPr>
        </w:sdtEndPr>
        <w:sdtContent>
          <w:r w:rsidR="007E0157" w:rsidRPr="005D7961">
            <w:rPr>
              <w:rFonts w:ascii="Arial" w:eastAsia="Times New Roman" w:hAnsi="Arial" w:cs="Arial"/>
              <w:color w:val="000000"/>
            </w:rPr>
            <w:t>(Purba &amp; Mahendra, 2022; Purnomo et al., 2024; Susanto &amp; Suryani, 2024),</w:t>
          </w:r>
        </w:sdtContent>
      </w:sdt>
      <w:r w:rsidRPr="005D7961">
        <w:rPr>
          <w:rFonts w:ascii="Arial" w:eastAsia="SimSun" w:hAnsi="Arial" w:cs="Arial"/>
          <w:color w:val="000000"/>
          <w:lang w:bidi="ar"/>
        </w:rPr>
        <w:t xml:space="preserve"> </w:t>
      </w:r>
      <w:r w:rsidRPr="005D7961">
        <w:rPr>
          <w:rFonts w:ascii="Arial" w:eastAsia="SimSun" w:hAnsi="Arial" w:cs="Arial"/>
          <w:lang w:bidi="ar"/>
        </w:rPr>
        <w:t xml:space="preserve">which states that leverage has a positive effect on intrinsic value. In contrast to research from </w:t>
      </w:r>
      <w:sdt>
        <w:sdtPr>
          <w:rPr>
            <w:rFonts w:ascii="Arial" w:eastAsia="SimSun" w:hAnsi="Arial" w:cs="Arial"/>
            <w:color w:val="000000"/>
            <w:lang w:bidi="ar"/>
          </w:rPr>
          <w:tag w:val="MENDELEY_CITATION_v3_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"/>
          <w:id w:val="1322541866"/>
          <w:placeholder>
            <w:docPart w:val="DefaultPlaceholder_-1854013440"/>
          </w:placeholder>
        </w:sdtPr>
        <w:sdtEndPr/>
        <w:sdtContent>
          <w:r w:rsidR="007E0157" w:rsidRPr="005D7961">
            <w:rPr>
              <w:rFonts w:ascii="Arial" w:eastAsia="Times New Roman" w:hAnsi="Arial" w:cs="Arial"/>
              <w:color w:val="000000"/>
            </w:rPr>
            <w:t>(Afanny et al., 2022; Alvian &amp; Munandar, 2022)</w:t>
          </w:r>
        </w:sdtContent>
      </w:sdt>
      <w:r w:rsidRPr="005D7961">
        <w:rPr>
          <w:rFonts w:ascii="Arial" w:eastAsia="SimSun" w:hAnsi="Arial" w:cs="Arial"/>
          <w:color w:val="000000"/>
          <w:lang w:bidi="ar"/>
        </w:rPr>
        <w:t>found that leverage has no effect on intrinsic value.</w:t>
      </w:r>
    </w:p>
    <w:p w14:paraId="1139EBB7" w14:textId="77777777" w:rsidR="002F52FB" w:rsidRPr="005D7961" w:rsidRDefault="002F52FB">
      <w:pPr>
        <w:pStyle w:val="NormalWeb"/>
        <w:spacing w:beforeAutospacing="0" w:afterLines="14" w:after="33" w:afterAutospacing="0"/>
        <w:rPr>
          <w:rFonts w:ascii="Arial" w:hAnsi="Arial" w:cs="Arial"/>
          <w:b/>
          <w:bCs/>
          <w:sz w:val="20"/>
          <w:szCs w:val="20"/>
          <w:lang w:val="id-ID"/>
        </w:rPr>
      </w:pPr>
    </w:p>
    <w:p w14:paraId="671670CC" w14:textId="77777777" w:rsidR="001A6218" w:rsidRDefault="0092538B" w:rsidP="001A6218">
      <w:pPr>
        <w:pStyle w:val="NormalWeb"/>
        <w:spacing w:beforeAutospacing="0" w:afterLines="14" w:after="33" w:afterAutospacing="0"/>
        <w:rPr>
          <w:rFonts w:ascii="Arial" w:hAnsi="Arial" w:cs="Arial"/>
          <w:sz w:val="20"/>
          <w:szCs w:val="20"/>
          <w:u w:val="single"/>
          <w:lang w:val="id-ID"/>
        </w:rPr>
      </w:pPr>
      <w:r w:rsidRPr="005D7961">
        <w:rPr>
          <w:rFonts w:ascii="Arial" w:hAnsi="Arial" w:cs="Arial"/>
          <w:b/>
          <w:bCs/>
          <w:sz w:val="20"/>
          <w:szCs w:val="20"/>
          <w:u w:val="single"/>
        </w:rPr>
        <w:t>3.2.8 The Effect of Liquidity on Intrinsic Value.</w:t>
      </w:r>
    </w:p>
    <w:p w14:paraId="0C150625" w14:textId="1493043E" w:rsidR="002F52FB" w:rsidRPr="001A6218" w:rsidRDefault="0092538B" w:rsidP="001A6218">
      <w:pPr>
        <w:pStyle w:val="NormalWeb"/>
        <w:spacing w:beforeAutospacing="0" w:afterLines="14" w:after="33" w:afterAutospacing="0"/>
        <w:ind w:firstLine="720"/>
        <w:jc w:val="both"/>
        <w:rPr>
          <w:rFonts w:ascii="Arial" w:hAnsi="Arial" w:cs="Arial"/>
          <w:sz w:val="20"/>
          <w:szCs w:val="20"/>
          <w:u w:val="single"/>
          <w:lang w:val="id-ID"/>
        </w:rPr>
      </w:pPr>
      <w:r w:rsidRPr="005D7961">
        <w:rPr>
          <w:rFonts w:ascii="Arial" w:hAnsi="Arial" w:cs="Arial"/>
          <w:sz w:val="20"/>
          <w:szCs w:val="20"/>
          <w:lang w:val="zh-CN"/>
        </w:rPr>
        <w:t>The hypothesis that liquidity influences intrinsic value is not supported by the findings of the hypothesis test, which are shown in table 8</w:t>
      </w:r>
      <w:r w:rsidRPr="005D7961">
        <w:rPr>
          <w:rFonts w:ascii="Arial" w:hAnsi="Arial" w:cs="Arial"/>
          <w:sz w:val="20"/>
          <w:szCs w:val="20"/>
        </w:rPr>
        <w:t xml:space="preserve">. Based on these findings, liquidity has no real influence on the intrinsic value of stocks in the context of non-cyclical consumer sector companies. This is because this sector tends to be stable and is not too affected by liquidity fluctuations, so these results do not support the signaling theory. The results of this study are strengthened by research from </w:t>
      </w:r>
      <w:sdt>
        <w:sdtPr>
          <w:rPr>
            <w:rFonts w:ascii="Arial" w:hAnsi="Arial" w:cs="Arial"/>
            <w:color w:val="000000"/>
            <w:sz w:val="20"/>
            <w:szCs w:val="20"/>
            <w:lang w:val="id-ID"/>
          </w:rPr>
          <w:tag w:val="MENDELEY_CITATION_v3_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"/>
          <w:id w:val="-1290505135"/>
          <w:placeholder>
            <w:docPart w:val="DefaultPlaceholder_-1854013440"/>
          </w:placeholder>
        </w:sdtPr>
        <w:sdtEndPr>
          <w:rPr>
            <w:lang w:bidi="ar"/>
          </w:rPr>
        </w:sdtEndPr>
        <w:sdtContent>
          <w:r w:rsidR="007E0157" w:rsidRPr="005D7961">
            <w:rPr>
              <w:rFonts w:ascii="Arial" w:eastAsia="Times New Roman" w:hAnsi="Arial" w:cs="Arial"/>
              <w:color w:val="000000"/>
              <w:sz w:val="20"/>
            </w:rPr>
            <w:t>(Amrulloh et al., 2022; Dzulhijar et al., 2021; Sofiani &amp; Siregar, 2022)</w:t>
          </w:r>
        </w:sdtContent>
      </w:sdt>
      <w:r w:rsidRPr="005D7961">
        <w:rPr>
          <w:rFonts w:ascii="Arial" w:hAnsi="Arial" w:cs="Arial"/>
          <w:sz w:val="20"/>
          <w:szCs w:val="20"/>
          <w:lang w:val="id-ID" w:bidi="ar"/>
        </w:rPr>
        <w:t xml:space="preserve"> </w:t>
      </w:r>
      <w:r w:rsidRPr="005D7961">
        <w:rPr>
          <w:rFonts w:ascii="Arial" w:hAnsi="Arial" w:cs="Arial"/>
          <w:sz w:val="20"/>
          <w:szCs w:val="20"/>
          <w:lang w:val="zh-CN" w:bidi="ar"/>
        </w:rPr>
        <w:t>which asserts that inherent value is unaffected by liquidity</w:t>
      </w:r>
      <w:r w:rsidRPr="005D7961">
        <w:rPr>
          <w:rFonts w:ascii="Arial" w:hAnsi="Arial" w:cs="Arial"/>
          <w:lang w:val="zh-CN" w:bidi="ar"/>
        </w:rPr>
        <w:t xml:space="preserve">. </w:t>
      </w:r>
      <w:r w:rsidRPr="005D7961">
        <w:rPr>
          <w:rFonts w:ascii="Arial" w:hAnsi="Arial" w:cs="Arial"/>
          <w:sz w:val="20"/>
          <w:szCs w:val="20"/>
          <w:lang w:bidi="ar"/>
        </w:rPr>
        <w:t>Different from research from</w:t>
      </w:r>
      <w:r w:rsidRPr="005D7961">
        <w:rPr>
          <w:rFonts w:ascii="Arial" w:hAnsi="Arial" w:cs="Arial"/>
          <w:sz w:val="20"/>
          <w:szCs w:val="20"/>
          <w:lang w:val="id-ID" w:bidi="ar"/>
        </w:rPr>
        <w:t xml:space="preserve"> </w:t>
      </w:r>
      <w:sdt>
        <w:sdtPr>
          <w:rPr>
            <w:rFonts w:ascii="Arial" w:hAnsi="Arial" w:cs="Arial"/>
            <w:color w:val="000000"/>
            <w:sz w:val="20"/>
            <w:szCs w:val="20"/>
            <w:lang w:val="id-ID" w:bidi="ar"/>
          </w:rPr>
          <w:tag w:val="MENDELEY_CITATION_v3_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"/>
          <w:id w:val="-1744333961"/>
          <w:placeholder>
            <w:docPart w:val="DefaultPlaceholder_-1854013440"/>
          </w:placeholder>
        </w:sdtPr>
        <w:sdtEndPr/>
        <w:sdtContent>
          <w:r w:rsidR="007E0157" w:rsidRPr="005D7961">
            <w:rPr>
              <w:rFonts w:ascii="Arial" w:eastAsia="Times New Roman" w:hAnsi="Arial" w:cs="Arial"/>
              <w:color w:val="000000"/>
              <w:sz w:val="20"/>
            </w:rPr>
            <w:t>(Novita &amp; Aminah, 2024; Pertiwi &amp; Sukoco, 2022)</w:t>
          </w:r>
        </w:sdtContent>
      </w:sdt>
      <w:r w:rsidRPr="005D7961">
        <w:rPr>
          <w:rFonts w:ascii="Arial" w:hAnsi="Arial" w:cs="Arial"/>
          <w:color w:val="000000"/>
          <w:sz w:val="20"/>
          <w:szCs w:val="20"/>
          <w:lang w:val="id-ID" w:bidi="ar"/>
        </w:rPr>
        <w:t xml:space="preserve"> </w:t>
      </w:r>
      <w:r w:rsidRPr="005D7961">
        <w:rPr>
          <w:rFonts w:ascii="Arial" w:hAnsi="Arial" w:cs="Arial"/>
          <w:color w:val="000000"/>
          <w:sz w:val="20"/>
          <w:szCs w:val="20"/>
          <w:lang w:bidi="ar"/>
        </w:rPr>
        <w:t>which found that liquidity can increase intrinsic value.</w:t>
      </w:r>
    </w:p>
    <w:p w14:paraId="1D996906" w14:textId="77777777" w:rsidR="002F52FB" w:rsidRPr="005D7961" w:rsidRDefault="002F52FB">
      <w:pPr>
        <w:pStyle w:val="NormalWeb"/>
        <w:spacing w:beforeAutospacing="0" w:afterAutospacing="0"/>
        <w:jc w:val="both"/>
        <w:rPr>
          <w:rFonts w:ascii="Arial" w:hAnsi="Arial" w:cs="Arial"/>
          <w:sz w:val="20"/>
          <w:szCs w:val="20"/>
          <w:lang w:val="id-ID" w:bidi="ar"/>
        </w:rPr>
      </w:pPr>
    </w:p>
    <w:p w14:paraId="215ECBC5" w14:textId="77777777" w:rsidR="002F52FB" w:rsidRPr="005D7961" w:rsidRDefault="0092538B">
      <w:pPr>
        <w:rPr>
          <w:rFonts w:ascii="Arial" w:eastAsia="SimSun" w:hAnsi="Arial" w:cs="Arial"/>
          <w:u w:val="single"/>
          <w:lang w:bidi="ar"/>
        </w:rPr>
      </w:pPr>
      <w:r w:rsidRPr="005D7961">
        <w:rPr>
          <w:rFonts w:ascii="Arial" w:hAnsi="Arial" w:cs="Arial"/>
          <w:b/>
          <w:bCs/>
          <w:u w:val="single"/>
        </w:rPr>
        <w:t xml:space="preserve">3.2.9 The Effect of Asset Efficiency on Intrinsic Value </w:t>
      </w:r>
    </w:p>
    <w:p w14:paraId="4CBC0E12" w14:textId="13D0D3DB" w:rsidR="002F52FB" w:rsidRPr="005D7961" w:rsidRDefault="0092538B">
      <w:pPr>
        <w:ind w:firstLine="720"/>
        <w:jc w:val="both"/>
        <w:rPr>
          <w:rFonts w:ascii="Arial" w:eastAsia="SimSun" w:hAnsi="Arial" w:cs="Arial"/>
          <w:color w:val="000000"/>
          <w:lang w:val="zh-CN" w:bidi="ar"/>
        </w:rPr>
      </w:pPr>
      <w:r w:rsidRPr="005D7961">
        <w:rPr>
          <w:rFonts w:ascii="Arial" w:hAnsi="Arial" w:cs="Arial"/>
          <w:lang w:val="zh-CN"/>
        </w:rPr>
        <w:t>Table 8's test findings demonstrate that asset efficiency has no discernible impact on the stock's intrinsic value. Therefore, there is little evidence to support the premise that asset efficiency significantly increases intrinsic value</w:t>
      </w:r>
      <w:r w:rsidRPr="005D7961">
        <w:rPr>
          <w:rFonts w:ascii="Arial" w:hAnsi="Arial" w:cs="Arial"/>
        </w:rPr>
        <w:t xml:space="preserve">. </w:t>
      </w:r>
      <w:r w:rsidRPr="005D7961">
        <w:rPr>
          <w:rFonts w:ascii="Arial" w:hAnsi="Arial" w:cs="Arial"/>
          <w:lang w:val="zh-CN"/>
        </w:rPr>
        <w:t>The capacity of a business to make money from its assets is theoretically reflected in asset efficiency</w:t>
      </w:r>
      <w:r w:rsidRPr="005D7961">
        <w:rPr>
          <w:rFonts w:ascii="Arial" w:hAnsi="Arial" w:cs="Arial"/>
        </w:rPr>
        <w:t xml:space="preserve"> </w:t>
      </w:r>
      <w:sdt>
        <w:sdtPr>
          <w:rPr>
            <w:rFonts w:ascii="Arial" w:hAnsi="Arial" w:cs="Arial"/>
            <w:color w:val="000000"/>
          </w:rPr>
          <w:tag w:val="MENDELEY_CITATION_v3_eyJjaXRhdGlvbklEIjoiTUVOREVMRVlfQ0lUQVRJT05fNzdlNTNlMTQtMTIxYS00Y2YxLTkxNmUtNmQ2ZDVkOWRmNTE1IiwicHJvcGVydGllcyI6eyJub3RlSW5kZXgiOjB9LCJpc0VkaXRlZCI6ZmFsc2UsIm1hbnVhbE92ZXJyaWRlIjp7ImlzTWFudWFsbHlPdmVycmlkZGVuIjp0cnVlLCJjaXRlcHJvY1RleHQiOiIoVGFudG9yaW8gZXQgYWwuLCAyMDIzKSIsIm1hbnVhbE92ZXJyaWRlVGV4dCI6IihUYW50b3JpbyBldCBhbC4sIDIwMjMpLC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
          <w:id w:val="1292405592"/>
          <w:placeholder>
            <w:docPart w:val="DefaultPlaceholder_-1854013440"/>
          </w:placeholder>
        </w:sdtPr>
        <w:sdtEndPr/>
        <w:sdtContent>
          <w:r w:rsidR="007E0157" w:rsidRPr="005D7961">
            <w:rPr>
              <w:rFonts w:ascii="Arial" w:hAnsi="Arial" w:cs="Arial"/>
              <w:color w:val="000000"/>
            </w:rPr>
            <w:t>(Tantorio et al., 2023),</w:t>
          </w:r>
        </w:sdtContent>
      </w:sdt>
      <w:r w:rsidRPr="005D7961">
        <w:rPr>
          <w:rFonts w:ascii="Arial" w:hAnsi="Arial" w:cs="Arial"/>
        </w:rPr>
        <w:t xml:space="preserve"> These results indicate that investors do not make asset efficiency the main indicator in assessing the fair value of stocks. This may be because efficiency does not necessarily reflect the overall quality of profits, or because investors consider other ratios such as profitability and capital structure in shaping perceptions of intrinsic value. </w:t>
      </w:r>
      <w:r w:rsidRPr="005D7961">
        <w:rPr>
          <w:rFonts w:ascii="Arial" w:hAnsi="Arial" w:cs="Arial"/>
          <w:lang w:val="zh-CN"/>
        </w:rPr>
        <w:t xml:space="preserve">The findings of this investigation are corroborated by </w:t>
      </w:r>
      <w:sdt>
        <w:sdtPr>
          <w:rPr>
            <w:rFonts w:ascii="Arial" w:hAnsi="Arial" w:cs="Arial"/>
            <w:color w:val="000000"/>
          </w:rPr>
          <w:tag w:val="MENDELEY_CITATION_v3_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"/>
          <w:id w:val="-1906983771"/>
          <w:placeholder>
            <w:docPart w:val="DefaultPlaceholder_-1854013440"/>
          </w:placeholder>
        </w:sdtPr>
        <w:sdtEndPr>
          <w:rPr>
            <w:rFonts w:eastAsia="SimSun"/>
            <w:lang w:bidi="ar"/>
          </w:rPr>
        </w:sdtEndPr>
        <w:sdtContent>
          <w:r w:rsidR="007E0157" w:rsidRPr="005D7961">
            <w:rPr>
              <w:rFonts w:ascii="Arial" w:eastAsia="Times New Roman" w:hAnsi="Arial" w:cs="Arial"/>
              <w:color w:val="000000"/>
            </w:rPr>
            <w:t>(Amrulloh et al., 2022; Cahyono &amp; Aryani, 2024; Sahyu &amp; Kristianti Maharani, 2023)</w:t>
          </w:r>
        </w:sdtContent>
      </w:sdt>
      <w:r w:rsidRPr="005D7961">
        <w:rPr>
          <w:rFonts w:ascii="Arial" w:eastAsia="SimSun" w:hAnsi="Arial" w:cs="Arial"/>
          <w:lang w:bidi="ar"/>
        </w:rPr>
        <w:t xml:space="preserve"> </w:t>
      </w:r>
      <w:r w:rsidRPr="005D7961">
        <w:rPr>
          <w:rFonts w:ascii="Arial" w:eastAsia="SimSun" w:hAnsi="Arial" w:cs="Arial"/>
          <w:lang w:val="zh-CN" w:bidi="ar"/>
        </w:rPr>
        <w:t xml:space="preserve">in contrast to the study's findings </w:t>
      </w:r>
      <w:sdt>
        <w:sdtPr>
          <w:rPr>
            <w:rFonts w:ascii="Arial" w:eastAsia="SimSun" w:hAnsi="Arial" w:cs="Arial"/>
            <w:color w:val="000000"/>
            <w:lang w:bidi="ar"/>
          </w:rPr>
          <w:tag w:val="MENDELEY_CITATION_v3_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"/>
          <w:id w:val="782686753"/>
          <w:placeholder>
            <w:docPart w:val="DefaultPlaceholder_-1854013440"/>
          </w:placeholder>
        </w:sdtPr>
        <w:sdtEndPr/>
        <w:sdtContent>
          <w:r w:rsidR="007E0157" w:rsidRPr="005D7961">
            <w:rPr>
              <w:rFonts w:ascii="Arial" w:eastAsia="SimSun" w:hAnsi="Arial" w:cs="Arial"/>
              <w:color w:val="000000"/>
              <w:lang w:bidi="ar"/>
            </w:rPr>
            <w:t>(Hasangapon et al., 2021; Rachmawati et al., 2022)</w:t>
          </w:r>
        </w:sdtContent>
      </w:sdt>
      <w:r w:rsidRPr="005D7961">
        <w:rPr>
          <w:rFonts w:ascii="Arial" w:eastAsia="SimSun" w:hAnsi="Arial" w:cs="Arial"/>
          <w:color w:val="000000"/>
          <w:lang w:bidi="ar"/>
        </w:rPr>
        <w:t xml:space="preserve"> </w:t>
      </w:r>
      <w:r w:rsidRPr="005D7961">
        <w:rPr>
          <w:rFonts w:ascii="Arial" w:eastAsia="SimSun" w:hAnsi="Arial" w:cs="Arial"/>
          <w:color w:val="000000"/>
          <w:lang w:val="zh-CN" w:bidi="ar"/>
        </w:rPr>
        <w:t>It demonstrates how asset efficiency affects intrinsic value pricing.</w:t>
      </w:r>
    </w:p>
    <w:p w14:paraId="6574A9A5" w14:textId="77777777" w:rsidR="002F52FB" w:rsidRPr="005D7961" w:rsidRDefault="002F52FB">
      <w:pPr>
        <w:ind w:firstLine="720"/>
        <w:jc w:val="both"/>
        <w:rPr>
          <w:rFonts w:ascii="Arial" w:eastAsia="SimSun" w:hAnsi="Arial" w:cs="Arial"/>
          <w:color w:val="000000"/>
          <w:lang w:val="zh-CN" w:bidi="ar"/>
        </w:rPr>
      </w:pPr>
    </w:p>
    <w:p w14:paraId="479D085E" w14:textId="77777777" w:rsidR="002F52FB" w:rsidRPr="005D7961" w:rsidRDefault="0092538B">
      <w:pPr>
        <w:rPr>
          <w:rFonts w:ascii="Arial" w:hAnsi="Arial" w:cs="Arial"/>
          <w:b/>
          <w:bCs/>
          <w:u w:val="single"/>
        </w:rPr>
      </w:pPr>
      <w:r w:rsidRPr="005D7961">
        <w:rPr>
          <w:rFonts w:ascii="Arial" w:hAnsi="Arial" w:cs="Arial"/>
          <w:b/>
          <w:bCs/>
          <w:u w:val="single"/>
        </w:rPr>
        <w:t>3.2.10 The role of intrinsic value in the relationship between profitability, leverage, liquidity, and asset efficiency to stock prices</w:t>
      </w:r>
    </w:p>
    <w:p w14:paraId="6E56C76D" w14:textId="37968B6C" w:rsidR="002F52FB" w:rsidRPr="005D7961" w:rsidRDefault="0092538B">
      <w:pPr>
        <w:ind w:firstLine="720"/>
        <w:jc w:val="both"/>
        <w:rPr>
          <w:rFonts w:ascii="Arial" w:hAnsi="Arial" w:cs="Arial"/>
          <w:lang w:val="zh-CN"/>
        </w:rPr>
      </w:pPr>
      <w:r w:rsidRPr="005D7961">
        <w:rPr>
          <w:rFonts w:ascii="Arial" w:hAnsi="Arial" w:cs="Arial"/>
        </w:rPr>
        <w:t xml:space="preserve">Based on the results of the hypothesis test table 8, </w:t>
      </w:r>
      <w:r w:rsidRPr="005D7961">
        <w:rPr>
          <w:rFonts w:ascii="Arial" w:hAnsi="Arial" w:cs="Arial"/>
          <w:lang w:val="zh-CN"/>
        </w:rPr>
        <w:t xml:space="preserve">It was discovered that the stock price is unaffected by intrinsic value </w:t>
      </w:r>
      <w:r w:rsidRPr="005D7961">
        <w:rPr>
          <w:rFonts w:ascii="Arial" w:hAnsi="Arial" w:cs="Arial"/>
        </w:rPr>
        <w:t xml:space="preserve">and fails to mediate in the relationship between the financial ratio and the stock price. Based on the classic mediation framework of </w:t>
      </w:r>
      <w:sdt>
        <w:sdtPr>
          <w:rPr>
            <w:rFonts w:ascii="Arial" w:hAnsi="Arial" w:cs="Arial"/>
            <w:color w:val="000000"/>
          </w:rPr>
          <w:tag w:val="MENDELEY_CITATION_v3_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"/>
          <w:id w:val="317009763"/>
          <w:placeholder>
            <w:docPart w:val="DefaultPlaceholder_-1854013440"/>
          </w:placeholder>
        </w:sdtPr>
        <w:sdtEndPr/>
        <w:sdtContent>
          <w:r w:rsidR="007E0157" w:rsidRPr="005D7961">
            <w:rPr>
              <w:rFonts w:ascii="Arial" w:eastAsia="Times New Roman" w:hAnsi="Arial" w:cs="Arial"/>
              <w:color w:val="000000"/>
            </w:rPr>
            <w:t>Baron &amp; Kenny (1986),</w:t>
          </w:r>
        </w:sdtContent>
      </w:sdt>
      <w:r w:rsidRPr="005D7961">
        <w:rPr>
          <w:rFonts w:ascii="Arial" w:hAnsi="Arial" w:cs="Arial"/>
        </w:rPr>
        <w:t xml:space="preserve"> The mediator must meet the significance requirements of both X to M, and M to Y. Although profitability and leverage have a significant effect on intrinsic value. However, the intrinsic value does not have a significant effect on the stock price, so it is statistically not qualified as a valid mediator. Therefore, the H10-H13 hypothesis, which states that intrinsic value mediates the relationship between financial ratios (profitability, leverage, liquidity, and asset efficiency) to stock prices, is not supported. This statement is supported by mediation testing using the sobel test in table 9.</w:t>
      </w:r>
    </w:p>
    <w:p w14:paraId="122D932B" w14:textId="5AB24F33" w:rsidR="002F52FB" w:rsidRPr="005D7961" w:rsidRDefault="0092538B">
      <w:pPr>
        <w:ind w:firstLine="720"/>
        <w:jc w:val="both"/>
        <w:rPr>
          <w:rFonts w:ascii="Arial" w:hAnsi="Arial" w:cs="Arial"/>
        </w:rPr>
      </w:pPr>
      <w:r w:rsidRPr="005D7961">
        <w:rPr>
          <w:rFonts w:ascii="Arial" w:hAnsi="Arial" w:cs="Arial"/>
        </w:rPr>
        <w:t>The failure of intrinsic value as a signal in the non-cyclical consumer sector occurs because investors in this sector prioritize stability and sustainability of performance, rather than market valuations. This sector is theoretically defensive, so operational signals such as profitability and asset efficiency are</w:t>
      </w:r>
      <w:r w:rsidR="003852F3" w:rsidRPr="005D7961">
        <w:rPr>
          <w:rFonts w:ascii="Arial" w:hAnsi="Arial" w:cs="Arial"/>
        </w:rPr>
        <w:t xml:space="preserve"> </w:t>
      </w:r>
      <w:r w:rsidRPr="005D7961">
        <w:rPr>
          <w:rFonts w:ascii="Arial" w:hAnsi="Arial" w:cs="Arial"/>
        </w:rPr>
        <w:t xml:space="preserve">more trusted as direct indicators of company performance. This signal is considered clearer, measurable, and effective in shaping investor perceptions </w:t>
      </w:r>
      <w:sdt>
        <w:sdtPr>
          <w:rPr>
            <w:rFonts w:ascii="Arial" w:hAnsi="Arial" w:cs="Arial"/>
            <w:color w:val="000000"/>
          </w:rPr>
          <w:tag w:val="MENDELEY_CITATION_v3_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"/>
          <w:id w:val="65086209"/>
          <w:placeholder>
            <w:docPart w:val="DefaultPlaceholder_-1854013440"/>
          </w:placeholder>
        </w:sdtPr>
        <w:sdtEndPr/>
        <w:sdtContent>
          <w:r w:rsidR="007E0157" w:rsidRPr="005D7961">
            <w:rPr>
              <w:rFonts w:ascii="Arial" w:hAnsi="Arial" w:cs="Arial"/>
              <w:color w:val="000000"/>
            </w:rPr>
            <w:t>(Connelly et al., 2011),</w:t>
          </w:r>
        </w:sdtContent>
      </w:sdt>
      <w:r w:rsidRPr="005D7961">
        <w:rPr>
          <w:rFonts w:ascii="Arial" w:hAnsi="Arial" w:cs="Arial"/>
        </w:rPr>
        <w:t xml:space="preserve"> In contrast, intrinsic value becomes more relevant in high-growth and high-risk sectors, where investors strongly consider the company's future prospects and reputation as the basis for valuation </w:t>
      </w:r>
      <w:sdt>
        <w:sdtPr>
          <w:rPr>
            <w:rFonts w:ascii="Arial" w:hAnsi="Arial" w:cs="Arial"/>
            <w:color w:val="000000"/>
          </w:rPr>
          <w:tag w:val="MENDELEY_CITATION_v3_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"/>
          <w:id w:val="1608618261"/>
          <w:placeholder>
            <w:docPart w:val="DefaultPlaceholder_-1854013440"/>
          </w:placeholder>
        </w:sdtPr>
        <w:sdtEndPr/>
        <w:sdtContent>
          <w:r w:rsidR="007E0157" w:rsidRPr="005D7961">
            <w:rPr>
              <w:rFonts w:ascii="Arial" w:hAnsi="Arial" w:cs="Arial"/>
              <w:color w:val="000000"/>
            </w:rPr>
            <w:t>(Wu et al., 2025).</w:t>
          </w:r>
        </w:sdtContent>
      </w:sdt>
      <w:r w:rsidRPr="005D7961">
        <w:rPr>
          <w:rFonts w:ascii="Arial" w:hAnsi="Arial" w:cs="Arial"/>
        </w:rPr>
        <w:t xml:space="preserve"> </w:t>
      </w:r>
    </w:p>
    <w:p w14:paraId="797381C1" w14:textId="77777777" w:rsidR="002F52FB" w:rsidRPr="005D7961" w:rsidRDefault="0092538B">
      <w:pPr>
        <w:ind w:firstLine="720"/>
        <w:jc w:val="both"/>
        <w:rPr>
          <w:rFonts w:ascii="Arial" w:hAnsi="Arial" w:cs="Arial"/>
        </w:rPr>
      </w:pPr>
      <w:r w:rsidRPr="005D7961">
        <w:rPr>
          <w:rFonts w:ascii="Arial" w:hAnsi="Arial" w:cs="Arial"/>
        </w:rPr>
        <w:t>These findings confirm that signaling theory and mediation models are not universally applicable. The effectiveness of signals is heavily influenced by sectoral contexts, investor preferences, and market characteristics. Therefore, intrinsic value tends to be effective only as a signal in high-growth sectors, so cross-sector studies are needed to re-evaluate their role in the formation of stock prices.</w:t>
      </w:r>
      <w:r w:rsidRPr="005D7961">
        <w:rPr>
          <w:rFonts w:ascii="Arial" w:hAnsi="Arial" w:cs="Arial"/>
        </w:rPr>
        <w:tab/>
      </w:r>
    </w:p>
    <w:p w14:paraId="5F45BE99" w14:textId="77777777" w:rsidR="002F52FB" w:rsidRPr="005D7961" w:rsidRDefault="002F52FB">
      <w:pPr>
        <w:jc w:val="both"/>
        <w:rPr>
          <w:rFonts w:ascii="Arial" w:hAnsi="Arial" w:cs="Arial"/>
          <w:b/>
          <w:bCs/>
          <w:sz w:val="22"/>
          <w:szCs w:val="22"/>
        </w:rPr>
      </w:pPr>
    </w:p>
    <w:p w14:paraId="11ADEC98" w14:textId="77777777" w:rsidR="002F52FB" w:rsidRPr="005D7961" w:rsidRDefault="0092538B">
      <w:pPr>
        <w:jc w:val="both"/>
        <w:rPr>
          <w:rFonts w:ascii="Arial" w:hAnsi="Arial" w:cs="Arial"/>
          <w:b/>
          <w:bCs/>
          <w:sz w:val="22"/>
          <w:szCs w:val="22"/>
        </w:rPr>
      </w:pPr>
      <w:r w:rsidRPr="005D7961">
        <w:rPr>
          <w:rFonts w:ascii="Arial" w:hAnsi="Arial" w:cs="Arial"/>
          <w:b/>
          <w:bCs/>
          <w:sz w:val="22"/>
          <w:szCs w:val="22"/>
        </w:rPr>
        <w:t>4. CONCLUSION</w:t>
      </w:r>
    </w:p>
    <w:p w14:paraId="275B3A8A" w14:textId="77777777" w:rsidR="007E0157" w:rsidRPr="005D7961" w:rsidRDefault="0092538B">
      <w:pPr>
        <w:ind w:firstLine="720"/>
        <w:jc w:val="both"/>
        <w:rPr>
          <w:rFonts w:ascii="Arial" w:hAnsi="Arial" w:cs="Arial"/>
        </w:rPr>
        <w:sectPr w:rsidR="007E0157" w:rsidRPr="005D7961" w:rsidSect="007E0157">
          <w:type w:val="continuous"/>
          <w:pgSz w:w="11906" w:h="16838"/>
          <w:pgMar w:top="1440" w:right="2018" w:bottom="2018" w:left="2018" w:header="720" w:footer="720" w:gutter="0"/>
          <w:cols w:num="2" w:space="709"/>
          <w:docGrid w:linePitch="360"/>
        </w:sectPr>
      </w:pPr>
      <w:r w:rsidRPr="005D7961">
        <w:rPr>
          <w:rFonts w:ascii="Arial" w:hAnsi="Arial" w:cs="Arial"/>
        </w:rPr>
        <w:t>This study found that profitability affects the intrinsic value and stock price. Companies that have</w:t>
      </w:r>
      <w:r w:rsidR="003852F3" w:rsidRPr="005D7961">
        <w:rPr>
          <w:rFonts w:ascii="Arial" w:hAnsi="Arial" w:cs="Arial"/>
        </w:rPr>
        <w:t xml:space="preserve"> </w:t>
      </w:r>
      <w:r w:rsidRPr="005D7961">
        <w:rPr>
          <w:rFonts w:ascii="Arial" w:hAnsi="Arial" w:cs="Arial"/>
        </w:rPr>
        <w:t>a high level of profitability usually have better intrinsic value and higher share prices, because they are considered to have brighter prospects and are able to provide optimal returns for shareholders.</w:t>
      </w:r>
      <w:r w:rsidR="003852F3" w:rsidRPr="005D7961">
        <w:rPr>
          <w:rFonts w:ascii="Arial" w:hAnsi="Arial" w:cs="Arial"/>
        </w:rPr>
        <w:t xml:space="preserve"> </w:t>
      </w:r>
      <w:r w:rsidRPr="005D7961">
        <w:rPr>
          <w:rFonts w:ascii="Arial" w:hAnsi="Arial" w:cs="Arial"/>
          <w:lang w:val="zh-CN"/>
        </w:rPr>
        <w:t>Stock prices are positively impacted by asset efficiency, while intrinsic value is unaffected by this ratio</w:t>
      </w:r>
      <w:r w:rsidRPr="005D7961">
        <w:rPr>
          <w:rFonts w:ascii="Arial" w:hAnsi="Arial" w:cs="Arial"/>
        </w:rPr>
        <w:t xml:space="preserve">. This shows that investors respond directly to financial performance without fundamental valuation considerations. Although it increases intrinsic value, in this case leverage has no effect on the stock price. Liquidity also does not affect its intrinsic value, but it does have a positive impact on stock prices, indicating the importance of short-term financial stability. The mediation test shows that intrinsic value does not play a mediator in </w:t>
      </w:r>
      <w:r w:rsidRPr="005D7961">
        <w:rPr>
          <w:rFonts w:ascii="Arial" w:hAnsi="Arial" w:cs="Arial"/>
          <w:lang w:val="zh-CN"/>
        </w:rPr>
        <w:t xml:space="preserve">the connection between stock prices and financial ratios </w:t>
      </w:r>
      <w:r w:rsidRPr="005D7961">
        <w:rPr>
          <w:rFonts w:ascii="Arial" w:hAnsi="Arial" w:cs="Arial"/>
        </w:rPr>
        <w:t xml:space="preserve">because it does not meet the mediation requirements </w:t>
      </w:r>
    </w:p>
    <w:p w14:paraId="585A441B" w14:textId="69F258EB" w:rsidR="002F52FB" w:rsidRPr="005D7961" w:rsidRDefault="007E0157">
      <w:pPr>
        <w:ind w:firstLine="720"/>
        <w:jc w:val="both"/>
        <w:rPr>
          <w:rFonts w:ascii="Arial" w:hAnsi="Arial" w:cs="Arial"/>
          <w:lang w:val="zh-CN"/>
        </w:rPr>
      </w:pPr>
      <w:r w:rsidRPr="005D7961">
        <w:rPr>
          <w:rFonts w:ascii="Arial" w:hAnsi="Arial" w:cs="Arial"/>
          <w:color w:val="000000"/>
        </w:rPr>
        <w:t>.</w:t>
      </w:r>
      <w:sdt>
        <w:sdtPr>
          <w:rPr>
            <w:rFonts w:ascii="Arial" w:hAnsi="Arial" w:cs="Arial"/>
            <w:color w:val="000000"/>
          </w:rPr>
          <w:tag w:val="MENDELEY_CITATION_v3_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"/>
          <w:id w:val="-979310904"/>
          <w:placeholder>
            <w:docPart w:val="DefaultPlaceholder_-1854013440"/>
          </w:placeholder>
        </w:sdtPr>
        <w:sdtEndPr/>
        <w:sdtContent>
          <w:r w:rsidRPr="005D7961">
            <w:rPr>
              <w:rFonts w:ascii="Arial" w:eastAsia="Times New Roman" w:hAnsi="Arial" w:cs="Arial"/>
              <w:color w:val="000000"/>
            </w:rPr>
            <w:t>(Baron &amp; Kenny, 1986).</w:t>
          </w:r>
        </w:sdtContent>
      </w:sdt>
      <w:r w:rsidRPr="005D7961">
        <w:rPr>
          <w:rFonts w:ascii="Arial" w:hAnsi="Arial" w:cs="Arial"/>
        </w:rPr>
        <w:t xml:space="preserve"> </w:t>
      </w:r>
      <w:bookmarkEnd w:id="7"/>
      <w:r w:rsidRPr="005D7961">
        <w:rPr>
          <w:rFonts w:ascii="Arial" w:hAnsi="Arial" w:cs="Arial"/>
        </w:rPr>
        <w:t xml:space="preserve">Thus, in the non-cyclical consumer sector, stock prices are determined more by direct perceptions of financial ratios than fair value assessments. These findings do not fully support signaling theory, as fundamental signals are not always accepted by the market as a determinant of stock prices. </w:t>
      </w:r>
    </w:p>
    <w:p w14:paraId="45BD715F" w14:textId="31DFE138" w:rsidR="002F52FB" w:rsidRPr="002F1CC7" w:rsidRDefault="0092538B" w:rsidP="002F1CC7">
      <w:pPr>
        <w:ind w:firstLine="720"/>
        <w:jc w:val="both"/>
        <w:rPr>
          <w:rFonts w:ascii="Arial" w:hAnsi="Arial" w:cs="Arial"/>
          <w:lang w:val="en-US"/>
        </w:rPr>
      </w:pPr>
      <w:r w:rsidRPr="005D7961">
        <w:rPr>
          <w:rFonts w:ascii="Arial" w:hAnsi="Arial" w:cs="Arial"/>
          <w:lang w:val="zh-CN"/>
        </w:rPr>
        <w:t>This study's drawback is that it just examines non-cyclical consumer sector businesses listed on the Indonesia Stock Exchange</w:t>
      </w:r>
      <w:r w:rsidRPr="005D7961">
        <w:rPr>
          <w:rFonts w:ascii="Arial" w:hAnsi="Arial" w:cs="Arial"/>
        </w:rPr>
        <w:t>, so the results cannot be generalized to other sectors. In addition, the study has not considered external variables such as macroeconomic and non-financial factors that can also affect stock prices. Therefore, further research is recommended to expand the scope of the sector and include external variables so that the research results become more comprehensive and accurate.</w:t>
      </w:r>
    </w:p>
    <w:p w14:paraId="0FB32B12" w14:textId="303BFB5D" w:rsidR="002F52FB" w:rsidRPr="005D7961" w:rsidRDefault="0092538B">
      <w:pPr>
        <w:ind w:firstLine="720"/>
        <w:jc w:val="both"/>
        <w:rPr>
          <w:rFonts w:ascii="Arial" w:hAnsi="Arial" w:cs="Arial"/>
          <w:lang w:val="zh-CN"/>
        </w:rPr>
      </w:pPr>
      <w:r w:rsidRPr="005D7961">
        <w:rPr>
          <w:rFonts w:ascii="Arial" w:hAnsi="Arial" w:cs="Arial"/>
        </w:rPr>
        <w:t>Based on the results of the study on the influence</w:t>
      </w:r>
      <w:r w:rsidR="003852F3" w:rsidRPr="005D7961">
        <w:rPr>
          <w:rFonts w:ascii="Arial" w:hAnsi="Arial" w:cs="Arial"/>
        </w:rPr>
        <w:t xml:space="preserve"> </w:t>
      </w:r>
      <w:r w:rsidRPr="005D7961">
        <w:rPr>
          <w:rFonts w:ascii="Arial" w:hAnsi="Arial" w:cs="Arial"/>
        </w:rPr>
        <w:t xml:space="preserve">of profitability, leverage, liquidity, and asset efficiency on stock prices with intrinsic value as a mediating variable, there are several recommendations that are relevant for </w:t>
      </w:r>
      <w:r w:rsidRPr="005D7961">
        <w:rPr>
          <w:rFonts w:ascii="Arial" w:hAnsi="Arial" w:cs="Arial"/>
          <w:lang w:val="zh-CN"/>
        </w:rPr>
        <w:t>Indonesian Stock Exchange firms in the non-cyclical consumer industry. For the management of the business</w:t>
      </w:r>
      <w:r w:rsidRPr="005D7961">
        <w:rPr>
          <w:rFonts w:ascii="Arial" w:hAnsi="Arial" w:cs="Arial"/>
        </w:rPr>
        <w:t>, improving strategies to maximize profitability and asset efficiency needs to be refocused because both have been proven to positively affect stock prices. Asset optimization and operational efficiency are the keys to increasing the attractiveness of stocks in the eyes of investors. Management is advised to manage the capital structure wisely. Although leverage is able to increase intrinsic value</w:t>
      </w:r>
      <w:r w:rsidRPr="005D7961">
        <w:rPr>
          <w:rFonts w:ascii="Arial" w:hAnsi="Arial" w:cs="Arial"/>
          <w:lang w:val="zh-CN"/>
        </w:rPr>
        <w:t>It</w:t>
      </w:r>
      <w:r w:rsidR="003B10A9" w:rsidRPr="005D7961">
        <w:rPr>
          <w:rFonts w:ascii="Arial" w:hAnsi="Arial" w:cs="Arial"/>
          <w:lang w:val="en-US"/>
        </w:rPr>
        <w:t>,</w:t>
      </w:r>
      <w:r w:rsidRPr="005D7961">
        <w:rPr>
          <w:rFonts w:ascii="Arial" w:hAnsi="Arial" w:cs="Arial"/>
          <w:lang w:val="zh-CN"/>
        </w:rPr>
        <w:t xml:space="preserve"> has no impact on the price of stocks</w:t>
      </w:r>
      <w:r w:rsidRPr="005D7961">
        <w:rPr>
          <w:rFonts w:ascii="Arial" w:hAnsi="Arial" w:cs="Arial"/>
        </w:rPr>
        <w:t>. Therefore, companies need to maintain debt ratios so that high risk perception by investors does not arise. Furthermore, companies are advised to maintain</w:t>
      </w:r>
      <w:r w:rsidR="003852F3" w:rsidRPr="005D7961">
        <w:rPr>
          <w:rFonts w:ascii="Arial" w:hAnsi="Arial" w:cs="Arial"/>
        </w:rPr>
        <w:t xml:space="preserve"> </w:t>
      </w:r>
      <w:r w:rsidRPr="005D7961">
        <w:rPr>
          <w:rFonts w:ascii="Arial" w:hAnsi="Arial" w:cs="Arial"/>
        </w:rPr>
        <w:t>optimal liquidity. Although liquidity does not have a significant effect on intrinsic value, it is still a consideration for investors in decision-making, as it has a positive impact on stock prices. Efficient management of cash, receivables, and inventories can support short-term financial stability.</w:t>
      </w:r>
    </w:p>
    <w:p w14:paraId="6788180B" w14:textId="77777777" w:rsidR="002F52FB" w:rsidRPr="005D7961" w:rsidRDefault="0092538B">
      <w:pPr>
        <w:ind w:firstLine="720"/>
        <w:jc w:val="both"/>
        <w:rPr>
          <w:rFonts w:ascii="Arial" w:hAnsi="Arial" w:cs="Arial"/>
        </w:rPr>
      </w:pPr>
      <w:r w:rsidRPr="005D7961">
        <w:rPr>
          <w:rFonts w:ascii="Arial" w:hAnsi="Arial" w:cs="Arial"/>
        </w:rPr>
        <w:t>For investors, it is recommended to prioritize the analysis of the actual financial ratio rather than relying on intrinsic value alone, because these fundamental factors are proven to affect the stock price of this sector more.</w:t>
      </w:r>
    </w:p>
    <w:p w14:paraId="6B0F5B46" w14:textId="77777777" w:rsidR="002F52FB" w:rsidRPr="005D7961" w:rsidRDefault="002F52FB">
      <w:pPr>
        <w:rPr>
          <w:rFonts w:ascii="Arial" w:hAnsi="Arial" w:cs="Arial"/>
          <w:b/>
          <w:bCs/>
          <w:sz w:val="22"/>
          <w:szCs w:val="22"/>
        </w:rPr>
      </w:pPr>
    </w:p>
    <w:p w14:paraId="472D813E" w14:textId="0A90B00D" w:rsidR="002F52FB" w:rsidRPr="005D7961" w:rsidRDefault="00E360E2">
      <w:pPr>
        <w:jc w:val="center"/>
        <w:rPr>
          <w:rFonts w:ascii="Arial" w:hAnsi="Arial" w:cs="Arial"/>
          <w:b/>
          <w:bCs/>
          <w:sz w:val="22"/>
          <w:szCs w:val="22"/>
        </w:rPr>
      </w:pPr>
      <w:r>
        <w:rPr>
          <w:rFonts w:ascii="Arial" w:hAnsi="Arial" w:cs="Arial"/>
          <w:b/>
          <w:bCs/>
          <w:sz w:val="22"/>
          <w:szCs w:val="22"/>
        </w:rPr>
        <w:t>REFERENCES</w:t>
      </w:r>
    </w:p>
    <w:sdt>
      <w:sdtPr>
        <w:rPr>
          <w:rFonts w:ascii="Arial" w:hAnsi="Arial" w:cs="Arial"/>
        </w:rPr>
        <w:tag w:val="MENDELEY_BIBLIOGRAPHY"/>
        <w:id w:val="-565579588"/>
        <w:placeholder>
          <w:docPart w:val="DefaultPlaceholder_-1854013440"/>
        </w:placeholder>
      </w:sdtPr>
      <w:sdtEndPr/>
      <w:sdtContent>
        <w:p w14:paraId="0D17D336" w14:textId="6E5A5E2D" w:rsidR="007E0157" w:rsidRPr="005D7961" w:rsidRDefault="007E0157" w:rsidP="005D7961">
          <w:pPr>
            <w:autoSpaceDE w:val="0"/>
            <w:autoSpaceDN w:val="0"/>
            <w:ind w:hanging="480"/>
            <w:jc w:val="both"/>
            <w:divId w:val="1131090610"/>
            <w:rPr>
              <w:rFonts w:ascii="Arial" w:eastAsia="Times New Roman" w:hAnsi="Arial" w:cs="Arial"/>
              <w:sz w:val="24"/>
              <w:szCs w:val="24"/>
            </w:rPr>
          </w:pPr>
          <w:r w:rsidRPr="005D7961">
            <w:rPr>
              <w:rFonts w:ascii="Arial" w:eastAsia="Times New Roman" w:hAnsi="Arial" w:cs="Arial"/>
            </w:rPr>
            <w:t xml:space="preserve">Aanggraini, M., &amp; Kardinal. (2023). Pengaruh Rasio Aktivitas Terhadap Harga Saham Pada Perusahaan Manufaktur Yang Tercatat Di BEI. </w:t>
          </w:r>
          <w:r w:rsidRPr="005D7961">
            <w:rPr>
              <w:rFonts w:ascii="Arial" w:eastAsia="Times New Roman" w:hAnsi="Arial" w:cs="Arial"/>
              <w:i/>
              <w:iCs/>
            </w:rPr>
            <w:t>PROCEEDING MDP STUDENT CONFERENCE (MSC) 2023</w:t>
          </w:r>
          <w:r w:rsidRPr="005D7961">
            <w:rPr>
              <w:rFonts w:ascii="Arial" w:eastAsia="Times New Roman" w:hAnsi="Arial" w:cs="Arial"/>
            </w:rPr>
            <w:t xml:space="preserve">, </w:t>
          </w:r>
          <w:r w:rsidRPr="005D7961">
            <w:rPr>
              <w:rFonts w:ascii="Arial" w:eastAsia="Times New Roman" w:hAnsi="Arial" w:cs="Arial"/>
              <w:i/>
              <w:iCs/>
            </w:rPr>
            <w:t>2</w:t>
          </w:r>
          <w:r w:rsidRPr="005D7961">
            <w:rPr>
              <w:rFonts w:ascii="Arial" w:eastAsia="Times New Roman" w:hAnsi="Arial" w:cs="Arial"/>
            </w:rPr>
            <w:t>(2). https://doi.org/10.35957/mdp-sc.v2i2.4085</w:t>
          </w:r>
        </w:p>
        <w:p w14:paraId="660E6CD9" w14:textId="77777777" w:rsidR="007E0157" w:rsidRPr="005D7961" w:rsidRDefault="007E0157" w:rsidP="005D7961">
          <w:pPr>
            <w:autoSpaceDE w:val="0"/>
            <w:autoSpaceDN w:val="0"/>
            <w:ind w:hanging="480"/>
            <w:jc w:val="both"/>
            <w:divId w:val="73165241"/>
            <w:rPr>
              <w:rFonts w:ascii="Arial" w:eastAsia="Times New Roman" w:hAnsi="Arial" w:cs="Arial"/>
            </w:rPr>
          </w:pPr>
          <w:r w:rsidRPr="005D7961">
            <w:rPr>
              <w:rFonts w:ascii="Arial" w:eastAsia="Times New Roman" w:hAnsi="Arial" w:cs="Arial"/>
            </w:rPr>
            <w:t xml:space="preserve">Abu-Bader, S., &amp; Jones, T. V. (2021). Statistical Mediation Analysis Using The Sobel Test And Hayes Spss Process Macro. </w:t>
          </w:r>
          <w:r w:rsidRPr="005D7961">
            <w:rPr>
              <w:rFonts w:ascii="Arial" w:eastAsia="Times New Roman" w:hAnsi="Arial" w:cs="Arial"/>
              <w:i/>
              <w:iCs/>
            </w:rPr>
            <w:t>International Journal of Quantitative and Qualitative Research Methods</w:t>
          </w:r>
          <w:r w:rsidRPr="005D7961">
            <w:rPr>
              <w:rFonts w:ascii="Arial" w:eastAsia="Times New Roman" w:hAnsi="Arial" w:cs="Arial"/>
            </w:rPr>
            <w:t xml:space="preserve">, </w:t>
          </w:r>
          <w:r w:rsidRPr="005D7961">
            <w:rPr>
              <w:rFonts w:ascii="Arial" w:eastAsia="Times New Roman" w:hAnsi="Arial" w:cs="Arial"/>
              <w:i/>
              <w:iCs/>
            </w:rPr>
            <w:t>9</w:t>
          </w:r>
          <w:r w:rsidRPr="005D7961">
            <w:rPr>
              <w:rFonts w:ascii="Arial" w:eastAsia="Times New Roman" w:hAnsi="Arial" w:cs="Arial"/>
            </w:rPr>
            <w:t>(1), 42–61. https://ssrn.com/abstract=3799204</w:t>
          </w:r>
        </w:p>
        <w:p w14:paraId="52729D71" w14:textId="77777777" w:rsidR="007E0157" w:rsidRPr="005D7961" w:rsidRDefault="007E0157" w:rsidP="005D7961">
          <w:pPr>
            <w:autoSpaceDE w:val="0"/>
            <w:autoSpaceDN w:val="0"/>
            <w:ind w:hanging="480"/>
            <w:jc w:val="both"/>
            <w:divId w:val="166865973"/>
            <w:rPr>
              <w:rFonts w:ascii="Arial" w:eastAsia="Times New Roman" w:hAnsi="Arial" w:cs="Arial"/>
            </w:rPr>
          </w:pPr>
          <w:r w:rsidRPr="005D7961">
            <w:rPr>
              <w:rFonts w:ascii="Arial" w:eastAsia="Times New Roman" w:hAnsi="Arial" w:cs="Arial"/>
            </w:rPr>
            <w:t xml:space="preserve">Afanny, A., Ginting, R. R., Br Tarigan, A. E., &amp; Hutagalung, G. (2022). The The Effect of Current Ratio and Debt to Equity Ratio on Company Value with Return on Asset as Intervening Variable in Food and Beverage Companies Listed on the Indonesia Stock Exchange for Period 2017-2020. </w:t>
          </w:r>
          <w:r w:rsidRPr="005D7961">
            <w:rPr>
              <w:rFonts w:ascii="Arial" w:eastAsia="Times New Roman" w:hAnsi="Arial" w:cs="Arial"/>
              <w:i/>
              <w:iCs/>
            </w:rPr>
            <w:t>International Journal of Social Science Research and Review</w:t>
          </w:r>
          <w:r w:rsidRPr="005D7961">
            <w:rPr>
              <w:rFonts w:ascii="Arial" w:eastAsia="Times New Roman" w:hAnsi="Arial" w:cs="Arial"/>
            </w:rPr>
            <w:t xml:space="preserve">, </w:t>
          </w:r>
          <w:r w:rsidRPr="005D7961">
            <w:rPr>
              <w:rFonts w:ascii="Arial" w:eastAsia="Times New Roman" w:hAnsi="Arial" w:cs="Arial"/>
              <w:i/>
              <w:iCs/>
            </w:rPr>
            <w:t>5</w:t>
          </w:r>
          <w:r w:rsidRPr="005D7961">
            <w:rPr>
              <w:rFonts w:ascii="Arial" w:eastAsia="Times New Roman" w:hAnsi="Arial" w:cs="Arial"/>
            </w:rPr>
            <w:t>(10), 1–12. https://doi.org/10.47814/ijssrr.v5i10.559</w:t>
          </w:r>
        </w:p>
        <w:p w14:paraId="120EE560" w14:textId="77777777" w:rsidR="007E0157" w:rsidRPr="005D7961" w:rsidRDefault="007E0157" w:rsidP="005D7961">
          <w:pPr>
            <w:autoSpaceDE w:val="0"/>
            <w:autoSpaceDN w:val="0"/>
            <w:ind w:hanging="480"/>
            <w:jc w:val="both"/>
            <w:divId w:val="1505245169"/>
            <w:rPr>
              <w:rFonts w:ascii="Arial" w:eastAsia="Times New Roman" w:hAnsi="Arial" w:cs="Arial"/>
            </w:rPr>
          </w:pPr>
          <w:r w:rsidRPr="005D7961">
            <w:rPr>
              <w:rFonts w:ascii="Arial" w:eastAsia="Times New Roman" w:hAnsi="Arial" w:cs="Arial"/>
            </w:rPr>
            <w:t xml:space="preserve">Alvian, R., &amp; Munandar, A. (2022). The influence of debt to equity ratio, net profit margin, and cash ratio on firm value. </w:t>
          </w:r>
          <w:r w:rsidRPr="005D7961">
            <w:rPr>
              <w:rFonts w:ascii="Arial" w:eastAsia="Times New Roman" w:hAnsi="Arial" w:cs="Arial"/>
              <w:i/>
              <w:iCs/>
            </w:rPr>
            <w:t>Jurnal Ilmiah Akuntansi Dan Keuangan</w:t>
          </w:r>
          <w:r w:rsidRPr="005D7961">
            <w:rPr>
              <w:rFonts w:ascii="Arial" w:eastAsia="Times New Roman" w:hAnsi="Arial" w:cs="Arial"/>
            </w:rPr>
            <w:t xml:space="preserve">, </w:t>
          </w:r>
          <w:r w:rsidRPr="005D7961">
            <w:rPr>
              <w:rFonts w:ascii="Arial" w:eastAsia="Times New Roman" w:hAnsi="Arial" w:cs="Arial"/>
              <w:i/>
              <w:iCs/>
            </w:rPr>
            <w:t>4</w:t>
          </w:r>
          <w:r w:rsidRPr="005D7961">
            <w:rPr>
              <w:rFonts w:ascii="Arial" w:eastAsia="Times New Roman" w:hAnsi="Arial" w:cs="Arial"/>
            </w:rPr>
            <w:t>(7), 2022. https://journal.ikopin.ac.id/index.php/fairvalue</w:t>
          </w:r>
        </w:p>
        <w:p w14:paraId="608247E0" w14:textId="52930CAE" w:rsidR="007E0157" w:rsidRPr="005D7961" w:rsidRDefault="007E0157" w:rsidP="005D7961">
          <w:pPr>
            <w:autoSpaceDE w:val="0"/>
            <w:autoSpaceDN w:val="0"/>
            <w:ind w:hanging="480"/>
            <w:jc w:val="both"/>
            <w:divId w:val="1765034619"/>
            <w:rPr>
              <w:rFonts w:ascii="Arial" w:eastAsia="Times New Roman" w:hAnsi="Arial" w:cs="Arial"/>
            </w:rPr>
          </w:pPr>
          <w:r w:rsidRPr="005D7961">
            <w:rPr>
              <w:rFonts w:ascii="Arial" w:eastAsia="Times New Roman" w:hAnsi="Arial" w:cs="Arial"/>
            </w:rPr>
            <w:t xml:space="preserve">Amrulloh, A., Abdullah, L. O., Ramdan, A., &amp; Laksmiwati, M. (2022). Pengaruh Current Ratio, Debt To Equity Ratio, Total Asset Turnover dan Return on Asset Terhadap Nilai Perusahaan (Studi Empiris pada Perusahaan Sub Sektor Logam dan Sejenisnya yang Terdaftar di Bursa Efek Indonesia Periode 2017-2021). </w:t>
          </w:r>
          <w:r w:rsidRPr="005D7961">
            <w:rPr>
              <w:rFonts w:ascii="Arial" w:eastAsia="Times New Roman" w:hAnsi="Arial" w:cs="Arial"/>
              <w:i/>
              <w:iCs/>
            </w:rPr>
            <w:t>Jurnal Ekonomika Dan Manajemen</w:t>
          </w:r>
          <w:r w:rsidRPr="005D7961">
            <w:rPr>
              <w:rFonts w:ascii="Arial" w:eastAsia="Times New Roman" w:hAnsi="Arial" w:cs="Arial"/>
            </w:rPr>
            <w:t xml:space="preserve">, </w:t>
          </w:r>
          <w:r w:rsidRPr="005D7961">
            <w:rPr>
              <w:rFonts w:ascii="Arial" w:eastAsia="Times New Roman" w:hAnsi="Arial" w:cs="Arial"/>
              <w:i/>
              <w:iCs/>
            </w:rPr>
            <w:t>11</w:t>
          </w:r>
          <w:r w:rsidRPr="005D7961">
            <w:rPr>
              <w:rFonts w:ascii="Arial" w:eastAsia="Times New Roman" w:hAnsi="Arial" w:cs="Arial"/>
            </w:rPr>
            <w:t>(2), 2252–6226. https://doi.org/10.36080/jem.v11i2.2068</w:t>
          </w:r>
        </w:p>
        <w:p w14:paraId="010C3877" w14:textId="16583FC4" w:rsidR="007E0157" w:rsidRPr="005D7961" w:rsidRDefault="007E0157" w:rsidP="005D7961">
          <w:pPr>
            <w:autoSpaceDE w:val="0"/>
            <w:autoSpaceDN w:val="0"/>
            <w:ind w:hanging="480"/>
            <w:jc w:val="both"/>
            <w:divId w:val="245579727"/>
            <w:rPr>
              <w:rFonts w:ascii="Arial" w:eastAsia="Times New Roman" w:hAnsi="Arial" w:cs="Arial"/>
            </w:rPr>
          </w:pPr>
          <w:r w:rsidRPr="005D7961">
            <w:rPr>
              <w:rFonts w:ascii="Arial" w:eastAsia="Times New Roman" w:hAnsi="Arial" w:cs="Arial"/>
            </w:rPr>
            <w:t xml:space="preserve">Argyanezar, V. G., &amp; Damayanti, S. (2024). The Effect of Return on Assets, Current Ratio, Total Asset Turnover, and Debt to Equity Ratio on Stock Prices. </w:t>
          </w:r>
          <w:r w:rsidRPr="005D7961">
            <w:rPr>
              <w:rFonts w:ascii="Arial" w:eastAsia="Times New Roman" w:hAnsi="Arial" w:cs="Arial"/>
              <w:i/>
              <w:iCs/>
            </w:rPr>
            <w:t>ECo-Buss : Economy and Bussines</w:t>
          </w:r>
          <w:r w:rsidRPr="005D7961">
            <w:rPr>
              <w:rFonts w:ascii="Arial" w:eastAsia="Times New Roman" w:hAnsi="Arial" w:cs="Arial"/>
            </w:rPr>
            <w:t xml:space="preserve">, </w:t>
          </w:r>
          <w:r w:rsidRPr="005D7961">
            <w:rPr>
              <w:rFonts w:ascii="Arial" w:eastAsia="Times New Roman" w:hAnsi="Arial" w:cs="Arial"/>
              <w:i/>
              <w:iCs/>
            </w:rPr>
            <w:t>7</w:t>
          </w:r>
          <w:r w:rsidRPr="005D7961">
            <w:rPr>
              <w:rFonts w:ascii="Arial" w:eastAsia="Times New Roman" w:hAnsi="Arial" w:cs="Arial"/>
            </w:rPr>
            <w:t>(1). https://doi.org/10.32877/eb.v7i1.1231</w:t>
          </w:r>
        </w:p>
        <w:p w14:paraId="4CDEE9C6" w14:textId="77777777" w:rsidR="007E0157" w:rsidRPr="005D7961" w:rsidRDefault="007E0157" w:rsidP="005D7961">
          <w:pPr>
            <w:autoSpaceDE w:val="0"/>
            <w:autoSpaceDN w:val="0"/>
            <w:ind w:hanging="480"/>
            <w:jc w:val="both"/>
            <w:divId w:val="552883878"/>
            <w:rPr>
              <w:rFonts w:ascii="Arial" w:eastAsia="Times New Roman" w:hAnsi="Arial" w:cs="Arial"/>
            </w:rPr>
          </w:pPr>
          <w:r w:rsidRPr="005D7961">
            <w:rPr>
              <w:rFonts w:ascii="Arial" w:eastAsia="Times New Roman" w:hAnsi="Arial" w:cs="Arial"/>
            </w:rPr>
            <w:t xml:space="preserve">Arhinful, R., &amp; Radmehr, M. (2023). The Impact of Financial Leverage on the Financial Performance of the Firms Listed on the Tokyo Stock Exchange. </w:t>
          </w:r>
          <w:r w:rsidRPr="005D7961">
            <w:rPr>
              <w:rFonts w:ascii="Arial" w:eastAsia="Times New Roman" w:hAnsi="Arial" w:cs="Arial"/>
              <w:i/>
              <w:iCs/>
            </w:rPr>
            <w:t>SAGE Open</w:t>
          </w:r>
          <w:r w:rsidRPr="005D7961">
            <w:rPr>
              <w:rFonts w:ascii="Arial" w:eastAsia="Times New Roman" w:hAnsi="Arial" w:cs="Arial"/>
            </w:rPr>
            <w:t xml:space="preserve">, </w:t>
          </w:r>
          <w:r w:rsidRPr="005D7961">
            <w:rPr>
              <w:rFonts w:ascii="Arial" w:eastAsia="Times New Roman" w:hAnsi="Arial" w:cs="Arial"/>
              <w:i/>
              <w:iCs/>
            </w:rPr>
            <w:t>13</w:t>
          </w:r>
          <w:r w:rsidRPr="005D7961">
            <w:rPr>
              <w:rFonts w:ascii="Arial" w:eastAsia="Times New Roman" w:hAnsi="Arial" w:cs="Arial"/>
            </w:rPr>
            <w:t>(4). https://doi.org/10.1177/21582440231204099</w:t>
          </w:r>
        </w:p>
        <w:p w14:paraId="1EBB21C8" w14:textId="52B8CB33" w:rsidR="007E0157" w:rsidRPr="005D7961" w:rsidRDefault="007E0157" w:rsidP="005D7961">
          <w:pPr>
            <w:autoSpaceDE w:val="0"/>
            <w:autoSpaceDN w:val="0"/>
            <w:ind w:hanging="480"/>
            <w:jc w:val="both"/>
            <w:divId w:val="1197474257"/>
            <w:rPr>
              <w:rFonts w:ascii="Arial" w:eastAsia="Times New Roman" w:hAnsi="Arial" w:cs="Arial"/>
            </w:rPr>
          </w:pPr>
          <w:r w:rsidRPr="005D7961">
            <w:rPr>
              <w:rFonts w:ascii="Arial" w:eastAsia="Times New Roman" w:hAnsi="Arial" w:cs="Arial"/>
            </w:rPr>
            <w:t xml:space="preserve">Arifin, C. B., Zulbetti, R., &amp; Perwito. (2024). Financial Ratios’ Effect on Stock Prices in Banking Subsector Companies. </w:t>
          </w:r>
          <w:r w:rsidRPr="005D7961">
            <w:rPr>
              <w:rFonts w:ascii="Arial" w:eastAsia="Times New Roman" w:hAnsi="Arial" w:cs="Arial"/>
              <w:i/>
              <w:iCs/>
            </w:rPr>
            <w:t>Jurnal Ilmu Keuangan Dan Perbankan (JIKA)</w:t>
          </w:r>
          <w:r w:rsidRPr="005D7961">
            <w:rPr>
              <w:rFonts w:ascii="Arial" w:eastAsia="Times New Roman" w:hAnsi="Arial" w:cs="Arial"/>
            </w:rPr>
            <w:t xml:space="preserve">, </w:t>
          </w:r>
          <w:r w:rsidRPr="005D7961">
            <w:rPr>
              <w:rFonts w:ascii="Arial" w:eastAsia="Times New Roman" w:hAnsi="Arial" w:cs="Arial"/>
              <w:i/>
              <w:iCs/>
            </w:rPr>
            <w:t>14</w:t>
          </w:r>
          <w:r w:rsidRPr="005D7961">
            <w:rPr>
              <w:rFonts w:ascii="Arial" w:eastAsia="Times New Roman" w:hAnsi="Arial" w:cs="Arial"/>
            </w:rPr>
            <w:t>(1). https://doi.org/10.34010/jika.v14i1.14139</w:t>
          </w:r>
        </w:p>
        <w:p w14:paraId="0C0BB43A" w14:textId="77777777" w:rsidR="007E0157" w:rsidRPr="005D7961" w:rsidRDefault="007E0157" w:rsidP="005D7961">
          <w:pPr>
            <w:autoSpaceDE w:val="0"/>
            <w:autoSpaceDN w:val="0"/>
            <w:ind w:hanging="480"/>
            <w:jc w:val="both"/>
            <w:divId w:val="562063771"/>
            <w:rPr>
              <w:rFonts w:ascii="Arial" w:eastAsia="Times New Roman" w:hAnsi="Arial" w:cs="Arial"/>
            </w:rPr>
          </w:pPr>
          <w:r w:rsidRPr="005D7961">
            <w:rPr>
              <w:rFonts w:ascii="Arial" w:eastAsia="Times New Roman" w:hAnsi="Arial" w:cs="Arial"/>
            </w:rPr>
            <w:t xml:space="preserve">Baron, R. M., &amp; Kenny, D. A. (1986). The Moderator-Mediator Variable Distinction in Social Psychological Research. Conceptual, Strategic, and Statistical Considerations. </w:t>
          </w:r>
          <w:r w:rsidRPr="005D7961">
            <w:rPr>
              <w:rFonts w:ascii="Arial" w:eastAsia="Times New Roman" w:hAnsi="Arial" w:cs="Arial"/>
              <w:i/>
              <w:iCs/>
            </w:rPr>
            <w:t>Journal of Personality and Social Psychology</w:t>
          </w:r>
          <w:r w:rsidRPr="005D7961">
            <w:rPr>
              <w:rFonts w:ascii="Arial" w:eastAsia="Times New Roman" w:hAnsi="Arial" w:cs="Arial"/>
            </w:rPr>
            <w:t xml:space="preserve">, </w:t>
          </w:r>
          <w:r w:rsidRPr="005D7961">
            <w:rPr>
              <w:rFonts w:ascii="Arial" w:eastAsia="Times New Roman" w:hAnsi="Arial" w:cs="Arial"/>
              <w:i/>
              <w:iCs/>
            </w:rPr>
            <w:t>51</w:t>
          </w:r>
          <w:r w:rsidRPr="005D7961">
            <w:rPr>
              <w:rFonts w:ascii="Arial" w:eastAsia="Times New Roman" w:hAnsi="Arial" w:cs="Arial"/>
            </w:rPr>
            <w:t>(6), 1173–1182. https://doi.org/10.1037/0022-3514.51.6.1173</w:t>
          </w:r>
        </w:p>
        <w:p w14:paraId="380DBBE2" w14:textId="77777777" w:rsidR="007E0157" w:rsidRPr="005D7961" w:rsidRDefault="007E0157" w:rsidP="005D7961">
          <w:pPr>
            <w:autoSpaceDE w:val="0"/>
            <w:autoSpaceDN w:val="0"/>
            <w:ind w:hanging="480"/>
            <w:jc w:val="both"/>
            <w:divId w:val="240918465"/>
            <w:rPr>
              <w:rFonts w:ascii="Arial" w:eastAsia="Times New Roman" w:hAnsi="Arial" w:cs="Arial"/>
            </w:rPr>
          </w:pPr>
          <w:r w:rsidRPr="005D7961">
            <w:rPr>
              <w:rFonts w:ascii="Arial" w:eastAsia="Times New Roman" w:hAnsi="Arial" w:cs="Arial"/>
            </w:rPr>
            <w:t xml:space="preserve">Barsyah, N. L., &amp; Hermi, H. (2025). Faktor yang Mempengaruhi Profitabilitas pada Perusahaan Consumer Non Cyclical Tahun 2021-2023. </w:t>
          </w:r>
          <w:r w:rsidRPr="005D7961">
            <w:rPr>
              <w:rFonts w:ascii="Arial" w:eastAsia="Times New Roman" w:hAnsi="Arial" w:cs="Arial"/>
              <w:i/>
              <w:iCs/>
            </w:rPr>
            <w:t>Jurnal Inovasi Ekonomi Syariah Dan Akuntansi</w:t>
          </w:r>
          <w:r w:rsidRPr="005D7961">
            <w:rPr>
              <w:rFonts w:ascii="Arial" w:eastAsia="Times New Roman" w:hAnsi="Arial" w:cs="Arial"/>
            </w:rPr>
            <w:t xml:space="preserve">, </w:t>
          </w:r>
          <w:r w:rsidRPr="005D7961">
            <w:rPr>
              <w:rFonts w:ascii="Arial" w:eastAsia="Times New Roman" w:hAnsi="Arial" w:cs="Arial"/>
              <w:i/>
              <w:iCs/>
            </w:rPr>
            <w:t>2</w:t>
          </w:r>
          <w:r w:rsidRPr="005D7961">
            <w:rPr>
              <w:rFonts w:ascii="Arial" w:eastAsia="Times New Roman" w:hAnsi="Arial" w:cs="Arial"/>
            </w:rPr>
            <w:t>(2), 1–16. https://doi.org/10.61132/jiesa.v2i2.847</w:t>
          </w:r>
        </w:p>
        <w:p w14:paraId="01EDAA64" w14:textId="40306415" w:rsidR="007E0157" w:rsidRPr="005D7961" w:rsidRDefault="007E0157" w:rsidP="005D7961">
          <w:pPr>
            <w:autoSpaceDE w:val="0"/>
            <w:autoSpaceDN w:val="0"/>
            <w:ind w:hanging="480"/>
            <w:jc w:val="both"/>
            <w:divId w:val="738213141"/>
            <w:rPr>
              <w:rFonts w:ascii="Arial" w:eastAsia="Times New Roman" w:hAnsi="Arial" w:cs="Arial"/>
            </w:rPr>
          </w:pPr>
          <w:r w:rsidRPr="005D7961">
            <w:rPr>
              <w:rFonts w:ascii="Arial" w:eastAsia="Times New Roman" w:hAnsi="Arial" w:cs="Arial"/>
            </w:rPr>
            <w:t>Berry</w:t>
          </w:r>
          <w:r w:rsidRPr="005D7961">
            <w:rPr>
              <w:rFonts w:ascii="Arial" w:eastAsia="Times New Roman" w:hAnsi="Arial" w:cs="Arial"/>
              <w:vertAlign w:val="superscript"/>
            </w:rPr>
            <w:t>1</w:t>
          </w:r>
          <w:r w:rsidRPr="005D7961">
            <w:rPr>
              <w:rFonts w:ascii="Arial" w:eastAsia="Times New Roman" w:hAnsi="Arial" w:cs="Arial"/>
            </w:rPr>
            <w:t xml:space="preserve">, Y. (2023). Perspective Financial Ratios in Assessing the Performance of Stock on Textile Sector Firm Listed on the Indonesia Stock Exchange. </w:t>
          </w:r>
          <w:r w:rsidRPr="005D7961">
            <w:rPr>
              <w:rFonts w:ascii="Arial" w:eastAsia="Times New Roman" w:hAnsi="Arial" w:cs="Arial"/>
              <w:i/>
              <w:iCs/>
            </w:rPr>
            <w:t>Jurnal Manjemn Universitas Bung Hata</w:t>
          </w:r>
          <w:r w:rsidRPr="005D7961">
            <w:rPr>
              <w:rFonts w:ascii="Arial" w:eastAsia="Times New Roman" w:hAnsi="Arial" w:cs="Arial"/>
            </w:rPr>
            <w:t xml:space="preserve">, </w:t>
          </w:r>
          <w:r w:rsidRPr="005D7961">
            <w:rPr>
              <w:rFonts w:ascii="Arial" w:eastAsia="Times New Roman" w:hAnsi="Arial" w:cs="Arial"/>
              <w:i/>
              <w:iCs/>
            </w:rPr>
            <w:t>18</w:t>
          </w:r>
          <w:r w:rsidRPr="005D7961">
            <w:rPr>
              <w:rFonts w:ascii="Arial" w:eastAsia="Times New Roman" w:hAnsi="Arial" w:cs="Arial"/>
            </w:rPr>
            <w:t>(02). https://doi.org/10.37301/jmubh.v18i2.22027</w:t>
          </w:r>
        </w:p>
        <w:p w14:paraId="15AE7747" w14:textId="77777777" w:rsidR="007E0157" w:rsidRPr="005D7961" w:rsidRDefault="007E0157" w:rsidP="005D7961">
          <w:pPr>
            <w:autoSpaceDE w:val="0"/>
            <w:autoSpaceDN w:val="0"/>
            <w:ind w:hanging="480"/>
            <w:jc w:val="both"/>
            <w:divId w:val="886143475"/>
            <w:rPr>
              <w:rFonts w:ascii="Arial" w:eastAsia="Times New Roman" w:hAnsi="Arial" w:cs="Arial"/>
            </w:rPr>
          </w:pPr>
          <w:r w:rsidRPr="005D7961">
            <w:rPr>
              <w:rFonts w:ascii="Arial" w:eastAsia="Times New Roman" w:hAnsi="Arial" w:cs="Arial"/>
            </w:rPr>
            <w:t xml:space="preserve">Brigham, E. F., &amp; Ehrhard, M. C. (2020). </w:t>
          </w:r>
          <w:r w:rsidRPr="005D7961">
            <w:rPr>
              <w:rFonts w:ascii="Arial" w:eastAsia="Times New Roman" w:hAnsi="Arial" w:cs="Arial"/>
              <w:i/>
              <w:iCs/>
            </w:rPr>
            <w:t>Financial Management Theory &amp; Practice 16e</w:t>
          </w:r>
          <w:r w:rsidRPr="005D7961">
            <w:rPr>
              <w:rFonts w:ascii="Arial" w:eastAsia="Times New Roman" w:hAnsi="Arial" w:cs="Arial"/>
            </w:rPr>
            <w:t xml:space="preserve"> (16th ed.). Cengage. www.cengage.com/highered</w:t>
          </w:r>
        </w:p>
        <w:p w14:paraId="61229411" w14:textId="77777777" w:rsidR="007E0157" w:rsidRPr="005D7961" w:rsidRDefault="007E0157" w:rsidP="005D7961">
          <w:pPr>
            <w:autoSpaceDE w:val="0"/>
            <w:autoSpaceDN w:val="0"/>
            <w:ind w:hanging="480"/>
            <w:jc w:val="both"/>
            <w:divId w:val="1469199796"/>
            <w:rPr>
              <w:rFonts w:ascii="Arial" w:eastAsia="Times New Roman" w:hAnsi="Arial" w:cs="Arial"/>
            </w:rPr>
          </w:pPr>
          <w:r w:rsidRPr="005D7961">
            <w:rPr>
              <w:rFonts w:ascii="Arial" w:eastAsia="Times New Roman" w:hAnsi="Arial" w:cs="Arial"/>
            </w:rPr>
            <w:t xml:space="preserve">Cahyono, Y. D., &amp; Aryani, D. N. (2024). Pengaruh Current Ratio, Total Asset Turnover, Dan Kinerja Lingkungan Terhadap Nilai Perusahaan Yang Dimediasi Oleh Return On Asset (Studi Kasus Pada Perusahaan Manufaktur Sub Sektor Makanan Dan Minuman Yang Terdaftar Di BEI Periode 2018-2022). </w:t>
          </w:r>
          <w:r w:rsidRPr="005D7961">
            <w:rPr>
              <w:rFonts w:ascii="Arial" w:eastAsia="Times New Roman" w:hAnsi="Arial" w:cs="Arial"/>
              <w:i/>
              <w:iCs/>
            </w:rPr>
            <w:t>JURNAL LENTERA BISNIS</w:t>
          </w:r>
          <w:r w:rsidRPr="005D7961">
            <w:rPr>
              <w:rFonts w:ascii="Arial" w:eastAsia="Times New Roman" w:hAnsi="Arial" w:cs="Arial"/>
            </w:rPr>
            <w:t xml:space="preserve">, </w:t>
          </w:r>
          <w:r w:rsidRPr="005D7961">
            <w:rPr>
              <w:rFonts w:ascii="Arial" w:eastAsia="Times New Roman" w:hAnsi="Arial" w:cs="Arial"/>
              <w:i/>
              <w:iCs/>
            </w:rPr>
            <w:t>13</w:t>
          </w:r>
          <w:r w:rsidRPr="005D7961">
            <w:rPr>
              <w:rFonts w:ascii="Arial" w:eastAsia="Times New Roman" w:hAnsi="Arial" w:cs="Arial"/>
            </w:rPr>
            <w:t>(2). https://doi.org/10.34127/jrlab.v13i2.1051</w:t>
          </w:r>
        </w:p>
        <w:p w14:paraId="069746A4" w14:textId="77777777" w:rsidR="007E0157" w:rsidRPr="005D7961" w:rsidRDefault="007E0157" w:rsidP="005D7961">
          <w:pPr>
            <w:autoSpaceDE w:val="0"/>
            <w:autoSpaceDN w:val="0"/>
            <w:ind w:hanging="480"/>
            <w:jc w:val="both"/>
            <w:divId w:val="79059716"/>
            <w:rPr>
              <w:rFonts w:ascii="Arial" w:eastAsia="Times New Roman" w:hAnsi="Arial" w:cs="Arial"/>
            </w:rPr>
          </w:pPr>
          <w:r w:rsidRPr="005D7961">
            <w:rPr>
              <w:rFonts w:ascii="Arial" w:eastAsia="Times New Roman" w:hAnsi="Arial" w:cs="Arial"/>
            </w:rPr>
            <w:t xml:space="preserve">Connelly, B. L., Certo, S. T., Ireland, R. D., &amp; Reutzel, C. R. (2011). Signaling theory: A review and assessment. In </w:t>
          </w:r>
          <w:r w:rsidRPr="005D7961">
            <w:rPr>
              <w:rFonts w:ascii="Arial" w:eastAsia="Times New Roman" w:hAnsi="Arial" w:cs="Arial"/>
              <w:i/>
              <w:iCs/>
            </w:rPr>
            <w:t>Journal of Management</w:t>
          </w:r>
          <w:r w:rsidRPr="005D7961">
            <w:rPr>
              <w:rFonts w:ascii="Arial" w:eastAsia="Times New Roman" w:hAnsi="Arial" w:cs="Arial"/>
            </w:rPr>
            <w:t xml:space="preserve"> (Vol. 37, Issue 1, pp. 39–67). https://doi.org/10.1177/0149206310388419</w:t>
          </w:r>
        </w:p>
        <w:p w14:paraId="747DBBB8" w14:textId="77777777" w:rsidR="007E0157" w:rsidRPr="005D7961" w:rsidRDefault="007E0157" w:rsidP="005D7961">
          <w:pPr>
            <w:autoSpaceDE w:val="0"/>
            <w:autoSpaceDN w:val="0"/>
            <w:ind w:hanging="480"/>
            <w:jc w:val="both"/>
            <w:divId w:val="216741234"/>
            <w:rPr>
              <w:rFonts w:ascii="Arial" w:eastAsia="Times New Roman" w:hAnsi="Arial" w:cs="Arial"/>
            </w:rPr>
          </w:pPr>
          <w:r w:rsidRPr="005D7961">
            <w:rPr>
              <w:rFonts w:ascii="Arial" w:eastAsia="Times New Roman" w:hAnsi="Arial" w:cs="Arial"/>
            </w:rPr>
            <w:t xml:space="preserve">Digdowiseiso, K., &amp; Fadillah, N. (2022). The Effect of Quick Ratio (QR), Debt to Equity Ratio (DER), Net Profit Margin (NPM), and Price to Book Value (PBV) On Stock Prices of Food and Beverage Companies in the Period 2011-2020. </w:t>
          </w:r>
          <w:r w:rsidRPr="005D7961">
            <w:rPr>
              <w:rFonts w:ascii="Arial" w:eastAsia="Times New Roman" w:hAnsi="Arial" w:cs="Arial"/>
              <w:i/>
              <w:iCs/>
            </w:rPr>
            <w:t>Budapest International Research and Critics Institute-Journal (BIRCI-Journal)</w:t>
          </w:r>
          <w:r w:rsidRPr="005D7961">
            <w:rPr>
              <w:rFonts w:ascii="Arial" w:eastAsia="Times New Roman" w:hAnsi="Arial" w:cs="Arial"/>
            </w:rPr>
            <w:t xml:space="preserve">, </w:t>
          </w:r>
          <w:r w:rsidRPr="005D7961">
            <w:rPr>
              <w:rFonts w:ascii="Arial" w:eastAsia="Times New Roman" w:hAnsi="Arial" w:cs="Arial"/>
              <w:i/>
              <w:iCs/>
            </w:rPr>
            <w:t>5</w:t>
          </w:r>
          <w:r w:rsidRPr="005D7961">
            <w:rPr>
              <w:rFonts w:ascii="Arial" w:eastAsia="Times New Roman" w:hAnsi="Arial" w:cs="Arial"/>
            </w:rPr>
            <w:t>(2). https://doi.org/10.33258/birci.v5i2.5044</w:t>
          </w:r>
        </w:p>
        <w:p w14:paraId="16978040" w14:textId="0AE01CAD" w:rsidR="007E0157" w:rsidRPr="005D7961" w:rsidRDefault="007E0157" w:rsidP="005D7961">
          <w:pPr>
            <w:autoSpaceDE w:val="0"/>
            <w:autoSpaceDN w:val="0"/>
            <w:ind w:hanging="480"/>
            <w:jc w:val="both"/>
            <w:divId w:val="979771440"/>
            <w:rPr>
              <w:rFonts w:ascii="Arial" w:eastAsia="Times New Roman" w:hAnsi="Arial" w:cs="Arial"/>
            </w:rPr>
          </w:pPr>
          <w:r w:rsidRPr="005D7961">
            <w:rPr>
              <w:rFonts w:ascii="Arial" w:eastAsia="Times New Roman" w:hAnsi="Arial" w:cs="Arial"/>
            </w:rPr>
            <w:t xml:space="preserve">Dini, S., &amp; Pasaribu, F. (2021). Pengaruh ROE, CR, TATO, DER Terhadap Harga Saham Perusahaan Perdagangan Besar Barang Produksi &amp; Konsumsi. </w:t>
          </w:r>
          <w:r w:rsidRPr="005D7961">
            <w:rPr>
              <w:rFonts w:ascii="Arial" w:eastAsia="Times New Roman" w:hAnsi="Arial" w:cs="Arial"/>
              <w:i/>
              <w:iCs/>
            </w:rPr>
            <w:t>Jambura Economic Education Journal</w:t>
          </w:r>
          <w:r w:rsidRPr="005D7961">
            <w:rPr>
              <w:rFonts w:ascii="Arial" w:eastAsia="Times New Roman" w:hAnsi="Arial" w:cs="Arial"/>
            </w:rPr>
            <w:t xml:space="preserve">, </w:t>
          </w:r>
          <w:r w:rsidRPr="005D7961">
            <w:rPr>
              <w:rFonts w:ascii="Arial" w:eastAsia="Times New Roman" w:hAnsi="Arial" w:cs="Arial"/>
              <w:i/>
              <w:iCs/>
            </w:rPr>
            <w:t>3</w:t>
          </w:r>
          <w:r w:rsidRPr="005D7961">
            <w:rPr>
              <w:rFonts w:ascii="Arial" w:eastAsia="Times New Roman" w:hAnsi="Arial" w:cs="Arial"/>
            </w:rPr>
            <w:t>(2). https://doi.org/10.37479/jeej.v3i2.11063</w:t>
          </w:r>
        </w:p>
        <w:p w14:paraId="4D1FDB36" w14:textId="1B7C4E9A" w:rsidR="007E0157" w:rsidRPr="005D7961" w:rsidRDefault="007E0157" w:rsidP="005D7961">
          <w:pPr>
            <w:autoSpaceDE w:val="0"/>
            <w:autoSpaceDN w:val="0"/>
            <w:ind w:hanging="480"/>
            <w:jc w:val="both"/>
            <w:divId w:val="1324315807"/>
            <w:rPr>
              <w:rFonts w:ascii="Arial" w:eastAsia="Times New Roman" w:hAnsi="Arial" w:cs="Arial"/>
            </w:rPr>
          </w:pPr>
          <w:r w:rsidRPr="005D7961">
            <w:rPr>
              <w:rFonts w:ascii="Arial" w:eastAsia="Times New Roman" w:hAnsi="Arial" w:cs="Arial"/>
            </w:rPr>
            <w:t xml:space="preserve">Dzulhijar, W., Nur Pratiwi, L., &amp; Laksana, B. (2021). Pengaruh CR, DER, dan ROA terhadap Nilai Perusahaan pada PT Jasa Marga Tbk Tahun 2010-2019. </w:t>
          </w:r>
          <w:r w:rsidRPr="005D7961">
            <w:rPr>
              <w:rFonts w:ascii="Arial" w:eastAsia="Times New Roman" w:hAnsi="Arial" w:cs="Arial"/>
              <w:i/>
              <w:iCs/>
            </w:rPr>
            <w:t>Indonesian Journal of Economics and Management</w:t>
          </w:r>
          <w:r w:rsidRPr="005D7961">
            <w:rPr>
              <w:rFonts w:ascii="Arial" w:eastAsia="Times New Roman" w:hAnsi="Arial" w:cs="Arial"/>
            </w:rPr>
            <w:t xml:space="preserve">, </w:t>
          </w:r>
          <w:r w:rsidRPr="005D7961">
            <w:rPr>
              <w:rFonts w:ascii="Arial" w:eastAsia="Times New Roman" w:hAnsi="Arial" w:cs="Arial"/>
              <w:i/>
              <w:iCs/>
            </w:rPr>
            <w:t>1</w:t>
          </w:r>
          <w:r w:rsidRPr="005D7961">
            <w:rPr>
              <w:rFonts w:ascii="Arial" w:eastAsia="Times New Roman" w:hAnsi="Arial" w:cs="Arial"/>
            </w:rPr>
            <w:t>(2), 401–409. https://doi.org/10.35313/ijem.v1i2.2507</w:t>
          </w:r>
        </w:p>
        <w:p w14:paraId="5A2976CA" w14:textId="77777777" w:rsidR="007E0157" w:rsidRPr="005D7961" w:rsidRDefault="007E0157" w:rsidP="005D7961">
          <w:pPr>
            <w:autoSpaceDE w:val="0"/>
            <w:autoSpaceDN w:val="0"/>
            <w:ind w:hanging="480"/>
            <w:jc w:val="both"/>
            <w:divId w:val="946888627"/>
            <w:rPr>
              <w:rFonts w:ascii="Arial" w:eastAsia="Times New Roman" w:hAnsi="Arial" w:cs="Arial"/>
            </w:rPr>
          </w:pPr>
          <w:r w:rsidRPr="005D7961">
            <w:rPr>
              <w:rFonts w:ascii="Arial" w:eastAsia="Times New Roman" w:hAnsi="Arial" w:cs="Arial"/>
            </w:rPr>
            <w:t xml:space="preserve">Elieser, A., Arisandy Aruan, D., Dongoran, B., &amp; Simanjuntak, M. (2022). Effect Of PER, DER, EPS, And PBV On Stock Prices In Banking Companies On Idx. </w:t>
          </w:r>
          <w:r w:rsidRPr="005D7961">
            <w:rPr>
              <w:rFonts w:ascii="Arial" w:eastAsia="Times New Roman" w:hAnsi="Arial" w:cs="Arial"/>
              <w:i/>
              <w:iCs/>
            </w:rPr>
            <w:t>JURNAL IPTEKS TERAPAN</w:t>
          </w:r>
          <w:r w:rsidRPr="005D7961">
            <w:rPr>
              <w:rFonts w:ascii="Arial" w:eastAsia="Times New Roman" w:hAnsi="Arial" w:cs="Arial"/>
            </w:rPr>
            <w:t xml:space="preserve">, </w:t>
          </w:r>
          <w:r w:rsidRPr="005D7961">
            <w:rPr>
              <w:rFonts w:ascii="Arial" w:eastAsia="Times New Roman" w:hAnsi="Arial" w:cs="Arial"/>
              <w:i/>
              <w:iCs/>
            </w:rPr>
            <w:t>16</w:t>
          </w:r>
          <w:r w:rsidRPr="005D7961">
            <w:rPr>
              <w:rFonts w:ascii="Arial" w:eastAsia="Times New Roman" w:hAnsi="Arial" w:cs="Arial"/>
            </w:rPr>
            <w:t>(1). https://doi.org/10.22216/jit.v15i4</w:t>
          </w:r>
        </w:p>
        <w:p w14:paraId="03BF0ADD" w14:textId="6E055EAE" w:rsidR="007E0157" w:rsidRPr="005D7961" w:rsidRDefault="007E0157" w:rsidP="005D7961">
          <w:pPr>
            <w:autoSpaceDE w:val="0"/>
            <w:autoSpaceDN w:val="0"/>
            <w:ind w:hanging="480"/>
            <w:jc w:val="both"/>
            <w:divId w:val="1483739720"/>
            <w:rPr>
              <w:rFonts w:ascii="Arial" w:eastAsia="Times New Roman" w:hAnsi="Arial" w:cs="Arial"/>
            </w:rPr>
          </w:pPr>
          <w:r w:rsidRPr="005D7961">
            <w:rPr>
              <w:rFonts w:ascii="Arial" w:eastAsia="Times New Roman" w:hAnsi="Arial" w:cs="Arial"/>
            </w:rPr>
            <w:t xml:space="preserve">Emanue, M. P., &amp; Riwayati, H. E. (2024). Financial Performance Affecting Stock Prices of Food and Beverage Sub-Sector Companies in Indonesia Article history. </w:t>
          </w:r>
          <w:r w:rsidRPr="005D7961">
            <w:rPr>
              <w:rFonts w:ascii="Arial" w:eastAsia="Times New Roman" w:hAnsi="Arial" w:cs="Arial"/>
              <w:i/>
              <w:iCs/>
            </w:rPr>
            <w:t>Management Research Studies Journal Vulume</w:t>
          </w:r>
          <w:r w:rsidRPr="005D7961">
            <w:rPr>
              <w:rFonts w:ascii="Arial" w:eastAsia="Times New Roman" w:hAnsi="Arial" w:cs="Arial"/>
            </w:rPr>
            <w:t xml:space="preserve">, </w:t>
          </w:r>
          <w:r w:rsidRPr="005D7961">
            <w:rPr>
              <w:rFonts w:ascii="Arial" w:eastAsia="Times New Roman" w:hAnsi="Arial" w:cs="Arial"/>
              <w:i/>
              <w:iCs/>
            </w:rPr>
            <w:t>5</w:t>
          </w:r>
          <w:r w:rsidRPr="005D7961">
            <w:rPr>
              <w:rFonts w:ascii="Arial" w:eastAsia="Times New Roman" w:hAnsi="Arial" w:cs="Arial"/>
            </w:rPr>
            <w:t>(1), 2745–6161. https://doi.org/10.56174/mrsj.v5i1.646</w:t>
          </w:r>
        </w:p>
        <w:p w14:paraId="53106DD7" w14:textId="0B91A4FB" w:rsidR="007E0157" w:rsidRPr="005D7961" w:rsidRDefault="007E0157" w:rsidP="005D7961">
          <w:pPr>
            <w:autoSpaceDE w:val="0"/>
            <w:autoSpaceDN w:val="0"/>
            <w:ind w:hanging="480"/>
            <w:jc w:val="both"/>
            <w:divId w:val="815608782"/>
            <w:rPr>
              <w:rFonts w:ascii="Arial" w:eastAsia="Times New Roman" w:hAnsi="Arial" w:cs="Arial"/>
            </w:rPr>
          </w:pPr>
          <w:r w:rsidRPr="005D7961">
            <w:rPr>
              <w:rFonts w:ascii="Arial" w:eastAsia="Times New Roman" w:hAnsi="Arial" w:cs="Arial"/>
            </w:rPr>
            <w:t xml:space="preserve">Ferli, O., Annisa Rahma, A., Ertika Shafira, D., &amp; William, Y. (2022). Pengaruh CR, DER dan ROE Terhadap Harga aham pada Perusahaan Consumer Goods Periode 2018-2021. </w:t>
          </w:r>
          <w:r w:rsidRPr="005D7961">
            <w:rPr>
              <w:rFonts w:ascii="Arial" w:eastAsia="Times New Roman" w:hAnsi="Arial" w:cs="Arial"/>
              <w:i/>
              <w:iCs/>
            </w:rPr>
            <w:t>Jurnal Keuangan Dan Perbankan</w:t>
          </w:r>
          <w:r w:rsidRPr="005D7961">
            <w:rPr>
              <w:rFonts w:ascii="Arial" w:eastAsia="Times New Roman" w:hAnsi="Arial" w:cs="Arial"/>
            </w:rPr>
            <w:t xml:space="preserve">, </w:t>
          </w:r>
          <w:r w:rsidRPr="005D7961">
            <w:rPr>
              <w:rFonts w:ascii="Arial" w:eastAsia="Times New Roman" w:hAnsi="Arial" w:cs="Arial"/>
              <w:i/>
              <w:iCs/>
            </w:rPr>
            <w:t>19</w:t>
          </w:r>
          <w:r w:rsidRPr="005D7961">
            <w:rPr>
              <w:rFonts w:ascii="Arial" w:eastAsia="Times New Roman" w:hAnsi="Arial" w:cs="Arial"/>
            </w:rPr>
            <w:t>(1), 27–36. https://doi.org/10.35384/jkp.v19i1.339</w:t>
          </w:r>
        </w:p>
        <w:p w14:paraId="3852BBBB" w14:textId="6410A22C" w:rsidR="007E0157" w:rsidRPr="005D7961" w:rsidRDefault="007E0157" w:rsidP="005D7961">
          <w:pPr>
            <w:autoSpaceDE w:val="0"/>
            <w:autoSpaceDN w:val="0"/>
            <w:ind w:hanging="480"/>
            <w:jc w:val="both"/>
            <w:divId w:val="184949926"/>
            <w:rPr>
              <w:rFonts w:ascii="Arial" w:eastAsia="Times New Roman" w:hAnsi="Arial" w:cs="Arial"/>
            </w:rPr>
          </w:pPr>
          <w:r w:rsidRPr="005D7961">
            <w:rPr>
              <w:rFonts w:ascii="Arial" w:eastAsia="Times New Roman" w:hAnsi="Arial" w:cs="Arial"/>
            </w:rPr>
            <w:t xml:space="preserve">Ginting, A. P., Ilham, R. N., Syamni, G., &amp; Akhyar, C. (2024). The Effect Of Financial Performance On The Stock Price Of Companies With Earnings Per Share As A Moderating Variety (Case Study On Property And Real Estate Companies Listed On The Idx In 2019-2023). </w:t>
          </w:r>
          <w:r w:rsidRPr="005D7961">
            <w:rPr>
              <w:rFonts w:ascii="Arial" w:eastAsia="Times New Roman" w:hAnsi="Arial" w:cs="Arial"/>
              <w:i/>
              <w:iCs/>
            </w:rPr>
            <w:t>JARUDA : Journal of Accounting Research Utility Finance And Digital Assets</w:t>
          </w:r>
          <w:r w:rsidRPr="005D7961">
            <w:rPr>
              <w:rFonts w:ascii="Arial" w:eastAsia="Times New Roman" w:hAnsi="Arial" w:cs="Arial"/>
            </w:rPr>
            <w:t xml:space="preserve">, </w:t>
          </w:r>
          <w:r w:rsidRPr="005D7961">
            <w:rPr>
              <w:rFonts w:ascii="Arial" w:eastAsia="Times New Roman" w:hAnsi="Arial" w:cs="Arial"/>
              <w:i/>
              <w:iCs/>
            </w:rPr>
            <w:t>3</w:t>
          </w:r>
          <w:r w:rsidRPr="005D7961">
            <w:rPr>
              <w:rFonts w:ascii="Arial" w:eastAsia="Times New Roman" w:hAnsi="Arial" w:cs="Arial"/>
            </w:rPr>
            <w:t>(3). https://doi.org/10.54443/jaruda.v3i3.208</w:t>
          </w:r>
        </w:p>
        <w:p w14:paraId="58F8BA9E" w14:textId="77777777" w:rsidR="007E0157" w:rsidRPr="005D7961" w:rsidRDefault="007E0157" w:rsidP="005D7961">
          <w:pPr>
            <w:autoSpaceDE w:val="0"/>
            <w:autoSpaceDN w:val="0"/>
            <w:ind w:hanging="480"/>
            <w:jc w:val="both"/>
            <w:divId w:val="991367523"/>
            <w:rPr>
              <w:rFonts w:ascii="Arial" w:eastAsia="Times New Roman" w:hAnsi="Arial" w:cs="Arial"/>
            </w:rPr>
          </w:pPr>
          <w:r w:rsidRPr="005D7961">
            <w:rPr>
              <w:rFonts w:ascii="Arial" w:eastAsia="Times New Roman" w:hAnsi="Arial" w:cs="Arial"/>
            </w:rPr>
            <w:t xml:space="preserve">Gujarati, D. N., &amp; Porter, D. C. (2009). </w:t>
          </w:r>
          <w:r w:rsidRPr="005D7961">
            <w:rPr>
              <w:rFonts w:ascii="Arial" w:eastAsia="Times New Roman" w:hAnsi="Arial" w:cs="Arial"/>
              <w:i/>
              <w:iCs/>
            </w:rPr>
            <w:t>The McGraw-Hill Series Economics</w:t>
          </w:r>
          <w:r w:rsidRPr="005D7961">
            <w:rPr>
              <w:rFonts w:ascii="Arial" w:eastAsia="Times New Roman" w:hAnsi="Arial" w:cs="Arial"/>
            </w:rPr>
            <w:t xml:space="preserve"> (N. Fox, Ed.; 5th ed.). Douglas Retner.</w:t>
          </w:r>
        </w:p>
        <w:p w14:paraId="591C1664" w14:textId="3C3BFAC8" w:rsidR="007E0157" w:rsidRPr="005D7961" w:rsidRDefault="007E0157" w:rsidP="005D7961">
          <w:pPr>
            <w:autoSpaceDE w:val="0"/>
            <w:autoSpaceDN w:val="0"/>
            <w:ind w:hanging="480"/>
            <w:jc w:val="both"/>
            <w:divId w:val="25641061"/>
            <w:rPr>
              <w:rFonts w:ascii="Arial" w:eastAsia="Times New Roman" w:hAnsi="Arial" w:cs="Arial"/>
            </w:rPr>
          </w:pPr>
          <w:r w:rsidRPr="005D7961">
            <w:rPr>
              <w:rFonts w:ascii="Arial" w:eastAsia="Times New Roman" w:hAnsi="Arial" w:cs="Arial"/>
            </w:rPr>
            <w:t xml:space="preserve">Halimah, J., &amp; Nurmasari, I. (2024). Pengaruh Return on Asset (ROA) dan Debt to Equity Ratio (DER) terhadap Harga Saham pada Pt. Telkom Indonesia Tbk Periode 2011-2023 ARTICLE INFO ABSTRACT. </w:t>
          </w:r>
          <w:r w:rsidRPr="005D7961">
            <w:rPr>
              <w:rFonts w:ascii="Arial" w:eastAsia="Times New Roman" w:hAnsi="Arial" w:cs="Arial"/>
              <w:i/>
              <w:iCs/>
            </w:rPr>
            <w:t>Cakrawala: Jurnal Ekonomi, Manajemen Dan Bisnis</w:t>
          </w:r>
          <w:r w:rsidRPr="005D7961">
            <w:rPr>
              <w:rFonts w:ascii="Arial" w:eastAsia="Times New Roman" w:hAnsi="Arial" w:cs="Arial"/>
            </w:rPr>
            <w:t xml:space="preserve">, </w:t>
          </w:r>
          <w:r w:rsidRPr="005D7961">
            <w:rPr>
              <w:rFonts w:ascii="Arial" w:eastAsia="Times New Roman" w:hAnsi="Arial" w:cs="Arial"/>
              <w:i/>
              <w:iCs/>
            </w:rPr>
            <w:t>1</w:t>
          </w:r>
          <w:r w:rsidRPr="005D7961">
            <w:rPr>
              <w:rFonts w:ascii="Arial" w:eastAsia="Times New Roman" w:hAnsi="Arial" w:cs="Arial"/>
            </w:rPr>
            <w:t>(2), 359–368. https://doi.org/10.70451/cakrawala.v1i2.108</w:t>
          </w:r>
        </w:p>
        <w:p w14:paraId="2593CFC0" w14:textId="77777777" w:rsidR="007E0157" w:rsidRPr="005D7961" w:rsidRDefault="007E0157" w:rsidP="005D7961">
          <w:pPr>
            <w:autoSpaceDE w:val="0"/>
            <w:autoSpaceDN w:val="0"/>
            <w:ind w:hanging="480"/>
            <w:jc w:val="both"/>
            <w:divId w:val="1596552209"/>
            <w:rPr>
              <w:rFonts w:ascii="Arial" w:eastAsia="Times New Roman" w:hAnsi="Arial" w:cs="Arial"/>
            </w:rPr>
          </w:pPr>
          <w:r w:rsidRPr="005D7961">
            <w:rPr>
              <w:rFonts w:ascii="Arial" w:eastAsia="Times New Roman" w:hAnsi="Arial" w:cs="Arial"/>
            </w:rPr>
            <w:t xml:space="preserve">Handayani, W., &amp; Arif, E. M. (2021). Pengaruh Pengaruh Price Earning Ratio (PER), Debt to Equity Ratio (DER), Net Profit Margin (NPM) dan Total Assets Turnover (TATO) Terhadap Harga Saham Pada PT. Unilever Indonesia Tbk Periode 2011-2018. In </w:t>
          </w:r>
          <w:r w:rsidRPr="005D7961">
            <w:rPr>
              <w:rFonts w:ascii="Arial" w:eastAsia="Times New Roman" w:hAnsi="Arial" w:cs="Arial"/>
              <w:i/>
              <w:iCs/>
            </w:rPr>
            <w:t>Jurnal Manajemen FE-UB</w:t>
          </w:r>
          <w:r w:rsidRPr="005D7961">
            <w:rPr>
              <w:rFonts w:ascii="Arial" w:eastAsia="Times New Roman" w:hAnsi="Arial" w:cs="Arial"/>
            </w:rPr>
            <w:t xml:space="preserve"> (Vol. 9, Issue 2).</w:t>
          </w:r>
        </w:p>
        <w:p w14:paraId="3295AEED" w14:textId="5F0E3C69" w:rsidR="007E0157" w:rsidRPr="005D7961" w:rsidRDefault="007E0157" w:rsidP="005D7961">
          <w:pPr>
            <w:autoSpaceDE w:val="0"/>
            <w:autoSpaceDN w:val="0"/>
            <w:ind w:hanging="480"/>
            <w:jc w:val="both"/>
            <w:divId w:val="710230396"/>
            <w:rPr>
              <w:rFonts w:ascii="Arial" w:eastAsia="Times New Roman" w:hAnsi="Arial" w:cs="Arial"/>
            </w:rPr>
          </w:pPr>
          <w:r w:rsidRPr="005D7961">
            <w:rPr>
              <w:rFonts w:ascii="Arial" w:eastAsia="Times New Roman" w:hAnsi="Arial" w:cs="Arial"/>
            </w:rPr>
            <w:t xml:space="preserve">Harlan, S., &amp; Wijaya, H. (2022). Pengaruh ROA, ROE, EPS, &amp; PBV terhadap Stock Price dan Stock Return. </w:t>
          </w:r>
          <w:r w:rsidRPr="005D7961">
            <w:rPr>
              <w:rFonts w:ascii="Arial" w:eastAsia="Times New Roman" w:hAnsi="Arial" w:cs="Arial"/>
              <w:i/>
              <w:iCs/>
            </w:rPr>
            <w:t>Jurnal Ekonomi</w:t>
          </w:r>
          <w:r w:rsidRPr="005D7961">
            <w:rPr>
              <w:rFonts w:ascii="Arial" w:eastAsia="Times New Roman" w:hAnsi="Arial" w:cs="Arial"/>
            </w:rPr>
            <w:t xml:space="preserve">, </w:t>
          </w:r>
          <w:r w:rsidRPr="005D7961">
            <w:rPr>
              <w:rFonts w:ascii="Arial" w:eastAsia="Times New Roman" w:hAnsi="Arial" w:cs="Arial"/>
              <w:i/>
              <w:iCs/>
            </w:rPr>
            <w:t>27</w:t>
          </w:r>
          <w:r w:rsidRPr="005D7961">
            <w:rPr>
              <w:rFonts w:ascii="Arial" w:eastAsia="Times New Roman" w:hAnsi="Arial" w:cs="Arial"/>
            </w:rPr>
            <w:t>(3), 202–223. https://doi.org/10.24912/je.v27i03.873</w:t>
          </w:r>
        </w:p>
        <w:p w14:paraId="33647A16" w14:textId="6D72F3F1" w:rsidR="007E0157" w:rsidRPr="005D7961" w:rsidRDefault="007E0157" w:rsidP="005D7961">
          <w:pPr>
            <w:autoSpaceDE w:val="0"/>
            <w:autoSpaceDN w:val="0"/>
            <w:ind w:hanging="480"/>
            <w:jc w:val="both"/>
            <w:divId w:val="951981826"/>
            <w:rPr>
              <w:rFonts w:ascii="Arial" w:eastAsia="Times New Roman" w:hAnsi="Arial" w:cs="Arial"/>
            </w:rPr>
          </w:pPr>
          <w:r w:rsidRPr="005D7961">
            <w:rPr>
              <w:rFonts w:ascii="Arial" w:eastAsia="Times New Roman" w:hAnsi="Arial" w:cs="Arial"/>
            </w:rPr>
            <w:t xml:space="preserve">Hasanah, R. S., &amp; Rusliati, E. (2017). Harga Saham Dengan Metode Dividend Discount Model Dan Price To Book Value. </w:t>
          </w:r>
          <w:r w:rsidRPr="005D7961">
            <w:rPr>
              <w:rFonts w:ascii="Arial" w:eastAsia="Times New Roman" w:hAnsi="Arial" w:cs="Arial"/>
              <w:i/>
              <w:iCs/>
            </w:rPr>
            <w:t>Jurnal Riset Bisnis Dan Manajemen (JRBM)</w:t>
          </w:r>
          <w:r w:rsidRPr="005D7961">
            <w:rPr>
              <w:rFonts w:ascii="Arial" w:eastAsia="Times New Roman" w:hAnsi="Arial" w:cs="Arial"/>
            </w:rPr>
            <w:t xml:space="preserve">, </w:t>
          </w:r>
          <w:r w:rsidRPr="005D7961">
            <w:rPr>
              <w:rFonts w:ascii="Arial" w:eastAsia="Times New Roman" w:hAnsi="Arial" w:cs="Arial"/>
              <w:i/>
              <w:iCs/>
            </w:rPr>
            <w:t>10</w:t>
          </w:r>
          <w:r w:rsidRPr="005D7961">
            <w:rPr>
              <w:rFonts w:ascii="Arial" w:eastAsia="Times New Roman" w:hAnsi="Arial" w:cs="Arial"/>
            </w:rPr>
            <w:t>(2), 1–10. https://doi.org/10.23969/jrbm.v10i2.446</w:t>
          </w:r>
        </w:p>
        <w:p w14:paraId="30AC7C7A" w14:textId="6D2A51D1" w:rsidR="007E0157" w:rsidRPr="005D7961" w:rsidRDefault="007E0157" w:rsidP="005D7961">
          <w:pPr>
            <w:autoSpaceDE w:val="0"/>
            <w:autoSpaceDN w:val="0"/>
            <w:ind w:hanging="480"/>
            <w:jc w:val="both"/>
            <w:divId w:val="496848488"/>
            <w:rPr>
              <w:rFonts w:ascii="Arial" w:eastAsia="Times New Roman" w:hAnsi="Arial" w:cs="Arial"/>
            </w:rPr>
          </w:pPr>
          <w:r w:rsidRPr="005D7961">
            <w:rPr>
              <w:rFonts w:ascii="Arial" w:eastAsia="Times New Roman" w:hAnsi="Arial" w:cs="Arial"/>
            </w:rPr>
            <w:t xml:space="preserve">Hasangapon, M., Iskandar, D., &amp; Desy Purnama, E. (2021). </w:t>
          </w:r>
          <w:r w:rsidRPr="005D7961">
            <w:rPr>
              <w:rFonts w:ascii="Arial" w:eastAsia="Times New Roman" w:hAnsi="Arial" w:cs="Arial"/>
              <w:i/>
              <w:iCs/>
            </w:rPr>
            <w:t>The Effect Of Firm Size And Total Assets Turnover (Tato) On Firm Value Mediated By Profitability In Wholesale And Retail Sector Companies</w:t>
          </w:r>
          <w:r w:rsidRPr="005D7961">
            <w:rPr>
              <w:rFonts w:ascii="Arial" w:eastAsia="Times New Roman" w:hAnsi="Arial" w:cs="Arial"/>
            </w:rPr>
            <w:t xml:space="preserve"> (Vol. 19, Issue 3). https://doi.org/10.31253/pe.v19i3.635</w:t>
          </w:r>
        </w:p>
        <w:p w14:paraId="64303008" w14:textId="77777777" w:rsidR="007E0157" w:rsidRPr="005D7961" w:rsidRDefault="007E0157" w:rsidP="005D7961">
          <w:pPr>
            <w:autoSpaceDE w:val="0"/>
            <w:autoSpaceDN w:val="0"/>
            <w:ind w:hanging="480"/>
            <w:jc w:val="both"/>
            <w:divId w:val="1619679758"/>
            <w:rPr>
              <w:rFonts w:ascii="Arial" w:eastAsia="Times New Roman" w:hAnsi="Arial" w:cs="Arial"/>
            </w:rPr>
          </w:pPr>
          <w:r w:rsidRPr="005D7961">
            <w:rPr>
              <w:rFonts w:ascii="Arial" w:eastAsia="Times New Roman" w:hAnsi="Arial" w:cs="Arial"/>
            </w:rPr>
            <w:t xml:space="preserve">Innayah, M. N., &amp; Pratama, B. C. (2021). Board Diversity and Its Effects on Firm Performance and Risk: A Study in Banking Firms. </w:t>
          </w:r>
          <w:r w:rsidRPr="005D7961">
            <w:rPr>
              <w:rFonts w:ascii="Arial" w:eastAsia="Times New Roman" w:hAnsi="Arial" w:cs="Arial"/>
              <w:i/>
              <w:iCs/>
            </w:rPr>
            <w:t>Journal of Accounting and Investment</w:t>
          </w:r>
          <w:r w:rsidRPr="005D7961">
            <w:rPr>
              <w:rFonts w:ascii="Arial" w:eastAsia="Times New Roman" w:hAnsi="Arial" w:cs="Arial"/>
            </w:rPr>
            <w:t xml:space="preserve">, </w:t>
          </w:r>
          <w:r w:rsidRPr="005D7961">
            <w:rPr>
              <w:rFonts w:ascii="Arial" w:eastAsia="Times New Roman" w:hAnsi="Arial" w:cs="Arial"/>
              <w:i/>
              <w:iCs/>
            </w:rPr>
            <w:t>22</w:t>
          </w:r>
          <w:r w:rsidRPr="005D7961">
            <w:rPr>
              <w:rFonts w:ascii="Arial" w:eastAsia="Times New Roman" w:hAnsi="Arial" w:cs="Arial"/>
            </w:rPr>
            <w:t>. https://doi.org/10.18196/jai.v22i1.10005</w:t>
          </w:r>
        </w:p>
        <w:p w14:paraId="27AF8956" w14:textId="77777777" w:rsidR="007E0157" w:rsidRPr="005D7961" w:rsidRDefault="007E0157" w:rsidP="005D7961">
          <w:pPr>
            <w:autoSpaceDE w:val="0"/>
            <w:autoSpaceDN w:val="0"/>
            <w:ind w:hanging="480"/>
            <w:jc w:val="both"/>
            <w:divId w:val="354111576"/>
            <w:rPr>
              <w:rFonts w:ascii="Arial" w:eastAsia="Times New Roman" w:hAnsi="Arial" w:cs="Arial"/>
            </w:rPr>
          </w:pPr>
          <w:r w:rsidRPr="005D7961">
            <w:rPr>
              <w:rFonts w:ascii="Arial" w:eastAsia="Times New Roman" w:hAnsi="Arial" w:cs="Arial"/>
            </w:rPr>
            <w:t xml:space="preserve">Innayah, M., &amp; Pratama, B. (2022). Political Connection and Board Characteristic’s effect on Financial Performance: Evidence from Indonesian Banking Firm. </w:t>
          </w:r>
          <w:r w:rsidRPr="005D7961">
            <w:rPr>
              <w:rFonts w:ascii="Arial" w:eastAsia="Times New Roman" w:hAnsi="Arial" w:cs="Arial"/>
              <w:i/>
              <w:iCs/>
            </w:rPr>
            <w:t>ICBAE 2022: Proceedings of the 3rd International Conference of Business, Accounting, and Economics</w:t>
          </w:r>
          <w:r w:rsidRPr="005D7961">
            <w:rPr>
              <w:rFonts w:ascii="Arial" w:eastAsia="Times New Roman" w:hAnsi="Arial" w:cs="Arial"/>
            </w:rPr>
            <w:t>. https://doi.org/10.4108/eai.10-8-2022.2320876</w:t>
          </w:r>
        </w:p>
        <w:p w14:paraId="14346756" w14:textId="3F22FC75" w:rsidR="007E0157" w:rsidRPr="005D7961" w:rsidRDefault="007E0157" w:rsidP="005D7961">
          <w:pPr>
            <w:autoSpaceDE w:val="0"/>
            <w:autoSpaceDN w:val="0"/>
            <w:ind w:hanging="480"/>
            <w:jc w:val="both"/>
            <w:divId w:val="1697464822"/>
            <w:rPr>
              <w:rFonts w:ascii="Arial" w:eastAsia="Times New Roman" w:hAnsi="Arial" w:cs="Arial"/>
            </w:rPr>
          </w:pPr>
          <w:r w:rsidRPr="005D7961">
            <w:rPr>
              <w:rFonts w:ascii="Arial" w:eastAsia="Times New Roman" w:hAnsi="Arial" w:cs="Arial"/>
            </w:rPr>
            <w:t xml:space="preserve">Kardinal, &amp; Wijaya, T. (2024). Pengaruh Current Ratio (CR), Debt to Equity Ratio (DER) dan Earning Per Share (EPS) terhadap Harga Saham Perusahaan Sektor Manufaktur yang Terdaftar di Bursa Efek Indonesia Periode 2019-2022. </w:t>
          </w:r>
          <w:r w:rsidRPr="005D7961">
            <w:rPr>
              <w:rFonts w:ascii="Arial" w:eastAsia="Times New Roman" w:hAnsi="Arial" w:cs="Arial"/>
              <w:i/>
              <w:iCs/>
            </w:rPr>
            <w:t>Publikasi Riset Mahasiswa Manajemen</w:t>
          </w:r>
          <w:r w:rsidRPr="005D7961">
            <w:rPr>
              <w:rFonts w:ascii="Arial" w:eastAsia="Times New Roman" w:hAnsi="Arial" w:cs="Arial"/>
            </w:rPr>
            <w:t xml:space="preserve">, </w:t>
          </w:r>
          <w:r w:rsidRPr="005D7961">
            <w:rPr>
              <w:rFonts w:ascii="Arial" w:eastAsia="Times New Roman" w:hAnsi="Arial" w:cs="Arial"/>
              <w:i/>
              <w:iCs/>
            </w:rPr>
            <w:t>6</w:t>
          </w:r>
          <w:r w:rsidRPr="005D7961">
            <w:rPr>
              <w:rFonts w:ascii="Arial" w:eastAsia="Times New Roman" w:hAnsi="Arial" w:cs="Arial"/>
            </w:rPr>
            <w:t>(2). https://doi.org/10.35957/prmm.v6i1.9445</w:t>
          </w:r>
        </w:p>
        <w:p w14:paraId="396CFF79" w14:textId="77777777" w:rsidR="007E0157" w:rsidRPr="005D7961" w:rsidRDefault="007E0157" w:rsidP="005D7961">
          <w:pPr>
            <w:autoSpaceDE w:val="0"/>
            <w:autoSpaceDN w:val="0"/>
            <w:ind w:hanging="480"/>
            <w:jc w:val="both"/>
            <w:divId w:val="404495510"/>
            <w:rPr>
              <w:rFonts w:ascii="Arial" w:eastAsia="Times New Roman" w:hAnsi="Arial" w:cs="Arial"/>
            </w:rPr>
          </w:pPr>
          <w:r w:rsidRPr="005D7961">
            <w:rPr>
              <w:rFonts w:ascii="Arial" w:eastAsia="Times New Roman" w:hAnsi="Arial" w:cs="Arial"/>
            </w:rPr>
            <w:t xml:space="preserve">Kim, Y., Jung, S., &amp; Kim, C. (2023). The Impact of Capital Structure on the Profitability Performance of ICT Firms. </w:t>
          </w:r>
          <w:r w:rsidRPr="005D7961">
            <w:rPr>
              <w:rFonts w:ascii="Arial" w:eastAsia="Times New Roman" w:hAnsi="Arial" w:cs="Arial"/>
              <w:i/>
              <w:iCs/>
            </w:rPr>
            <w:t>Processes (MDPI)</w:t>
          </w:r>
          <w:r w:rsidRPr="005D7961">
            <w:rPr>
              <w:rFonts w:ascii="Arial" w:eastAsia="Times New Roman" w:hAnsi="Arial" w:cs="Arial"/>
            </w:rPr>
            <w:t xml:space="preserve">, </w:t>
          </w:r>
          <w:r w:rsidRPr="005D7961">
            <w:rPr>
              <w:rFonts w:ascii="Arial" w:eastAsia="Times New Roman" w:hAnsi="Arial" w:cs="Arial"/>
              <w:i/>
              <w:iCs/>
            </w:rPr>
            <w:t>11</w:t>
          </w:r>
          <w:r w:rsidRPr="005D7961">
            <w:rPr>
              <w:rFonts w:ascii="Arial" w:eastAsia="Times New Roman" w:hAnsi="Arial" w:cs="Arial"/>
            </w:rPr>
            <w:t>(2). https://doi.org/10.3390/pr11020635</w:t>
          </w:r>
        </w:p>
        <w:p w14:paraId="25918566" w14:textId="6ED366FD" w:rsidR="007E0157" w:rsidRPr="005D7961" w:rsidRDefault="007E0157" w:rsidP="005D7961">
          <w:pPr>
            <w:autoSpaceDE w:val="0"/>
            <w:autoSpaceDN w:val="0"/>
            <w:ind w:hanging="480"/>
            <w:jc w:val="both"/>
            <w:divId w:val="1432161127"/>
            <w:rPr>
              <w:rFonts w:ascii="Arial" w:eastAsia="Times New Roman" w:hAnsi="Arial" w:cs="Arial"/>
            </w:rPr>
          </w:pPr>
          <w:r w:rsidRPr="005D7961">
            <w:rPr>
              <w:rFonts w:ascii="Arial" w:eastAsia="Times New Roman" w:hAnsi="Arial" w:cs="Arial"/>
            </w:rPr>
            <w:t xml:space="preserve">Kusuma, B. N., Syafeiq, M. I., Rupi’ah, &amp; Budianto, E. (2024). The Effect Of ROA, CR, and DER On Stock Prices In The Food And Beverage Sector Listed On The Indonesian Stock Exchange (BEI) in 2018-2022. </w:t>
          </w:r>
          <w:r w:rsidRPr="005D7961">
            <w:rPr>
              <w:rFonts w:ascii="Arial" w:eastAsia="Times New Roman" w:hAnsi="Arial" w:cs="Arial"/>
              <w:i/>
              <w:iCs/>
            </w:rPr>
            <w:t>Journal of Social Science</w:t>
          </w:r>
          <w:r w:rsidRPr="005D7961">
            <w:rPr>
              <w:rFonts w:ascii="Arial" w:eastAsia="Times New Roman" w:hAnsi="Arial" w:cs="Arial"/>
            </w:rPr>
            <w:t xml:space="preserve">, </w:t>
          </w:r>
          <w:r w:rsidRPr="005D7961">
            <w:rPr>
              <w:rFonts w:ascii="Arial" w:eastAsia="Times New Roman" w:hAnsi="Arial" w:cs="Arial"/>
              <w:i/>
              <w:iCs/>
            </w:rPr>
            <w:t>3</w:t>
          </w:r>
          <w:r w:rsidRPr="005D7961">
            <w:rPr>
              <w:rFonts w:ascii="Arial" w:eastAsia="Times New Roman" w:hAnsi="Arial" w:cs="Arial"/>
            </w:rPr>
            <w:t>(6). https://doi.org/10.57185/joss.v3i6.295</w:t>
          </w:r>
        </w:p>
        <w:p w14:paraId="5AB7559F" w14:textId="77777777" w:rsidR="007E0157" w:rsidRPr="005D7961" w:rsidRDefault="007E0157" w:rsidP="005D7961">
          <w:pPr>
            <w:autoSpaceDE w:val="0"/>
            <w:autoSpaceDN w:val="0"/>
            <w:ind w:hanging="480"/>
            <w:jc w:val="both"/>
            <w:divId w:val="1517037182"/>
            <w:rPr>
              <w:rFonts w:ascii="Arial" w:eastAsia="Times New Roman" w:hAnsi="Arial" w:cs="Arial"/>
            </w:rPr>
          </w:pPr>
          <w:r w:rsidRPr="005D7961">
            <w:rPr>
              <w:rFonts w:ascii="Arial" w:eastAsia="Times New Roman" w:hAnsi="Arial" w:cs="Arial"/>
            </w:rPr>
            <w:t xml:space="preserve">Kusumaningrum, D. P., &amp; Iswara, U. S. (2022). Sekolah Tinggi Ilmu Ekonomi Indonesia (STIESIA) Surabaya. </w:t>
          </w:r>
          <w:r w:rsidRPr="005D7961">
            <w:rPr>
              <w:rFonts w:ascii="Arial" w:eastAsia="Times New Roman" w:hAnsi="Arial" w:cs="Arial"/>
              <w:i/>
              <w:iCs/>
            </w:rPr>
            <w:t>Jurnal Ilmiah Akuntansi Dan Keauangan</w:t>
          </w:r>
          <w:r w:rsidRPr="005D7961">
            <w:rPr>
              <w:rFonts w:ascii="Arial" w:eastAsia="Times New Roman" w:hAnsi="Arial" w:cs="Arial"/>
            </w:rPr>
            <w:t xml:space="preserve">, </w:t>
          </w:r>
          <w:r w:rsidRPr="005D7961">
            <w:rPr>
              <w:rFonts w:ascii="Arial" w:eastAsia="Times New Roman" w:hAnsi="Arial" w:cs="Arial"/>
              <w:i/>
              <w:iCs/>
            </w:rPr>
            <w:t>1</w:t>
          </w:r>
          <w:r w:rsidRPr="005D7961">
            <w:rPr>
              <w:rFonts w:ascii="Arial" w:eastAsia="Times New Roman" w:hAnsi="Arial" w:cs="Arial"/>
            </w:rPr>
            <w:t>(3), 295–312. https://doi.org/10.24034/jiaku.v1i3</w:t>
          </w:r>
        </w:p>
        <w:p w14:paraId="465C9E1C" w14:textId="77777777" w:rsidR="007E0157" w:rsidRPr="005D7961" w:rsidRDefault="007E0157" w:rsidP="005D7961">
          <w:pPr>
            <w:autoSpaceDE w:val="0"/>
            <w:autoSpaceDN w:val="0"/>
            <w:ind w:hanging="480"/>
            <w:jc w:val="both"/>
            <w:divId w:val="1986355019"/>
            <w:rPr>
              <w:rFonts w:ascii="Arial" w:eastAsia="Times New Roman" w:hAnsi="Arial" w:cs="Arial"/>
            </w:rPr>
          </w:pPr>
          <w:r w:rsidRPr="005D7961">
            <w:rPr>
              <w:rFonts w:ascii="Arial" w:eastAsia="Times New Roman" w:hAnsi="Arial" w:cs="Arial"/>
            </w:rPr>
            <w:t xml:space="preserve">Kyissima, K. H., Xue, G. Z., Yapatake Kossele, T. P., &amp; Abeid, A. R. (2020). Analysis of capital structure stability of listed firms in China. </w:t>
          </w:r>
          <w:r w:rsidRPr="005D7961">
            <w:rPr>
              <w:rFonts w:ascii="Arial" w:eastAsia="Times New Roman" w:hAnsi="Arial" w:cs="Arial"/>
              <w:i/>
              <w:iCs/>
            </w:rPr>
            <w:t>China Finance Review International</w:t>
          </w:r>
          <w:r w:rsidRPr="005D7961">
            <w:rPr>
              <w:rFonts w:ascii="Arial" w:eastAsia="Times New Roman" w:hAnsi="Arial" w:cs="Arial"/>
            </w:rPr>
            <w:t xml:space="preserve">, </w:t>
          </w:r>
          <w:r w:rsidRPr="005D7961">
            <w:rPr>
              <w:rFonts w:ascii="Arial" w:eastAsia="Times New Roman" w:hAnsi="Arial" w:cs="Arial"/>
              <w:i/>
              <w:iCs/>
            </w:rPr>
            <w:t>10</w:t>
          </w:r>
          <w:r w:rsidRPr="005D7961">
            <w:rPr>
              <w:rFonts w:ascii="Arial" w:eastAsia="Times New Roman" w:hAnsi="Arial" w:cs="Arial"/>
            </w:rPr>
            <w:t>(2), 213–228. https://doi.org/10.1108/CFRI-05-2018-0044</w:t>
          </w:r>
        </w:p>
        <w:p w14:paraId="6A2A80D8" w14:textId="4EB6A6AF" w:rsidR="007E0157" w:rsidRPr="005D7961" w:rsidRDefault="007E0157" w:rsidP="005D7961">
          <w:pPr>
            <w:autoSpaceDE w:val="0"/>
            <w:autoSpaceDN w:val="0"/>
            <w:ind w:hanging="480"/>
            <w:jc w:val="both"/>
            <w:divId w:val="1994871324"/>
            <w:rPr>
              <w:rFonts w:ascii="Arial" w:eastAsia="Times New Roman" w:hAnsi="Arial" w:cs="Arial"/>
            </w:rPr>
          </w:pPr>
          <w:r w:rsidRPr="005D7961">
            <w:rPr>
              <w:rFonts w:ascii="Arial" w:eastAsia="Times New Roman" w:hAnsi="Arial" w:cs="Arial"/>
            </w:rPr>
            <w:t xml:space="preserve">Lestari, S. I., &amp; Yudiantoro, D. (2023). Pengaruh Return On Asset, Debt To Asset Ratio, Earning Per Share, Price To Book Value Terhadap Harga Saham Sub Sektor Perbankan Yang Terdaftar Di Bursa Efek Indonesia Periode 2019-2021. </w:t>
          </w:r>
          <w:r w:rsidRPr="005D7961">
            <w:rPr>
              <w:rFonts w:ascii="Arial" w:eastAsia="Times New Roman" w:hAnsi="Arial" w:cs="Arial"/>
              <w:i/>
              <w:iCs/>
            </w:rPr>
            <w:t>Jurnal Ekonomika Manajemen, Akuntansi Dan Perbankan Syari’ah</w:t>
          </w:r>
          <w:r w:rsidRPr="005D7961">
            <w:rPr>
              <w:rFonts w:ascii="Arial" w:eastAsia="Times New Roman" w:hAnsi="Arial" w:cs="Arial"/>
            </w:rPr>
            <w:t xml:space="preserve">, </w:t>
          </w:r>
          <w:r w:rsidRPr="005D7961">
            <w:rPr>
              <w:rFonts w:ascii="Arial" w:eastAsia="Times New Roman" w:hAnsi="Arial" w:cs="Arial"/>
              <w:i/>
              <w:iCs/>
            </w:rPr>
            <w:t>12</w:t>
          </w:r>
          <w:r w:rsidRPr="005D7961">
            <w:rPr>
              <w:rFonts w:ascii="Arial" w:eastAsia="Times New Roman" w:hAnsi="Arial" w:cs="Arial"/>
            </w:rPr>
            <w:t>(1).</w:t>
          </w:r>
          <w:r w:rsidR="002B1C82" w:rsidRPr="005D7961">
            <w:rPr>
              <w:rFonts w:ascii="Arial" w:eastAsia="Times New Roman" w:hAnsi="Arial" w:cs="Arial"/>
            </w:rPr>
            <w:t xml:space="preserve"> </w:t>
          </w:r>
          <w:r w:rsidRPr="005D7961">
            <w:rPr>
              <w:rFonts w:ascii="Arial" w:eastAsia="Times New Roman" w:hAnsi="Arial" w:cs="Arial"/>
            </w:rPr>
            <w:t>https://doi.org/10.24903/je.v12i1</w:t>
          </w:r>
        </w:p>
        <w:p w14:paraId="7B9DD527" w14:textId="77777777" w:rsidR="007E0157" w:rsidRPr="005D7961" w:rsidRDefault="007E0157" w:rsidP="005D7961">
          <w:pPr>
            <w:autoSpaceDE w:val="0"/>
            <w:autoSpaceDN w:val="0"/>
            <w:ind w:hanging="480"/>
            <w:jc w:val="both"/>
            <w:divId w:val="1419905332"/>
            <w:rPr>
              <w:rFonts w:ascii="Arial" w:eastAsia="Times New Roman" w:hAnsi="Arial" w:cs="Arial"/>
            </w:rPr>
          </w:pPr>
          <w:r w:rsidRPr="005D7961">
            <w:rPr>
              <w:rFonts w:ascii="Arial" w:eastAsia="Times New Roman" w:hAnsi="Arial" w:cs="Arial"/>
            </w:rPr>
            <w:t xml:space="preserve">Marcelina, D. A., &amp; Cahyono, K. E. (2022). Pengaruh Current Ratio, Return On Asset Dan Earning Per Share Terhadap Harga Saham (Studi Pada Perusahaan Farmasi Yang Terdaftar Di BEI) Sekolah Tinggi Ilmu Ekonomi Indonesia (STIESIA) Surabaya. </w:t>
          </w:r>
          <w:r w:rsidRPr="005D7961">
            <w:rPr>
              <w:rFonts w:ascii="Arial" w:eastAsia="Times New Roman" w:hAnsi="Arial" w:cs="Arial"/>
              <w:i/>
              <w:iCs/>
            </w:rPr>
            <w:t>Jurnal Ilmu Dan Riset Manajemen</w:t>
          </w:r>
          <w:r w:rsidRPr="005D7961">
            <w:rPr>
              <w:rFonts w:ascii="Arial" w:eastAsia="Times New Roman" w:hAnsi="Arial" w:cs="Arial"/>
            </w:rPr>
            <w:t xml:space="preserve">, </w:t>
          </w:r>
          <w:r w:rsidRPr="005D7961">
            <w:rPr>
              <w:rFonts w:ascii="Arial" w:eastAsia="Times New Roman" w:hAnsi="Arial" w:cs="Arial"/>
              <w:i/>
              <w:iCs/>
            </w:rPr>
            <w:t>11</w:t>
          </w:r>
          <w:r w:rsidRPr="005D7961">
            <w:rPr>
              <w:rFonts w:ascii="Arial" w:eastAsia="Times New Roman" w:hAnsi="Arial" w:cs="Arial"/>
            </w:rPr>
            <w:t>(2). https://jurnalmahasiswa.stiesia.ac.id/index.php/jirm/issue/view/181</w:t>
          </w:r>
        </w:p>
        <w:p w14:paraId="71072E94" w14:textId="77777777" w:rsidR="007E0157" w:rsidRPr="005D7961" w:rsidRDefault="007E0157" w:rsidP="005D7961">
          <w:pPr>
            <w:autoSpaceDE w:val="0"/>
            <w:autoSpaceDN w:val="0"/>
            <w:ind w:hanging="480"/>
            <w:jc w:val="both"/>
            <w:divId w:val="1275213212"/>
            <w:rPr>
              <w:rFonts w:ascii="Arial" w:eastAsia="Times New Roman" w:hAnsi="Arial" w:cs="Arial"/>
            </w:rPr>
          </w:pPr>
          <w:r w:rsidRPr="005D7961">
            <w:rPr>
              <w:rFonts w:ascii="Arial" w:eastAsia="Times New Roman" w:hAnsi="Arial" w:cs="Arial"/>
            </w:rPr>
            <w:t xml:space="preserve">Meisaroh, S., Ridho Nugroho, T., Fitri Isnaini, N., &amp; Baidlowi, I. (2023). Pengaruh NPM, ROA, ROE Terhadap Pertumbuhan Laba Dengan Bopo Sebagai Moderasi. </w:t>
          </w:r>
          <w:r w:rsidRPr="005D7961">
            <w:rPr>
              <w:rFonts w:ascii="Arial" w:eastAsia="Times New Roman" w:hAnsi="Arial" w:cs="Arial"/>
              <w:i/>
              <w:iCs/>
            </w:rPr>
            <w:t>Jurnal Mutiara Ilmu Akuntansi</w:t>
          </w:r>
          <w:r w:rsidRPr="005D7961">
            <w:rPr>
              <w:rFonts w:ascii="Arial" w:eastAsia="Times New Roman" w:hAnsi="Arial" w:cs="Arial"/>
            </w:rPr>
            <w:t xml:space="preserve">, </w:t>
          </w:r>
          <w:r w:rsidRPr="005D7961">
            <w:rPr>
              <w:rFonts w:ascii="Arial" w:eastAsia="Times New Roman" w:hAnsi="Arial" w:cs="Arial"/>
              <w:i/>
              <w:iCs/>
            </w:rPr>
            <w:t>1</w:t>
          </w:r>
          <w:r w:rsidRPr="005D7961">
            <w:rPr>
              <w:rFonts w:ascii="Arial" w:eastAsia="Times New Roman" w:hAnsi="Arial" w:cs="Arial"/>
            </w:rPr>
            <w:t>(4), 84–95. https://doi.org/10.55606/jumia.v1i4.1990</w:t>
          </w:r>
        </w:p>
        <w:p w14:paraId="3B92D5E2" w14:textId="77777777" w:rsidR="007E0157" w:rsidRPr="005D7961" w:rsidRDefault="007E0157" w:rsidP="005D7961">
          <w:pPr>
            <w:autoSpaceDE w:val="0"/>
            <w:autoSpaceDN w:val="0"/>
            <w:ind w:hanging="480"/>
            <w:jc w:val="both"/>
            <w:divId w:val="41289642"/>
            <w:rPr>
              <w:rFonts w:ascii="Arial" w:eastAsia="Times New Roman" w:hAnsi="Arial" w:cs="Arial"/>
            </w:rPr>
          </w:pPr>
          <w:r w:rsidRPr="005D7961">
            <w:rPr>
              <w:rFonts w:ascii="Arial" w:eastAsia="Times New Roman" w:hAnsi="Arial" w:cs="Arial"/>
            </w:rPr>
            <w:t xml:space="preserve">Muktiadji, N., &amp; Pamungkas, B. (2022). The Effect of Financial Ratio on Stock Price of Banks Listed on the Indonesia Stock Exchange (IDX). </w:t>
          </w:r>
          <w:r w:rsidRPr="005D7961">
            <w:rPr>
              <w:rFonts w:ascii="Arial" w:eastAsia="Times New Roman" w:hAnsi="Arial" w:cs="Arial"/>
              <w:i/>
              <w:iCs/>
            </w:rPr>
            <w:t>Asian Journal of Economics, Business and Accounting</w:t>
          </w:r>
          <w:r w:rsidRPr="005D7961">
            <w:rPr>
              <w:rFonts w:ascii="Arial" w:eastAsia="Times New Roman" w:hAnsi="Arial" w:cs="Arial"/>
            </w:rPr>
            <w:t xml:space="preserve">, </w:t>
          </w:r>
          <w:r w:rsidRPr="005D7961">
            <w:rPr>
              <w:rFonts w:ascii="Arial" w:eastAsia="Times New Roman" w:hAnsi="Arial" w:cs="Arial"/>
              <w:i/>
              <w:iCs/>
            </w:rPr>
            <w:t>22</w:t>
          </w:r>
          <w:r w:rsidRPr="005D7961">
            <w:rPr>
              <w:rFonts w:ascii="Arial" w:eastAsia="Times New Roman" w:hAnsi="Arial" w:cs="Arial"/>
            </w:rPr>
            <w:t>(24), 232–240. https://doi.org/10.9734/ajeba/2022/v22i24910</w:t>
          </w:r>
        </w:p>
        <w:p w14:paraId="0B240B28" w14:textId="66BEFA95" w:rsidR="007E0157" w:rsidRPr="005D7961" w:rsidRDefault="007E0157" w:rsidP="005D7961">
          <w:pPr>
            <w:autoSpaceDE w:val="0"/>
            <w:autoSpaceDN w:val="0"/>
            <w:ind w:hanging="480"/>
            <w:jc w:val="both"/>
            <w:divId w:val="1181510327"/>
            <w:rPr>
              <w:rFonts w:ascii="Arial" w:eastAsia="Times New Roman" w:hAnsi="Arial" w:cs="Arial"/>
            </w:rPr>
          </w:pPr>
          <w:r w:rsidRPr="005D7961">
            <w:rPr>
              <w:rFonts w:ascii="Arial" w:eastAsia="Times New Roman" w:hAnsi="Arial" w:cs="Arial"/>
            </w:rPr>
            <w:t xml:space="preserve">Mustafa, Y., Karundeng, Deby. R., Suyanto, M. A., &amp; Rasid, A. (2022). Struktur Aktiva, Manajemen Hutang dan Efisiensi Aset terhadap Kinerja Laba. </w:t>
          </w:r>
          <w:r w:rsidRPr="005D7961">
            <w:rPr>
              <w:rFonts w:ascii="Arial" w:eastAsia="Times New Roman" w:hAnsi="Arial" w:cs="Arial"/>
              <w:i/>
              <w:iCs/>
            </w:rPr>
            <w:t>Jurnal Pendidikan Dan Kewirausahaan</w:t>
          </w:r>
          <w:r w:rsidRPr="005D7961">
            <w:rPr>
              <w:rFonts w:ascii="Arial" w:eastAsia="Times New Roman" w:hAnsi="Arial" w:cs="Arial"/>
            </w:rPr>
            <w:t xml:space="preserve">, </w:t>
          </w:r>
          <w:r w:rsidRPr="005D7961">
            <w:rPr>
              <w:rFonts w:ascii="Arial" w:eastAsia="Times New Roman" w:hAnsi="Arial" w:cs="Arial"/>
              <w:i/>
              <w:iCs/>
            </w:rPr>
            <w:t>10</w:t>
          </w:r>
          <w:r w:rsidRPr="005D7961">
            <w:rPr>
              <w:rFonts w:ascii="Arial" w:eastAsia="Times New Roman" w:hAnsi="Arial" w:cs="Arial"/>
            </w:rPr>
            <w:t>(2). https://doi.org/10.47668/pkwu.v10i1.381</w:t>
          </w:r>
        </w:p>
        <w:p w14:paraId="00CCBF06" w14:textId="77777777" w:rsidR="007E0157" w:rsidRPr="005D7961" w:rsidRDefault="007E0157" w:rsidP="005D7961">
          <w:pPr>
            <w:autoSpaceDE w:val="0"/>
            <w:autoSpaceDN w:val="0"/>
            <w:ind w:hanging="480"/>
            <w:jc w:val="both"/>
            <w:divId w:val="34431447"/>
            <w:rPr>
              <w:rFonts w:ascii="Arial" w:eastAsia="Times New Roman" w:hAnsi="Arial" w:cs="Arial"/>
            </w:rPr>
          </w:pPr>
          <w:r w:rsidRPr="005D7961">
            <w:rPr>
              <w:rFonts w:ascii="Arial" w:eastAsia="Times New Roman" w:hAnsi="Arial" w:cs="Arial"/>
            </w:rPr>
            <w:t xml:space="preserve">Novita, R., &amp; Aminah. (2024). The Effect Of Financial Ratio And Company Size On Company  Value (Case Study On Manufacturing Companies Listed On IDX For The 2021-2022 Period). </w:t>
          </w:r>
          <w:r w:rsidRPr="005D7961">
            <w:rPr>
              <w:rFonts w:ascii="Arial" w:eastAsia="Times New Roman" w:hAnsi="Arial" w:cs="Arial"/>
              <w:i/>
              <w:iCs/>
            </w:rPr>
            <w:t>International Journal of Accounting, Management, Economics and Social Sciences (IJAMESC)</w:t>
          </w:r>
          <w:r w:rsidRPr="005D7961">
            <w:rPr>
              <w:rFonts w:ascii="Arial" w:eastAsia="Times New Roman" w:hAnsi="Arial" w:cs="Arial"/>
            </w:rPr>
            <w:t xml:space="preserve">, </w:t>
          </w:r>
          <w:r w:rsidRPr="005D7961">
            <w:rPr>
              <w:rFonts w:ascii="Arial" w:eastAsia="Times New Roman" w:hAnsi="Arial" w:cs="Arial"/>
              <w:i/>
              <w:iCs/>
            </w:rPr>
            <w:t>2</w:t>
          </w:r>
          <w:r w:rsidRPr="005D7961">
            <w:rPr>
              <w:rFonts w:ascii="Arial" w:eastAsia="Times New Roman" w:hAnsi="Arial" w:cs="Arial"/>
            </w:rPr>
            <w:t>(2), 572–587. https://doi.org/10.61990/ijamesc.v2i2.220</w:t>
          </w:r>
        </w:p>
        <w:p w14:paraId="49C8F337" w14:textId="77777777" w:rsidR="007E0157" w:rsidRPr="005D7961" w:rsidRDefault="007E0157" w:rsidP="005D7961">
          <w:pPr>
            <w:autoSpaceDE w:val="0"/>
            <w:autoSpaceDN w:val="0"/>
            <w:ind w:hanging="480"/>
            <w:jc w:val="both"/>
            <w:divId w:val="1209998808"/>
            <w:rPr>
              <w:rFonts w:ascii="Arial" w:eastAsia="Times New Roman" w:hAnsi="Arial" w:cs="Arial"/>
            </w:rPr>
          </w:pPr>
          <w:r w:rsidRPr="005D7961">
            <w:rPr>
              <w:rFonts w:ascii="Arial" w:eastAsia="Times New Roman" w:hAnsi="Arial" w:cs="Arial"/>
            </w:rPr>
            <w:t xml:space="preserve">Nugraha, K. C., &amp; Artini, L. G. S. (2022). The Effect of Financial Performance on Stock Prices of Automotive and Component Sub Sector Companies in the Indonesia Stock Exchange. </w:t>
          </w:r>
          <w:r w:rsidRPr="005D7961">
            <w:rPr>
              <w:rFonts w:ascii="Arial" w:eastAsia="Times New Roman" w:hAnsi="Arial" w:cs="Arial"/>
              <w:i/>
              <w:iCs/>
            </w:rPr>
            <w:t>European Journal of Business and Management Research</w:t>
          </w:r>
          <w:r w:rsidRPr="005D7961">
            <w:rPr>
              <w:rFonts w:ascii="Arial" w:eastAsia="Times New Roman" w:hAnsi="Arial" w:cs="Arial"/>
            </w:rPr>
            <w:t xml:space="preserve">, </w:t>
          </w:r>
          <w:r w:rsidRPr="005D7961">
            <w:rPr>
              <w:rFonts w:ascii="Arial" w:eastAsia="Times New Roman" w:hAnsi="Arial" w:cs="Arial"/>
              <w:i/>
              <w:iCs/>
            </w:rPr>
            <w:t>7</w:t>
          </w:r>
          <w:r w:rsidRPr="005D7961">
            <w:rPr>
              <w:rFonts w:ascii="Arial" w:eastAsia="Times New Roman" w:hAnsi="Arial" w:cs="Arial"/>
            </w:rPr>
            <w:t>(4), 327–331. https://doi.org/10.24018/ejbmr.2022.7.4.1595</w:t>
          </w:r>
        </w:p>
        <w:p w14:paraId="3D275B00" w14:textId="77777777" w:rsidR="007E0157" w:rsidRPr="005D7961" w:rsidRDefault="007E0157" w:rsidP="005D7961">
          <w:pPr>
            <w:autoSpaceDE w:val="0"/>
            <w:autoSpaceDN w:val="0"/>
            <w:ind w:hanging="480"/>
            <w:jc w:val="both"/>
            <w:divId w:val="1618026578"/>
            <w:rPr>
              <w:rFonts w:ascii="Arial" w:eastAsia="Times New Roman" w:hAnsi="Arial" w:cs="Arial"/>
            </w:rPr>
          </w:pPr>
          <w:r w:rsidRPr="005D7961">
            <w:rPr>
              <w:rFonts w:ascii="Arial" w:eastAsia="Times New Roman" w:hAnsi="Arial" w:cs="Arial"/>
            </w:rPr>
            <w:t xml:space="preserve">Nurbaiti, S., &amp; Mardiati, D. (2024). Fin Sinergy 108 Pengaruh Total Asset Turnover (TATO) Dan Return On Asset (ROA) Terhadap Harga Saham Pada PT. Wilmar Cahaya Indonesia Tbk Periode 2013-2022. </w:t>
          </w:r>
          <w:r w:rsidRPr="005D7961">
            <w:rPr>
              <w:rFonts w:ascii="Arial" w:eastAsia="Times New Roman" w:hAnsi="Arial" w:cs="Arial"/>
              <w:i/>
              <w:iCs/>
            </w:rPr>
            <w:t>Jurnal Manajemen Keuangan</w:t>
          </w:r>
          <w:r w:rsidRPr="005D7961">
            <w:rPr>
              <w:rFonts w:ascii="Arial" w:eastAsia="Times New Roman" w:hAnsi="Arial" w:cs="Arial"/>
            </w:rPr>
            <w:t xml:space="preserve">, </w:t>
          </w:r>
          <w:r w:rsidRPr="005D7961">
            <w:rPr>
              <w:rFonts w:ascii="Arial" w:eastAsia="Times New Roman" w:hAnsi="Arial" w:cs="Arial"/>
              <w:i/>
              <w:iCs/>
            </w:rPr>
            <w:t>2</w:t>
          </w:r>
          <w:r w:rsidRPr="005D7961">
            <w:rPr>
              <w:rFonts w:ascii="Arial" w:eastAsia="Times New Roman" w:hAnsi="Arial" w:cs="Arial"/>
            </w:rPr>
            <w:t>(2), 3021–8535. https://doi.org/10.56457/fin.v2i2.689</w:t>
          </w:r>
        </w:p>
        <w:p w14:paraId="29DAE206" w14:textId="4833869A" w:rsidR="007E0157" w:rsidRPr="005D7961" w:rsidRDefault="007E0157" w:rsidP="005D7961">
          <w:pPr>
            <w:autoSpaceDE w:val="0"/>
            <w:autoSpaceDN w:val="0"/>
            <w:ind w:hanging="480"/>
            <w:jc w:val="both"/>
            <w:divId w:val="2072341535"/>
            <w:rPr>
              <w:rFonts w:ascii="Arial" w:eastAsia="Times New Roman" w:hAnsi="Arial" w:cs="Arial"/>
            </w:rPr>
          </w:pPr>
          <w:r w:rsidRPr="005D7961">
            <w:rPr>
              <w:rFonts w:ascii="Arial" w:eastAsia="Times New Roman" w:hAnsi="Arial" w:cs="Arial"/>
            </w:rPr>
            <w:t xml:space="preserve">Nurcholis, I., Pratama, A., &amp; Daeng Matta, Y. (2024). Pengaruh Total Asset Turnover (Tato) dan Net Profit Margin (NPM) terhadap Harga Saham pada PT Matahari Department Store Tbk Periode 2013-2023. </w:t>
          </w:r>
          <w:r w:rsidRPr="005D7961">
            <w:rPr>
              <w:rFonts w:ascii="Arial" w:eastAsia="Times New Roman" w:hAnsi="Arial" w:cs="Arial"/>
              <w:i/>
              <w:iCs/>
            </w:rPr>
            <w:t>Cakrawala: Jurnal Ekonomi, Manajemen Dan Bisnis</w:t>
          </w:r>
          <w:r w:rsidRPr="005D7961">
            <w:rPr>
              <w:rFonts w:ascii="Arial" w:eastAsia="Times New Roman" w:hAnsi="Arial" w:cs="Arial"/>
            </w:rPr>
            <w:t xml:space="preserve">, </w:t>
          </w:r>
          <w:r w:rsidRPr="005D7961">
            <w:rPr>
              <w:rFonts w:ascii="Arial" w:eastAsia="Times New Roman" w:hAnsi="Arial" w:cs="Arial"/>
              <w:i/>
              <w:iCs/>
            </w:rPr>
            <w:t>1</w:t>
          </w:r>
          <w:r w:rsidRPr="005D7961">
            <w:rPr>
              <w:rFonts w:ascii="Arial" w:eastAsia="Times New Roman" w:hAnsi="Arial" w:cs="Arial"/>
            </w:rPr>
            <w:t>(4), 1420–1429. https://doi.org/10.70451/cakrawala.v1i4.252</w:t>
          </w:r>
        </w:p>
        <w:p w14:paraId="4D1DBD8C" w14:textId="341C6B61" w:rsidR="007E0157" w:rsidRPr="005D7961" w:rsidRDefault="007E0157" w:rsidP="005D7961">
          <w:pPr>
            <w:autoSpaceDE w:val="0"/>
            <w:autoSpaceDN w:val="0"/>
            <w:ind w:hanging="480"/>
            <w:jc w:val="both"/>
            <w:divId w:val="1750617499"/>
            <w:rPr>
              <w:rFonts w:ascii="Arial" w:eastAsia="Times New Roman" w:hAnsi="Arial" w:cs="Arial"/>
            </w:rPr>
          </w:pPr>
          <w:r w:rsidRPr="005D7961">
            <w:rPr>
              <w:rFonts w:ascii="Arial" w:eastAsia="Times New Roman" w:hAnsi="Arial" w:cs="Arial"/>
            </w:rPr>
            <w:t xml:space="preserve">Pertiwi, A. N., &amp; Sukoco, A. (2022). Effect of Profitability Ratio, Solvency Ratio, and Liquidity Ratio to Price Book Value (Pbv) on Food and Beverage Sub-Sector Companies Listed on the Idx in 2017-2021. </w:t>
          </w:r>
          <w:r w:rsidRPr="005D7961">
            <w:rPr>
              <w:rFonts w:ascii="Arial" w:eastAsia="Times New Roman" w:hAnsi="Arial" w:cs="Arial"/>
              <w:i/>
              <w:iCs/>
            </w:rPr>
            <w:t>Journal of World Conference</w:t>
          </w:r>
          <w:r w:rsidRPr="005D7961">
            <w:rPr>
              <w:rFonts w:ascii="Arial" w:eastAsia="Times New Roman" w:hAnsi="Arial" w:cs="Arial"/>
            </w:rPr>
            <w:t xml:space="preserve">, </w:t>
          </w:r>
          <w:r w:rsidRPr="005D7961">
            <w:rPr>
              <w:rFonts w:ascii="Arial" w:eastAsia="Times New Roman" w:hAnsi="Arial" w:cs="Arial"/>
              <w:i/>
              <w:iCs/>
            </w:rPr>
            <w:t>4</w:t>
          </w:r>
          <w:r w:rsidRPr="005D7961">
            <w:rPr>
              <w:rFonts w:ascii="Arial" w:eastAsia="Times New Roman" w:hAnsi="Arial" w:cs="Arial"/>
            </w:rPr>
            <w:t>(6).</w:t>
          </w:r>
          <w:r w:rsidR="002B1C82" w:rsidRPr="005D7961">
            <w:rPr>
              <w:rFonts w:ascii="Arial" w:eastAsia="Times New Roman" w:hAnsi="Arial" w:cs="Arial"/>
            </w:rPr>
            <w:t xml:space="preserve"> </w:t>
          </w:r>
          <w:r w:rsidRPr="005D7961">
            <w:rPr>
              <w:rFonts w:ascii="Arial" w:eastAsia="Times New Roman" w:hAnsi="Arial" w:cs="Arial"/>
            </w:rPr>
            <w:t>https://doi.org/10.29138/prd.v4i6</w:t>
          </w:r>
        </w:p>
        <w:p w14:paraId="08FD74A3" w14:textId="77777777" w:rsidR="007E0157" w:rsidRPr="005D7961" w:rsidRDefault="007E0157" w:rsidP="005D7961">
          <w:pPr>
            <w:autoSpaceDE w:val="0"/>
            <w:autoSpaceDN w:val="0"/>
            <w:ind w:hanging="480"/>
            <w:jc w:val="both"/>
            <w:divId w:val="1317148665"/>
            <w:rPr>
              <w:rFonts w:ascii="Arial" w:eastAsia="Times New Roman" w:hAnsi="Arial" w:cs="Arial"/>
            </w:rPr>
          </w:pPr>
          <w:r w:rsidRPr="005D7961">
            <w:rPr>
              <w:rFonts w:ascii="Arial" w:eastAsia="Times New Roman" w:hAnsi="Arial" w:cs="Arial"/>
            </w:rPr>
            <w:t xml:space="preserve">Purwanto, S., &amp; Perkasa, D. H. (2024). Banking Share Prices Analysis: The Influence of Financial Ratios Amidst Digital Transformation. </w:t>
          </w:r>
          <w:r w:rsidRPr="005D7961">
            <w:rPr>
              <w:rFonts w:ascii="Arial" w:eastAsia="Times New Roman" w:hAnsi="Arial" w:cs="Arial"/>
              <w:i/>
              <w:iCs/>
            </w:rPr>
            <w:t>Quantitative Economics and Management Studies</w:t>
          </w:r>
          <w:r w:rsidRPr="005D7961">
            <w:rPr>
              <w:rFonts w:ascii="Arial" w:eastAsia="Times New Roman" w:hAnsi="Arial" w:cs="Arial"/>
            </w:rPr>
            <w:t xml:space="preserve">, </w:t>
          </w:r>
          <w:r w:rsidRPr="005D7961">
            <w:rPr>
              <w:rFonts w:ascii="Arial" w:eastAsia="Times New Roman" w:hAnsi="Arial" w:cs="Arial"/>
              <w:i/>
              <w:iCs/>
            </w:rPr>
            <w:t>5</w:t>
          </w:r>
          <w:r w:rsidRPr="005D7961">
            <w:rPr>
              <w:rFonts w:ascii="Arial" w:eastAsia="Times New Roman" w:hAnsi="Arial" w:cs="Arial"/>
            </w:rPr>
            <w:t>(4), 871–878. https://doi.org/10.35877/454RI.qems2753</w:t>
          </w:r>
        </w:p>
        <w:p w14:paraId="7E703D58" w14:textId="77777777" w:rsidR="007E0157" w:rsidRPr="005D7961" w:rsidRDefault="007E0157" w:rsidP="005D7961">
          <w:pPr>
            <w:autoSpaceDE w:val="0"/>
            <w:autoSpaceDN w:val="0"/>
            <w:ind w:hanging="480"/>
            <w:jc w:val="both"/>
            <w:divId w:val="319694880"/>
            <w:rPr>
              <w:rFonts w:ascii="Arial" w:eastAsia="Times New Roman" w:hAnsi="Arial" w:cs="Arial"/>
            </w:rPr>
          </w:pPr>
          <w:r w:rsidRPr="005D7961">
            <w:rPr>
              <w:rFonts w:ascii="Arial" w:eastAsia="Times New Roman" w:hAnsi="Arial" w:cs="Arial"/>
            </w:rPr>
            <w:t xml:space="preserve">Puspitasari, N., Soleh, A., &amp; Irawan Abi, Y. (2025). The Effect Of NPM, ROA, ROE, EPS And Per Ratio On The Stock Price Of Lq45 Companies Listed On The Indonesian Stock Exchange For The Period 2021-2023. </w:t>
          </w:r>
          <w:r w:rsidRPr="005D7961">
            <w:rPr>
              <w:rFonts w:ascii="Arial" w:eastAsia="Times New Roman" w:hAnsi="Arial" w:cs="Arial"/>
              <w:i/>
              <w:iCs/>
            </w:rPr>
            <w:t>Jurnal Ilmiah Ekonomi Dan Bisnis</w:t>
          </w:r>
          <w:r w:rsidRPr="005D7961">
            <w:rPr>
              <w:rFonts w:ascii="Arial" w:eastAsia="Times New Roman" w:hAnsi="Arial" w:cs="Arial"/>
            </w:rPr>
            <w:t xml:space="preserve">, </w:t>
          </w:r>
          <w:r w:rsidRPr="005D7961">
            <w:rPr>
              <w:rFonts w:ascii="Arial" w:eastAsia="Times New Roman" w:hAnsi="Arial" w:cs="Arial"/>
              <w:i/>
              <w:iCs/>
            </w:rPr>
            <w:t>13</w:t>
          </w:r>
          <w:r w:rsidRPr="005D7961">
            <w:rPr>
              <w:rFonts w:ascii="Arial" w:eastAsia="Times New Roman" w:hAnsi="Arial" w:cs="Arial"/>
            </w:rPr>
            <w:t>(1), 13. https://doi.org/10.37676/ekombis.v13i1</w:t>
          </w:r>
        </w:p>
        <w:p w14:paraId="32EE58A6" w14:textId="77777777" w:rsidR="007E0157" w:rsidRPr="005D7961" w:rsidRDefault="007E0157" w:rsidP="005D7961">
          <w:pPr>
            <w:autoSpaceDE w:val="0"/>
            <w:autoSpaceDN w:val="0"/>
            <w:ind w:hanging="480"/>
            <w:jc w:val="both"/>
            <w:divId w:val="1343581934"/>
            <w:rPr>
              <w:rFonts w:ascii="Arial" w:eastAsia="Times New Roman" w:hAnsi="Arial" w:cs="Arial"/>
            </w:rPr>
          </w:pPr>
          <w:r w:rsidRPr="005D7961">
            <w:rPr>
              <w:rFonts w:ascii="Arial" w:eastAsia="Times New Roman" w:hAnsi="Arial" w:cs="Arial"/>
            </w:rPr>
            <w:t xml:space="preserve">Putra, P., &amp; Sari, E. P. (2023). Pengaruh ROA, CR, dan DER terhadap PBV Pada Sektor Manufaktur Sub Sektor Makanan dan Minuman Yang Terdaftar di Bursa Efek Indonesia Periode 2018-2020. </w:t>
          </w:r>
          <w:r w:rsidRPr="005D7961">
            <w:rPr>
              <w:rFonts w:ascii="Arial" w:eastAsia="Times New Roman" w:hAnsi="Arial" w:cs="Arial"/>
              <w:i/>
              <w:iCs/>
            </w:rPr>
            <w:t>Manajemen Kreatif Jurnal</w:t>
          </w:r>
          <w:r w:rsidRPr="005D7961">
            <w:rPr>
              <w:rFonts w:ascii="Arial" w:eastAsia="Times New Roman" w:hAnsi="Arial" w:cs="Arial"/>
            </w:rPr>
            <w:t xml:space="preserve">, </w:t>
          </w:r>
          <w:r w:rsidRPr="005D7961">
            <w:rPr>
              <w:rFonts w:ascii="Arial" w:eastAsia="Times New Roman" w:hAnsi="Arial" w:cs="Arial"/>
              <w:i/>
              <w:iCs/>
            </w:rPr>
            <w:t>1</w:t>
          </w:r>
          <w:r w:rsidRPr="005D7961">
            <w:rPr>
              <w:rFonts w:ascii="Arial" w:eastAsia="Times New Roman" w:hAnsi="Arial" w:cs="Arial"/>
            </w:rPr>
            <w:t>(4), 189–202. https://doi.org/10.55606/makreju.v1i4.2167</w:t>
          </w:r>
        </w:p>
        <w:p w14:paraId="7CCB9F8F" w14:textId="0E3C7029" w:rsidR="007E0157" w:rsidRPr="005D7961" w:rsidRDefault="007E0157" w:rsidP="005D7961">
          <w:pPr>
            <w:autoSpaceDE w:val="0"/>
            <w:autoSpaceDN w:val="0"/>
            <w:ind w:hanging="480"/>
            <w:jc w:val="both"/>
            <w:divId w:val="1445077727"/>
            <w:rPr>
              <w:rFonts w:ascii="Arial" w:eastAsia="Times New Roman" w:hAnsi="Arial" w:cs="Arial"/>
            </w:rPr>
          </w:pPr>
          <w:r w:rsidRPr="005D7961">
            <w:rPr>
              <w:rFonts w:ascii="Arial" w:eastAsia="Times New Roman" w:hAnsi="Arial" w:cs="Arial"/>
            </w:rPr>
            <w:t xml:space="preserve">Putri, E. S., Usdeldi, &amp; Rahma, S. (2024). The Effect OF ROA, ROE, AND EPS On Stock Prices Of Companies Registered On Jii For The 2018-2021. </w:t>
          </w:r>
          <w:r w:rsidRPr="005D7961">
            <w:rPr>
              <w:rFonts w:ascii="Arial" w:eastAsia="Times New Roman" w:hAnsi="Arial" w:cs="Arial"/>
              <w:i/>
              <w:iCs/>
            </w:rPr>
            <w:t>AL-DZHAB</w:t>
          </w:r>
          <w:r w:rsidRPr="005D7961">
            <w:rPr>
              <w:rFonts w:ascii="Arial" w:eastAsia="Times New Roman" w:hAnsi="Arial" w:cs="Arial"/>
            </w:rPr>
            <w:t xml:space="preserve">, </w:t>
          </w:r>
          <w:r w:rsidRPr="005D7961">
            <w:rPr>
              <w:rFonts w:ascii="Arial" w:eastAsia="Times New Roman" w:hAnsi="Arial" w:cs="Arial"/>
              <w:i/>
              <w:iCs/>
            </w:rPr>
            <w:t>5</w:t>
          </w:r>
          <w:r w:rsidRPr="005D7961">
            <w:rPr>
              <w:rFonts w:ascii="Arial" w:eastAsia="Times New Roman" w:hAnsi="Arial" w:cs="Arial"/>
            </w:rPr>
            <w:t>(1).https://doi.org/10.32939/dhb.v5i1.3152</w:t>
          </w:r>
        </w:p>
        <w:p w14:paraId="2AB52730" w14:textId="05793DA0" w:rsidR="007E0157" w:rsidRPr="005D7961" w:rsidRDefault="007E0157" w:rsidP="005D7961">
          <w:pPr>
            <w:autoSpaceDE w:val="0"/>
            <w:autoSpaceDN w:val="0"/>
            <w:ind w:hanging="480"/>
            <w:jc w:val="both"/>
            <w:divId w:val="262961183"/>
            <w:rPr>
              <w:rFonts w:ascii="Arial" w:eastAsia="Times New Roman" w:hAnsi="Arial" w:cs="Arial"/>
            </w:rPr>
          </w:pPr>
          <w:r w:rsidRPr="005D7961">
            <w:rPr>
              <w:rFonts w:ascii="Arial" w:eastAsia="Times New Roman" w:hAnsi="Arial" w:cs="Arial"/>
            </w:rPr>
            <w:t xml:space="preserve">Rachmawati, N. F., Murdiyanto, E., &amp; Rahmawati, Z. (2022). Pengaruh TATO, DAR Dan ROA Terhadap PBV Perusahaan Yang Terdaftar Di Indeks Lq45 Bei 2018-2020. </w:t>
          </w:r>
          <w:r w:rsidRPr="005D7961">
            <w:rPr>
              <w:rFonts w:ascii="Arial" w:eastAsia="Times New Roman" w:hAnsi="Arial" w:cs="Arial"/>
              <w:i/>
              <w:iCs/>
            </w:rPr>
            <w:t>OPTIMAL: Jurnal Ekonomi Dan Manajemen</w:t>
          </w:r>
          <w:r w:rsidRPr="005D7961">
            <w:rPr>
              <w:rFonts w:ascii="Arial" w:eastAsia="Times New Roman" w:hAnsi="Arial" w:cs="Arial"/>
            </w:rPr>
            <w:t xml:space="preserve">, </w:t>
          </w:r>
          <w:r w:rsidRPr="005D7961">
            <w:rPr>
              <w:rFonts w:ascii="Arial" w:eastAsia="Times New Roman" w:hAnsi="Arial" w:cs="Arial"/>
              <w:i/>
              <w:iCs/>
            </w:rPr>
            <w:t>2</w:t>
          </w:r>
          <w:r w:rsidRPr="005D7961">
            <w:rPr>
              <w:rFonts w:ascii="Arial" w:eastAsia="Times New Roman" w:hAnsi="Arial" w:cs="Arial"/>
            </w:rPr>
            <w:t>(2). https://doi.org/10.55606/optimal.v2i2</w:t>
          </w:r>
        </w:p>
        <w:p w14:paraId="02AD2832" w14:textId="77777777" w:rsidR="007E0157" w:rsidRPr="005D7961" w:rsidRDefault="007E0157" w:rsidP="005D7961">
          <w:pPr>
            <w:autoSpaceDE w:val="0"/>
            <w:autoSpaceDN w:val="0"/>
            <w:ind w:hanging="480"/>
            <w:jc w:val="both"/>
            <w:divId w:val="676545351"/>
            <w:rPr>
              <w:rFonts w:ascii="Arial" w:eastAsia="Times New Roman" w:hAnsi="Arial" w:cs="Arial"/>
            </w:rPr>
          </w:pPr>
          <w:r w:rsidRPr="005D7961">
            <w:rPr>
              <w:rFonts w:ascii="Arial" w:eastAsia="Times New Roman" w:hAnsi="Arial" w:cs="Arial"/>
            </w:rPr>
            <w:t xml:space="preserve">Rahmawati, I. Y., Najmudin, Adawiyah, W. R., Jayanti, E., Berniz, Y. M., &amp; Utami, Y. (2023). Financial Ratios and Corporate Governance’s Impact on Financial Performance in the Indonesian Stock Market: The Case in Manufacturing Industry. </w:t>
          </w:r>
          <w:r w:rsidRPr="005D7961">
            <w:rPr>
              <w:rFonts w:ascii="Arial" w:eastAsia="Times New Roman" w:hAnsi="Arial" w:cs="Arial"/>
              <w:i/>
              <w:iCs/>
            </w:rPr>
            <w:t>Asian Journal of Economics, Business and Accounting</w:t>
          </w:r>
          <w:r w:rsidRPr="005D7961">
            <w:rPr>
              <w:rFonts w:ascii="Arial" w:eastAsia="Times New Roman" w:hAnsi="Arial" w:cs="Arial"/>
            </w:rPr>
            <w:t xml:space="preserve">, </w:t>
          </w:r>
          <w:r w:rsidRPr="005D7961">
            <w:rPr>
              <w:rFonts w:ascii="Arial" w:eastAsia="Times New Roman" w:hAnsi="Arial" w:cs="Arial"/>
              <w:i/>
              <w:iCs/>
            </w:rPr>
            <w:t>23</w:t>
          </w:r>
          <w:r w:rsidRPr="005D7961">
            <w:rPr>
              <w:rFonts w:ascii="Arial" w:eastAsia="Times New Roman" w:hAnsi="Arial" w:cs="Arial"/>
            </w:rPr>
            <w:t>(17), 1–12. https://doi.org/10.9734/ajeba/2023/v23i171037</w:t>
          </w:r>
        </w:p>
        <w:p w14:paraId="47EBABC7" w14:textId="77777777" w:rsidR="007E0157" w:rsidRPr="005D7961" w:rsidRDefault="007E0157" w:rsidP="005D7961">
          <w:pPr>
            <w:autoSpaceDE w:val="0"/>
            <w:autoSpaceDN w:val="0"/>
            <w:ind w:hanging="480"/>
            <w:jc w:val="both"/>
            <w:divId w:val="1965194232"/>
            <w:rPr>
              <w:rFonts w:ascii="Arial" w:eastAsia="Times New Roman" w:hAnsi="Arial" w:cs="Arial"/>
            </w:rPr>
          </w:pPr>
          <w:r w:rsidRPr="005D7961">
            <w:rPr>
              <w:rFonts w:ascii="Arial" w:eastAsia="Times New Roman" w:hAnsi="Arial" w:cs="Arial"/>
            </w:rPr>
            <w:t xml:space="preserve">Rendiyansyah, R., &amp; Kresandra, A. agung N. A. (2025). The Effect Of Liquidity, Solvency And Profitability On Stock Prices (Study of Classification J Infrastructure Companies Listed on the Indonesian Stock Exchange for the 2020-2023 Period). </w:t>
          </w:r>
          <w:r w:rsidRPr="005D7961">
            <w:rPr>
              <w:rFonts w:ascii="Arial" w:eastAsia="Times New Roman" w:hAnsi="Arial" w:cs="Arial"/>
              <w:i/>
              <w:iCs/>
            </w:rPr>
            <w:t>DIJEFA : Dinasti Internasional Journal of Economi, Finance &amp; Accounting</w:t>
          </w:r>
          <w:r w:rsidRPr="005D7961">
            <w:rPr>
              <w:rFonts w:ascii="Arial" w:eastAsia="Times New Roman" w:hAnsi="Arial" w:cs="Arial"/>
            </w:rPr>
            <w:t xml:space="preserve">, </w:t>
          </w:r>
          <w:r w:rsidRPr="005D7961">
            <w:rPr>
              <w:rFonts w:ascii="Arial" w:eastAsia="Times New Roman" w:hAnsi="Arial" w:cs="Arial"/>
              <w:i/>
              <w:iCs/>
            </w:rPr>
            <w:t>5</w:t>
          </w:r>
          <w:r w:rsidRPr="005D7961">
            <w:rPr>
              <w:rFonts w:ascii="Arial" w:eastAsia="Times New Roman" w:hAnsi="Arial" w:cs="Arial"/>
            </w:rPr>
            <w:t>(6). https://doi.org/10.38035/dijefa.v5i6</w:t>
          </w:r>
        </w:p>
        <w:p w14:paraId="3729D22E" w14:textId="2F82FCB2" w:rsidR="007E0157" w:rsidRPr="005D7961" w:rsidRDefault="007E0157" w:rsidP="005D7961">
          <w:pPr>
            <w:autoSpaceDE w:val="0"/>
            <w:autoSpaceDN w:val="0"/>
            <w:ind w:hanging="480"/>
            <w:jc w:val="both"/>
            <w:divId w:val="402682905"/>
            <w:rPr>
              <w:rFonts w:ascii="Arial" w:eastAsia="Times New Roman" w:hAnsi="Arial" w:cs="Arial"/>
            </w:rPr>
          </w:pPr>
          <w:r w:rsidRPr="005D7961">
            <w:rPr>
              <w:rFonts w:ascii="Arial" w:eastAsia="Times New Roman" w:hAnsi="Arial" w:cs="Arial"/>
            </w:rPr>
            <w:t xml:space="preserve">Rokhyani, I., Widodo, S., &amp; Sari1, M. K. (2023). Do financial ratios affect stock prices in the consumer non-cyclical sector? </w:t>
          </w:r>
          <w:r w:rsidRPr="005D7961">
            <w:rPr>
              <w:rFonts w:ascii="Arial" w:eastAsia="Times New Roman" w:hAnsi="Arial" w:cs="Arial"/>
              <w:i/>
              <w:iCs/>
            </w:rPr>
            <w:t>Sebelas Maret Business Review</w:t>
          </w:r>
          <w:r w:rsidRPr="005D7961">
            <w:rPr>
              <w:rFonts w:ascii="Arial" w:eastAsia="Times New Roman" w:hAnsi="Arial" w:cs="Arial"/>
            </w:rPr>
            <w:t xml:space="preserve">, </w:t>
          </w:r>
          <w:r w:rsidRPr="005D7961">
            <w:rPr>
              <w:rFonts w:ascii="Arial" w:eastAsia="Times New Roman" w:hAnsi="Arial" w:cs="Arial"/>
              <w:i/>
              <w:iCs/>
            </w:rPr>
            <w:t>8</w:t>
          </w:r>
          <w:r w:rsidRPr="005D7961">
            <w:rPr>
              <w:rFonts w:ascii="Arial" w:eastAsia="Times New Roman" w:hAnsi="Arial" w:cs="Arial"/>
            </w:rPr>
            <w:t>(2), 78–87.</w:t>
          </w:r>
          <w:r w:rsidR="002B1C82" w:rsidRPr="005D7961">
            <w:rPr>
              <w:rFonts w:ascii="Arial" w:eastAsia="Times New Roman" w:hAnsi="Arial" w:cs="Arial"/>
            </w:rPr>
            <w:t xml:space="preserve"> </w:t>
          </w:r>
          <w:r w:rsidRPr="005D7961">
            <w:rPr>
              <w:rFonts w:ascii="Arial" w:eastAsia="Times New Roman" w:hAnsi="Arial" w:cs="Arial"/>
            </w:rPr>
            <w:t>https://dx.doi.org/10.20961/smbr.v8i1.77448</w:t>
          </w:r>
        </w:p>
        <w:p w14:paraId="5A70F3DE" w14:textId="45E5B672" w:rsidR="007E0157" w:rsidRPr="005D7961" w:rsidRDefault="007E0157" w:rsidP="005D7961">
          <w:pPr>
            <w:autoSpaceDE w:val="0"/>
            <w:autoSpaceDN w:val="0"/>
            <w:ind w:hanging="480"/>
            <w:jc w:val="both"/>
            <w:divId w:val="1302928903"/>
            <w:rPr>
              <w:rFonts w:ascii="Arial" w:eastAsia="Times New Roman" w:hAnsi="Arial" w:cs="Arial"/>
            </w:rPr>
          </w:pPr>
          <w:r w:rsidRPr="005D7961">
            <w:rPr>
              <w:rFonts w:ascii="Arial" w:eastAsia="Times New Roman" w:hAnsi="Arial" w:cs="Arial"/>
            </w:rPr>
            <w:t xml:space="preserve">Sa’adah, N., Alayda, W., &amp; Komara, A. (2024). The Effect Of Current Ratio (CR) and Net Profit Margin (NPM) On Stock Price (Case Study Of Automotive Subsector Manufacturing Companies Listed On The IDX in 2020-2022). </w:t>
          </w:r>
          <w:r w:rsidRPr="005D7961">
            <w:rPr>
              <w:rFonts w:ascii="Arial" w:eastAsia="Times New Roman" w:hAnsi="Arial" w:cs="Arial"/>
              <w:i/>
              <w:iCs/>
            </w:rPr>
            <w:t>Technology, and Business (JETBIS)</w:t>
          </w:r>
          <w:r w:rsidRPr="005D7961">
            <w:rPr>
              <w:rFonts w:ascii="Arial" w:eastAsia="Times New Roman" w:hAnsi="Arial" w:cs="Arial"/>
            </w:rPr>
            <w:t xml:space="preserve">, </w:t>
          </w:r>
          <w:r w:rsidRPr="005D7961">
            <w:rPr>
              <w:rFonts w:ascii="Arial" w:eastAsia="Times New Roman" w:hAnsi="Arial" w:cs="Arial"/>
              <w:i/>
              <w:iCs/>
            </w:rPr>
            <w:t>3</w:t>
          </w:r>
          <w:r w:rsidRPr="005D7961">
            <w:rPr>
              <w:rFonts w:ascii="Arial" w:eastAsia="Times New Roman" w:hAnsi="Arial" w:cs="Arial"/>
            </w:rPr>
            <w:t>(7). https://doi.org/10.57185/jetbis.v3i7.114</w:t>
          </w:r>
        </w:p>
        <w:p w14:paraId="3A487E97" w14:textId="7DC108D6" w:rsidR="007E0157" w:rsidRPr="005D7961" w:rsidRDefault="007E0157" w:rsidP="005D7961">
          <w:pPr>
            <w:autoSpaceDE w:val="0"/>
            <w:autoSpaceDN w:val="0"/>
            <w:ind w:hanging="480"/>
            <w:jc w:val="both"/>
            <w:divId w:val="7995904"/>
            <w:rPr>
              <w:rFonts w:ascii="Arial" w:eastAsia="Times New Roman" w:hAnsi="Arial" w:cs="Arial"/>
            </w:rPr>
          </w:pPr>
          <w:r w:rsidRPr="005D7961">
            <w:rPr>
              <w:rFonts w:ascii="Arial" w:eastAsia="Times New Roman" w:hAnsi="Arial" w:cs="Arial"/>
            </w:rPr>
            <w:t xml:space="preserve">Sahyu, A., &amp; Kristianti Maharani, N. (2023). Pengaruh Profitabilitas, Solvabilitas, Dan Aktivitas Terhadap Nilai Perusahaan. </w:t>
          </w:r>
          <w:r w:rsidRPr="005D7961">
            <w:rPr>
              <w:rFonts w:ascii="Arial" w:eastAsia="Times New Roman" w:hAnsi="Arial" w:cs="Arial"/>
              <w:i/>
              <w:iCs/>
            </w:rPr>
            <w:t>KOMITMEN: Jurnal Ilmiah Manajemen</w:t>
          </w:r>
          <w:r w:rsidRPr="005D7961">
            <w:rPr>
              <w:rFonts w:ascii="Arial" w:eastAsia="Times New Roman" w:hAnsi="Arial" w:cs="Arial"/>
            </w:rPr>
            <w:t xml:space="preserve">, </w:t>
          </w:r>
          <w:r w:rsidRPr="005D7961">
            <w:rPr>
              <w:rFonts w:ascii="Arial" w:eastAsia="Times New Roman" w:hAnsi="Arial" w:cs="Arial"/>
              <w:i/>
              <w:iCs/>
            </w:rPr>
            <w:t>4</w:t>
          </w:r>
          <w:r w:rsidRPr="005D7961">
            <w:rPr>
              <w:rFonts w:ascii="Arial" w:eastAsia="Times New Roman" w:hAnsi="Arial" w:cs="Arial"/>
            </w:rPr>
            <w:t>(1). https://doi.org/10.15575/jim.v4i1.24479</w:t>
          </w:r>
        </w:p>
        <w:p w14:paraId="0A2D32C3" w14:textId="5F18E8DD" w:rsidR="007E0157" w:rsidRPr="005D7961" w:rsidRDefault="007E0157" w:rsidP="005D7961">
          <w:pPr>
            <w:autoSpaceDE w:val="0"/>
            <w:autoSpaceDN w:val="0"/>
            <w:ind w:hanging="480"/>
            <w:jc w:val="both"/>
            <w:divId w:val="1498420799"/>
            <w:rPr>
              <w:rFonts w:ascii="Arial" w:eastAsia="Times New Roman" w:hAnsi="Arial" w:cs="Arial"/>
            </w:rPr>
          </w:pPr>
          <w:r w:rsidRPr="005D7961">
            <w:rPr>
              <w:rFonts w:ascii="Arial" w:eastAsia="Times New Roman" w:hAnsi="Arial" w:cs="Arial"/>
            </w:rPr>
            <w:t xml:space="preserve">Salsabila, N. A., &amp; Miranti, T. (2021). Faktor Pengaruh Rasio Keuangan Terhadap Harga Saham Perusahaan Jakarta Islamic Index  (JII). </w:t>
          </w:r>
          <w:r w:rsidRPr="005D7961">
            <w:rPr>
              <w:rFonts w:ascii="Arial" w:eastAsia="Times New Roman" w:hAnsi="Arial" w:cs="Arial"/>
              <w:i/>
              <w:iCs/>
            </w:rPr>
            <w:t>EL MUHASABA: Jurnal Akutansi</w:t>
          </w:r>
          <w:r w:rsidRPr="005D7961">
            <w:rPr>
              <w:rFonts w:ascii="Arial" w:eastAsia="Times New Roman" w:hAnsi="Arial" w:cs="Arial"/>
            </w:rPr>
            <w:t xml:space="preserve">, </w:t>
          </w:r>
          <w:r w:rsidRPr="005D7961">
            <w:rPr>
              <w:rFonts w:ascii="Arial" w:eastAsia="Times New Roman" w:hAnsi="Arial" w:cs="Arial"/>
              <w:i/>
              <w:iCs/>
            </w:rPr>
            <w:t>12</w:t>
          </w:r>
          <w:r w:rsidRPr="005D7961">
            <w:rPr>
              <w:rFonts w:ascii="Arial" w:eastAsia="Times New Roman" w:hAnsi="Arial" w:cs="Arial"/>
            </w:rPr>
            <w:t>(1).</w:t>
          </w:r>
          <w:r w:rsidR="002B1C82" w:rsidRPr="005D7961">
            <w:rPr>
              <w:rFonts w:ascii="Arial" w:eastAsia="Times New Roman" w:hAnsi="Arial" w:cs="Arial"/>
            </w:rPr>
            <w:t xml:space="preserve"> </w:t>
          </w:r>
          <w:r w:rsidRPr="005D7961">
            <w:rPr>
              <w:rFonts w:ascii="Arial" w:eastAsia="Times New Roman" w:hAnsi="Arial" w:cs="Arial"/>
            </w:rPr>
            <w:t>https://doi.org/10.18860/em.v12i1.10123</w:t>
          </w:r>
        </w:p>
        <w:p w14:paraId="03011665" w14:textId="77777777" w:rsidR="007E0157" w:rsidRPr="005D7961" w:rsidRDefault="007E0157" w:rsidP="005D7961">
          <w:pPr>
            <w:autoSpaceDE w:val="0"/>
            <w:autoSpaceDN w:val="0"/>
            <w:ind w:hanging="480"/>
            <w:jc w:val="both"/>
            <w:divId w:val="76948310"/>
            <w:rPr>
              <w:rFonts w:ascii="Arial" w:eastAsia="Times New Roman" w:hAnsi="Arial" w:cs="Arial"/>
            </w:rPr>
          </w:pPr>
          <w:r w:rsidRPr="005D7961">
            <w:rPr>
              <w:rFonts w:ascii="Arial" w:eastAsia="Times New Roman" w:hAnsi="Arial" w:cs="Arial"/>
            </w:rPr>
            <w:t xml:space="preserve">Saputra, F. (2022). Analysis Effect Return on Assets (ROA), Return on Equity (ROE) and Price Earning Ratio (PER) on Stock Prices of Coal Companies in the Indonesia Stock Exchange (IDX) Period 2018-2021. </w:t>
          </w:r>
          <w:r w:rsidRPr="005D7961">
            <w:rPr>
              <w:rFonts w:ascii="Arial" w:eastAsia="Times New Roman" w:hAnsi="Arial" w:cs="Arial"/>
              <w:i/>
              <w:iCs/>
            </w:rPr>
            <w:t>Dinasti International Journal Of Economics, Finance And Accounting</w:t>
          </w:r>
          <w:r w:rsidRPr="005D7961">
            <w:rPr>
              <w:rFonts w:ascii="Arial" w:eastAsia="Times New Roman" w:hAnsi="Arial" w:cs="Arial"/>
            </w:rPr>
            <w:t xml:space="preserve">, </w:t>
          </w:r>
          <w:r w:rsidRPr="005D7961">
            <w:rPr>
              <w:rFonts w:ascii="Arial" w:eastAsia="Times New Roman" w:hAnsi="Arial" w:cs="Arial"/>
              <w:i/>
              <w:iCs/>
            </w:rPr>
            <w:t>3</w:t>
          </w:r>
          <w:r w:rsidRPr="005D7961">
            <w:rPr>
              <w:rFonts w:ascii="Arial" w:eastAsia="Times New Roman" w:hAnsi="Arial" w:cs="Arial"/>
            </w:rPr>
            <w:t>(1). https://doi.org/10.38035/dijefa.v3i1</w:t>
          </w:r>
        </w:p>
        <w:p w14:paraId="5BC4D2F8" w14:textId="06BB9DF4" w:rsidR="007E0157" w:rsidRPr="005D7961" w:rsidRDefault="007E0157" w:rsidP="005D7961">
          <w:pPr>
            <w:autoSpaceDE w:val="0"/>
            <w:autoSpaceDN w:val="0"/>
            <w:ind w:hanging="480"/>
            <w:jc w:val="both"/>
            <w:divId w:val="1277981010"/>
            <w:rPr>
              <w:rFonts w:ascii="Arial" w:eastAsia="Times New Roman" w:hAnsi="Arial" w:cs="Arial"/>
            </w:rPr>
          </w:pPr>
          <w:r w:rsidRPr="005D7961">
            <w:rPr>
              <w:rFonts w:ascii="Arial" w:eastAsia="Times New Roman" w:hAnsi="Arial" w:cs="Arial"/>
            </w:rPr>
            <w:t xml:space="preserve">Sihombing, P., &amp; Zakchona, E. (2024). Determinants of profitability, liquidity, solvency, and activity ratios on the stock price with dividend payout as moderating variable. </w:t>
          </w:r>
          <w:r w:rsidRPr="005D7961">
            <w:rPr>
              <w:rFonts w:ascii="Arial" w:eastAsia="Times New Roman" w:hAnsi="Arial" w:cs="Arial"/>
              <w:i/>
              <w:iCs/>
            </w:rPr>
            <w:t>Jurnal Ekonomi Dan Bisnis</w:t>
          </w:r>
          <w:r w:rsidRPr="005D7961">
            <w:rPr>
              <w:rFonts w:ascii="Arial" w:eastAsia="Times New Roman" w:hAnsi="Arial" w:cs="Arial"/>
            </w:rPr>
            <w:t xml:space="preserve">, </w:t>
          </w:r>
          <w:r w:rsidRPr="005D7961">
            <w:rPr>
              <w:rFonts w:ascii="Arial" w:eastAsia="Times New Roman" w:hAnsi="Arial" w:cs="Arial"/>
              <w:i/>
              <w:iCs/>
            </w:rPr>
            <w:t>27</w:t>
          </w:r>
          <w:r w:rsidRPr="005D7961">
            <w:rPr>
              <w:rFonts w:ascii="Arial" w:eastAsia="Times New Roman" w:hAnsi="Arial" w:cs="Arial"/>
            </w:rPr>
            <w:t>(2), 1–24.</w:t>
          </w:r>
          <w:r w:rsidR="002B1C82" w:rsidRPr="005D7961">
            <w:rPr>
              <w:rFonts w:ascii="Arial" w:eastAsia="Times New Roman" w:hAnsi="Arial" w:cs="Arial"/>
            </w:rPr>
            <w:t xml:space="preserve"> </w:t>
          </w:r>
          <w:r w:rsidRPr="005D7961">
            <w:rPr>
              <w:rFonts w:ascii="Arial" w:eastAsia="Times New Roman" w:hAnsi="Arial" w:cs="Arial"/>
            </w:rPr>
            <w:t>https://doi.org/10.24914/jeb.v27i2.10268</w:t>
          </w:r>
        </w:p>
        <w:p w14:paraId="28DE495E" w14:textId="77777777" w:rsidR="007E0157" w:rsidRPr="005D7961" w:rsidRDefault="007E0157" w:rsidP="005D7961">
          <w:pPr>
            <w:autoSpaceDE w:val="0"/>
            <w:autoSpaceDN w:val="0"/>
            <w:ind w:hanging="480"/>
            <w:jc w:val="both"/>
            <w:divId w:val="1135220501"/>
            <w:rPr>
              <w:rFonts w:ascii="Arial" w:eastAsia="Times New Roman" w:hAnsi="Arial" w:cs="Arial"/>
            </w:rPr>
          </w:pPr>
          <w:r w:rsidRPr="005D7961">
            <w:rPr>
              <w:rFonts w:ascii="Arial" w:eastAsia="Times New Roman" w:hAnsi="Arial" w:cs="Arial"/>
            </w:rPr>
            <w:t xml:space="preserve">Silas, I., Etim, U., &amp; Paul, U. (2025). Corporate Tax Shield and Earnings Multiple of Listed Deposit Money Banks in Nigeria. </w:t>
          </w:r>
          <w:r w:rsidRPr="005D7961">
            <w:rPr>
              <w:rFonts w:ascii="Arial" w:eastAsia="Times New Roman" w:hAnsi="Arial" w:cs="Arial"/>
              <w:i/>
              <w:iCs/>
            </w:rPr>
            <w:t>Journal of Accounting and Financial Management E</w:t>
          </w:r>
          <w:r w:rsidRPr="005D7961">
            <w:rPr>
              <w:rFonts w:ascii="Arial" w:eastAsia="Times New Roman" w:hAnsi="Arial" w:cs="Arial"/>
            </w:rPr>
            <w:t xml:space="preserve">, </w:t>
          </w:r>
          <w:r w:rsidRPr="005D7961">
            <w:rPr>
              <w:rFonts w:ascii="Arial" w:eastAsia="Times New Roman" w:hAnsi="Arial" w:cs="Arial"/>
              <w:i/>
              <w:iCs/>
            </w:rPr>
            <w:t>11</w:t>
          </w:r>
          <w:r w:rsidRPr="005D7961">
            <w:rPr>
              <w:rFonts w:ascii="Arial" w:eastAsia="Times New Roman" w:hAnsi="Arial" w:cs="Arial"/>
            </w:rPr>
            <w:t>(1). https://doi.org/10.56201/jafm.v11.no1.2025.pg22.39</w:t>
          </w:r>
        </w:p>
        <w:p w14:paraId="72B15A63" w14:textId="77777777" w:rsidR="007E0157" w:rsidRPr="005D7961" w:rsidRDefault="007E0157" w:rsidP="005D7961">
          <w:pPr>
            <w:autoSpaceDE w:val="0"/>
            <w:autoSpaceDN w:val="0"/>
            <w:ind w:hanging="480"/>
            <w:jc w:val="both"/>
            <w:divId w:val="1351297625"/>
            <w:rPr>
              <w:rFonts w:ascii="Arial" w:eastAsia="Times New Roman" w:hAnsi="Arial" w:cs="Arial"/>
            </w:rPr>
          </w:pPr>
          <w:r w:rsidRPr="005D7961">
            <w:rPr>
              <w:rFonts w:ascii="Arial" w:eastAsia="Times New Roman" w:hAnsi="Arial" w:cs="Arial"/>
            </w:rPr>
            <w:t xml:space="preserve">Sofiani, L., &amp; Siregar, E. M. (2022). Analisis Pengaruh ROA, CR dan DAR Terhadap Nilai Perusahaan Sektor Makanan dan Minuman. </w:t>
          </w:r>
          <w:r w:rsidRPr="005D7961">
            <w:rPr>
              <w:rFonts w:ascii="Arial" w:eastAsia="Times New Roman" w:hAnsi="Arial" w:cs="Arial"/>
              <w:i/>
              <w:iCs/>
            </w:rPr>
            <w:t>Jurnal Ilmiah Akuntansi Kesatuan</w:t>
          </w:r>
          <w:r w:rsidRPr="005D7961">
            <w:rPr>
              <w:rFonts w:ascii="Arial" w:eastAsia="Times New Roman" w:hAnsi="Arial" w:cs="Arial"/>
            </w:rPr>
            <w:t xml:space="preserve">, </w:t>
          </w:r>
          <w:r w:rsidRPr="005D7961">
            <w:rPr>
              <w:rFonts w:ascii="Arial" w:eastAsia="Times New Roman" w:hAnsi="Arial" w:cs="Arial"/>
              <w:i/>
              <w:iCs/>
            </w:rPr>
            <w:t>10</w:t>
          </w:r>
          <w:r w:rsidRPr="005D7961">
            <w:rPr>
              <w:rFonts w:ascii="Arial" w:eastAsia="Times New Roman" w:hAnsi="Arial" w:cs="Arial"/>
            </w:rPr>
            <w:t>(1), 9–16. https://doi.org/10.37641/jiakes.v10i1.1183</w:t>
          </w:r>
        </w:p>
        <w:p w14:paraId="18E56D7F" w14:textId="77777777" w:rsidR="007E0157" w:rsidRPr="005D7961" w:rsidRDefault="007E0157" w:rsidP="005D7961">
          <w:pPr>
            <w:autoSpaceDE w:val="0"/>
            <w:autoSpaceDN w:val="0"/>
            <w:ind w:hanging="480"/>
            <w:jc w:val="both"/>
            <w:divId w:val="2120247866"/>
            <w:rPr>
              <w:rFonts w:ascii="Arial" w:eastAsia="Times New Roman" w:hAnsi="Arial" w:cs="Arial"/>
            </w:rPr>
          </w:pPr>
          <w:r w:rsidRPr="005D7961">
            <w:rPr>
              <w:rFonts w:ascii="Arial" w:eastAsia="Times New Roman" w:hAnsi="Arial" w:cs="Arial"/>
            </w:rPr>
            <w:t xml:space="preserve">Sukesti, F., Ghozali, I., Fuad, F., Almasyhari, A. K., &amp; Nurcahyono, N. (2021). Factors Affecting the Stock Price: The Role of Firm Performance. </w:t>
          </w:r>
          <w:r w:rsidRPr="005D7961">
            <w:rPr>
              <w:rFonts w:ascii="Arial" w:eastAsia="Times New Roman" w:hAnsi="Arial" w:cs="Arial"/>
              <w:i/>
              <w:iCs/>
            </w:rPr>
            <w:t>Journal of Asian Finance, Economics and Business</w:t>
          </w:r>
          <w:r w:rsidRPr="005D7961">
            <w:rPr>
              <w:rFonts w:ascii="Arial" w:eastAsia="Times New Roman" w:hAnsi="Arial" w:cs="Arial"/>
            </w:rPr>
            <w:t xml:space="preserve">, </w:t>
          </w:r>
          <w:r w:rsidRPr="005D7961">
            <w:rPr>
              <w:rFonts w:ascii="Arial" w:eastAsia="Times New Roman" w:hAnsi="Arial" w:cs="Arial"/>
              <w:i/>
              <w:iCs/>
            </w:rPr>
            <w:t>8</w:t>
          </w:r>
          <w:r w:rsidRPr="005D7961">
            <w:rPr>
              <w:rFonts w:ascii="Arial" w:eastAsia="Times New Roman" w:hAnsi="Arial" w:cs="Arial"/>
            </w:rPr>
            <w:t>(2), 165–173. https://doi.org/10.13106/jafeb.2021.vol8.no2.0165</w:t>
          </w:r>
        </w:p>
        <w:p w14:paraId="34A65969" w14:textId="77777777" w:rsidR="007E0157" w:rsidRPr="005D7961" w:rsidRDefault="007E0157" w:rsidP="005D7961">
          <w:pPr>
            <w:autoSpaceDE w:val="0"/>
            <w:autoSpaceDN w:val="0"/>
            <w:ind w:hanging="480"/>
            <w:jc w:val="both"/>
            <w:divId w:val="716976040"/>
            <w:rPr>
              <w:rFonts w:ascii="Arial" w:eastAsia="Times New Roman" w:hAnsi="Arial" w:cs="Arial"/>
            </w:rPr>
          </w:pPr>
          <w:r w:rsidRPr="005D7961">
            <w:rPr>
              <w:rFonts w:ascii="Arial" w:eastAsia="Times New Roman" w:hAnsi="Arial" w:cs="Arial"/>
            </w:rPr>
            <w:t xml:space="preserve">Supriadi, Y., Standika, C., &amp; Nurisnaini, N. (2024). The Influence Of Liquidity, Leverage , Profitability, And Inflation On Stock Prices. </w:t>
          </w:r>
          <w:r w:rsidRPr="005D7961">
            <w:rPr>
              <w:rFonts w:ascii="Arial" w:eastAsia="Times New Roman" w:hAnsi="Arial" w:cs="Arial"/>
              <w:i/>
              <w:iCs/>
            </w:rPr>
            <w:t>Jurnal Ilmiah Manajemen Kesatuan</w:t>
          </w:r>
          <w:r w:rsidRPr="005D7961">
            <w:rPr>
              <w:rFonts w:ascii="Arial" w:eastAsia="Times New Roman" w:hAnsi="Arial" w:cs="Arial"/>
            </w:rPr>
            <w:t xml:space="preserve">, </w:t>
          </w:r>
          <w:r w:rsidRPr="005D7961">
            <w:rPr>
              <w:rFonts w:ascii="Arial" w:eastAsia="Times New Roman" w:hAnsi="Arial" w:cs="Arial"/>
              <w:i/>
              <w:iCs/>
            </w:rPr>
            <w:t>12</w:t>
          </w:r>
          <w:r w:rsidRPr="005D7961">
            <w:rPr>
              <w:rFonts w:ascii="Arial" w:eastAsia="Times New Roman" w:hAnsi="Arial" w:cs="Arial"/>
            </w:rPr>
            <w:t>(3), 629–636. https://doi.org/10.37641/jimkes.v12i3.2542</w:t>
          </w:r>
        </w:p>
        <w:p w14:paraId="6CC0D46D" w14:textId="0B008B27" w:rsidR="007E0157" w:rsidRPr="005D7961" w:rsidRDefault="007E0157" w:rsidP="005D7961">
          <w:pPr>
            <w:autoSpaceDE w:val="0"/>
            <w:autoSpaceDN w:val="0"/>
            <w:ind w:hanging="480"/>
            <w:jc w:val="both"/>
            <w:divId w:val="1641643884"/>
            <w:rPr>
              <w:rFonts w:ascii="Arial" w:eastAsia="Times New Roman" w:hAnsi="Arial" w:cs="Arial"/>
            </w:rPr>
          </w:pPr>
          <w:r w:rsidRPr="005D7961">
            <w:rPr>
              <w:rFonts w:ascii="Arial" w:eastAsia="Times New Roman" w:hAnsi="Arial" w:cs="Arial"/>
            </w:rPr>
            <w:t xml:space="preserve">Surjanto, D., &amp; Sugiharto, T. (2021). Enrichment: Journal of Management LQ45 Stock Price Valuation Analysis Using Price to Book Value (PBV) and Price Earning Ratio (PER) Variables from 2016-2020. </w:t>
          </w:r>
          <w:r w:rsidRPr="005D7961">
            <w:rPr>
              <w:rFonts w:ascii="Arial" w:eastAsia="Times New Roman" w:hAnsi="Arial" w:cs="Arial"/>
              <w:i/>
              <w:iCs/>
            </w:rPr>
            <w:t>Enrichment: Journal of Management</w:t>
          </w:r>
          <w:r w:rsidRPr="005D7961">
            <w:rPr>
              <w:rFonts w:ascii="Arial" w:eastAsia="Times New Roman" w:hAnsi="Arial" w:cs="Arial"/>
            </w:rPr>
            <w:t xml:space="preserve">, </w:t>
          </w:r>
          <w:r w:rsidRPr="005D7961">
            <w:rPr>
              <w:rFonts w:ascii="Arial" w:eastAsia="Times New Roman" w:hAnsi="Arial" w:cs="Arial"/>
              <w:i/>
              <w:iCs/>
            </w:rPr>
            <w:t>12</w:t>
          </w:r>
          <w:r w:rsidRPr="005D7961">
            <w:rPr>
              <w:rFonts w:ascii="Arial" w:eastAsia="Times New Roman" w:hAnsi="Arial" w:cs="Arial"/>
            </w:rPr>
            <w:t>(1). https://doi.org/10.35335/enrichment.v12i1.192</w:t>
          </w:r>
        </w:p>
        <w:p w14:paraId="3CA25E25" w14:textId="77C265B8" w:rsidR="007E0157" w:rsidRPr="005D7961" w:rsidRDefault="007E0157" w:rsidP="005D7961">
          <w:pPr>
            <w:autoSpaceDE w:val="0"/>
            <w:autoSpaceDN w:val="0"/>
            <w:ind w:hanging="480"/>
            <w:jc w:val="both"/>
            <w:divId w:val="699934859"/>
            <w:rPr>
              <w:rFonts w:ascii="Arial" w:eastAsia="Times New Roman" w:hAnsi="Arial" w:cs="Arial"/>
            </w:rPr>
          </w:pPr>
          <w:r w:rsidRPr="005D7961">
            <w:rPr>
              <w:rFonts w:ascii="Arial" w:eastAsia="Times New Roman" w:hAnsi="Arial" w:cs="Arial"/>
            </w:rPr>
            <w:t xml:space="preserve">Susanto, E. E., &amp; Suryani, Z. (2024). Pengaruh Ukuran Perusahaan, Leverage, Dan Profitabilitas Terhadap Nilai Perusahaan. </w:t>
          </w:r>
          <w:r w:rsidRPr="005D7961">
            <w:rPr>
              <w:rFonts w:ascii="Arial" w:eastAsia="Times New Roman" w:hAnsi="Arial" w:cs="Arial"/>
              <w:i/>
              <w:iCs/>
            </w:rPr>
            <w:t>Jurnal Cakrawala Ilmiah</w:t>
          </w:r>
          <w:r w:rsidRPr="005D7961">
            <w:rPr>
              <w:rFonts w:ascii="Arial" w:eastAsia="Times New Roman" w:hAnsi="Arial" w:cs="Arial"/>
            </w:rPr>
            <w:t xml:space="preserve">, </w:t>
          </w:r>
          <w:r w:rsidRPr="005D7961">
            <w:rPr>
              <w:rFonts w:ascii="Arial" w:eastAsia="Times New Roman" w:hAnsi="Arial" w:cs="Arial"/>
              <w:i/>
              <w:iCs/>
            </w:rPr>
            <w:t>3</w:t>
          </w:r>
          <w:r w:rsidRPr="005D7961">
            <w:rPr>
              <w:rFonts w:ascii="Arial" w:eastAsia="Times New Roman" w:hAnsi="Arial" w:cs="Arial"/>
            </w:rPr>
            <w:t>(9). https://doi.org/10.53625/jcijurnalcakrawalailmiah.v3i9</w:t>
          </w:r>
        </w:p>
        <w:p w14:paraId="3C0297B8" w14:textId="0DFABF01" w:rsidR="007E0157" w:rsidRPr="005D7961" w:rsidRDefault="007E0157" w:rsidP="005D7961">
          <w:pPr>
            <w:autoSpaceDE w:val="0"/>
            <w:autoSpaceDN w:val="0"/>
            <w:ind w:hanging="480"/>
            <w:jc w:val="both"/>
            <w:divId w:val="1750271052"/>
            <w:rPr>
              <w:rFonts w:ascii="Arial" w:eastAsia="Times New Roman" w:hAnsi="Arial" w:cs="Arial"/>
            </w:rPr>
          </w:pPr>
          <w:r w:rsidRPr="005D7961">
            <w:rPr>
              <w:rFonts w:ascii="Arial" w:eastAsia="Times New Roman" w:hAnsi="Arial" w:cs="Arial"/>
            </w:rPr>
            <w:t xml:space="preserve">Suwandani, A., Suhendro, &amp; Wijayanti, A. (2017). Pengaruh Profitabilitas Terhadap Harga Saham. </w:t>
          </w:r>
          <w:r w:rsidRPr="005D7961">
            <w:rPr>
              <w:rFonts w:ascii="Arial" w:eastAsia="Times New Roman" w:hAnsi="Arial" w:cs="Arial"/>
              <w:i/>
              <w:iCs/>
            </w:rPr>
            <w:t>JURNAL AKUNTANSI DAN PAJAK</w:t>
          </w:r>
          <w:r w:rsidRPr="005D7961">
            <w:rPr>
              <w:rFonts w:ascii="Arial" w:eastAsia="Times New Roman" w:hAnsi="Arial" w:cs="Arial"/>
            </w:rPr>
            <w:t xml:space="preserve">, </w:t>
          </w:r>
          <w:r w:rsidRPr="005D7961">
            <w:rPr>
              <w:rFonts w:ascii="Arial" w:eastAsia="Times New Roman" w:hAnsi="Arial" w:cs="Arial"/>
              <w:i/>
              <w:iCs/>
            </w:rPr>
            <w:t>18</w:t>
          </w:r>
          <w:r w:rsidRPr="005D7961">
            <w:rPr>
              <w:rFonts w:ascii="Arial" w:eastAsia="Times New Roman" w:hAnsi="Arial" w:cs="Arial"/>
            </w:rPr>
            <w:t>(01).</w:t>
          </w:r>
          <w:r w:rsidR="002B1C82" w:rsidRPr="005D7961">
            <w:rPr>
              <w:rFonts w:ascii="Arial" w:eastAsia="Times New Roman" w:hAnsi="Arial" w:cs="Arial"/>
            </w:rPr>
            <w:t xml:space="preserve"> </w:t>
          </w:r>
          <w:r w:rsidRPr="005D7961">
            <w:rPr>
              <w:rFonts w:ascii="Arial" w:eastAsia="Times New Roman" w:hAnsi="Arial" w:cs="Arial"/>
            </w:rPr>
            <w:t>https://doi.org/10.29040/jap.v18i01.89</w:t>
          </w:r>
        </w:p>
        <w:p w14:paraId="4A83455C" w14:textId="77777777" w:rsidR="007E0157" w:rsidRPr="005D7961" w:rsidRDefault="007E0157" w:rsidP="005D7961">
          <w:pPr>
            <w:autoSpaceDE w:val="0"/>
            <w:autoSpaceDN w:val="0"/>
            <w:ind w:hanging="480"/>
            <w:jc w:val="both"/>
            <w:divId w:val="531385921"/>
            <w:rPr>
              <w:rFonts w:ascii="Arial" w:eastAsia="Times New Roman" w:hAnsi="Arial" w:cs="Arial"/>
            </w:rPr>
          </w:pPr>
          <w:r w:rsidRPr="005D7961">
            <w:rPr>
              <w:rFonts w:ascii="Arial" w:eastAsia="Times New Roman" w:hAnsi="Arial" w:cs="Arial"/>
            </w:rPr>
            <w:t xml:space="preserve">Suwarno, T. E., &amp; Muthmainnah, R. (2024). Fundamental Factors on Stock Price with Sustainability Report as Moderating Variable. </w:t>
          </w:r>
          <w:r w:rsidRPr="005D7961">
            <w:rPr>
              <w:rFonts w:ascii="Arial" w:eastAsia="Times New Roman" w:hAnsi="Arial" w:cs="Arial"/>
              <w:i/>
              <w:iCs/>
            </w:rPr>
            <w:t>INTERNATIONAL JOURNAL OF SOCIAL SCIENCE AND EDUCATION RESEARCH STUDIES</w:t>
          </w:r>
          <w:r w:rsidRPr="005D7961">
            <w:rPr>
              <w:rFonts w:ascii="Arial" w:eastAsia="Times New Roman" w:hAnsi="Arial" w:cs="Arial"/>
            </w:rPr>
            <w:t xml:space="preserve">, </w:t>
          </w:r>
          <w:r w:rsidRPr="005D7961">
            <w:rPr>
              <w:rFonts w:ascii="Arial" w:eastAsia="Times New Roman" w:hAnsi="Arial" w:cs="Arial"/>
              <w:i/>
              <w:iCs/>
            </w:rPr>
            <w:t>04</w:t>
          </w:r>
          <w:r w:rsidRPr="005D7961">
            <w:rPr>
              <w:rFonts w:ascii="Arial" w:eastAsia="Times New Roman" w:hAnsi="Arial" w:cs="Arial"/>
            </w:rPr>
            <w:t>(09). https://doi.org/10.55677/ijssers/V04I9Y2024-01</w:t>
          </w:r>
        </w:p>
        <w:p w14:paraId="2908BA42" w14:textId="77777777" w:rsidR="007E0157" w:rsidRPr="005D7961" w:rsidRDefault="007E0157" w:rsidP="005D7961">
          <w:pPr>
            <w:autoSpaceDE w:val="0"/>
            <w:autoSpaceDN w:val="0"/>
            <w:ind w:hanging="480"/>
            <w:jc w:val="both"/>
            <w:divId w:val="1648627375"/>
            <w:rPr>
              <w:rFonts w:ascii="Arial" w:eastAsia="Times New Roman" w:hAnsi="Arial" w:cs="Arial"/>
            </w:rPr>
          </w:pPr>
          <w:r w:rsidRPr="005D7961">
            <w:rPr>
              <w:rFonts w:ascii="Arial" w:eastAsia="Times New Roman" w:hAnsi="Arial" w:cs="Arial"/>
            </w:rPr>
            <w:t xml:space="preserve">Tanapuan, E. Y., Rinofah, R., &amp; Maulida, A. (2022). Analisis Pengaruh Profitabilitas Dan Likuiditas Terhadap Nilai Perusahan Pada Perusahaan Manufaktur Yang Terdaftar Di Bursa Efek Indonesia. </w:t>
          </w:r>
          <w:r w:rsidRPr="005D7961">
            <w:rPr>
              <w:rFonts w:ascii="Arial" w:eastAsia="Times New Roman" w:hAnsi="Arial" w:cs="Arial"/>
              <w:i/>
              <w:iCs/>
            </w:rPr>
            <w:t>Jurnal Bisnisman : Riset Bisnis Dan Manjemen</w:t>
          </w:r>
          <w:r w:rsidRPr="005D7961">
            <w:rPr>
              <w:rFonts w:ascii="Arial" w:eastAsia="Times New Roman" w:hAnsi="Arial" w:cs="Arial"/>
            </w:rPr>
            <w:t xml:space="preserve">, </w:t>
          </w:r>
          <w:r w:rsidRPr="005D7961">
            <w:rPr>
              <w:rFonts w:ascii="Arial" w:eastAsia="Times New Roman" w:hAnsi="Arial" w:cs="Arial"/>
              <w:i/>
              <w:iCs/>
            </w:rPr>
            <w:t>3</w:t>
          </w:r>
          <w:r w:rsidRPr="005D7961">
            <w:rPr>
              <w:rFonts w:ascii="Arial" w:eastAsia="Times New Roman" w:hAnsi="Arial" w:cs="Arial"/>
            </w:rPr>
            <w:t>(3), 1–14. http://bisnisman.nusaputra.ac.id</w:t>
          </w:r>
        </w:p>
        <w:p w14:paraId="4EDE35AA" w14:textId="77777777" w:rsidR="007E0157" w:rsidRPr="005D7961" w:rsidRDefault="007E0157" w:rsidP="005D7961">
          <w:pPr>
            <w:autoSpaceDE w:val="0"/>
            <w:autoSpaceDN w:val="0"/>
            <w:ind w:hanging="480"/>
            <w:jc w:val="both"/>
            <w:divId w:val="135070043"/>
            <w:rPr>
              <w:rFonts w:ascii="Arial" w:eastAsia="Times New Roman" w:hAnsi="Arial" w:cs="Arial"/>
            </w:rPr>
          </w:pPr>
          <w:r w:rsidRPr="005D7961">
            <w:rPr>
              <w:rFonts w:ascii="Arial" w:eastAsia="Times New Roman" w:hAnsi="Arial" w:cs="Arial"/>
            </w:rPr>
            <w:t xml:space="preserve">Tanri, J., Behrry, F. Z., Vandana, L., Winarno, I. M., &amp; Afiezan, A. (2020). Pengaruh Current Ratio, Net Profit Margin, Stabilitas Penjualan dan Struktur Aktiva terhadap Struktur Modal di BEI Periode 2014-2017. </w:t>
          </w:r>
          <w:r w:rsidRPr="005D7961">
            <w:rPr>
              <w:rFonts w:ascii="Arial" w:eastAsia="Times New Roman" w:hAnsi="Arial" w:cs="Arial"/>
              <w:i/>
              <w:iCs/>
            </w:rPr>
            <w:t>Owner Riset &amp; Jurnal Akuntansi</w:t>
          </w:r>
          <w:r w:rsidRPr="005D7961">
            <w:rPr>
              <w:rFonts w:ascii="Arial" w:eastAsia="Times New Roman" w:hAnsi="Arial" w:cs="Arial"/>
            </w:rPr>
            <w:t xml:space="preserve">, </w:t>
          </w:r>
          <w:r w:rsidRPr="005D7961">
            <w:rPr>
              <w:rFonts w:ascii="Arial" w:eastAsia="Times New Roman" w:hAnsi="Arial" w:cs="Arial"/>
              <w:i/>
              <w:iCs/>
            </w:rPr>
            <w:t>4</w:t>
          </w:r>
          <w:r w:rsidRPr="005D7961">
            <w:rPr>
              <w:rFonts w:ascii="Arial" w:eastAsia="Times New Roman" w:hAnsi="Arial" w:cs="Arial"/>
            </w:rPr>
            <w:t>(1). https://doi.org/10.33395/owner.v4i1.189</w:t>
          </w:r>
        </w:p>
        <w:p w14:paraId="3DBDA3BC" w14:textId="7029C8E1" w:rsidR="007E0157" w:rsidRPr="005D7961" w:rsidRDefault="007E0157" w:rsidP="005D7961">
          <w:pPr>
            <w:autoSpaceDE w:val="0"/>
            <w:autoSpaceDN w:val="0"/>
            <w:ind w:hanging="480"/>
            <w:jc w:val="both"/>
            <w:divId w:val="832140006"/>
            <w:rPr>
              <w:rFonts w:ascii="Arial" w:eastAsia="Times New Roman" w:hAnsi="Arial" w:cs="Arial"/>
            </w:rPr>
          </w:pPr>
          <w:r w:rsidRPr="005D7961">
            <w:rPr>
              <w:rFonts w:ascii="Arial" w:eastAsia="Times New Roman" w:hAnsi="Arial" w:cs="Arial"/>
            </w:rPr>
            <w:t xml:space="preserve">Tantorio, A., Purba, P. Y., Fransisca, C., &amp; Rachma Herawati, N. (2023). Enrichment: Journal of Management The influence of liquidity DER ROA and TATO on stock price in wholesale sector and small trade companies on IDX 2017-2021. </w:t>
          </w:r>
          <w:r w:rsidRPr="005D7961">
            <w:rPr>
              <w:rFonts w:ascii="Arial" w:eastAsia="Times New Roman" w:hAnsi="Arial" w:cs="Arial"/>
              <w:i/>
              <w:iCs/>
            </w:rPr>
            <w:t>Enrichment: Journal of Management</w:t>
          </w:r>
          <w:r w:rsidRPr="005D7961">
            <w:rPr>
              <w:rFonts w:ascii="Arial" w:eastAsia="Times New Roman" w:hAnsi="Arial" w:cs="Arial"/>
            </w:rPr>
            <w:t xml:space="preserve">, </w:t>
          </w:r>
          <w:r w:rsidRPr="005D7961">
            <w:rPr>
              <w:rFonts w:ascii="Arial" w:eastAsia="Times New Roman" w:hAnsi="Arial" w:cs="Arial"/>
              <w:i/>
              <w:iCs/>
            </w:rPr>
            <w:t>13</w:t>
          </w:r>
          <w:r w:rsidRPr="005D7961">
            <w:rPr>
              <w:rFonts w:ascii="Arial" w:eastAsia="Times New Roman" w:hAnsi="Arial" w:cs="Arial"/>
            </w:rPr>
            <w:t>(2). https://doi.org/10.35335/enrichment.v13i2.1405</w:t>
          </w:r>
        </w:p>
        <w:p w14:paraId="2F3F2922" w14:textId="77777777" w:rsidR="007E0157" w:rsidRPr="005D7961" w:rsidRDefault="007E0157" w:rsidP="005D7961">
          <w:pPr>
            <w:autoSpaceDE w:val="0"/>
            <w:autoSpaceDN w:val="0"/>
            <w:ind w:hanging="480"/>
            <w:jc w:val="both"/>
            <w:divId w:val="4132651"/>
            <w:rPr>
              <w:rFonts w:ascii="Arial" w:eastAsia="Times New Roman" w:hAnsi="Arial" w:cs="Arial"/>
            </w:rPr>
          </w:pPr>
          <w:r w:rsidRPr="005D7961">
            <w:rPr>
              <w:rFonts w:ascii="Arial" w:eastAsia="Times New Roman" w:hAnsi="Arial" w:cs="Arial"/>
            </w:rPr>
            <w:t xml:space="preserve">Tubastuvi, N., &amp; Cinintya Pratama, B. (2020). Competition And Net-Profit-And-Loss Sharing Margin In Indonesian Islamic Microfinance Institutions. </w:t>
          </w:r>
          <w:r w:rsidRPr="005D7961">
            <w:rPr>
              <w:rFonts w:ascii="Arial" w:eastAsia="Times New Roman" w:hAnsi="Arial" w:cs="Arial"/>
              <w:i/>
              <w:iCs/>
            </w:rPr>
            <w:t>JOURNAL OF CRITICAL REVIEWS</w:t>
          </w:r>
          <w:r w:rsidRPr="005D7961">
            <w:rPr>
              <w:rFonts w:ascii="Arial" w:eastAsia="Times New Roman" w:hAnsi="Arial" w:cs="Arial"/>
            </w:rPr>
            <w:t xml:space="preserve">, </w:t>
          </w:r>
          <w:r w:rsidRPr="005D7961">
            <w:rPr>
              <w:rFonts w:ascii="Arial" w:eastAsia="Times New Roman" w:hAnsi="Arial" w:cs="Arial"/>
              <w:i/>
              <w:iCs/>
            </w:rPr>
            <w:t>7</w:t>
          </w:r>
          <w:r w:rsidRPr="005D7961">
            <w:rPr>
              <w:rFonts w:ascii="Arial" w:eastAsia="Times New Roman" w:hAnsi="Arial" w:cs="Arial"/>
            </w:rPr>
            <w:t>(8).</w:t>
          </w:r>
        </w:p>
        <w:p w14:paraId="2519BBEB" w14:textId="47F39229" w:rsidR="007E0157" w:rsidRPr="005D7961" w:rsidRDefault="007E0157" w:rsidP="005D7961">
          <w:pPr>
            <w:autoSpaceDE w:val="0"/>
            <w:autoSpaceDN w:val="0"/>
            <w:ind w:hanging="480"/>
            <w:jc w:val="both"/>
            <w:divId w:val="167839257"/>
            <w:rPr>
              <w:rFonts w:ascii="Arial" w:eastAsia="Times New Roman" w:hAnsi="Arial" w:cs="Arial"/>
            </w:rPr>
          </w:pPr>
          <w:r w:rsidRPr="005D7961">
            <w:rPr>
              <w:rFonts w:ascii="Arial" w:eastAsia="Times New Roman" w:hAnsi="Arial" w:cs="Arial"/>
            </w:rPr>
            <w:t xml:space="preserve">Veronica, M. (2022). The Effect Of Return On Assets And Price To Book Value On Stock Prices. </w:t>
          </w:r>
          <w:r w:rsidRPr="005D7961">
            <w:rPr>
              <w:rFonts w:ascii="Arial" w:eastAsia="Times New Roman" w:hAnsi="Arial" w:cs="Arial"/>
              <w:i/>
              <w:iCs/>
            </w:rPr>
            <w:t>Ekonomica Sharia: Jurnal Pemikiran Dan Pengembangan Ekonomi Syariah</w:t>
          </w:r>
          <w:r w:rsidRPr="005D7961">
            <w:rPr>
              <w:rFonts w:ascii="Arial" w:eastAsia="Times New Roman" w:hAnsi="Arial" w:cs="Arial"/>
            </w:rPr>
            <w:t xml:space="preserve">, </w:t>
          </w:r>
          <w:r w:rsidRPr="005D7961">
            <w:rPr>
              <w:rFonts w:ascii="Arial" w:eastAsia="Times New Roman" w:hAnsi="Arial" w:cs="Arial"/>
              <w:i/>
              <w:iCs/>
            </w:rPr>
            <w:t>8</w:t>
          </w:r>
          <w:r w:rsidRPr="005D7961">
            <w:rPr>
              <w:rFonts w:ascii="Arial" w:eastAsia="Times New Roman" w:hAnsi="Arial" w:cs="Arial"/>
            </w:rPr>
            <w:t>(1). https://doi.org/10.36908/esha.v8i1.519</w:t>
          </w:r>
        </w:p>
        <w:p w14:paraId="674AF38C" w14:textId="77777777" w:rsidR="007E0157" w:rsidRPr="005D7961" w:rsidRDefault="007E0157" w:rsidP="005D7961">
          <w:pPr>
            <w:autoSpaceDE w:val="0"/>
            <w:autoSpaceDN w:val="0"/>
            <w:ind w:hanging="480"/>
            <w:jc w:val="both"/>
            <w:divId w:val="1423917823"/>
            <w:rPr>
              <w:rFonts w:ascii="Arial" w:eastAsia="Times New Roman" w:hAnsi="Arial" w:cs="Arial"/>
            </w:rPr>
          </w:pPr>
          <w:r w:rsidRPr="005D7961">
            <w:rPr>
              <w:rFonts w:ascii="Arial" w:eastAsia="Times New Roman" w:hAnsi="Arial" w:cs="Arial"/>
            </w:rPr>
            <w:t xml:space="preserve">Wahyuningrum, A. D., &amp; Sunarto. (2023). Pengaruh Likuiditas, Profitabilitas, Leverage Dan Ukuran Perusahaan Terhadap Nilai Perusahaan. </w:t>
          </w:r>
          <w:r w:rsidRPr="005D7961">
            <w:rPr>
              <w:rFonts w:ascii="Arial" w:eastAsia="Times New Roman" w:hAnsi="Arial" w:cs="Arial"/>
              <w:i/>
              <w:iCs/>
            </w:rPr>
            <w:t>Jurnal Riset Akutansi Politala</w:t>
          </w:r>
          <w:r w:rsidRPr="005D7961">
            <w:rPr>
              <w:rFonts w:ascii="Arial" w:eastAsia="Times New Roman" w:hAnsi="Arial" w:cs="Arial"/>
            </w:rPr>
            <w:t xml:space="preserve">, </w:t>
          </w:r>
          <w:r w:rsidRPr="005D7961">
            <w:rPr>
              <w:rFonts w:ascii="Arial" w:eastAsia="Times New Roman" w:hAnsi="Arial" w:cs="Arial"/>
              <w:i/>
              <w:iCs/>
            </w:rPr>
            <w:t>6</w:t>
          </w:r>
          <w:r w:rsidRPr="005D7961">
            <w:rPr>
              <w:rFonts w:ascii="Arial" w:eastAsia="Times New Roman" w:hAnsi="Arial" w:cs="Arial"/>
            </w:rPr>
            <w:t>(1). http://jra.politala.ac.id/index.php/JRA/index</w:t>
          </w:r>
        </w:p>
        <w:p w14:paraId="416E1F25" w14:textId="77777777" w:rsidR="007E0157" w:rsidRPr="005D7961" w:rsidRDefault="007E0157" w:rsidP="005D7961">
          <w:pPr>
            <w:autoSpaceDE w:val="0"/>
            <w:autoSpaceDN w:val="0"/>
            <w:ind w:hanging="480"/>
            <w:jc w:val="both"/>
            <w:divId w:val="404766315"/>
            <w:rPr>
              <w:rFonts w:ascii="Arial" w:eastAsia="Times New Roman" w:hAnsi="Arial" w:cs="Arial"/>
            </w:rPr>
          </w:pPr>
          <w:r w:rsidRPr="005D7961">
            <w:rPr>
              <w:rFonts w:ascii="Arial" w:eastAsia="Times New Roman" w:hAnsi="Arial" w:cs="Arial"/>
            </w:rPr>
            <w:t xml:space="preserve">Wardoyo, D. U., Rini, A. C., &amp; Dini, A. A. (2022). Pengaruh Intellectual Capital Terhadap Return On Assets. </w:t>
          </w:r>
          <w:r w:rsidRPr="005D7961">
            <w:rPr>
              <w:rFonts w:ascii="Arial" w:eastAsia="Times New Roman" w:hAnsi="Arial" w:cs="Arial"/>
              <w:i/>
              <w:iCs/>
            </w:rPr>
            <w:t>Jurnal Akuntansi Dan Keuangan</w:t>
          </w:r>
          <w:r w:rsidRPr="005D7961">
            <w:rPr>
              <w:rFonts w:ascii="Arial" w:eastAsia="Times New Roman" w:hAnsi="Arial" w:cs="Arial"/>
            </w:rPr>
            <w:t xml:space="preserve">, </w:t>
          </w:r>
          <w:r w:rsidRPr="005D7961">
            <w:rPr>
              <w:rFonts w:ascii="Arial" w:eastAsia="Times New Roman" w:hAnsi="Arial" w:cs="Arial"/>
              <w:i/>
              <w:iCs/>
            </w:rPr>
            <w:t>27</w:t>
          </w:r>
          <w:r w:rsidRPr="005D7961">
            <w:rPr>
              <w:rFonts w:ascii="Arial" w:eastAsia="Times New Roman" w:hAnsi="Arial" w:cs="Arial"/>
            </w:rPr>
            <w:t>(1), 1–10. https://doi.org/10.23960/jak.v27i1.350</w:t>
          </w:r>
        </w:p>
        <w:p w14:paraId="38ADADC0" w14:textId="145FF1CD" w:rsidR="007E0157" w:rsidRPr="005D7961" w:rsidRDefault="007E0157" w:rsidP="005D7961">
          <w:pPr>
            <w:autoSpaceDE w:val="0"/>
            <w:autoSpaceDN w:val="0"/>
            <w:ind w:hanging="480"/>
            <w:jc w:val="both"/>
            <w:divId w:val="1327441758"/>
            <w:rPr>
              <w:rFonts w:ascii="Arial" w:eastAsia="Times New Roman" w:hAnsi="Arial" w:cs="Arial"/>
            </w:rPr>
          </w:pPr>
          <w:r w:rsidRPr="005D7961">
            <w:rPr>
              <w:rFonts w:ascii="Arial" w:eastAsia="Times New Roman" w:hAnsi="Arial" w:cs="Arial"/>
            </w:rPr>
            <w:t xml:space="preserve">Waryati, S. Y., &amp; Solaiman, A. (2022). Pengaruh Lingkungan Makroekonomi Terhadap Indeks Harga Saham Gabungan di Bursa Efek Indonesia. </w:t>
          </w:r>
          <w:r w:rsidRPr="005D7961">
            <w:rPr>
              <w:rFonts w:ascii="Arial" w:eastAsia="Times New Roman" w:hAnsi="Arial" w:cs="Arial"/>
              <w:i/>
              <w:iCs/>
            </w:rPr>
            <w:t>Coopetition: Jurnal Ilmiah Manajemen</w:t>
          </w:r>
          <w:r w:rsidRPr="005D7961">
            <w:rPr>
              <w:rFonts w:ascii="Arial" w:eastAsia="Times New Roman" w:hAnsi="Arial" w:cs="Arial"/>
            </w:rPr>
            <w:t xml:space="preserve">, </w:t>
          </w:r>
          <w:r w:rsidRPr="005D7961">
            <w:rPr>
              <w:rFonts w:ascii="Arial" w:eastAsia="Times New Roman" w:hAnsi="Arial" w:cs="Arial"/>
              <w:i/>
              <w:iCs/>
            </w:rPr>
            <w:t>13</w:t>
          </w:r>
          <w:r w:rsidRPr="005D7961">
            <w:rPr>
              <w:rFonts w:ascii="Arial" w:eastAsia="Times New Roman" w:hAnsi="Arial" w:cs="Arial"/>
            </w:rPr>
            <w:t>(2). https://doi.org/10.32670/coopetition.v13i2</w:t>
          </w:r>
        </w:p>
        <w:p w14:paraId="79EF7A62" w14:textId="77777777" w:rsidR="007E0157" w:rsidRPr="005D7961" w:rsidRDefault="007E0157" w:rsidP="005D7961">
          <w:pPr>
            <w:autoSpaceDE w:val="0"/>
            <w:autoSpaceDN w:val="0"/>
            <w:ind w:hanging="480"/>
            <w:jc w:val="both"/>
            <w:divId w:val="543324816"/>
            <w:rPr>
              <w:rFonts w:ascii="Arial" w:eastAsia="Times New Roman" w:hAnsi="Arial" w:cs="Arial"/>
            </w:rPr>
          </w:pPr>
          <w:r w:rsidRPr="005D7961">
            <w:rPr>
              <w:rFonts w:ascii="Arial" w:eastAsia="Times New Roman" w:hAnsi="Arial" w:cs="Arial"/>
            </w:rPr>
            <w:t xml:space="preserve">Wu, D., Zhou, Z., &amp; Su, Z. (2025). Consumer negative opinions on stock returns: evidence from E-commerce reviews in China. </w:t>
          </w:r>
          <w:r w:rsidRPr="005D7961">
            <w:rPr>
              <w:rFonts w:ascii="Arial" w:eastAsia="Times New Roman" w:hAnsi="Arial" w:cs="Arial"/>
              <w:i/>
              <w:iCs/>
            </w:rPr>
            <w:t>Financial Innovation</w:t>
          </w:r>
          <w:r w:rsidRPr="005D7961">
            <w:rPr>
              <w:rFonts w:ascii="Arial" w:eastAsia="Times New Roman" w:hAnsi="Arial" w:cs="Arial"/>
            </w:rPr>
            <w:t xml:space="preserve">, </w:t>
          </w:r>
          <w:r w:rsidRPr="005D7961">
            <w:rPr>
              <w:rFonts w:ascii="Arial" w:eastAsia="Times New Roman" w:hAnsi="Arial" w:cs="Arial"/>
              <w:i/>
              <w:iCs/>
            </w:rPr>
            <w:t>11</w:t>
          </w:r>
          <w:r w:rsidRPr="005D7961">
            <w:rPr>
              <w:rFonts w:ascii="Arial" w:eastAsia="Times New Roman" w:hAnsi="Arial" w:cs="Arial"/>
            </w:rPr>
            <w:t>(1). https://doi.org/10.1186/s40854-024-00746-9</w:t>
          </w:r>
        </w:p>
        <w:p w14:paraId="7337076C" w14:textId="77777777" w:rsidR="007E0157" w:rsidRPr="005D7961" w:rsidRDefault="007E0157" w:rsidP="005D7961">
          <w:pPr>
            <w:autoSpaceDE w:val="0"/>
            <w:autoSpaceDN w:val="0"/>
            <w:ind w:hanging="480"/>
            <w:jc w:val="both"/>
            <w:divId w:val="482434045"/>
            <w:rPr>
              <w:rFonts w:ascii="Arial" w:eastAsia="Times New Roman" w:hAnsi="Arial" w:cs="Arial"/>
            </w:rPr>
          </w:pPr>
          <w:r w:rsidRPr="005D7961">
            <w:rPr>
              <w:rFonts w:ascii="Arial" w:eastAsia="Times New Roman" w:hAnsi="Arial" w:cs="Arial"/>
            </w:rPr>
            <w:t xml:space="preserve">Wulandari, B., Sormin, D. S., Wigo, A., &amp; Sianturi, M. S. (2022). Effect Of PBV, QR, NPM, DER, CR, TATO On Stock Prices In Property &amp; Real Estate Companies. </w:t>
          </w:r>
          <w:r w:rsidRPr="005D7961">
            <w:rPr>
              <w:rFonts w:ascii="Arial" w:eastAsia="Times New Roman" w:hAnsi="Arial" w:cs="Arial"/>
              <w:i/>
              <w:iCs/>
            </w:rPr>
            <w:t>JURNAL IPTEKS TERAPAN Research of Applied Science and Education</w:t>
          </w:r>
          <w:r w:rsidRPr="005D7961">
            <w:rPr>
              <w:rFonts w:ascii="Arial" w:eastAsia="Times New Roman" w:hAnsi="Arial" w:cs="Arial"/>
            </w:rPr>
            <w:t xml:space="preserve">, </w:t>
          </w:r>
          <w:r w:rsidRPr="005D7961">
            <w:rPr>
              <w:rFonts w:ascii="Arial" w:eastAsia="Times New Roman" w:hAnsi="Arial" w:cs="Arial"/>
              <w:i/>
              <w:iCs/>
            </w:rPr>
            <w:t>16</w:t>
          </w:r>
          <w:r w:rsidRPr="005D7961">
            <w:rPr>
              <w:rFonts w:ascii="Arial" w:eastAsia="Times New Roman" w:hAnsi="Arial" w:cs="Arial"/>
            </w:rPr>
            <w:t>(11), 63–74. https://doi.org/10.22216/jit.v15i4</w:t>
          </w:r>
        </w:p>
        <w:p w14:paraId="2124A3F6" w14:textId="77777777" w:rsidR="007E0157" w:rsidRPr="005D7961" w:rsidRDefault="007E0157" w:rsidP="005D7961">
          <w:pPr>
            <w:autoSpaceDE w:val="0"/>
            <w:autoSpaceDN w:val="0"/>
            <w:ind w:hanging="480"/>
            <w:jc w:val="both"/>
            <w:divId w:val="996494104"/>
            <w:rPr>
              <w:rFonts w:ascii="Arial" w:eastAsia="Times New Roman" w:hAnsi="Arial" w:cs="Arial"/>
            </w:rPr>
          </w:pPr>
          <w:r w:rsidRPr="005D7961">
            <w:rPr>
              <w:rFonts w:ascii="Arial" w:eastAsia="Times New Roman" w:hAnsi="Arial" w:cs="Arial"/>
            </w:rPr>
            <w:t xml:space="preserve">Wulansari, T., Sulastri, S., Widiyanti, M., &amp; Adam, M. (2023). effect of financial ratio on stock price in telecommunications sector companies listed on the Indonesia stock exchange. </w:t>
          </w:r>
          <w:r w:rsidRPr="005D7961">
            <w:rPr>
              <w:rFonts w:ascii="Arial" w:eastAsia="Times New Roman" w:hAnsi="Arial" w:cs="Arial"/>
              <w:i/>
              <w:iCs/>
            </w:rPr>
            <w:t>International Journal of Business, Economics &amp; Management</w:t>
          </w:r>
          <w:r w:rsidRPr="005D7961">
            <w:rPr>
              <w:rFonts w:ascii="Arial" w:eastAsia="Times New Roman" w:hAnsi="Arial" w:cs="Arial"/>
            </w:rPr>
            <w:t xml:space="preserve">, </w:t>
          </w:r>
          <w:r w:rsidRPr="005D7961">
            <w:rPr>
              <w:rFonts w:ascii="Arial" w:eastAsia="Times New Roman" w:hAnsi="Arial" w:cs="Arial"/>
              <w:i/>
              <w:iCs/>
            </w:rPr>
            <w:t>6</w:t>
          </w:r>
          <w:r w:rsidRPr="005D7961">
            <w:rPr>
              <w:rFonts w:ascii="Arial" w:eastAsia="Times New Roman" w:hAnsi="Arial" w:cs="Arial"/>
            </w:rPr>
            <w:t>(1), 1–9. https://doi.org/10.21744/ijbem.v6n1.2058</w:t>
          </w:r>
        </w:p>
        <w:p w14:paraId="15B2D33C" w14:textId="77777777" w:rsidR="007E0157" w:rsidRPr="005D7961" w:rsidRDefault="007E0157" w:rsidP="005D7961">
          <w:pPr>
            <w:autoSpaceDE w:val="0"/>
            <w:autoSpaceDN w:val="0"/>
            <w:ind w:hanging="480"/>
            <w:jc w:val="both"/>
            <w:divId w:val="1202589818"/>
            <w:rPr>
              <w:rFonts w:ascii="Arial" w:eastAsia="Times New Roman" w:hAnsi="Arial" w:cs="Arial"/>
            </w:rPr>
          </w:pPr>
          <w:r w:rsidRPr="005D7961">
            <w:rPr>
              <w:rFonts w:ascii="Arial" w:eastAsia="Times New Roman" w:hAnsi="Arial" w:cs="Arial"/>
            </w:rPr>
            <w:t xml:space="preserve">Yulia, I. A., Widjaja, I. R., &amp; Putra, M. G. (2023). Pengaruh Return on Equity Dan Price To Book Value Terhadap Harga Saham. </w:t>
          </w:r>
          <w:r w:rsidRPr="005D7961">
            <w:rPr>
              <w:rFonts w:ascii="Arial" w:eastAsia="Times New Roman" w:hAnsi="Arial" w:cs="Arial"/>
              <w:i/>
              <w:iCs/>
            </w:rPr>
            <w:t>Jurnal Ilmiah Akuntansi Kesatuan</w:t>
          </w:r>
          <w:r w:rsidRPr="005D7961">
            <w:rPr>
              <w:rFonts w:ascii="Arial" w:eastAsia="Times New Roman" w:hAnsi="Arial" w:cs="Arial"/>
            </w:rPr>
            <w:t xml:space="preserve">, </w:t>
          </w:r>
          <w:r w:rsidRPr="005D7961">
            <w:rPr>
              <w:rFonts w:ascii="Arial" w:eastAsia="Times New Roman" w:hAnsi="Arial" w:cs="Arial"/>
              <w:i/>
              <w:iCs/>
            </w:rPr>
            <w:t>11</w:t>
          </w:r>
          <w:r w:rsidRPr="005D7961">
            <w:rPr>
              <w:rFonts w:ascii="Arial" w:eastAsia="Times New Roman" w:hAnsi="Arial" w:cs="Arial"/>
            </w:rPr>
            <w:t>(1). https://doi.org/10.37641/jiakes.v11i1.1607</w:t>
          </w:r>
        </w:p>
        <w:p w14:paraId="085E677D" w14:textId="264577C6" w:rsidR="007E0157" w:rsidRPr="005D7961" w:rsidRDefault="007E0157" w:rsidP="005D7961">
          <w:pPr>
            <w:autoSpaceDE w:val="0"/>
            <w:autoSpaceDN w:val="0"/>
            <w:ind w:hanging="480"/>
            <w:jc w:val="both"/>
            <w:divId w:val="1096100882"/>
            <w:rPr>
              <w:rFonts w:ascii="Arial" w:eastAsia="Times New Roman" w:hAnsi="Arial" w:cs="Arial"/>
            </w:rPr>
          </w:pPr>
          <w:r w:rsidRPr="005D7961">
            <w:rPr>
              <w:rFonts w:ascii="Arial" w:eastAsia="Times New Roman" w:hAnsi="Arial" w:cs="Arial"/>
            </w:rPr>
            <w:t xml:space="preserve">Zahra, H., Nurul Innayah, M., Tubastuvi, N., &amp; Aryoko, Y. P. (n.d.). Factors Influencing Financial Performance On Banking Companies In Indonesia: Does Financial Technology Matter? </w:t>
          </w:r>
          <w:r w:rsidRPr="005D7961">
            <w:rPr>
              <w:rFonts w:ascii="Arial" w:eastAsia="Times New Roman" w:hAnsi="Arial" w:cs="Arial"/>
              <w:i/>
              <w:iCs/>
            </w:rPr>
            <w:t>Business and Accounting Research (IJEBAR) Peer Reviewed-International Journal</w:t>
          </w:r>
          <w:r w:rsidRPr="005D7961">
            <w:rPr>
              <w:rFonts w:ascii="Arial" w:eastAsia="Times New Roman" w:hAnsi="Arial" w:cs="Arial"/>
            </w:rPr>
            <w:t xml:space="preserve">, </w:t>
          </w:r>
          <w:r w:rsidRPr="005D7961">
            <w:rPr>
              <w:rFonts w:ascii="Arial" w:eastAsia="Times New Roman" w:hAnsi="Arial" w:cs="Arial"/>
              <w:i/>
              <w:iCs/>
            </w:rPr>
            <w:t>8</w:t>
          </w:r>
          <w:r w:rsidRPr="005D7961">
            <w:rPr>
              <w:rFonts w:ascii="Arial" w:eastAsia="Times New Roman" w:hAnsi="Arial" w:cs="Arial"/>
            </w:rPr>
            <w:t>. https://doi.org/10.29040/ijebar.v8i3.14475</w:t>
          </w:r>
        </w:p>
        <w:p w14:paraId="4A41763F" w14:textId="28B4CCDA" w:rsidR="002F52FB" w:rsidRPr="005D7961" w:rsidRDefault="007E0157">
          <w:pPr>
            <w:jc w:val="both"/>
            <w:rPr>
              <w:rFonts w:ascii="Arial" w:hAnsi="Arial" w:cs="Arial"/>
            </w:rPr>
            <w:sectPr w:rsidR="002F52FB" w:rsidRPr="005D7961">
              <w:type w:val="continuous"/>
              <w:pgSz w:w="11906" w:h="16838"/>
              <w:pgMar w:top="1440" w:right="2018" w:bottom="2018" w:left="2018" w:header="720" w:footer="720" w:gutter="0"/>
              <w:cols w:num="2" w:space="709"/>
              <w:docGrid w:linePitch="360"/>
            </w:sectPr>
          </w:pPr>
          <w:r w:rsidRPr="005D7961">
            <w:rPr>
              <w:rFonts w:ascii="Arial" w:eastAsia="Times New Roman" w:hAnsi="Arial" w:cs="Arial"/>
            </w:rPr>
            <w:t> </w:t>
          </w:r>
        </w:p>
      </w:sdtContent>
    </w:sdt>
    <w:p w14:paraId="4C6225F4" w14:textId="77777777" w:rsidR="002F52FB" w:rsidRPr="005D7961" w:rsidRDefault="002F52FB">
      <w:pPr>
        <w:rPr>
          <w:rFonts w:ascii="Arial" w:hAnsi="Arial" w:cs="Arial"/>
        </w:rPr>
        <w:sectPr w:rsidR="002F52FB" w:rsidRPr="005D7961">
          <w:type w:val="continuous"/>
          <w:pgSz w:w="11906" w:h="16838"/>
          <w:pgMar w:top="1440" w:right="2018" w:bottom="2018" w:left="2018" w:header="720" w:footer="720" w:gutter="0"/>
          <w:cols w:space="0"/>
          <w:docGrid w:linePitch="360"/>
        </w:sectPr>
      </w:pPr>
    </w:p>
    <w:p w14:paraId="6C56DE06" w14:textId="77777777" w:rsidR="002F52FB" w:rsidRPr="005D7961" w:rsidRDefault="002F52FB">
      <w:pPr>
        <w:jc w:val="both"/>
        <w:rPr>
          <w:rFonts w:ascii="Arial" w:hAnsi="Arial" w:cs="Arial"/>
        </w:rPr>
      </w:pPr>
    </w:p>
    <w:sectPr w:rsidR="002F52FB" w:rsidRPr="005D7961">
      <w:type w:val="continuous"/>
      <w:pgSz w:w="11906" w:h="16838"/>
      <w:pgMar w:top="1440" w:right="2018" w:bottom="2018" w:left="2018"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4169B" w14:textId="77777777" w:rsidR="00AB4277" w:rsidRDefault="00AB4277">
      <w:r>
        <w:separator/>
      </w:r>
    </w:p>
  </w:endnote>
  <w:endnote w:type="continuationSeparator" w:id="0">
    <w:p w14:paraId="019652F8" w14:textId="77777777" w:rsidR="00AB4277" w:rsidRDefault="00AB4277">
      <w:r>
        <w:continuationSeparator/>
      </w:r>
    </w:p>
  </w:endnote>
  <w:endnote w:type="continuationNotice" w:id="1">
    <w:p w14:paraId="4A6D7FE9" w14:textId="77777777" w:rsidR="00AB4277" w:rsidRDefault="00AB4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ans-serif">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D5337" w14:textId="77777777" w:rsidR="0017702E" w:rsidRDefault="00177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03BE" w14:textId="77777777" w:rsidR="0017702E" w:rsidRDefault="00177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133FF" w14:textId="77777777" w:rsidR="0017702E" w:rsidRDefault="00177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1D04B" w14:textId="77777777" w:rsidR="00AB4277" w:rsidRDefault="00AB4277">
      <w:r>
        <w:separator/>
      </w:r>
    </w:p>
  </w:footnote>
  <w:footnote w:type="continuationSeparator" w:id="0">
    <w:p w14:paraId="49933240" w14:textId="77777777" w:rsidR="00AB4277" w:rsidRDefault="00AB4277">
      <w:r>
        <w:continuationSeparator/>
      </w:r>
    </w:p>
  </w:footnote>
  <w:footnote w:type="continuationNotice" w:id="1">
    <w:p w14:paraId="061D6BA9" w14:textId="77777777" w:rsidR="00AB4277" w:rsidRDefault="00AB42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A494" w14:textId="2492997C" w:rsidR="0017702E" w:rsidRDefault="00AB4277">
    <w:pPr>
      <w:pStyle w:val="Header"/>
    </w:pPr>
    <w:r>
      <w:rPr>
        <w:noProof/>
      </w:rPr>
      <w:pict w14:anchorId="3DDB6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264641" o:spid="_x0000_s2050" type="#_x0000_t136" style="position:absolute;margin-left:0;margin-top:0;width:467.15pt;height:8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7A31" w14:textId="11D68E86" w:rsidR="0017702E" w:rsidRDefault="00AB4277">
    <w:pPr>
      <w:pStyle w:val="Header"/>
    </w:pPr>
    <w:r>
      <w:rPr>
        <w:noProof/>
      </w:rPr>
      <w:pict w14:anchorId="3ECE7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264642" o:spid="_x0000_s2051" type="#_x0000_t136" style="position:absolute;margin-left:0;margin-top:0;width:467.15pt;height:8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12C6" w14:textId="4EC061A3" w:rsidR="0017702E" w:rsidRDefault="00AB4277">
    <w:pPr>
      <w:pStyle w:val="Header"/>
    </w:pPr>
    <w:r>
      <w:rPr>
        <w:noProof/>
      </w:rPr>
      <w:pict w14:anchorId="6F774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264640" o:spid="_x0000_s2049" type="#_x0000_t136" style="position:absolute;margin-left:0;margin-top:0;width:467.15pt;height:8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79E901"/>
    <w:multiLevelType w:val="singleLevel"/>
    <w:tmpl w:val="F479E901"/>
    <w:lvl w:ilvl="0">
      <w:start w:val="1"/>
      <w:numFmt w:val="decimal"/>
      <w:suff w:val="space"/>
      <w:lvlText w:val="%1."/>
      <w:lvlJc w:val="left"/>
    </w:lvl>
  </w:abstractNum>
  <w:abstractNum w:abstractNumId="1" w15:restartNumberingAfterBreak="0">
    <w:nsid w:val="13B3E934"/>
    <w:multiLevelType w:val="singleLevel"/>
    <w:tmpl w:val="13B3E934"/>
    <w:lvl w:ilvl="0">
      <w:start w:val="2"/>
      <w:numFmt w:val="decimal"/>
      <w:suff w:val="space"/>
      <w:lvlText w:val="%1."/>
      <w:lvlJc w:val="left"/>
      <w:rPr>
        <w:rFonts w:hint="default"/>
        <w:b/>
        <w:bCs/>
      </w:rPr>
    </w:lvl>
  </w:abstractNum>
  <w:abstractNum w:abstractNumId="2" w15:restartNumberingAfterBreak="0">
    <w:nsid w:val="2247269D"/>
    <w:multiLevelType w:val="multilevel"/>
    <w:tmpl w:val="2247269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B88E352"/>
    <w:multiLevelType w:val="multilevel"/>
    <w:tmpl w:val="5B88E352"/>
    <w:lvl w:ilvl="0">
      <w:start w:val="3"/>
      <w:numFmt w:val="decimal"/>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trackRevisions/>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353AD9"/>
    <w:rsid w:val="00003E11"/>
    <w:rsid w:val="000041E3"/>
    <w:rsid w:val="00004453"/>
    <w:rsid w:val="0001176A"/>
    <w:rsid w:val="00022086"/>
    <w:rsid w:val="00030473"/>
    <w:rsid w:val="00031190"/>
    <w:rsid w:val="00035052"/>
    <w:rsid w:val="00036004"/>
    <w:rsid w:val="00050DCF"/>
    <w:rsid w:val="00052DDA"/>
    <w:rsid w:val="0006430E"/>
    <w:rsid w:val="000655E2"/>
    <w:rsid w:val="0006645C"/>
    <w:rsid w:val="000722CE"/>
    <w:rsid w:val="00080460"/>
    <w:rsid w:val="00087212"/>
    <w:rsid w:val="000903C7"/>
    <w:rsid w:val="000967D8"/>
    <w:rsid w:val="00097C1F"/>
    <w:rsid w:val="000A41D8"/>
    <w:rsid w:val="000A6F6F"/>
    <w:rsid w:val="000B3FA3"/>
    <w:rsid w:val="000B4CD4"/>
    <w:rsid w:val="000C51C1"/>
    <w:rsid w:val="000D1CA1"/>
    <w:rsid w:val="000D3427"/>
    <w:rsid w:val="000D3868"/>
    <w:rsid w:val="000D3B3B"/>
    <w:rsid w:val="000E0D4F"/>
    <w:rsid w:val="000E4A43"/>
    <w:rsid w:val="000F363D"/>
    <w:rsid w:val="00121569"/>
    <w:rsid w:val="00121877"/>
    <w:rsid w:val="0013300F"/>
    <w:rsid w:val="001334F0"/>
    <w:rsid w:val="00142AA2"/>
    <w:rsid w:val="00147CBC"/>
    <w:rsid w:val="00150B97"/>
    <w:rsid w:val="001513DF"/>
    <w:rsid w:val="00151D42"/>
    <w:rsid w:val="00153C86"/>
    <w:rsid w:val="0016030D"/>
    <w:rsid w:val="00162EC3"/>
    <w:rsid w:val="001728E3"/>
    <w:rsid w:val="0017430F"/>
    <w:rsid w:val="0017702E"/>
    <w:rsid w:val="00181368"/>
    <w:rsid w:val="00184087"/>
    <w:rsid w:val="00184BF1"/>
    <w:rsid w:val="001914DF"/>
    <w:rsid w:val="0019542A"/>
    <w:rsid w:val="00196433"/>
    <w:rsid w:val="001A4B5B"/>
    <w:rsid w:val="001A6218"/>
    <w:rsid w:val="001A665E"/>
    <w:rsid w:val="001B2522"/>
    <w:rsid w:val="001B282A"/>
    <w:rsid w:val="001B3D8C"/>
    <w:rsid w:val="001B7BB8"/>
    <w:rsid w:val="001C328E"/>
    <w:rsid w:val="001C5B54"/>
    <w:rsid w:val="001E3152"/>
    <w:rsid w:val="001E38E3"/>
    <w:rsid w:val="001F1712"/>
    <w:rsid w:val="00206174"/>
    <w:rsid w:val="00210DD9"/>
    <w:rsid w:val="00212662"/>
    <w:rsid w:val="00215EE8"/>
    <w:rsid w:val="00217B15"/>
    <w:rsid w:val="00220BB7"/>
    <w:rsid w:val="00222681"/>
    <w:rsid w:val="002279BF"/>
    <w:rsid w:val="00246B78"/>
    <w:rsid w:val="00261B2C"/>
    <w:rsid w:val="00265F9D"/>
    <w:rsid w:val="00294306"/>
    <w:rsid w:val="00295BC1"/>
    <w:rsid w:val="002A7311"/>
    <w:rsid w:val="002B1C82"/>
    <w:rsid w:val="002C72E3"/>
    <w:rsid w:val="002D2557"/>
    <w:rsid w:val="002D6286"/>
    <w:rsid w:val="002D6906"/>
    <w:rsid w:val="002E05A6"/>
    <w:rsid w:val="002E6229"/>
    <w:rsid w:val="002F1066"/>
    <w:rsid w:val="002F1CC7"/>
    <w:rsid w:val="002F3676"/>
    <w:rsid w:val="002F52FB"/>
    <w:rsid w:val="00304769"/>
    <w:rsid w:val="00304D56"/>
    <w:rsid w:val="00305A03"/>
    <w:rsid w:val="0032518A"/>
    <w:rsid w:val="00326B2B"/>
    <w:rsid w:val="00331CDC"/>
    <w:rsid w:val="003322A1"/>
    <w:rsid w:val="003377CC"/>
    <w:rsid w:val="003400C6"/>
    <w:rsid w:val="003432F7"/>
    <w:rsid w:val="00345ECE"/>
    <w:rsid w:val="00347047"/>
    <w:rsid w:val="00352E02"/>
    <w:rsid w:val="003543D9"/>
    <w:rsid w:val="00355857"/>
    <w:rsid w:val="00357767"/>
    <w:rsid w:val="00357FAC"/>
    <w:rsid w:val="00365AEA"/>
    <w:rsid w:val="00374B02"/>
    <w:rsid w:val="003852F3"/>
    <w:rsid w:val="00387E9F"/>
    <w:rsid w:val="00396957"/>
    <w:rsid w:val="0039742C"/>
    <w:rsid w:val="003A0341"/>
    <w:rsid w:val="003A7C7A"/>
    <w:rsid w:val="003A7DE4"/>
    <w:rsid w:val="003B10A9"/>
    <w:rsid w:val="003B6D14"/>
    <w:rsid w:val="003C120E"/>
    <w:rsid w:val="003E2120"/>
    <w:rsid w:val="003F33E7"/>
    <w:rsid w:val="003F76BD"/>
    <w:rsid w:val="004031C8"/>
    <w:rsid w:val="004157BE"/>
    <w:rsid w:val="00421068"/>
    <w:rsid w:val="004248A0"/>
    <w:rsid w:val="00425E5C"/>
    <w:rsid w:val="00433920"/>
    <w:rsid w:val="00440E58"/>
    <w:rsid w:val="00443462"/>
    <w:rsid w:val="0045073F"/>
    <w:rsid w:val="00450E3D"/>
    <w:rsid w:val="00455802"/>
    <w:rsid w:val="00462BEA"/>
    <w:rsid w:val="004759EF"/>
    <w:rsid w:val="004764FC"/>
    <w:rsid w:val="004825E7"/>
    <w:rsid w:val="0048435F"/>
    <w:rsid w:val="00487C55"/>
    <w:rsid w:val="004908E5"/>
    <w:rsid w:val="004920C7"/>
    <w:rsid w:val="00495104"/>
    <w:rsid w:val="00497CB7"/>
    <w:rsid w:val="004A2BD8"/>
    <w:rsid w:val="004B11BF"/>
    <w:rsid w:val="004B382F"/>
    <w:rsid w:val="004C5C62"/>
    <w:rsid w:val="004D07B7"/>
    <w:rsid w:val="004D12EC"/>
    <w:rsid w:val="004D3CFB"/>
    <w:rsid w:val="004D6F38"/>
    <w:rsid w:val="004D7AEC"/>
    <w:rsid w:val="004E16C2"/>
    <w:rsid w:val="004E41F7"/>
    <w:rsid w:val="00510012"/>
    <w:rsid w:val="005100DD"/>
    <w:rsid w:val="005116DA"/>
    <w:rsid w:val="0051328C"/>
    <w:rsid w:val="00521850"/>
    <w:rsid w:val="005257AC"/>
    <w:rsid w:val="00531F7C"/>
    <w:rsid w:val="00555701"/>
    <w:rsid w:val="00561221"/>
    <w:rsid w:val="0056203E"/>
    <w:rsid w:val="00563E3A"/>
    <w:rsid w:val="00566549"/>
    <w:rsid w:val="00581EE3"/>
    <w:rsid w:val="005855F1"/>
    <w:rsid w:val="00590B16"/>
    <w:rsid w:val="005919A3"/>
    <w:rsid w:val="00592B59"/>
    <w:rsid w:val="005933A0"/>
    <w:rsid w:val="00595897"/>
    <w:rsid w:val="005B017E"/>
    <w:rsid w:val="005B57EB"/>
    <w:rsid w:val="005B69AF"/>
    <w:rsid w:val="005C290F"/>
    <w:rsid w:val="005D378A"/>
    <w:rsid w:val="005D7961"/>
    <w:rsid w:val="005E6428"/>
    <w:rsid w:val="005F1186"/>
    <w:rsid w:val="005F263E"/>
    <w:rsid w:val="005F3D5B"/>
    <w:rsid w:val="005F586F"/>
    <w:rsid w:val="005F6340"/>
    <w:rsid w:val="00600850"/>
    <w:rsid w:val="006102F4"/>
    <w:rsid w:val="0061121A"/>
    <w:rsid w:val="0061562F"/>
    <w:rsid w:val="00623558"/>
    <w:rsid w:val="00640047"/>
    <w:rsid w:val="006404E8"/>
    <w:rsid w:val="00640B05"/>
    <w:rsid w:val="00641BD7"/>
    <w:rsid w:val="00645134"/>
    <w:rsid w:val="00653885"/>
    <w:rsid w:val="006634AD"/>
    <w:rsid w:val="00663A4F"/>
    <w:rsid w:val="00667723"/>
    <w:rsid w:val="006677A7"/>
    <w:rsid w:val="00667DD0"/>
    <w:rsid w:val="00670248"/>
    <w:rsid w:val="006767D9"/>
    <w:rsid w:val="00682DD0"/>
    <w:rsid w:val="00683F1D"/>
    <w:rsid w:val="00692B33"/>
    <w:rsid w:val="006A485F"/>
    <w:rsid w:val="006B407D"/>
    <w:rsid w:val="006B7D86"/>
    <w:rsid w:val="006C1E9E"/>
    <w:rsid w:val="006E30A5"/>
    <w:rsid w:val="006E3B61"/>
    <w:rsid w:val="006E7C44"/>
    <w:rsid w:val="00704723"/>
    <w:rsid w:val="00705DF0"/>
    <w:rsid w:val="007207C1"/>
    <w:rsid w:val="00726F10"/>
    <w:rsid w:val="0073479B"/>
    <w:rsid w:val="00742CA4"/>
    <w:rsid w:val="00756C13"/>
    <w:rsid w:val="00756F25"/>
    <w:rsid w:val="007612DB"/>
    <w:rsid w:val="00766F22"/>
    <w:rsid w:val="0077118F"/>
    <w:rsid w:val="00772BCE"/>
    <w:rsid w:val="007741A8"/>
    <w:rsid w:val="00774B8A"/>
    <w:rsid w:val="00784E1F"/>
    <w:rsid w:val="00786211"/>
    <w:rsid w:val="0079020B"/>
    <w:rsid w:val="00793F8F"/>
    <w:rsid w:val="007A2FCE"/>
    <w:rsid w:val="007A602B"/>
    <w:rsid w:val="007B0066"/>
    <w:rsid w:val="007C48F8"/>
    <w:rsid w:val="007D1FF6"/>
    <w:rsid w:val="007E0157"/>
    <w:rsid w:val="007E67EE"/>
    <w:rsid w:val="007F1FB7"/>
    <w:rsid w:val="007F42F8"/>
    <w:rsid w:val="007F50FE"/>
    <w:rsid w:val="007F7C6D"/>
    <w:rsid w:val="00803C3C"/>
    <w:rsid w:val="008143FA"/>
    <w:rsid w:val="008155C4"/>
    <w:rsid w:val="00822520"/>
    <w:rsid w:val="00837A7B"/>
    <w:rsid w:val="008567F7"/>
    <w:rsid w:val="00856B58"/>
    <w:rsid w:val="00864B86"/>
    <w:rsid w:val="00865CC2"/>
    <w:rsid w:val="00867FD1"/>
    <w:rsid w:val="00870B18"/>
    <w:rsid w:val="008719F8"/>
    <w:rsid w:val="00872F8B"/>
    <w:rsid w:val="008731C2"/>
    <w:rsid w:val="00884924"/>
    <w:rsid w:val="008870E0"/>
    <w:rsid w:val="00891E5D"/>
    <w:rsid w:val="00893CA8"/>
    <w:rsid w:val="008A0D39"/>
    <w:rsid w:val="008A114C"/>
    <w:rsid w:val="008A5EE1"/>
    <w:rsid w:val="008B755D"/>
    <w:rsid w:val="008C17D1"/>
    <w:rsid w:val="008C5E11"/>
    <w:rsid w:val="008D3118"/>
    <w:rsid w:val="008D6574"/>
    <w:rsid w:val="008E0529"/>
    <w:rsid w:val="008E6956"/>
    <w:rsid w:val="008F0882"/>
    <w:rsid w:val="008F1861"/>
    <w:rsid w:val="008F1CB8"/>
    <w:rsid w:val="00900C51"/>
    <w:rsid w:val="00902223"/>
    <w:rsid w:val="0090351E"/>
    <w:rsid w:val="0091116D"/>
    <w:rsid w:val="009238CA"/>
    <w:rsid w:val="0092538B"/>
    <w:rsid w:val="00941507"/>
    <w:rsid w:val="009567B4"/>
    <w:rsid w:val="00962F5E"/>
    <w:rsid w:val="00963016"/>
    <w:rsid w:val="00963B56"/>
    <w:rsid w:val="0098085C"/>
    <w:rsid w:val="00980F16"/>
    <w:rsid w:val="0099502A"/>
    <w:rsid w:val="009971B0"/>
    <w:rsid w:val="009A1C60"/>
    <w:rsid w:val="009B245B"/>
    <w:rsid w:val="009B4DF5"/>
    <w:rsid w:val="009C39EB"/>
    <w:rsid w:val="009C5CF0"/>
    <w:rsid w:val="009D35D6"/>
    <w:rsid w:val="009D4B78"/>
    <w:rsid w:val="009D5A13"/>
    <w:rsid w:val="009E113E"/>
    <w:rsid w:val="009E16F9"/>
    <w:rsid w:val="009E359E"/>
    <w:rsid w:val="009E3FFF"/>
    <w:rsid w:val="009E5ACB"/>
    <w:rsid w:val="009E6CC5"/>
    <w:rsid w:val="00A0562F"/>
    <w:rsid w:val="00A10FFD"/>
    <w:rsid w:val="00A12F85"/>
    <w:rsid w:val="00A151E3"/>
    <w:rsid w:val="00A17D61"/>
    <w:rsid w:val="00A242E7"/>
    <w:rsid w:val="00A24FD0"/>
    <w:rsid w:val="00A308C6"/>
    <w:rsid w:val="00A321F2"/>
    <w:rsid w:val="00A332B7"/>
    <w:rsid w:val="00A33B8F"/>
    <w:rsid w:val="00A33C84"/>
    <w:rsid w:val="00A41020"/>
    <w:rsid w:val="00A415D6"/>
    <w:rsid w:val="00A46148"/>
    <w:rsid w:val="00A717A4"/>
    <w:rsid w:val="00A73A6C"/>
    <w:rsid w:val="00A8694A"/>
    <w:rsid w:val="00AA601D"/>
    <w:rsid w:val="00AB3F66"/>
    <w:rsid w:val="00AB4277"/>
    <w:rsid w:val="00AD22C8"/>
    <w:rsid w:val="00AF2EF6"/>
    <w:rsid w:val="00AF36E8"/>
    <w:rsid w:val="00B061D9"/>
    <w:rsid w:val="00B10E52"/>
    <w:rsid w:val="00B11D2E"/>
    <w:rsid w:val="00B12AE6"/>
    <w:rsid w:val="00B1786F"/>
    <w:rsid w:val="00B2095E"/>
    <w:rsid w:val="00B215DA"/>
    <w:rsid w:val="00B23DA2"/>
    <w:rsid w:val="00B244C2"/>
    <w:rsid w:val="00B352FB"/>
    <w:rsid w:val="00B35E37"/>
    <w:rsid w:val="00B51374"/>
    <w:rsid w:val="00B53983"/>
    <w:rsid w:val="00B60917"/>
    <w:rsid w:val="00B66876"/>
    <w:rsid w:val="00B71A2C"/>
    <w:rsid w:val="00B73B5B"/>
    <w:rsid w:val="00B763C2"/>
    <w:rsid w:val="00B806F3"/>
    <w:rsid w:val="00B82DE2"/>
    <w:rsid w:val="00B83E5E"/>
    <w:rsid w:val="00B910E9"/>
    <w:rsid w:val="00B92512"/>
    <w:rsid w:val="00BA5E5D"/>
    <w:rsid w:val="00BA6C70"/>
    <w:rsid w:val="00BB0D1A"/>
    <w:rsid w:val="00BB7A38"/>
    <w:rsid w:val="00BC0529"/>
    <w:rsid w:val="00BC18F1"/>
    <w:rsid w:val="00BC56C9"/>
    <w:rsid w:val="00BC5E6E"/>
    <w:rsid w:val="00BE774C"/>
    <w:rsid w:val="00BE7AC8"/>
    <w:rsid w:val="00BE7FFB"/>
    <w:rsid w:val="00BF0F04"/>
    <w:rsid w:val="00BF1782"/>
    <w:rsid w:val="00BF3984"/>
    <w:rsid w:val="00BF5B07"/>
    <w:rsid w:val="00BF62E2"/>
    <w:rsid w:val="00C02CEB"/>
    <w:rsid w:val="00C121B8"/>
    <w:rsid w:val="00C25562"/>
    <w:rsid w:val="00C26BE6"/>
    <w:rsid w:val="00C26E35"/>
    <w:rsid w:val="00C27FEC"/>
    <w:rsid w:val="00C318AE"/>
    <w:rsid w:val="00C321E7"/>
    <w:rsid w:val="00C43923"/>
    <w:rsid w:val="00C50C02"/>
    <w:rsid w:val="00C53679"/>
    <w:rsid w:val="00C57F47"/>
    <w:rsid w:val="00C60E34"/>
    <w:rsid w:val="00C624B9"/>
    <w:rsid w:val="00C64446"/>
    <w:rsid w:val="00C6797A"/>
    <w:rsid w:val="00C73F9D"/>
    <w:rsid w:val="00C7516C"/>
    <w:rsid w:val="00C83AC4"/>
    <w:rsid w:val="00C848AB"/>
    <w:rsid w:val="00CA439E"/>
    <w:rsid w:val="00CA59C7"/>
    <w:rsid w:val="00CB2660"/>
    <w:rsid w:val="00CB6376"/>
    <w:rsid w:val="00CC17CA"/>
    <w:rsid w:val="00CC1B37"/>
    <w:rsid w:val="00CC4443"/>
    <w:rsid w:val="00CD2391"/>
    <w:rsid w:val="00CF7922"/>
    <w:rsid w:val="00D067D8"/>
    <w:rsid w:val="00D12080"/>
    <w:rsid w:val="00D1742F"/>
    <w:rsid w:val="00D22299"/>
    <w:rsid w:val="00D2398F"/>
    <w:rsid w:val="00D33378"/>
    <w:rsid w:val="00D403DF"/>
    <w:rsid w:val="00D423F3"/>
    <w:rsid w:val="00D51798"/>
    <w:rsid w:val="00D566AD"/>
    <w:rsid w:val="00D57477"/>
    <w:rsid w:val="00D57C85"/>
    <w:rsid w:val="00D70845"/>
    <w:rsid w:val="00D753AE"/>
    <w:rsid w:val="00D77F34"/>
    <w:rsid w:val="00D8330F"/>
    <w:rsid w:val="00D84F42"/>
    <w:rsid w:val="00DA3813"/>
    <w:rsid w:val="00DB4D9A"/>
    <w:rsid w:val="00DB5769"/>
    <w:rsid w:val="00DC06FE"/>
    <w:rsid w:val="00DC0933"/>
    <w:rsid w:val="00DC4FCB"/>
    <w:rsid w:val="00DC68C0"/>
    <w:rsid w:val="00DE7CDD"/>
    <w:rsid w:val="00DF04C4"/>
    <w:rsid w:val="00E0297E"/>
    <w:rsid w:val="00E101A4"/>
    <w:rsid w:val="00E14F51"/>
    <w:rsid w:val="00E21284"/>
    <w:rsid w:val="00E22404"/>
    <w:rsid w:val="00E22EFC"/>
    <w:rsid w:val="00E360E2"/>
    <w:rsid w:val="00E4389E"/>
    <w:rsid w:val="00E45E26"/>
    <w:rsid w:val="00E556B5"/>
    <w:rsid w:val="00E56B50"/>
    <w:rsid w:val="00E64531"/>
    <w:rsid w:val="00E64E35"/>
    <w:rsid w:val="00E74F63"/>
    <w:rsid w:val="00E82081"/>
    <w:rsid w:val="00E822AC"/>
    <w:rsid w:val="00E8534F"/>
    <w:rsid w:val="00E900EE"/>
    <w:rsid w:val="00E9229D"/>
    <w:rsid w:val="00EA3158"/>
    <w:rsid w:val="00EB035A"/>
    <w:rsid w:val="00EB23C3"/>
    <w:rsid w:val="00EB3E4B"/>
    <w:rsid w:val="00EC6472"/>
    <w:rsid w:val="00EE22B0"/>
    <w:rsid w:val="00EE337F"/>
    <w:rsid w:val="00EF3ED6"/>
    <w:rsid w:val="00EF5224"/>
    <w:rsid w:val="00F02E4C"/>
    <w:rsid w:val="00F11A02"/>
    <w:rsid w:val="00F15716"/>
    <w:rsid w:val="00F22590"/>
    <w:rsid w:val="00F22CE3"/>
    <w:rsid w:val="00F2747A"/>
    <w:rsid w:val="00F27CC1"/>
    <w:rsid w:val="00F351DC"/>
    <w:rsid w:val="00F3667F"/>
    <w:rsid w:val="00F42AFF"/>
    <w:rsid w:val="00F45EBA"/>
    <w:rsid w:val="00F55F6D"/>
    <w:rsid w:val="00F56D53"/>
    <w:rsid w:val="00F62CF1"/>
    <w:rsid w:val="00F7058F"/>
    <w:rsid w:val="00F74650"/>
    <w:rsid w:val="00F868F8"/>
    <w:rsid w:val="00F93F91"/>
    <w:rsid w:val="00F946DD"/>
    <w:rsid w:val="00FA0B16"/>
    <w:rsid w:val="00FB01F5"/>
    <w:rsid w:val="00FB2324"/>
    <w:rsid w:val="00FB2FF3"/>
    <w:rsid w:val="00FC2622"/>
    <w:rsid w:val="00FD4BC4"/>
    <w:rsid w:val="00FD4F77"/>
    <w:rsid w:val="00FD691F"/>
    <w:rsid w:val="00FD7113"/>
    <w:rsid w:val="00FE205E"/>
    <w:rsid w:val="00FE3BB0"/>
    <w:rsid w:val="00FE6A08"/>
    <w:rsid w:val="00FE6F55"/>
    <w:rsid w:val="00FF0F02"/>
    <w:rsid w:val="00FF11F2"/>
    <w:rsid w:val="00FF188A"/>
    <w:rsid w:val="00FF3BED"/>
    <w:rsid w:val="00FF4991"/>
    <w:rsid w:val="0D353AD9"/>
    <w:rsid w:val="10AB61CE"/>
    <w:rsid w:val="1308624B"/>
    <w:rsid w:val="136B087E"/>
    <w:rsid w:val="14031D09"/>
    <w:rsid w:val="156325B0"/>
    <w:rsid w:val="169F278D"/>
    <w:rsid w:val="191D18E3"/>
    <w:rsid w:val="20CD41AF"/>
    <w:rsid w:val="210B3A14"/>
    <w:rsid w:val="23803D72"/>
    <w:rsid w:val="29C93FB5"/>
    <w:rsid w:val="2BC27EA5"/>
    <w:rsid w:val="2DF82164"/>
    <w:rsid w:val="3CD56122"/>
    <w:rsid w:val="3D055A28"/>
    <w:rsid w:val="443417CC"/>
    <w:rsid w:val="4C2F5567"/>
    <w:rsid w:val="4F4418B1"/>
    <w:rsid w:val="54CA6100"/>
    <w:rsid w:val="56914926"/>
    <w:rsid w:val="592931DB"/>
    <w:rsid w:val="59465413"/>
    <w:rsid w:val="67C317D9"/>
    <w:rsid w:val="687F700F"/>
    <w:rsid w:val="6BFB25A6"/>
    <w:rsid w:val="6E624186"/>
    <w:rsid w:val="701132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6A02AC8"/>
  <w15:docId w15:val="{45A12B72-BEFC-41BC-A2D6-66247FAB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id-ID" w:eastAsia="zh-CN"/>
    </w:rPr>
  </w:style>
  <w:style w:type="paragraph" w:styleId="Heading1">
    <w:name w:val="heading 1"/>
    <w:basedOn w:val="Normal"/>
    <w:next w:val="Normal"/>
    <w:link w:val="Heading1Char"/>
    <w:uiPriority w:val="9"/>
    <w:qFormat/>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pPr>
      <w:tabs>
        <w:tab w:val="center" w:pos="4513"/>
        <w:tab w:val="right" w:pos="9026"/>
      </w:tabs>
    </w:pPr>
  </w:style>
  <w:style w:type="paragraph" w:styleId="Header">
    <w:name w:val="header"/>
    <w:basedOn w:val="Normal"/>
    <w:link w:val="HeaderChar"/>
    <w:qFormat/>
    <w:pPr>
      <w:tabs>
        <w:tab w:val="center" w:pos="4513"/>
        <w:tab w:val="right" w:pos="9026"/>
      </w:tabs>
    </w:p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pPr>
      <w:spacing w:after="240"/>
      <w:jc w:val="both"/>
    </w:pPr>
  </w:style>
  <w:style w:type="character" w:styleId="PlaceholderText">
    <w:name w:val="Placeholder Text"/>
    <w:basedOn w:val="DefaultParagraphFont"/>
    <w:uiPriority w:val="99"/>
    <w:unhideWhenUsed/>
    <w:qFormat/>
    <w:rPr>
      <w:color w:val="666666"/>
    </w:rPr>
  </w:style>
  <w:style w:type="paragraph" w:customStyle="1" w:styleId="Author">
    <w:name w:val="Author"/>
    <w:basedOn w:val="Normal"/>
    <w:pPr>
      <w:spacing w:line="280" w:lineRule="exact"/>
      <w:jc w:val="right"/>
    </w:pPr>
    <w:rPr>
      <w:rFonts w:ascii="Helvetica" w:eastAsia="Times New Roman" w:hAnsi="Helvetica" w:cs="Times New Roman"/>
      <w:b/>
      <w:sz w:val="24"/>
      <w:lang w:eastAsia="en-US"/>
    </w:rPr>
  </w:style>
  <w:style w:type="paragraph" w:customStyle="1" w:styleId="Affiliation">
    <w:name w:val="Affiliation"/>
    <w:basedOn w:val="Normal"/>
    <w:qFormat/>
    <w:pPr>
      <w:spacing w:after="240" w:line="240" w:lineRule="exact"/>
      <w:jc w:val="right"/>
    </w:pPr>
    <w:rPr>
      <w:rFonts w:ascii="Helvetica" w:eastAsia="Times New Roman" w:hAnsi="Helvetica" w:cs="Times New Roman"/>
      <w:lang w:eastAsia="en-US"/>
    </w:rPr>
  </w:style>
  <w:style w:type="character" w:customStyle="1" w:styleId="HeaderChar">
    <w:name w:val="Header Char"/>
    <w:basedOn w:val="DefaultParagraphFont"/>
    <w:link w:val="Header"/>
    <w:qFormat/>
    <w:rPr>
      <w:rFonts w:asciiTheme="minorHAnsi" w:eastAsiaTheme="minorEastAsia" w:hAnsiTheme="minorHAnsi" w:cstheme="minorBidi"/>
      <w:lang w:val="id-ID" w:eastAsia="zh-CN"/>
    </w:rPr>
  </w:style>
  <w:style w:type="character" w:customStyle="1" w:styleId="FooterChar">
    <w:name w:val="Footer Char"/>
    <w:basedOn w:val="DefaultParagraphFont"/>
    <w:link w:val="Footer"/>
    <w:rPr>
      <w:rFonts w:asciiTheme="minorHAnsi" w:eastAsiaTheme="minorEastAsia" w:hAnsiTheme="minorHAnsi" w:cstheme="minorBidi"/>
      <w:lang w:val="id-ID"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99"/>
    <w:unhideWhenUsed/>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eastAsia="en-US"/>
    </w:rPr>
  </w:style>
  <w:style w:type="paragraph" w:styleId="BalloonText">
    <w:name w:val="Balloon Text"/>
    <w:basedOn w:val="Normal"/>
    <w:link w:val="BalloonTextChar"/>
    <w:semiHidden/>
    <w:unhideWhenUsed/>
    <w:rsid w:val="004031C8"/>
    <w:rPr>
      <w:rFonts w:ascii="Segoe UI" w:hAnsi="Segoe UI" w:cs="Segoe UI"/>
      <w:sz w:val="18"/>
      <w:szCs w:val="18"/>
    </w:rPr>
  </w:style>
  <w:style w:type="character" w:customStyle="1" w:styleId="BalloonTextChar">
    <w:name w:val="Balloon Text Char"/>
    <w:basedOn w:val="DefaultParagraphFont"/>
    <w:link w:val="BalloonText"/>
    <w:semiHidden/>
    <w:rsid w:val="004031C8"/>
    <w:rPr>
      <w:rFonts w:ascii="Segoe UI" w:eastAsiaTheme="minorEastAsia" w:hAnsi="Segoe UI" w:cs="Segoe UI"/>
      <w:sz w:val="18"/>
      <w:szCs w:val="18"/>
      <w:lang w:val="id-ID" w:eastAsia="zh-CN"/>
    </w:rPr>
  </w:style>
  <w:style w:type="paragraph" w:styleId="Revision">
    <w:name w:val="Revision"/>
    <w:hidden/>
    <w:uiPriority w:val="99"/>
    <w:unhideWhenUsed/>
    <w:rsid w:val="004031C8"/>
    <w:rPr>
      <w:rFonts w:asciiTheme="minorHAnsi" w:eastAsiaTheme="minorEastAsia" w:hAnsiTheme="minorHAnsi" w:cstheme="minorBidi"/>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7876">
      <w:bodyDiv w:val="1"/>
      <w:marLeft w:val="0"/>
      <w:marRight w:val="0"/>
      <w:marTop w:val="0"/>
      <w:marBottom w:val="0"/>
      <w:divBdr>
        <w:top w:val="none" w:sz="0" w:space="0" w:color="auto"/>
        <w:left w:val="none" w:sz="0" w:space="0" w:color="auto"/>
        <w:bottom w:val="none" w:sz="0" w:space="0" w:color="auto"/>
        <w:right w:val="none" w:sz="0" w:space="0" w:color="auto"/>
      </w:divBdr>
    </w:div>
    <w:div w:id="100079126">
      <w:bodyDiv w:val="1"/>
      <w:marLeft w:val="0"/>
      <w:marRight w:val="0"/>
      <w:marTop w:val="0"/>
      <w:marBottom w:val="0"/>
      <w:divBdr>
        <w:top w:val="none" w:sz="0" w:space="0" w:color="auto"/>
        <w:left w:val="none" w:sz="0" w:space="0" w:color="auto"/>
        <w:bottom w:val="none" w:sz="0" w:space="0" w:color="auto"/>
        <w:right w:val="none" w:sz="0" w:space="0" w:color="auto"/>
      </w:divBdr>
    </w:div>
    <w:div w:id="133106881">
      <w:bodyDiv w:val="1"/>
      <w:marLeft w:val="0"/>
      <w:marRight w:val="0"/>
      <w:marTop w:val="0"/>
      <w:marBottom w:val="0"/>
      <w:divBdr>
        <w:top w:val="none" w:sz="0" w:space="0" w:color="auto"/>
        <w:left w:val="none" w:sz="0" w:space="0" w:color="auto"/>
        <w:bottom w:val="none" w:sz="0" w:space="0" w:color="auto"/>
        <w:right w:val="none" w:sz="0" w:space="0" w:color="auto"/>
      </w:divBdr>
    </w:div>
    <w:div w:id="149442116">
      <w:bodyDiv w:val="1"/>
      <w:marLeft w:val="0"/>
      <w:marRight w:val="0"/>
      <w:marTop w:val="0"/>
      <w:marBottom w:val="0"/>
      <w:divBdr>
        <w:top w:val="none" w:sz="0" w:space="0" w:color="auto"/>
        <w:left w:val="none" w:sz="0" w:space="0" w:color="auto"/>
        <w:bottom w:val="none" w:sz="0" w:space="0" w:color="auto"/>
        <w:right w:val="none" w:sz="0" w:space="0" w:color="auto"/>
      </w:divBdr>
    </w:div>
    <w:div w:id="150684642">
      <w:bodyDiv w:val="1"/>
      <w:marLeft w:val="0"/>
      <w:marRight w:val="0"/>
      <w:marTop w:val="0"/>
      <w:marBottom w:val="0"/>
      <w:divBdr>
        <w:top w:val="none" w:sz="0" w:space="0" w:color="auto"/>
        <w:left w:val="none" w:sz="0" w:space="0" w:color="auto"/>
        <w:bottom w:val="none" w:sz="0" w:space="0" w:color="auto"/>
        <w:right w:val="none" w:sz="0" w:space="0" w:color="auto"/>
      </w:divBdr>
    </w:div>
    <w:div w:id="158539842">
      <w:bodyDiv w:val="1"/>
      <w:marLeft w:val="0"/>
      <w:marRight w:val="0"/>
      <w:marTop w:val="0"/>
      <w:marBottom w:val="0"/>
      <w:divBdr>
        <w:top w:val="none" w:sz="0" w:space="0" w:color="auto"/>
        <w:left w:val="none" w:sz="0" w:space="0" w:color="auto"/>
        <w:bottom w:val="none" w:sz="0" w:space="0" w:color="auto"/>
        <w:right w:val="none" w:sz="0" w:space="0" w:color="auto"/>
      </w:divBdr>
    </w:div>
    <w:div w:id="183398147">
      <w:bodyDiv w:val="1"/>
      <w:marLeft w:val="0"/>
      <w:marRight w:val="0"/>
      <w:marTop w:val="0"/>
      <w:marBottom w:val="0"/>
      <w:divBdr>
        <w:top w:val="none" w:sz="0" w:space="0" w:color="auto"/>
        <w:left w:val="none" w:sz="0" w:space="0" w:color="auto"/>
        <w:bottom w:val="none" w:sz="0" w:space="0" w:color="auto"/>
        <w:right w:val="none" w:sz="0" w:space="0" w:color="auto"/>
      </w:divBdr>
    </w:div>
    <w:div w:id="190462081">
      <w:bodyDiv w:val="1"/>
      <w:marLeft w:val="0"/>
      <w:marRight w:val="0"/>
      <w:marTop w:val="0"/>
      <w:marBottom w:val="0"/>
      <w:divBdr>
        <w:top w:val="none" w:sz="0" w:space="0" w:color="auto"/>
        <w:left w:val="none" w:sz="0" w:space="0" w:color="auto"/>
        <w:bottom w:val="none" w:sz="0" w:space="0" w:color="auto"/>
        <w:right w:val="none" w:sz="0" w:space="0" w:color="auto"/>
      </w:divBdr>
    </w:div>
    <w:div w:id="231890832">
      <w:bodyDiv w:val="1"/>
      <w:marLeft w:val="0"/>
      <w:marRight w:val="0"/>
      <w:marTop w:val="0"/>
      <w:marBottom w:val="0"/>
      <w:divBdr>
        <w:top w:val="none" w:sz="0" w:space="0" w:color="auto"/>
        <w:left w:val="none" w:sz="0" w:space="0" w:color="auto"/>
        <w:bottom w:val="none" w:sz="0" w:space="0" w:color="auto"/>
        <w:right w:val="none" w:sz="0" w:space="0" w:color="auto"/>
      </w:divBdr>
    </w:div>
    <w:div w:id="241181610">
      <w:bodyDiv w:val="1"/>
      <w:marLeft w:val="0"/>
      <w:marRight w:val="0"/>
      <w:marTop w:val="0"/>
      <w:marBottom w:val="0"/>
      <w:divBdr>
        <w:top w:val="none" w:sz="0" w:space="0" w:color="auto"/>
        <w:left w:val="none" w:sz="0" w:space="0" w:color="auto"/>
        <w:bottom w:val="none" w:sz="0" w:space="0" w:color="auto"/>
        <w:right w:val="none" w:sz="0" w:space="0" w:color="auto"/>
      </w:divBdr>
    </w:div>
    <w:div w:id="251477075">
      <w:bodyDiv w:val="1"/>
      <w:marLeft w:val="0"/>
      <w:marRight w:val="0"/>
      <w:marTop w:val="0"/>
      <w:marBottom w:val="0"/>
      <w:divBdr>
        <w:top w:val="none" w:sz="0" w:space="0" w:color="auto"/>
        <w:left w:val="none" w:sz="0" w:space="0" w:color="auto"/>
        <w:bottom w:val="none" w:sz="0" w:space="0" w:color="auto"/>
        <w:right w:val="none" w:sz="0" w:space="0" w:color="auto"/>
      </w:divBdr>
    </w:div>
    <w:div w:id="255021816">
      <w:bodyDiv w:val="1"/>
      <w:marLeft w:val="0"/>
      <w:marRight w:val="0"/>
      <w:marTop w:val="0"/>
      <w:marBottom w:val="0"/>
      <w:divBdr>
        <w:top w:val="none" w:sz="0" w:space="0" w:color="auto"/>
        <w:left w:val="none" w:sz="0" w:space="0" w:color="auto"/>
        <w:bottom w:val="none" w:sz="0" w:space="0" w:color="auto"/>
        <w:right w:val="none" w:sz="0" w:space="0" w:color="auto"/>
      </w:divBdr>
    </w:div>
    <w:div w:id="266040949">
      <w:bodyDiv w:val="1"/>
      <w:marLeft w:val="0"/>
      <w:marRight w:val="0"/>
      <w:marTop w:val="0"/>
      <w:marBottom w:val="0"/>
      <w:divBdr>
        <w:top w:val="none" w:sz="0" w:space="0" w:color="auto"/>
        <w:left w:val="none" w:sz="0" w:space="0" w:color="auto"/>
        <w:bottom w:val="none" w:sz="0" w:space="0" w:color="auto"/>
        <w:right w:val="none" w:sz="0" w:space="0" w:color="auto"/>
      </w:divBdr>
    </w:div>
    <w:div w:id="278296261">
      <w:bodyDiv w:val="1"/>
      <w:marLeft w:val="0"/>
      <w:marRight w:val="0"/>
      <w:marTop w:val="0"/>
      <w:marBottom w:val="0"/>
      <w:divBdr>
        <w:top w:val="none" w:sz="0" w:space="0" w:color="auto"/>
        <w:left w:val="none" w:sz="0" w:space="0" w:color="auto"/>
        <w:bottom w:val="none" w:sz="0" w:space="0" w:color="auto"/>
        <w:right w:val="none" w:sz="0" w:space="0" w:color="auto"/>
      </w:divBdr>
    </w:div>
    <w:div w:id="287977020">
      <w:bodyDiv w:val="1"/>
      <w:marLeft w:val="0"/>
      <w:marRight w:val="0"/>
      <w:marTop w:val="0"/>
      <w:marBottom w:val="0"/>
      <w:divBdr>
        <w:top w:val="none" w:sz="0" w:space="0" w:color="auto"/>
        <w:left w:val="none" w:sz="0" w:space="0" w:color="auto"/>
        <w:bottom w:val="none" w:sz="0" w:space="0" w:color="auto"/>
        <w:right w:val="none" w:sz="0" w:space="0" w:color="auto"/>
      </w:divBdr>
    </w:div>
    <w:div w:id="292946847">
      <w:bodyDiv w:val="1"/>
      <w:marLeft w:val="0"/>
      <w:marRight w:val="0"/>
      <w:marTop w:val="0"/>
      <w:marBottom w:val="0"/>
      <w:divBdr>
        <w:top w:val="none" w:sz="0" w:space="0" w:color="auto"/>
        <w:left w:val="none" w:sz="0" w:space="0" w:color="auto"/>
        <w:bottom w:val="none" w:sz="0" w:space="0" w:color="auto"/>
        <w:right w:val="none" w:sz="0" w:space="0" w:color="auto"/>
      </w:divBdr>
    </w:div>
    <w:div w:id="294682133">
      <w:bodyDiv w:val="1"/>
      <w:marLeft w:val="0"/>
      <w:marRight w:val="0"/>
      <w:marTop w:val="0"/>
      <w:marBottom w:val="0"/>
      <w:divBdr>
        <w:top w:val="none" w:sz="0" w:space="0" w:color="auto"/>
        <w:left w:val="none" w:sz="0" w:space="0" w:color="auto"/>
        <w:bottom w:val="none" w:sz="0" w:space="0" w:color="auto"/>
        <w:right w:val="none" w:sz="0" w:space="0" w:color="auto"/>
      </w:divBdr>
    </w:div>
    <w:div w:id="349257190">
      <w:bodyDiv w:val="1"/>
      <w:marLeft w:val="0"/>
      <w:marRight w:val="0"/>
      <w:marTop w:val="0"/>
      <w:marBottom w:val="0"/>
      <w:divBdr>
        <w:top w:val="none" w:sz="0" w:space="0" w:color="auto"/>
        <w:left w:val="none" w:sz="0" w:space="0" w:color="auto"/>
        <w:bottom w:val="none" w:sz="0" w:space="0" w:color="auto"/>
        <w:right w:val="none" w:sz="0" w:space="0" w:color="auto"/>
      </w:divBdr>
    </w:div>
    <w:div w:id="367488852">
      <w:bodyDiv w:val="1"/>
      <w:marLeft w:val="0"/>
      <w:marRight w:val="0"/>
      <w:marTop w:val="0"/>
      <w:marBottom w:val="0"/>
      <w:divBdr>
        <w:top w:val="none" w:sz="0" w:space="0" w:color="auto"/>
        <w:left w:val="none" w:sz="0" w:space="0" w:color="auto"/>
        <w:bottom w:val="none" w:sz="0" w:space="0" w:color="auto"/>
        <w:right w:val="none" w:sz="0" w:space="0" w:color="auto"/>
      </w:divBdr>
    </w:div>
    <w:div w:id="379789511">
      <w:bodyDiv w:val="1"/>
      <w:marLeft w:val="0"/>
      <w:marRight w:val="0"/>
      <w:marTop w:val="0"/>
      <w:marBottom w:val="0"/>
      <w:divBdr>
        <w:top w:val="none" w:sz="0" w:space="0" w:color="auto"/>
        <w:left w:val="none" w:sz="0" w:space="0" w:color="auto"/>
        <w:bottom w:val="none" w:sz="0" w:space="0" w:color="auto"/>
        <w:right w:val="none" w:sz="0" w:space="0" w:color="auto"/>
      </w:divBdr>
    </w:div>
    <w:div w:id="432165972">
      <w:bodyDiv w:val="1"/>
      <w:marLeft w:val="0"/>
      <w:marRight w:val="0"/>
      <w:marTop w:val="0"/>
      <w:marBottom w:val="0"/>
      <w:divBdr>
        <w:top w:val="none" w:sz="0" w:space="0" w:color="auto"/>
        <w:left w:val="none" w:sz="0" w:space="0" w:color="auto"/>
        <w:bottom w:val="none" w:sz="0" w:space="0" w:color="auto"/>
        <w:right w:val="none" w:sz="0" w:space="0" w:color="auto"/>
      </w:divBdr>
    </w:div>
    <w:div w:id="435642107">
      <w:bodyDiv w:val="1"/>
      <w:marLeft w:val="0"/>
      <w:marRight w:val="0"/>
      <w:marTop w:val="0"/>
      <w:marBottom w:val="0"/>
      <w:divBdr>
        <w:top w:val="none" w:sz="0" w:space="0" w:color="auto"/>
        <w:left w:val="none" w:sz="0" w:space="0" w:color="auto"/>
        <w:bottom w:val="none" w:sz="0" w:space="0" w:color="auto"/>
        <w:right w:val="none" w:sz="0" w:space="0" w:color="auto"/>
      </w:divBdr>
    </w:div>
    <w:div w:id="458377390">
      <w:bodyDiv w:val="1"/>
      <w:marLeft w:val="0"/>
      <w:marRight w:val="0"/>
      <w:marTop w:val="0"/>
      <w:marBottom w:val="0"/>
      <w:divBdr>
        <w:top w:val="none" w:sz="0" w:space="0" w:color="auto"/>
        <w:left w:val="none" w:sz="0" w:space="0" w:color="auto"/>
        <w:bottom w:val="none" w:sz="0" w:space="0" w:color="auto"/>
        <w:right w:val="none" w:sz="0" w:space="0" w:color="auto"/>
      </w:divBdr>
    </w:div>
    <w:div w:id="460264865">
      <w:bodyDiv w:val="1"/>
      <w:marLeft w:val="0"/>
      <w:marRight w:val="0"/>
      <w:marTop w:val="0"/>
      <w:marBottom w:val="0"/>
      <w:divBdr>
        <w:top w:val="none" w:sz="0" w:space="0" w:color="auto"/>
        <w:left w:val="none" w:sz="0" w:space="0" w:color="auto"/>
        <w:bottom w:val="none" w:sz="0" w:space="0" w:color="auto"/>
        <w:right w:val="none" w:sz="0" w:space="0" w:color="auto"/>
      </w:divBdr>
    </w:div>
    <w:div w:id="505755118">
      <w:bodyDiv w:val="1"/>
      <w:marLeft w:val="0"/>
      <w:marRight w:val="0"/>
      <w:marTop w:val="0"/>
      <w:marBottom w:val="0"/>
      <w:divBdr>
        <w:top w:val="none" w:sz="0" w:space="0" w:color="auto"/>
        <w:left w:val="none" w:sz="0" w:space="0" w:color="auto"/>
        <w:bottom w:val="none" w:sz="0" w:space="0" w:color="auto"/>
        <w:right w:val="none" w:sz="0" w:space="0" w:color="auto"/>
      </w:divBdr>
    </w:div>
    <w:div w:id="517349276">
      <w:bodyDiv w:val="1"/>
      <w:marLeft w:val="0"/>
      <w:marRight w:val="0"/>
      <w:marTop w:val="0"/>
      <w:marBottom w:val="0"/>
      <w:divBdr>
        <w:top w:val="none" w:sz="0" w:space="0" w:color="auto"/>
        <w:left w:val="none" w:sz="0" w:space="0" w:color="auto"/>
        <w:bottom w:val="none" w:sz="0" w:space="0" w:color="auto"/>
        <w:right w:val="none" w:sz="0" w:space="0" w:color="auto"/>
      </w:divBdr>
    </w:div>
    <w:div w:id="519052723">
      <w:bodyDiv w:val="1"/>
      <w:marLeft w:val="0"/>
      <w:marRight w:val="0"/>
      <w:marTop w:val="0"/>
      <w:marBottom w:val="0"/>
      <w:divBdr>
        <w:top w:val="none" w:sz="0" w:space="0" w:color="auto"/>
        <w:left w:val="none" w:sz="0" w:space="0" w:color="auto"/>
        <w:bottom w:val="none" w:sz="0" w:space="0" w:color="auto"/>
        <w:right w:val="none" w:sz="0" w:space="0" w:color="auto"/>
      </w:divBdr>
    </w:div>
    <w:div w:id="523447612">
      <w:bodyDiv w:val="1"/>
      <w:marLeft w:val="0"/>
      <w:marRight w:val="0"/>
      <w:marTop w:val="0"/>
      <w:marBottom w:val="0"/>
      <w:divBdr>
        <w:top w:val="none" w:sz="0" w:space="0" w:color="auto"/>
        <w:left w:val="none" w:sz="0" w:space="0" w:color="auto"/>
        <w:bottom w:val="none" w:sz="0" w:space="0" w:color="auto"/>
        <w:right w:val="none" w:sz="0" w:space="0" w:color="auto"/>
      </w:divBdr>
    </w:div>
    <w:div w:id="539898050">
      <w:bodyDiv w:val="1"/>
      <w:marLeft w:val="0"/>
      <w:marRight w:val="0"/>
      <w:marTop w:val="0"/>
      <w:marBottom w:val="0"/>
      <w:divBdr>
        <w:top w:val="none" w:sz="0" w:space="0" w:color="auto"/>
        <w:left w:val="none" w:sz="0" w:space="0" w:color="auto"/>
        <w:bottom w:val="none" w:sz="0" w:space="0" w:color="auto"/>
        <w:right w:val="none" w:sz="0" w:space="0" w:color="auto"/>
      </w:divBdr>
    </w:div>
    <w:div w:id="542329261">
      <w:bodyDiv w:val="1"/>
      <w:marLeft w:val="0"/>
      <w:marRight w:val="0"/>
      <w:marTop w:val="0"/>
      <w:marBottom w:val="0"/>
      <w:divBdr>
        <w:top w:val="none" w:sz="0" w:space="0" w:color="auto"/>
        <w:left w:val="none" w:sz="0" w:space="0" w:color="auto"/>
        <w:bottom w:val="none" w:sz="0" w:space="0" w:color="auto"/>
        <w:right w:val="none" w:sz="0" w:space="0" w:color="auto"/>
      </w:divBdr>
    </w:div>
    <w:div w:id="551578607">
      <w:bodyDiv w:val="1"/>
      <w:marLeft w:val="0"/>
      <w:marRight w:val="0"/>
      <w:marTop w:val="0"/>
      <w:marBottom w:val="0"/>
      <w:divBdr>
        <w:top w:val="none" w:sz="0" w:space="0" w:color="auto"/>
        <w:left w:val="none" w:sz="0" w:space="0" w:color="auto"/>
        <w:bottom w:val="none" w:sz="0" w:space="0" w:color="auto"/>
        <w:right w:val="none" w:sz="0" w:space="0" w:color="auto"/>
      </w:divBdr>
      <w:divsChild>
        <w:div w:id="1131090610">
          <w:marLeft w:val="480"/>
          <w:marRight w:val="0"/>
          <w:marTop w:val="0"/>
          <w:marBottom w:val="0"/>
          <w:divBdr>
            <w:top w:val="none" w:sz="0" w:space="0" w:color="auto"/>
            <w:left w:val="none" w:sz="0" w:space="0" w:color="auto"/>
            <w:bottom w:val="none" w:sz="0" w:space="0" w:color="auto"/>
            <w:right w:val="none" w:sz="0" w:space="0" w:color="auto"/>
          </w:divBdr>
        </w:div>
        <w:div w:id="73165241">
          <w:marLeft w:val="480"/>
          <w:marRight w:val="0"/>
          <w:marTop w:val="0"/>
          <w:marBottom w:val="0"/>
          <w:divBdr>
            <w:top w:val="none" w:sz="0" w:space="0" w:color="auto"/>
            <w:left w:val="none" w:sz="0" w:space="0" w:color="auto"/>
            <w:bottom w:val="none" w:sz="0" w:space="0" w:color="auto"/>
            <w:right w:val="none" w:sz="0" w:space="0" w:color="auto"/>
          </w:divBdr>
        </w:div>
        <w:div w:id="166865973">
          <w:marLeft w:val="480"/>
          <w:marRight w:val="0"/>
          <w:marTop w:val="0"/>
          <w:marBottom w:val="0"/>
          <w:divBdr>
            <w:top w:val="none" w:sz="0" w:space="0" w:color="auto"/>
            <w:left w:val="none" w:sz="0" w:space="0" w:color="auto"/>
            <w:bottom w:val="none" w:sz="0" w:space="0" w:color="auto"/>
            <w:right w:val="none" w:sz="0" w:space="0" w:color="auto"/>
          </w:divBdr>
        </w:div>
        <w:div w:id="1505245169">
          <w:marLeft w:val="480"/>
          <w:marRight w:val="0"/>
          <w:marTop w:val="0"/>
          <w:marBottom w:val="0"/>
          <w:divBdr>
            <w:top w:val="none" w:sz="0" w:space="0" w:color="auto"/>
            <w:left w:val="none" w:sz="0" w:space="0" w:color="auto"/>
            <w:bottom w:val="none" w:sz="0" w:space="0" w:color="auto"/>
            <w:right w:val="none" w:sz="0" w:space="0" w:color="auto"/>
          </w:divBdr>
        </w:div>
        <w:div w:id="1765034619">
          <w:marLeft w:val="480"/>
          <w:marRight w:val="0"/>
          <w:marTop w:val="0"/>
          <w:marBottom w:val="0"/>
          <w:divBdr>
            <w:top w:val="none" w:sz="0" w:space="0" w:color="auto"/>
            <w:left w:val="none" w:sz="0" w:space="0" w:color="auto"/>
            <w:bottom w:val="none" w:sz="0" w:space="0" w:color="auto"/>
            <w:right w:val="none" w:sz="0" w:space="0" w:color="auto"/>
          </w:divBdr>
        </w:div>
        <w:div w:id="245579727">
          <w:marLeft w:val="480"/>
          <w:marRight w:val="0"/>
          <w:marTop w:val="0"/>
          <w:marBottom w:val="0"/>
          <w:divBdr>
            <w:top w:val="none" w:sz="0" w:space="0" w:color="auto"/>
            <w:left w:val="none" w:sz="0" w:space="0" w:color="auto"/>
            <w:bottom w:val="none" w:sz="0" w:space="0" w:color="auto"/>
            <w:right w:val="none" w:sz="0" w:space="0" w:color="auto"/>
          </w:divBdr>
        </w:div>
        <w:div w:id="552883878">
          <w:marLeft w:val="480"/>
          <w:marRight w:val="0"/>
          <w:marTop w:val="0"/>
          <w:marBottom w:val="0"/>
          <w:divBdr>
            <w:top w:val="none" w:sz="0" w:space="0" w:color="auto"/>
            <w:left w:val="none" w:sz="0" w:space="0" w:color="auto"/>
            <w:bottom w:val="none" w:sz="0" w:space="0" w:color="auto"/>
            <w:right w:val="none" w:sz="0" w:space="0" w:color="auto"/>
          </w:divBdr>
        </w:div>
        <w:div w:id="1197474257">
          <w:marLeft w:val="480"/>
          <w:marRight w:val="0"/>
          <w:marTop w:val="0"/>
          <w:marBottom w:val="0"/>
          <w:divBdr>
            <w:top w:val="none" w:sz="0" w:space="0" w:color="auto"/>
            <w:left w:val="none" w:sz="0" w:space="0" w:color="auto"/>
            <w:bottom w:val="none" w:sz="0" w:space="0" w:color="auto"/>
            <w:right w:val="none" w:sz="0" w:space="0" w:color="auto"/>
          </w:divBdr>
        </w:div>
        <w:div w:id="562063771">
          <w:marLeft w:val="480"/>
          <w:marRight w:val="0"/>
          <w:marTop w:val="0"/>
          <w:marBottom w:val="0"/>
          <w:divBdr>
            <w:top w:val="none" w:sz="0" w:space="0" w:color="auto"/>
            <w:left w:val="none" w:sz="0" w:space="0" w:color="auto"/>
            <w:bottom w:val="none" w:sz="0" w:space="0" w:color="auto"/>
            <w:right w:val="none" w:sz="0" w:space="0" w:color="auto"/>
          </w:divBdr>
        </w:div>
        <w:div w:id="240918465">
          <w:marLeft w:val="480"/>
          <w:marRight w:val="0"/>
          <w:marTop w:val="0"/>
          <w:marBottom w:val="0"/>
          <w:divBdr>
            <w:top w:val="none" w:sz="0" w:space="0" w:color="auto"/>
            <w:left w:val="none" w:sz="0" w:space="0" w:color="auto"/>
            <w:bottom w:val="none" w:sz="0" w:space="0" w:color="auto"/>
            <w:right w:val="none" w:sz="0" w:space="0" w:color="auto"/>
          </w:divBdr>
        </w:div>
        <w:div w:id="738213141">
          <w:marLeft w:val="480"/>
          <w:marRight w:val="0"/>
          <w:marTop w:val="0"/>
          <w:marBottom w:val="0"/>
          <w:divBdr>
            <w:top w:val="none" w:sz="0" w:space="0" w:color="auto"/>
            <w:left w:val="none" w:sz="0" w:space="0" w:color="auto"/>
            <w:bottom w:val="none" w:sz="0" w:space="0" w:color="auto"/>
            <w:right w:val="none" w:sz="0" w:space="0" w:color="auto"/>
          </w:divBdr>
        </w:div>
        <w:div w:id="886143475">
          <w:marLeft w:val="480"/>
          <w:marRight w:val="0"/>
          <w:marTop w:val="0"/>
          <w:marBottom w:val="0"/>
          <w:divBdr>
            <w:top w:val="none" w:sz="0" w:space="0" w:color="auto"/>
            <w:left w:val="none" w:sz="0" w:space="0" w:color="auto"/>
            <w:bottom w:val="none" w:sz="0" w:space="0" w:color="auto"/>
            <w:right w:val="none" w:sz="0" w:space="0" w:color="auto"/>
          </w:divBdr>
        </w:div>
        <w:div w:id="1469199796">
          <w:marLeft w:val="480"/>
          <w:marRight w:val="0"/>
          <w:marTop w:val="0"/>
          <w:marBottom w:val="0"/>
          <w:divBdr>
            <w:top w:val="none" w:sz="0" w:space="0" w:color="auto"/>
            <w:left w:val="none" w:sz="0" w:space="0" w:color="auto"/>
            <w:bottom w:val="none" w:sz="0" w:space="0" w:color="auto"/>
            <w:right w:val="none" w:sz="0" w:space="0" w:color="auto"/>
          </w:divBdr>
        </w:div>
        <w:div w:id="79059716">
          <w:marLeft w:val="480"/>
          <w:marRight w:val="0"/>
          <w:marTop w:val="0"/>
          <w:marBottom w:val="0"/>
          <w:divBdr>
            <w:top w:val="none" w:sz="0" w:space="0" w:color="auto"/>
            <w:left w:val="none" w:sz="0" w:space="0" w:color="auto"/>
            <w:bottom w:val="none" w:sz="0" w:space="0" w:color="auto"/>
            <w:right w:val="none" w:sz="0" w:space="0" w:color="auto"/>
          </w:divBdr>
        </w:div>
        <w:div w:id="216741234">
          <w:marLeft w:val="480"/>
          <w:marRight w:val="0"/>
          <w:marTop w:val="0"/>
          <w:marBottom w:val="0"/>
          <w:divBdr>
            <w:top w:val="none" w:sz="0" w:space="0" w:color="auto"/>
            <w:left w:val="none" w:sz="0" w:space="0" w:color="auto"/>
            <w:bottom w:val="none" w:sz="0" w:space="0" w:color="auto"/>
            <w:right w:val="none" w:sz="0" w:space="0" w:color="auto"/>
          </w:divBdr>
        </w:div>
        <w:div w:id="979771440">
          <w:marLeft w:val="480"/>
          <w:marRight w:val="0"/>
          <w:marTop w:val="0"/>
          <w:marBottom w:val="0"/>
          <w:divBdr>
            <w:top w:val="none" w:sz="0" w:space="0" w:color="auto"/>
            <w:left w:val="none" w:sz="0" w:space="0" w:color="auto"/>
            <w:bottom w:val="none" w:sz="0" w:space="0" w:color="auto"/>
            <w:right w:val="none" w:sz="0" w:space="0" w:color="auto"/>
          </w:divBdr>
        </w:div>
        <w:div w:id="1324315807">
          <w:marLeft w:val="480"/>
          <w:marRight w:val="0"/>
          <w:marTop w:val="0"/>
          <w:marBottom w:val="0"/>
          <w:divBdr>
            <w:top w:val="none" w:sz="0" w:space="0" w:color="auto"/>
            <w:left w:val="none" w:sz="0" w:space="0" w:color="auto"/>
            <w:bottom w:val="none" w:sz="0" w:space="0" w:color="auto"/>
            <w:right w:val="none" w:sz="0" w:space="0" w:color="auto"/>
          </w:divBdr>
        </w:div>
        <w:div w:id="946888627">
          <w:marLeft w:val="480"/>
          <w:marRight w:val="0"/>
          <w:marTop w:val="0"/>
          <w:marBottom w:val="0"/>
          <w:divBdr>
            <w:top w:val="none" w:sz="0" w:space="0" w:color="auto"/>
            <w:left w:val="none" w:sz="0" w:space="0" w:color="auto"/>
            <w:bottom w:val="none" w:sz="0" w:space="0" w:color="auto"/>
            <w:right w:val="none" w:sz="0" w:space="0" w:color="auto"/>
          </w:divBdr>
        </w:div>
        <w:div w:id="1483739720">
          <w:marLeft w:val="480"/>
          <w:marRight w:val="0"/>
          <w:marTop w:val="0"/>
          <w:marBottom w:val="0"/>
          <w:divBdr>
            <w:top w:val="none" w:sz="0" w:space="0" w:color="auto"/>
            <w:left w:val="none" w:sz="0" w:space="0" w:color="auto"/>
            <w:bottom w:val="none" w:sz="0" w:space="0" w:color="auto"/>
            <w:right w:val="none" w:sz="0" w:space="0" w:color="auto"/>
          </w:divBdr>
        </w:div>
        <w:div w:id="815608782">
          <w:marLeft w:val="480"/>
          <w:marRight w:val="0"/>
          <w:marTop w:val="0"/>
          <w:marBottom w:val="0"/>
          <w:divBdr>
            <w:top w:val="none" w:sz="0" w:space="0" w:color="auto"/>
            <w:left w:val="none" w:sz="0" w:space="0" w:color="auto"/>
            <w:bottom w:val="none" w:sz="0" w:space="0" w:color="auto"/>
            <w:right w:val="none" w:sz="0" w:space="0" w:color="auto"/>
          </w:divBdr>
        </w:div>
        <w:div w:id="184949926">
          <w:marLeft w:val="480"/>
          <w:marRight w:val="0"/>
          <w:marTop w:val="0"/>
          <w:marBottom w:val="0"/>
          <w:divBdr>
            <w:top w:val="none" w:sz="0" w:space="0" w:color="auto"/>
            <w:left w:val="none" w:sz="0" w:space="0" w:color="auto"/>
            <w:bottom w:val="none" w:sz="0" w:space="0" w:color="auto"/>
            <w:right w:val="none" w:sz="0" w:space="0" w:color="auto"/>
          </w:divBdr>
        </w:div>
        <w:div w:id="991367523">
          <w:marLeft w:val="480"/>
          <w:marRight w:val="0"/>
          <w:marTop w:val="0"/>
          <w:marBottom w:val="0"/>
          <w:divBdr>
            <w:top w:val="none" w:sz="0" w:space="0" w:color="auto"/>
            <w:left w:val="none" w:sz="0" w:space="0" w:color="auto"/>
            <w:bottom w:val="none" w:sz="0" w:space="0" w:color="auto"/>
            <w:right w:val="none" w:sz="0" w:space="0" w:color="auto"/>
          </w:divBdr>
        </w:div>
        <w:div w:id="25641061">
          <w:marLeft w:val="480"/>
          <w:marRight w:val="0"/>
          <w:marTop w:val="0"/>
          <w:marBottom w:val="0"/>
          <w:divBdr>
            <w:top w:val="none" w:sz="0" w:space="0" w:color="auto"/>
            <w:left w:val="none" w:sz="0" w:space="0" w:color="auto"/>
            <w:bottom w:val="none" w:sz="0" w:space="0" w:color="auto"/>
            <w:right w:val="none" w:sz="0" w:space="0" w:color="auto"/>
          </w:divBdr>
        </w:div>
        <w:div w:id="1596552209">
          <w:marLeft w:val="480"/>
          <w:marRight w:val="0"/>
          <w:marTop w:val="0"/>
          <w:marBottom w:val="0"/>
          <w:divBdr>
            <w:top w:val="none" w:sz="0" w:space="0" w:color="auto"/>
            <w:left w:val="none" w:sz="0" w:space="0" w:color="auto"/>
            <w:bottom w:val="none" w:sz="0" w:space="0" w:color="auto"/>
            <w:right w:val="none" w:sz="0" w:space="0" w:color="auto"/>
          </w:divBdr>
        </w:div>
        <w:div w:id="710230396">
          <w:marLeft w:val="480"/>
          <w:marRight w:val="0"/>
          <w:marTop w:val="0"/>
          <w:marBottom w:val="0"/>
          <w:divBdr>
            <w:top w:val="none" w:sz="0" w:space="0" w:color="auto"/>
            <w:left w:val="none" w:sz="0" w:space="0" w:color="auto"/>
            <w:bottom w:val="none" w:sz="0" w:space="0" w:color="auto"/>
            <w:right w:val="none" w:sz="0" w:space="0" w:color="auto"/>
          </w:divBdr>
        </w:div>
        <w:div w:id="951981826">
          <w:marLeft w:val="480"/>
          <w:marRight w:val="0"/>
          <w:marTop w:val="0"/>
          <w:marBottom w:val="0"/>
          <w:divBdr>
            <w:top w:val="none" w:sz="0" w:space="0" w:color="auto"/>
            <w:left w:val="none" w:sz="0" w:space="0" w:color="auto"/>
            <w:bottom w:val="none" w:sz="0" w:space="0" w:color="auto"/>
            <w:right w:val="none" w:sz="0" w:space="0" w:color="auto"/>
          </w:divBdr>
        </w:div>
        <w:div w:id="496848488">
          <w:marLeft w:val="480"/>
          <w:marRight w:val="0"/>
          <w:marTop w:val="0"/>
          <w:marBottom w:val="0"/>
          <w:divBdr>
            <w:top w:val="none" w:sz="0" w:space="0" w:color="auto"/>
            <w:left w:val="none" w:sz="0" w:space="0" w:color="auto"/>
            <w:bottom w:val="none" w:sz="0" w:space="0" w:color="auto"/>
            <w:right w:val="none" w:sz="0" w:space="0" w:color="auto"/>
          </w:divBdr>
        </w:div>
        <w:div w:id="1619679758">
          <w:marLeft w:val="480"/>
          <w:marRight w:val="0"/>
          <w:marTop w:val="0"/>
          <w:marBottom w:val="0"/>
          <w:divBdr>
            <w:top w:val="none" w:sz="0" w:space="0" w:color="auto"/>
            <w:left w:val="none" w:sz="0" w:space="0" w:color="auto"/>
            <w:bottom w:val="none" w:sz="0" w:space="0" w:color="auto"/>
            <w:right w:val="none" w:sz="0" w:space="0" w:color="auto"/>
          </w:divBdr>
        </w:div>
        <w:div w:id="354111576">
          <w:marLeft w:val="480"/>
          <w:marRight w:val="0"/>
          <w:marTop w:val="0"/>
          <w:marBottom w:val="0"/>
          <w:divBdr>
            <w:top w:val="none" w:sz="0" w:space="0" w:color="auto"/>
            <w:left w:val="none" w:sz="0" w:space="0" w:color="auto"/>
            <w:bottom w:val="none" w:sz="0" w:space="0" w:color="auto"/>
            <w:right w:val="none" w:sz="0" w:space="0" w:color="auto"/>
          </w:divBdr>
        </w:div>
        <w:div w:id="1697464822">
          <w:marLeft w:val="480"/>
          <w:marRight w:val="0"/>
          <w:marTop w:val="0"/>
          <w:marBottom w:val="0"/>
          <w:divBdr>
            <w:top w:val="none" w:sz="0" w:space="0" w:color="auto"/>
            <w:left w:val="none" w:sz="0" w:space="0" w:color="auto"/>
            <w:bottom w:val="none" w:sz="0" w:space="0" w:color="auto"/>
            <w:right w:val="none" w:sz="0" w:space="0" w:color="auto"/>
          </w:divBdr>
        </w:div>
        <w:div w:id="404495510">
          <w:marLeft w:val="480"/>
          <w:marRight w:val="0"/>
          <w:marTop w:val="0"/>
          <w:marBottom w:val="0"/>
          <w:divBdr>
            <w:top w:val="none" w:sz="0" w:space="0" w:color="auto"/>
            <w:left w:val="none" w:sz="0" w:space="0" w:color="auto"/>
            <w:bottom w:val="none" w:sz="0" w:space="0" w:color="auto"/>
            <w:right w:val="none" w:sz="0" w:space="0" w:color="auto"/>
          </w:divBdr>
        </w:div>
        <w:div w:id="1432161127">
          <w:marLeft w:val="480"/>
          <w:marRight w:val="0"/>
          <w:marTop w:val="0"/>
          <w:marBottom w:val="0"/>
          <w:divBdr>
            <w:top w:val="none" w:sz="0" w:space="0" w:color="auto"/>
            <w:left w:val="none" w:sz="0" w:space="0" w:color="auto"/>
            <w:bottom w:val="none" w:sz="0" w:space="0" w:color="auto"/>
            <w:right w:val="none" w:sz="0" w:space="0" w:color="auto"/>
          </w:divBdr>
        </w:div>
        <w:div w:id="1517037182">
          <w:marLeft w:val="480"/>
          <w:marRight w:val="0"/>
          <w:marTop w:val="0"/>
          <w:marBottom w:val="0"/>
          <w:divBdr>
            <w:top w:val="none" w:sz="0" w:space="0" w:color="auto"/>
            <w:left w:val="none" w:sz="0" w:space="0" w:color="auto"/>
            <w:bottom w:val="none" w:sz="0" w:space="0" w:color="auto"/>
            <w:right w:val="none" w:sz="0" w:space="0" w:color="auto"/>
          </w:divBdr>
        </w:div>
        <w:div w:id="1986355019">
          <w:marLeft w:val="480"/>
          <w:marRight w:val="0"/>
          <w:marTop w:val="0"/>
          <w:marBottom w:val="0"/>
          <w:divBdr>
            <w:top w:val="none" w:sz="0" w:space="0" w:color="auto"/>
            <w:left w:val="none" w:sz="0" w:space="0" w:color="auto"/>
            <w:bottom w:val="none" w:sz="0" w:space="0" w:color="auto"/>
            <w:right w:val="none" w:sz="0" w:space="0" w:color="auto"/>
          </w:divBdr>
        </w:div>
        <w:div w:id="1994871324">
          <w:marLeft w:val="480"/>
          <w:marRight w:val="0"/>
          <w:marTop w:val="0"/>
          <w:marBottom w:val="0"/>
          <w:divBdr>
            <w:top w:val="none" w:sz="0" w:space="0" w:color="auto"/>
            <w:left w:val="none" w:sz="0" w:space="0" w:color="auto"/>
            <w:bottom w:val="none" w:sz="0" w:space="0" w:color="auto"/>
            <w:right w:val="none" w:sz="0" w:space="0" w:color="auto"/>
          </w:divBdr>
        </w:div>
        <w:div w:id="1419905332">
          <w:marLeft w:val="480"/>
          <w:marRight w:val="0"/>
          <w:marTop w:val="0"/>
          <w:marBottom w:val="0"/>
          <w:divBdr>
            <w:top w:val="none" w:sz="0" w:space="0" w:color="auto"/>
            <w:left w:val="none" w:sz="0" w:space="0" w:color="auto"/>
            <w:bottom w:val="none" w:sz="0" w:space="0" w:color="auto"/>
            <w:right w:val="none" w:sz="0" w:space="0" w:color="auto"/>
          </w:divBdr>
        </w:div>
        <w:div w:id="1275213212">
          <w:marLeft w:val="480"/>
          <w:marRight w:val="0"/>
          <w:marTop w:val="0"/>
          <w:marBottom w:val="0"/>
          <w:divBdr>
            <w:top w:val="none" w:sz="0" w:space="0" w:color="auto"/>
            <w:left w:val="none" w:sz="0" w:space="0" w:color="auto"/>
            <w:bottom w:val="none" w:sz="0" w:space="0" w:color="auto"/>
            <w:right w:val="none" w:sz="0" w:space="0" w:color="auto"/>
          </w:divBdr>
        </w:div>
        <w:div w:id="41289642">
          <w:marLeft w:val="480"/>
          <w:marRight w:val="0"/>
          <w:marTop w:val="0"/>
          <w:marBottom w:val="0"/>
          <w:divBdr>
            <w:top w:val="none" w:sz="0" w:space="0" w:color="auto"/>
            <w:left w:val="none" w:sz="0" w:space="0" w:color="auto"/>
            <w:bottom w:val="none" w:sz="0" w:space="0" w:color="auto"/>
            <w:right w:val="none" w:sz="0" w:space="0" w:color="auto"/>
          </w:divBdr>
        </w:div>
        <w:div w:id="1181510327">
          <w:marLeft w:val="480"/>
          <w:marRight w:val="0"/>
          <w:marTop w:val="0"/>
          <w:marBottom w:val="0"/>
          <w:divBdr>
            <w:top w:val="none" w:sz="0" w:space="0" w:color="auto"/>
            <w:left w:val="none" w:sz="0" w:space="0" w:color="auto"/>
            <w:bottom w:val="none" w:sz="0" w:space="0" w:color="auto"/>
            <w:right w:val="none" w:sz="0" w:space="0" w:color="auto"/>
          </w:divBdr>
        </w:div>
        <w:div w:id="34431447">
          <w:marLeft w:val="480"/>
          <w:marRight w:val="0"/>
          <w:marTop w:val="0"/>
          <w:marBottom w:val="0"/>
          <w:divBdr>
            <w:top w:val="none" w:sz="0" w:space="0" w:color="auto"/>
            <w:left w:val="none" w:sz="0" w:space="0" w:color="auto"/>
            <w:bottom w:val="none" w:sz="0" w:space="0" w:color="auto"/>
            <w:right w:val="none" w:sz="0" w:space="0" w:color="auto"/>
          </w:divBdr>
        </w:div>
        <w:div w:id="1209998808">
          <w:marLeft w:val="480"/>
          <w:marRight w:val="0"/>
          <w:marTop w:val="0"/>
          <w:marBottom w:val="0"/>
          <w:divBdr>
            <w:top w:val="none" w:sz="0" w:space="0" w:color="auto"/>
            <w:left w:val="none" w:sz="0" w:space="0" w:color="auto"/>
            <w:bottom w:val="none" w:sz="0" w:space="0" w:color="auto"/>
            <w:right w:val="none" w:sz="0" w:space="0" w:color="auto"/>
          </w:divBdr>
        </w:div>
        <w:div w:id="1618026578">
          <w:marLeft w:val="480"/>
          <w:marRight w:val="0"/>
          <w:marTop w:val="0"/>
          <w:marBottom w:val="0"/>
          <w:divBdr>
            <w:top w:val="none" w:sz="0" w:space="0" w:color="auto"/>
            <w:left w:val="none" w:sz="0" w:space="0" w:color="auto"/>
            <w:bottom w:val="none" w:sz="0" w:space="0" w:color="auto"/>
            <w:right w:val="none" w:sz="0" w:space="0" w:color="auto"/>
          </w:divBdr>
        </w:div>
        <w:div w:id="2072341535">
          <w:marLeft w:val="480"/>
          <w:marRight w:val="0"/>
          <w:marTop w:val="0"/>
          <w:marBottom w:val="0"/>
          <w:divBdr>
            <w:top w:val="none" w:sz="0" w:space="0" w:color="auto"/>
            <w:left w:val="none" w:sz="0" w:space="0" w:color="auto"/>
            <w:bottom w:val="none" w:sz="0" w:space="0" w:color="auto"/>
            <w:right w:val="none" w:sz="0" w:space="0" w:color="auto"/>
          </w:divBdr>
        </w:div>
        <w:div w:id="1750617499">
          <w:marLeft w:val="480"/>
          <w:marRight w:val="0"/>
          <w:marTop w:val="0"/>
          <w:marBottom w:val="0"/>
          <w:divBdr>
            <w:top w:val="none" w:sz="0" w:space="0" w:color="auto"/>
            <w:left w:val="none" w:sz="0" w:space="0" w:color="auto"/>
            <w:bottom w:val="none" w:sz="0" w:space="0" w:color="auto"/>
            <w:right w:val="none" w:sz="0" w:space="0" w:color="auto"/>
          </w:divBdr>
        </w:div>
        <w:div w:id="1317148665">
          <w:marLeft w:val="480"/>
          <w:marRight w:val="0"/>
          <w:marTop w:val="0"/>
          <w:marBottom w:val="0"/>
          <w:divBdr>
            <w:top w:val="none" w:sz="0" w:space="0" w:color="auto"/>
            <w:left w:val="none" w:sz="0" w:space="0" w:color="auto"/>
            <w:bottom w:val="none" w:sz="0" w:space="0" w:color="auto"/>
            <w:right w:val="none" w:sz="0" w:space="0" w:color="auto"/>
          </w:divBdr>
        </w:div>
        <w:div w:id="319694880">
          <w:marLeft w:val="480"/>
          <w:marRight w:val="0"/>
          <w:marTop w:val="0"/>
          <w:marBottom w:val="0"/>
          <w:divBdr>
            <w:top w:val="none" w:sz="0" w:space="0" w:color="auto"/>
            <w:left w:val="none" w:sz="0" w:space="0" w:color="auto"/>
            <w:bottom w:val="none" w:sz="0" w:space="0" w:color="auto"/>
            <w:right w:val="none" w:sz="0" w:space="0" w:color="auto"/>
          </w:divBdr>
        </w:div>
        <w:div w:id="1343581934">
          <w:marLeft w:val="480"/>
          <w:marRight w:val="0"/>
          <w:marTop w:val="0"/>
          <w:marBottom w:val="0"/>
          <w:divBdr>
            <w:top w:val="none" w:sz="0" w:space="0" w:color="auto"/>
            <w:left w:val="none" w:sz="0" w:space="0" w:color="auto"/>
            <w:bottom w:val="none" w:sz="0" w:space="0" w:color="auto"/>
            <w:right w:val="none" w:sz="0" w:space="0" w:color="auto"/>
          </w:divBdr>
        </w:div>
        <w:div w:id="1445077727">
          <w:marLeft w:val="480"/>
          <w:marRight w:val="0"/>
          <w:marTop w:val="0"/>
          <w:marBottom w:val="0"/>
          <w:divBdr>
            <w:top w:val="none" w:sz="0" w:space="0" w:color="auto"/>
            <w:left w:val="none" w:sz="0" w:space="0" w:color="auto"/>
            <w:bottom w:val="none" w:sz="0" w:space="0" w:color="auto"/>
            <w:right w:val="none" w:sz="0" w:space="0" w:color="auto"/>
          </w:divBdr>
        </w:div>
        <w:div w:id="262961183">
          <w:marLeft w:val="480"/>
          <w:marRight w:val="0"/>
          <w:marTop w:val="0"/>
          <w:marBottom w:val="0"/>
          <w:divBdr>
            <w:top w:val="none" w:sz="0" w:space="0" w:color="auto"/>
            <w:left w:val="none" w:sz="0" w:space="0" w:color="auto"/>
            <w:bottom w:val="none" w:sz="0" w:space="0" w:color="auto"/>
            <w:right w:val="none" w:sz="0" w:space="0" w:color="auto"/>
          </w:divBdr>
        </w:div>
        <w:div w:id="676545351">
          <w:marLeft w:val="480"/>
          <w:marRight w:val="0"/>
          <w:marTop w:val="0"/>
          <w:marBottom w:val="0"/>
          <w:divBdr>
            <w:top w:val="none" w:sz="0" w:space="0" w:color="auto"/>
            <w:left w:val="none" w:sz="0" w:space="0" w:color="auto"/>
            <w:bottom w:val="none" w:sz="0" w:space="0" w:color="auto"/>
            <w:right w:val="none" w:sz="0" w:space="0" w:color="auto"/>
          </w:divBdr>
        </w:div>
        <w:div w:id="1965194232">
          <w:marLeft w:val="480"/>
          <w:marRight w:val="0"/>
          <w:marTop w:val="0"/>
          <w:marBottom w:val="0"/>
          <w:divBdr>
            <w:top w:val="none" w:sz="0" w:space="0" w:color="auto"/>
            <w:left w:val="none" w:sz="0" w:space="0" w:color="auto"/>
            <w:bottom w:val="none" w:sz="0" w:space="0" w:color="auto"/>
            <w:right w:val="none" w:sz="0" w:space="0" w:color="auto"/>
          </w:divBdr>
        </w:div>
        <w:div w:id="402682905">
          <w:marLeft w:val="480"/>
          <w:marRight w:val="0"/>
          <w:marTop w:val="0"/>
          <w:marBottom w:val="0"/>
          <w:divBdr>
            <w:top w:val="none" w:sz="0" w:space="0" w:color="auto"/>
            <w:left w:val="none" w:sz="0" w:space="0" w:color="auto"/>
            <w:bottom w:val="none" w:sz="0" w:space="0" w:color="auto"/>
            <w:right w:val="none" w:sz="0" w:space="0" w:color="auto"/>
          </w:divBdr>
        </w:div>
        <w:div w:id="1302928903">
          <w:marLeft w:val="480"/>
          <w:marRight w:val="0"/>
          <w:marTop w:val="0"/>
          <w:marBottom w:val="0"/>
          <w:divBdr>
            <w:top w:val="none" w:sz="0" w:space="0" w:color="auto"/>
            <w:left w:val="none" w:sz="0" w:space="0" w:color="auto"/>
            <w:bottom w:val="none" w:sz="0" w:space="0" w:color="auto"/>
            <w:right w:val="none" w:sz="0" w:space="0" w:color="auto"/>
          </w:divBdr>
        </w:div>
        <w:div w:id="7995904">
          <w:marLeft w:val="480"/>
          <w:marRight w:val="0"/>
          <w:marTop w:val="0"/>
          <w:marBottom w:val="0"/>
          <w:divBdr>
            <w:top w:val="none" w:sz="0" w:space="0" w:color="auto"/>
            <w:left w:val="none" w:sz="0" w:space="0" w:color="auto"/>
            <w:bottom w:val="none" w:sz="0" w:space="0" w:color="auto"/>
            <w:right w:val="none" w:sz="0" w:space="0" w:color="auto"/>
          </w:divBdr>
        </w:div>
        <w:div w:id="1498420799">
          <w:marLeft w:val="480"/>
          <w:marRight w:val="0"/>
          <w:marTop w:val="0"/>
          <w:marBottom w:val="0"/>
          <w:divBdr>
            <w:top w:val="none" w:sz="0" w:space="0" w:color="auto"/>
            <w:left w:val="none" w:sz="0" w:space="0" w:color="auto"/>
            <w:bottom w:val="none" w:sz="0" w:space="0" w:color="auto"/>
            <w:right w:val="none" w:sz="0" w:space="0" w:color="auto"/>
          </w:divBdr>
        </w:div>
        <w:div w:id="76948310">
          <w:marLeft w:val="480"/>
          <w:marRight w:val="0"/>
          <w:marTop w:val="0"/>
          <w:marBottom w:val="0"/>
          <w:divBdr>
            <w:top w:val="none" w:sz="0" w:space="0" w:color="auto"/>
            <w:left w:val="none" w:sz="0" w:space="0" w:color="auto"/>
            <w:bottom w:val="none" w:sz="0" w:space="0" w:color="auto"/>
            <w:right w:val="none" w:sz="0" w:space="0" w:color="auto"/>
          </w:divBdr>
        </w:div>
        <w:div w:id="1277981010">
          <w:marLeft w:val="480"/>
          <w:marRight w:val="0"/>
          <w:marTop w:val="0"/>
          <w:marBottom w:val="0"/>
          <w:divBdr>
            <w:top w:val="none" w:sz="0" w:space="0" w:color="auto"/>
            <w:left w:val="none" w:sz="0" w:space="0" w:color="auto"/>
            <w:bottom w:val="none" w:sz="0" w:space="0" w:color="auto"/>
            <w:right w:val="none" w:sz="0" w:space="0" w:color="auto"/>
          </w:divBdr>
        </w:div>
        <w:div w:id="1135220501">
          <w:marLeft w:val="480"/>
          <w:marRight w:val="0"/>
          <w:marTop w:val="0"/>
          <w:marBottom w:val="0"/>
          <w:divBdr>
            <w:top w:val="none" w:sz="0" w:space="0" w:color="auto"/>
            <w:left w:val="none" w:sz="0" w:space="0" w:color="auto"/>
            <w:bottom w:val="none" w:sz="0" w:space="0" w:color="auto"/>
            <w:right w:val="none" w:sz="0" w:space="0" w:color="auto"/>
          </w:divBdr>
        </w:div>
        <w:div w:id="1351297625">
          <w:marLeft w:val="480"/>
          <w:marRight w:val="0"/>
          <w:marTop w:val="0"/>
          <w:marBottom w:val="0"/>
          <w:divBdr>
            <w:top w:val="none" w:sz="0" w:space="0" w:color="auto"/>
            <w:left w:val="none" w:sz="0" w:space="0" w:color="auto"/>
            <w:bottom w:val="none" w:sz="0" w:space="0" w:color="auto"/>
            <w:right w:val="none" w:sz="0" w:space="0" w:color="auto"/>
          </w:divBdr>
        </w:div>
        <w:div w:id="2120247866">
          <w:marLeft w:val="480"/>
          <w:marRight w:val="0"/>
          <w:marTop w:val="0"/>
          <w:marBottom w:val="0"/>
          <w:divBdr>
            <w:top w:val="none" w:sz="0" w:space="0" w:color="auto"/>
            <w:left w:val="none" w:sz="0" w:space="0" w:color="auto"/>
            <w:bottom w:val="none" w:sz="0" w:space="0" w:color="auto"/>
            <w:right w:val="none" w:sz="0" w:space="0" w:color="auto"/>
          </w:divBdr>
        </w:div>
        <w:div w:id="716976040">
          <w:marLeft w:val="480"/>
          <w:marRight w:val="0"/>
          <w:marTop w:val="0"/>
          <w:marBottom w:val="0"/>
          <w:divBdr>
            <w:top w:val="none" w:sz="0" w:space="0" w:color="auto"/>
            <w:left w:val="none" w:sz="0" w:space="0" w:color="auto"/>
            <w:bottom w:val="none" w:sz="0" w:space="0" w:color="auto"/>
            <w:right w:val="none" w:sz="0" w:space="0" w:color="auto"/>
          </w:divBdr>
        </w:div>
        <w:div w:id="1641643884">
          <w:marLeft w:val="480"/>
          <w:marRight w:val="0"/>
          <w:marTop w:val="0"/>
          <w:marBottom w:val="0"/>
          <w:divBdr>
            <w:top w:val="none" w:sz="0" w:space="0" w:color="auto"/>
            <w:left w:val="none" w:sz="0" w:space="0" w:color="auto"/>
            <w:bottom w:val="none" w:sz="0" w:space="0" w:color="auto"/>
            <w:right w:val="none" w:sz="0" w:space="0" w:color="auto"/>
          </w:divBdr>
        </w:div>
        <w:div w:id="699934859">
          <w:marLeft w:val="480"/>
          <w:marRight w:val="0"/>
          <w:marTop w:val="0"/>
          <w:marBottom w:val="0"/>
          <w:divBdr>
            <w:top w:val="none" w:sz="0" w:space="0" w:color="auto"/>
            <w:left w:val="none" w:sz="0" w:space="0" w:color="auto"/>
            <w:bottom w:val="none" w:sz="0" w:space="0" w:color="auto"/>
            <w:right w:val="none" w:sz="0" w:space="0" w:color="auto"/>
          </w:divBdr>
        </w:div>
        <w:div w:id="1750271052">
          <w:marLeft w:val="480"/>
          <w:marRight w:val="0"/>
          <w:marTop w:val="0"/>
          <w:marBottom w:val="0"/>
          <w:divBdr>
            <w:top w:val="none" w:sz="0" w:space="0" w:color="auto"/>
            <w:left w:val="none" w:sz="0" w:space="0" w:color="auto"/>
            <w:bottom w:val="none" w:sz="0" w:space="0" w:color="auto"/>
            <w:right w:val="none" w:sz="0" w:space="0" w:color="auto"/>
          </w:divBdr>
        </w:div>
        <w:div w:id="531385921">
          <w:marLeft w:val="480"/>
          <w:marRight w:val="0"/>
          <w:marTop w:val="0"/>
          <w:marBottom w:val="0"/>
          <w:divBdr>
            <w:top w:val="none" w:sz="0" w:space="0" w:color="auto"/>
            <w:left w:val="none" w:sz="0" w:space="0" w:color="auto"/>
            <w:bottom w:val="none" w:sz="0" w:space="0" w:color="auto"/>
            <w:right w:val="none" w:sz="0" w:space="0" w:color="auto"/>
          </w:divBdr>
        </w:div>
        <w:div w:id="1648627375">
          <w:marLeft w:val="480"/>
          <w:marRight w:val="0"/>
          <w:marTop w:val="0"/>
          <w:marBottom w:val="0"/>
          <w:divBdr>
            <w:top w:val="none" w:sz="0" w:space="0" w:color="auto"/>
            <w:left w:val="none" w:sz="0" w:space="0" w:color="auto"/>
            <w:bottom w:val="none" w:sz="0" w:space="0" w:color="auto"/>
            <w:right w:val="none" w:sz="0" w:space="0" w:color="auto"/>
          </w:divBdr>
        </w:div>
        <w:div w:id="135070043">
          <w:marLeft w:val="480"/>
          <w:marRight w:val="0"/>
          <w:marTop w:val="0"/>
          <w:marBottom w:val="0"/>
          <w:divBdr>
            <w:top w:val="none" w:sz="0" w:space="0" w:color="auto"/>
            <w:left w:val="none" w:sz="0" w:space="0" w:color="auto"/>
            <w:bottom w:val="none" w:sz="0" w:space="0" w:color="auto"/>
            <w:right w:val="none" w:sz="0" w:space="0" w:color="auto"/>
          </w:divBdr>
        </w:div>
        <w:div w:id="832140006">
          <w:marLeft w:val="480"/>
          <w:marRight w:val="0"/>
          <w:marTop w:val="0"/>
          <w:marBottom w:val="0"/>
          <w:divBdr>
            <w:top w:val="none" w:sz="0" w:space="0" w:color="auto"/>
            <w:left w:val="none" w:sz="0" w:space="0" w:color="auto"/>
            <w:bottom w:val="none" w:sz="0" w:space="0" w:color="auto"/>
            <w:right w:val="none" w:sz="0" w:space="0" w:color="auto"/>
          </w:divBdr>
        </w:div>
        <w:div w:id="4132651">
          <w:marLeft w:val="480"/>
          <w:marRight w:val="0"/>
          <w:marTop w:val="0"/>
          <w:marBottom w:val="0"/>
          <w:divBdr>
            <w:top w:val="none" w:sz="0" w:space="0" w:color="auto"/>
            <w:left w:val="none" w:sz="0" w:space="0" w:color="auto"/>
            <w:bottom w:val="none" w:sz="0" w:space="0" w:color="auto"/>
            <w:right w:val="none" w:sz="0" w:space="0" w:color="auto"/>
          </w:divBdr>
        </w:div>
        <w:div w:id="167839257">
          <w:marLeft w:val="480"/>
          <w:marRight w:val="0"/>
          <w:marTop w:val="0"/>
          <w:marBottom w:val="0"/>
          <w:divBdr>
            <w:top w:val="none" w:sz="0" w:space="0" w:color="auto"/>
            <w:left w:val="none" w:sz="0" w:space="0" w:color="auto"/>
            <w:bottom w:val="none" w:sz="0" w:space="0" w:color="auto"/>
            <w:right w:val="none" w:sz="0" w:space="0" w:color="auto"/>
          </w:divBdr>
        </w:div>
        <w:div w:id="1423917823">
          <w:marLeft w:val="480"/>
          <w:marRight w:val="0"/>
          <w:marTop w:val="0"/>
          <w:marBottom w:val="0"/>
          <w:divBdr>
            <w:top w:val="none" w:sz="0" w:space="0" w:color="auto"/>
            <w:left w:val="none" w:sz="0" w:space="0" w:color="auto"/>
            <w:bottom w:val="none" w:sz="0" w:space="0" w:color="auto"/>
            <w:right w:val="none" w:sz="0" w:space="0" w:color="auto"/>
          </w:divBdr>
        </w:div>
        <w:div w:id="404766315">
          <w:marLeft w:val="480"/>
          <w:marRight w:val="0"/>
          <w:marTop w:val="0"/>
          <w:marBottom w:val="0"/>
          <w:divBdr>
            <w:top w:val="none" w:sz="0" w:space="0" w:color="auto"/>
            <w:left w:val="none" w:sz="0" w:space="0" w:color="auto"/>
            <w:bottom w:val="none" w:sz="0" w:space="0" w:color="auto"/>
            <w:right w:val="none" w:sz="0" w:space="0" w:color="auto"/>
          </w:divBdr>
        </w:div>
        <w:div w:id="1327441758">
          <w:marLeft w:val="480"/>
          <w:marRight w:val="0"/>
          <w:marTop w:val="0"/>
          <w:marBottom w:val="0"/>
          <w:divBdr>
            <w:top w:val="none" w:sz="0" w:space="0" w:color="auto"/>
            <w:left w:val="none" w:sz="0" w:space="0" w:color="auto"/>
            <w:bottom w:val="none" w:sz="0" w:space="0" w:color="auto"/>
            <w:right w:val="none" w:sz="0" w:space="0" w:color="auto"/>
          </w:divBdr>
        </w:div>
        <w:div w:id="543324816">
          <w:marLeft w:val="480"/>
          <w:marRight w:val="0"/>
          <w:marTop w:val="0"/>
          <w:marBottom w:val="0"/>
          <w:divBdr>
            <w:top w:val="none" w:sz="0" w:space="0" w:color="auto"/>
            <w:left w:val="none" w:sz="0" w:space="0" w:color="auto"/>
            <w:bottom w:val="none" w:sz="0" w:space="0" w:color="auto"/>
            <w:right w:val="none" w:sz="0" w:space="0" w:color="auto"/>
          </w:divBdr>
        </w:div>
        <w:div w:id="482434045">
          <w:marLeft w:val="480"/>
          <w:marRight w:val="0"/>
          <w:marTop w:val="0"/>
          <w:marBottom w:val="0"/>
          <w:divBdr>
            <w:top w:val="none" w:sz="0" w:space="0" w:color="auto"/>
            <w:left w:val="none" w:sz="0" w:space="0" w:color="auto"/>
            <w:bottom w:val="none" w:sz="0" w:space="0" w:color="auto"/>
            <w:right w:val="none" w:sz="0" w:space="0" w:color="auto"/>
          </w:divBdr>
        </w:div>
        <w:div w:id="996494104">
          <w:marLeft w:val="480"/>
          <w:marRight w:val="0"/>
          <w:marTop w:val="0"/>
          <w:marBottom w:val="0"/>
          <w:divBdr>
            <w:top w:val="none" w:sz="0" w:space="0" w:color="auto"/>
            <w:left w:val="none" w:sz="0" w:space="0" w:color="auto"/>
            <w:bottom w:val="none" w:sz="0" w:space="0" w:color="auto"/>
            <w:right w:val="none" w:sz="0" w:space="0" w:color="auto"/>
          </w:divBdr>
        </w:div>
        <w:div w:id="1202589818">
          <w:marLeft w:val="480"/>
          <w:marRight w:val="0"/>
          <w:marTop w:val="0"/>
          <w:marBottom w:val="0"/>
          <w:divBdr>
            <w:top w:val="none" w:sz="0" w:space="0" w:color="auto"/>
            <w:left w:val="none" w:sz="0" w:space="0" w:color="auto"/>
            <w:bottom w:val="none" w:sz="0" w:space="0" w:color="auto"/>
            <w:right w:val="none" w:sz="0" w:space="0" w:color="auto"/>
          </w:divBdr>
        </w:div>
        <w:div w:id="1096100882">
          <w:marLeft w:val="480"/>
          <w:marRight w:val="0"/>
          <w:marTop w:val="0"/>
          <w:marBottom w:val="0"/>
          <w:divBdr>
            <w:top w:val="none" w:sz="0" w:space="0" w:color="auto"/>
            <w:left w:val="none" w:sz="0" w:space="0" w:color="auto"/>
            <w:bottom w:val="none" w:sz="0" w:space="0" w:color="auto"/>
            <w:right w:val="none" w:sz="0" w:space="0" w:color="auto"/>
          </w:divBdr>
        </w:div>
      </w:divsChild>
    </w:div>
    <w:div w:id="553736852">
      <w:bodyDiv w:val="1"/>
      <w:marLeft w:val="0"/>
      <w:marRight w:val="0"/>
      <w:marTop w:val="0"/>
      <w:marBottom w:val="0"/>
      <w:divBdr>
        <w:top w:val="none" w:sz="0" w:space="0" w:color="auto"/>
        <w:left w:val="none" w:sz="0" w:space="0" w:color="auto"/>
        <w:bottom w:val="none" w:sz="0" w:space="0" w:color="auto"/>
        <w:right w:val="none" w:sz="0" w:space="0" w:color="auto"/>
      </w:divBdr>
    </w:div>
    <w:div w:id="561990019">
      <w:bodyDiv w:val="1"/>
      <w:marLeft w:val="0"/>
      <w:marRight w:val="0"/>
      <w:marTop w:val="0"/>
      <w:marBottom w:val="0"/>
      <w:divBdr>
        <w:top w:val="none" w:sz="0" w:space="0" w:color="auto"/>
        <w:left w:val="none" w:sz="0" w:space="0" w:color="auto"/>
        <w:bottom w:val="none" w:sz="0" w:space="0" w:color="auto"/>
        <w:right w:val="none" w:sz="0" w:space="0" w:color="auto"/>
      </w:divBdr>
    </w:div>
    <w:div w:id="579172244">
      <w:bodyDiv w:val="1"/>
      <w:marLeft w:val="0"/>
      <w:marRight w:val="0"/>
      <w:marTop w:val="0"/>
      <w:marBottom w:val="0"/>
      <w:divBdr>
        <w:top w:val="none" w:sz="0" w:space="0" w:color="auto"/>
        <w:left w:val="none" w:sz="0" w:space="0" w:color="auto"/>
        <w:bottom w:val="none" w:sz="0" w:space="0" w:color="auto"/>
        <w:right w:val="none" w:sz="0" w:space="0" w:color="auto"/>
      </w:divBdr>
    </w:div>
    <w:div w:id="582834459">
      <w:bodyDiv w:val="1"/>
      <w:marLeft w:val="0"/>
      <w:marRight w:val="0"/>
      <w:marTop w:val="0"/>
      <w:marBottom w:val="0"/>
      <w:divBdr>
        <w:top w:val="none" w:sz="0" w:space="0" w:color="auto"/>
        <w:left w:val="none" w:sz="0" w:space="0" w:color="auto"/>
        <w:bottom w:val="none" w:sz="0" w:space="0" w:color="auto"/>
        <w:right w:val="none" w:sz="0" w:space="0" w:color="auto"/>
      </w:divBdr>
    </w:div>
    <w:div w:id="608663302">
      <w:bodyDiv w:val="1"/>
      <w:marLeft w:val="0"/>
      <w:marRight w:val="0"/>
      <w:marTop w:val="0"/>
      <w:marBottom w:val="0"/>
      <w:divBdr>
        <w:top w:val="none" w:sz="0" w:space="0" w:color="auto"/>
        <w:left w:val="none" w:sz="0" w:space="0" w:color="auto"/>
        <w:bottom w:val="none" w:sz="0" w:space="0" w:color="auto"/>
        <w:right w:val="none" w:sz="0" w:space="0" w:color="auto"/>
      </w:divBdr>
    </w:div>
    <w:div w:id="624041748">
      <w:bodyDiv w:val="1"/>
      <w:marLeft w:val="0"/>
      <w:marRight w:val="0"/>
      <w:marTop w:val="0"/>
      <w:marBottom w:val="0"/>
      <w:divBdr>
        <w:top w:val="none" w:sz="0" w:space="0" w:color="auto"/>
        <w:left w:val="none" w:sz="0" w:space="0" w:color="auto"/>
        <w:bottom w:val="none" w:sz="0" w:space="0" w:color="auto"/>
        <w:right w:val="none" w:sz="0" w:space="0" w:color="auto"/>
      </w:divBdr>
    </w:div>
    <w:div w:id="628819726">
      <w:bodyDiv w:val="1"/>
      <w:marLeft w:val="0"/>
      <w:marRight w:val="0"/>
      <w:marTop w:val="0"/>
      <w:marBottom w:val="0"/>
      <w:divBdr>
        <w:top w:val="none" w:sz="0" w:space="0" w:color="auto"/>
        <w:left w:val="none" w:sz="0" w:space="0" w:color="auto"/>
        <w:bottom w:val="none" w:sz="0" w:space="0" w:color="auto"/>
        <w:right w:val="none" w:sz="0" w:space="0" w:color="auto"/>
      </w:divBdr>
    </w:div>
    <w:div w:id="629163913">
      <w:bodyDiv w:val="1"/>
      <w:marLeft w:val="0"/>
      <w:marRight w:val="0"/>
      <w:marTop w:val="0"/>
      <w:marBottom w:val="0"/>
      <w:divBdr>
        <w:top w:val="none" w:sz="0" w:space="0" w:color="auto"/>
        <w:left w:val="none" w:sz="0" w:space="0" w:color="auto"/>
        <w:bottom w:val="none" w:sz="0" w:space="0" w:color="auto"/>
        <w:right w:val="none" w:sz="0" w:space="0" w:color="auto"/>
      </w:divBdr>
    </w:div>
    <w:div w:id="636104363">
      <w:bodyDiv w:val="1"/>
      <w:marLeft w:val="0"/>
      <w:marRight w:val="0"/>
      <w:marTop w:val="0"/>
      <w:marBottom w:val="0"/>
      <w:divBdr>
        <w:top w:val="none" w:sz="0" w:space="0" w:color="auto"/>
        <w:left w:val="none" w:sz="0" w:space="0" w:color="auto"/>
        <w:bottom w:val="none" w:sz="0" w:space="0" w:color="auto"/>
        <w:right w:val="none" w:sz="0" w:space="0" w:color="auto"/>
      </w:divBdr>
    </w:div>
    <w:div w:id="653802438">
      <w:bodyDiv w:val="1"/>
      <w:marLeft w:val="0"/>
      <w:marRight w:val="0"/>
      <w:marTop w:val="0"/>
      <w:marBottom w:val="0"/>
      <w:divBdr>
        <w:top w:val="none" w:sz="0" w:space="0" w:color="auto"/>
        <w:left w:val="none" w:sz="0" w:space="0" w:color="auto"/>
        <w:bottom w:val="none" w:sz="0" w:space="0" w:color="auto"/>
        <w:right w:val="none" w:sz="0" w:space="0" w:color="auto"/>
      </w:divBdr>
    </w:div>
    <w:div w:id="654643744">
      <w:bodyDiv w:val="1"/>
      <w:marLeft w:val="0"/>
      <w:marRight w:val="0"/>
      <w:marTop w:val="0"/>
      <w:marBottom w:val="0"/>
      <w:divBdr>
        <w:top w:val="none" w:sz="0" w:space="0" w:color="auto"/>
        <w:left w:val="none" w:sz="0" w:space="0" w:color="auto"/>
        <w:bottom w:val="none" w:sz="0" w:space="0" w:color="auto"/>
        <w:right w:val="none" w:sz="0" w:space="0" w:color="auto"/>
      </w:divBdr>
    </w:div>
    <w:div w:id="663896337">
      <w:bodyDiv w:val="1"/>
      <w:marLeft w:val="0"/>
      <w:marRight w:val="0"/>
      <w:marTop w:val="0"/>
      <w:marBottom w:val="0"/>
      <w:divBdr>
        <w:top w:val="none" w:sz="0" w:space="0" w:color="auto"/>
        <w:left w:val="none" w:sz="0" w:space="0" w:color="auto"/>
        <w:bottom w:val="none" w:sz="0" w:space="0" w:color="auto"/>
        <w:right w:val="none" w:sz="0" w:space="0" w:color="auto"/>
      </w:divBdr>
    </w:div>
    <w:div w:id="663898891">
      <w:bodyDiv w:val="1"/>
      <w:marLeft w:val="0"/>
      <w:marRight w:val="0"/>
      <w:marTop w:val="0"/>
      <w:marBottom w:val="0"/>
      <w:divBdr>
        <w:top w:val="none" w:sz="0" w:space="0" w:color="auto"/>
        <w:left w:val="none" w:sz="0" w:space="0" w:color="auto"/>
        <w:bottom w:val="none" w:sz="0" w:space="0" w:color="auto"/>
        <w:right w:val="none" w:sz="0" w:space="0" w:color="auto"/>
      </w:divBdr>
    </w:div>
    <w:div w:id="671027702">
      <w:bodyDiv w:val="1"/>
      <w:marLeft w:val="0"/>
      <w:marRight w:val="0"/>
      <w:marTop w:val="0"/>
      <w:marBottom w:val="0"/>
      <w:divBdr>
        <w:top w:val="none" w:sz="0" w:space="0" w:color="auto"/>
        <w:left w:val="none" w:sz="0" w:space="0" w:color="auto"/>
        <w:bottom w:val="none" w:sz="0" w:space="0" w:color="auto"/>
        <w:right w:val="none" w:sz="0" w:space="0" w:color="auto"/>
      </w:divBdr>
    </w:div>
    <w:div w:id="683553243">
      <w:bodyDiv w:val="1"/>
      <w:marLeft w:val="0"/>
      <w:marRight w:val="0"/>
      <w:marTop w:val="0"/>
      <w:marBottom w:val="0"/>
      <w:divBdr>
        <w:top w:val="none" w:sz="0" w:space="0" w:color="auto"/>
        <w:left w:val="none" w:sz="0" w:space="0" w:color="auto"/>
        <w:bottom w:val="none" w:sz="0" w:space="0" w:color="auto"/>
        <w:right w:val="none" w:sz="0" w:space="0" w:color="auto"/>
      </w:divBdr>
    </w:div>
    <w:div w:id="723869753">
      <w:bodyDiv w:val="1"/>
      <w:marLeft w:val="0"/>
      <w:marRight w:val="0"/>
      <w:marTop w:val="0"/>
      <w:marBottom w:val="0"/>
      <w:divBdr>
        <w:top w:val="none" w:sz="0" w:space="0" w:color="auto"/>
        <w:left w:val="none" w:sz="0" w:space="0" w:color="auto"/>
        <w:bottom w:val="none" w:sz="0" w:space="0" w:color="auto"/>
        <w:right w:val="none" w:sz="0" w:space="0" w:color="auto"/>
      </w:divBdr>
    </w:div>
    <w:div w:id="739786433">
      <w:bodyDiv w:val="1"/>
      <w:marLeft w:val="0"/>
      <w:marRight w:val="0"/>
      <w:marTop w:val="0"/>
      <w:marBottom w:val="0"/>
      <w:divBdr>
        <w:top w:val="none" w:sz="0" w:space="0" w:color="auto"/>
        <w:left w:val="none" w:sz="0" w:space="0" w:color="auto"/>
        <w:bottom w:val="none" w:sz="0" w:space="0" w:color="auto"/>
        <w:right w:val="none" w:sz="0" w:space="0" w:color="auto"/>
      </w:divBdr>
    </w:div>
    <w:div w:id="745230838">
      <w:bodyDiv w:val="1"/>
      <w:marLeft w:val="0"/>
      <w:marRight w:val="0"/>
      <w:marTop w:val="0"/>
      <w:marBottom w:val="0"/>
      <w:divBdr>
        <w:top w:val="none" w:sz="0" w:space="0" w:color="auto"/>
        <w:left w:val="none" w:sz="0" w:space="0" w:color="auto"/>
        <w:bottom w:val="none" w:sz="0" w:space="0" w:color="auto"/>
        <w:right w:val="none" w:sz="0" w:space="0" w:color="auto"/>
      </w:divBdr>
    </w:div>
    <w:div w:id="765081211">
      <w:bodyDiv w:val="1"/>
      <w:marLeft w:val="0"/>
      <w:marRight w:val="0"/>
      <w:marTop w:val="0"/>
      <w:marBottom w:val="0"/>
      <w:divBdr>
        <w:top w:val="none" w:sz="0" w:space="0" w:color="auto"/>
        <w:left w:val="none" w:sz="0" w:space="0" w:color="auto"/>
        <w:bottom w:val="none" w:sz="0" w:space="0" w:color="auto"/>
        <w:right w:val="none" w:sz="0" w:space="0" w:color="auto"/>
      </w:divBdr>
    </w:div>
    <w:div w:id="789518950">
      <w:bodyDiv w:val="1"/>
      <w:marLeft w:val="0"/>
      <w:marRight w:val="0"/>
      <w:marTop w:val="0"/>
      <w:marBottom w:val="0"/>
      <w:divBdr>
        <w:top w:val="none" w:sz="0" w:space="0" w:color="auto"/>
        <w:left w:val="none" w:sz="0" w:space="0" w:color="auto"/>
        <w:bottom w:val="none" w:sz="0" w:space="0" w:color="auto"/>
        <w:right w:val="none" w:sz="0" w:space="0" w:color="auto"/>
      </w:divBdr>
    </w:div>
    <w:div w:id="806700517">
      <w:bodyDiv w:val="1"/>
      <w:marLeft w:val="0"/>
      <w:marRight w:val="0"/>
      <w:marTop w:val="0"/>
      <w:marBottom w:val="0"/>
      <w:divBdr>
        <w:top w:val="none" w:sz="0" w:space="0" w:color="auto"/>
        <w:left w:val="none" w:sz="0" w:space="0" w:color="auto"/>
        <w:bottom w:val="none" w:sz="0" w:space="0" w:color="auto"/>
        <w:right w:val="none" w:sz="0" w:space="0" w:color="auto"/>
      </w:divBdr>
    </w:div>
    <w:div w:id="815342526">
      <w:bodyDiv w:val="1"/>
      <w:marLeft w:val="0"/>
      <w:marRight w:val="0"/>
      <w:marTop w:val="0"/>
      <w:marBottom w:val="0"/>
      <w:divBdr>
        <w:top w:val="none" w:sz="0" w:space="0" w:color="auto"/>
        <w:left w:val="none" w:sz="0" w:space="0" w:color="auto"/>
        <w:bottom w:val="none" w:sz="0" w:space="0" w:color="auto"/>
        <w:right w:val="none" w:sz="0" w:space="0" w:color="auto"/>
      </w:divBdr>
    </w:div>
    <w:div w:id="819541190">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47063378">
      <w:bodyDiv w:val="1"/>
      <w:marLeft w:val="0"/>
      <w:marRight w:val="0"/>
      <w:marTop w:val="0"/>
      <w:marBottom w:val="0"/>
      <w:divBdr>
        <w:top w:val="none" w:sz="0" w:space="0" w:color="auto"/>
        <w:left w:val="none" w:sz="0" w:space="0" w:color="auto"/>
        <w:bottom w:val="none" w:sz="0" w:space="0" w:color="auto"/>
        <w:right w:val="none" w:sz="0" w:space="0" w:color="auto"/>
      </w:divBdr>
    </w:div>
    <w:div w:id="863598778">
      <w:bodyDiv w:val="1"/>
      <w:marLeft w:val="0"/>
      <w:marRight w:val="0"/>
      <w:marTop w:val="0"/>
      <w:marBottom w:val="0"/>
      <w:divBdr>
        <w:top w:val="none" w:sz="0" w:space="0" w:color="auto"/>
        <w:left w:val="none" w:sz="0" w:space="0" w:color="auto"/>
        <w:bottom w:val="none" w:sz="0" w:space="0" w:color="auto"/>
        <w:right w:val="none" w:sz="0" w:space="0" w:color="auto"/>
      </w:divBdr>
    </w:div>
    <w:div w:id="898977282">
      <w:bodyDiv w:val="1"/>
      <w:marLeft w:val="0"/>
      <w:marRight w:val="0"/>
      <w:marTop w:val="0"/>
      <w:marBottom w:val="0"/>
      <w:divBdr>
        <w:top w:val="none" w:sz="0" w:space="0" w:color="auto"/>
        <w:left w:val="none" w:sz="0" w:space="0" w:color="auto"/>
        <w:bottom w:val="none" w:sz="0" w:space="0" w:color="auto"/>
        <w:right w:val="none" w:sz="0" w:space="0" w:color="auto"/>
      </w:divBdr>
    </w:div>
    <w:div w:id="925269128">
      <w:bodyDiv w:val="1"/>
      <w:marLeft w:val="0"/>
      <w:marRight w:val="0"/>
      <w:marTop w:val="0"/>
      <w:marBottom w:val="0"/>
      <w:divBdr>
        <w:top w:val="none" w:sz="0" w:space="0" w:color="auto"/>
        <w:left w:val="none" w:sz="0" w:space="0" w:color="auto"/>
        <w:bottom w:val="none" w:sz="0" w:space="0" w:color="auto"/>
        <w:right w:val="none" w:sz="0" w:space="0" w:color="auto"/>
      </w:divBdr>
    </w:div>
    <w:div w:id="926228769">
      <w:bodyDiv w:val="1"/>
      <w:marLeft w:val="0"/>
      <w:marRight w:val="0"/>
      <w:marTop w:val="0"/>
      <w:marBottom w:val="0"/>
      <w:divBdr>
        <w:top w:val="none" w:sz="0" w:space="0" w:color="auto"/>
        <w:left w:val="none" w:sz="0" w:space="0" w:color="auto"/>
        <w:bottom w:val="none" w:sz="0" w:space="0" w:color="auto"/>
        <w:right w:val="none" w:sz="0" w:space="0" w:color="auto"/>
      </w:divBdr>
    </w:div>
    <w:div w:id="932205155">
      <w:bodyDiv w:val="1"/>
      <w:marLeft w:val="0"/>
      <w:marRight w:val="0"/>
      <w:marTop w:val="0"/>
      <w:marBottom w:val="0"/>
      <w:divBdr>
        <w:top w:val="none" w:sz="0" w:space="0" w:color="auto"/>
        <w:left w:val="none" w:sz="0" w:space="0" w:color="auto"/>
        <w:bottom w:val="none" w:sz="0" w:space="0" w:color="auto"/>
        <w:right w:val="none" w:sz="0" w:space="0" w:color="auto"/>
      </w:divBdr>
    </w:div>
    <w:div w:id="946306102">
      <w:bodyDiv w:val="1"/>
      <w:marLeft w:val="0"/>
      <w:marRight w:val="0"/>
      <w:marTop w:val="0"/>
      <w:marBottom w:val="0"/>
      <w:divBdr>
        <w:top w:val="none" w:sz="0" w:space="0" w:color="auto"/>
        <w:left w:val="none" w:sz="0" w:space="0" w:color="auto"/>
        <w:bottom w:val="none" w:sz="0" w:space="0" w:color="auto"/>
        <w:right w:val="none" w:sz="0" w:space="0" w:color="auto"/>
      </w:divBdr>
    </w:div>
    <w:div w:id="994261295">
      <w:bodyDiv w:val="1"/>
      <w:marLeft w:val="0"/>
      <w:marRight w:val="0"/>
      <w:marTop w:val="0"/>
      <w:marBottom w:val="0"/>
      <w:divBdr>
        <w:top w:val="none" w:sz="0" w:space="0" w:color="auto"/>
        <w:left w:val="none" w:sz="0" w:space="0" w:color="auto"/>
        <w:bottom w:val="none" w:sz="0" w:space="0" w:color="auto"/>
        <w:right w:val="none" w:sz="0" w:space="0" w:color="auto"/>
      </w:divBdr>
    </w:div>
    <w:div w:id="994652096">
      <w:bodyDiv w:val="1"/>
      <w:marLeft w:val="0"/>
      <w:marRight w:val="0"/>
      <w:marTop w:val="0"/>
      <w:marBottom w:val="0"/>
      <w:divBdr>
        <w:top w:val="none" w:sz="0" w:space="0" w:color="auto"/>
        <w:left w:val="none" w:sz="0" w:space="0" w:color="auto"/>
        <w:bottom w:val="none" w:sz="0" w:space="0" w:color="auto"/>
        <w:right w:val="none" w:sz="0" w:space="0" w:color="auto"/>
      </w:divBdr>
    </w:div>
    <w:div w:id="999388180">
      <w:bodyDiv w:val="1"/>
      <w:marLeft w:val="0"/>
      <w:marRight w:val="0"/>
      <w:marTop w:val="0"/>
      <w:marBottom w:val="0"/>
      <w:divBdr>
        <w:top w:val="none" w:sz="0" w:space="0" w:color="auto"/>
        <w:left w:val="none" w:sz="0" w:space="0" w:color="auto"/>
        <w:bottom w:val="none" w:sz="0" w:space="0" w:color="auto"/>
        <w:right w:val="none" w:sz="0" w:space="0" w:color="auto"/>
      </w:divBdr>
    </w:div>
    <w:div w:id="1012605691">
      <w:bodyDiv w:val="1"/>
      <w:marLeft w:val="0"/>
      <w:marRight w:val="0"/>
      <w:marTop w:val="0"/>
      <w:marBottom w:val="0"/>
      <w:divBdr>
        <w:top w:val="none" w:sz="0" w:space="0" w:color="auto"/>
        <w:left w:val="none" w:sz="0" w:space="0" w:color="auto"/>
        <w:bottom w:val="none" w:sz="0" w:space="0" w:color="auto"/>
        <w:right w:val="none" w:sz="0" w:space="0" w:color="auto"/>
      </w:divBdr>
    </w:div>
    <w:div w:id="1041052387">
      <w:bodyDiv w:val="1"/>
      <w:marLeft w:val="0"/>
      <w:marRight w:val="0"/>
      <w:marTop w:val="0"/>
      <w:marBottom w:val="0"/>
      <w:divBdr>
        <w:top w:val="none" w:sz="0" w:space="0" w:color="auto"/>
        <w:left w:val="none" w:sz="0" w:space="0" w:color="auto"/>
        <w:bottom w:val="none" w:sz="0" w:space="0" w:color="auto"/>
        <w:right w:val="none" w:sz="0" w:space="0" w:color="auto"/>
      </w:divBdr>
    </w:div>
    <w:div w:id="1056507976">
      <w:bodyDiv w:val="1"/>
      <w:marLeft w:val="0"/>
      <w:marRight w:val="0"/>
      <w:marTop w:val="0"/>
      <w:marBottom w:val="0"/>
      <w:divBdr>
        <w:top w:val="none" w:sz="0" w:space="0" w:color="auto"/>
        <w:left w:val="none" w:sz="0" w:space="0" w:color="auto"/>
        <w:bottom w:val="none" w:sz="0" w:space="0" w:color="auto"/>
        <w:right w:val="none" w:sz="0" w:space="0" w:color="auto"/>
      </w:divBdr>
    </w:div>
    <w:div w:id="1106845120">
      <w:bodyDiv w:val="1"/>
      <w:marLeft w:val="0"/>
      <w:marRight w:val="0"/>
      <w:marTop w:val="0"/>
      <w:marBottom w:val="0"/>
      <w:divBdr>
        <w:top w:val="none" w:sz="0" w:space="0" w:color="auto"/>
        <w:left w:val="none" w:sz="0" w:space="0" w:color="auto"/>
        <w:bottom w:val="none" w:sz="0" w:space="0" w:color="auto"/>
        <w:right w:val="none" w:sz="0" w:space="0" w:color="auto"/>
      </w:divBdr>
    </w:div>
    <w:div w:id="1114978147">
      <w:bodyDiv w:val="1"/>
      <w:marLeft w:val="0"/>
      <w:marRight w:val="0"/>
      <w:marTop w:val="0"/>
      <w:marBottom w:val="0"/>
      <w:divBdr>
        <w:top w:val="none" w:sz="0" w:space="0" w:color="auto"/>
        <w:left w:val="none" w:sz="0" w:space="0" w:color="auto"/>
        <w:bottom w:val="none" w:sz="0" w:space="0" w:color="auto"/>
        <w:right w:val="none" w:sz="0" w:space="0" w:color="auto"/>
      </w:divBdr>
    </w:div>
    <w:div w:id="1130707291">
      <w:bodyDiv w:val="1"/>
      <w:marLeft w:val="0"/>
      <w:marRight w:val="0"/>
      <w:marTop w:val="0"/>
      <w:marBottom w:val="0"/>
      <w:divBdr>
        <w:top w:val="none" w:sz="0" w:space="0" w:color="auto"/>
        <w:left w:val="none" w:sz="0" w:space="0" w:color="auto"/>
        <w:bottom w:val="none" w:sz="0" w:space="0" w:color="auto"/>
        <w:right w:val="none" w:sz="0" w:space="0" w:color="auto"/>
      </w:divBdr>
    </w:div>
    <w:div w:id="1138761019">
      <w:bodyDiv w:val="1"/>
      <w:marLeft w:val="0"/>
      <w:marRight w:val="0"/>
      <w:marTop w:val="0"/>
      <w:marBottom w:val="0"/>
      <w:divBdr>
        <w:top w:val="none" w:sz="0" w:space="0" w:color="auto"/>
        <w:left w:val="none" w:sz="0" w:space="0" w:color="auto"/>
        <w:bottom w:val="none" w:sz="0" w:space="0" w:color="auto"/>
        <w:right w:val="none" w:sz="0" w:space="0" w:color="auto"/>
      </w:divBdr>
    </w:div>
    <w:div w:id="1143809737">
      <w:bodyDiv w:val="1"/>
      <w:marLeft w:val="0"/>
      <w:marRight w:val="0"/>
      <w:marTop w:val="0"/>
      <w:marBottom w:val="0"/>
      <w:divBdr>
        <w:top w:val="none" w:sz="0" w:space="0" w:color="auto"/>
        <w:left w:val="none" w:sz="0" w:space="0" w:color="auto"/>
        <w:bottom w:val="none" w:sz="0" w:space="0" w:color="auto"/>
        <w:right w:val="none" w:sz="0" w:space="0" w:color="auto"/>
      </w:divBdr>
    </w:div>
    <w:div w:id="1172792774">
      <w:bodyDiv w:val="1"/>
      <w:marLeft w:val="0"/>
      <w:marRight w:val="0"/>
      <w:marTop w:val="0"/>
      <w:marBottom w:val="0"/>
      <w:divBdr>
        <w:top w:val="none" w:sz="0" w:space="0" w:color="auto"/>
        <w:left w:val="none" w:sz="0" w:space="0" w:color="auto"/>
        <w:bottom w:val="none" w:sz="0" w:space="0" w:color="auto"/>
        <w:right w:val="none" w:sz="0" w:space="0" w:color="auto"/>
      </w:divBdr>
    </w:div>
    <w:div w:id="1182624140">
      <w:bodyDiv w:val="1"/>
      <w:marLeft w:val="0"/>
      <w:marRight w:val="0"/>
      <w:marTop w:val="0"/>
      <w:marBottom w:val="0"/>
      <w:divBdr>
        <w:top w:val="none" w:sz="0" w:space="0" w:color="auto"/>
        <w:left w:val="none" w:sz="0" w:space="0" w:color="auto"/>
        <w:bottom w:val="none" w:sz="0" w:space="0" w:color="auto"/>
        <w:right w:val="none" w:sz="0" w:space="0" w:color="auto"/>
      </w:divBdr>
    </w:div>
    <w:div w:id="1223711778">
      <w:bodyDiv w:val="1"/>
      <w:marLeft w:val="0"/>
      <w:marRight w:val="0"/>
      <w:marTop w:val="0"/>
      <w:marBottom w:val="0"/>
      <w:divBdr>
        <w:top w:val="none" w:sz="0" w:space="0" w:color="auto"/>
        <w:left w:val="none" w:sz="0" w:space="0" w:color="auto"/>
        <w:bottom w:val="none" w:sz="0" w:space="0" w:color="auto"/>
        <w:right w:val="none" w:sz="0" w:space="0" w:color="auto"/>
      </w:divBdr>
    </w:div>
    <w:div w:id="1245451222">
      <w:bodyDiv w:val="1"/>
      <w:marLeft w:val="0"/>
      <w:marRight w:val="0"/>
      <w:marTop w:val="0"/>
      <w:marBottom w:val="0"/>
      <w:divBdr>
        <w:top w:val="none" w:sz="0" w:space="0" w:color="auto"/>
        <w:left w:val="none" w:sz="0" w:space="0" w:color="auto"/>
        <w:bottom w:val="none" w:sz="0" w:space="0" w:color="auto"/>
        <w:right w:val="none" w:sz="0" w:space="0" w:color="auto"/>
      </w:divBdr>
    </w:div>
    <w:div w:id="1247181936">
      <w:bodyDiv w:val="1"/>
      <w:marLeft w:val="0"/>
      <w:marRight w:val="0"/>
      <w:marTop w:val="0"/>
      <w:marBottom w:val="0"/>
      <w:divBdr>
        <w:top w:val="none" w:sz="0" w:space="0" w:color="auto"/>
        <w:left w:val="none" w:sz="0" w:space="0" w:color="auto"/>
        <w:bottom w:val="none" w:sz="0" w:space="0" w:color="auto"/>
        <w:right w:val="none" w:sz="0" w:space="0" w:color="auto"/>
      </w:divBdr>
    </w:div>
    <w:div w:id="1256211481">
      <w:bodyDiv w:val="1"/>
      <w:marLeft w:val="0"/>
      <w:marRight w:val="0"/>
      <w:marTop w:val="0"/>
      <w:marBottom w:val="0"/>
      <w:divBdr>
        <w:top w:val="none" w:sz="0" w:space="0" w:color="auto"/>
        <w:left w:val="none" w:sz="0" w:space="0" w:color="auto"/>
        <w:bottom w:val="none" w:sz="0" w:space="0" w:color="auto"/>
        <w:right w:val="none" w:sz="0" w:space="0" w:color="auto"/>
      </w:divBdr>
    </w:div>
    <w:div w:id="1262295022">
      <w:bodyDiv w:val="1"/>
      <w:marLeft w:val="0"/>
      <w:marRight w:val="0"/>
      <w:marTop w:val="0"/>
      <w:marBottom w:val="0"/>
      <w:divBdr>
        <w:top w:val="none" w:sz="0" w:space="0" w:color="auto"/>
        <w:left w:val="none" w:sz="0" w:space="0" w:color="auto"/>
        <w:bottom w:val="none" w:sz="0" w:space="0" w:color="auto"/>
        <w:right w:val="none" w:sz="0" w:space="0" w:color="auto"/>
      </w:divBdr>
    </w:div>
    <w:div w:id="1267694261">
      <w:bodyDiv w:val="1"/>
      <w:marLeft w:val="0"/>
      <w:marRight w:val="0"/>
      <w:marTop w:val="0"/>
      <w:marBottom w:val="0"/>
      <w:divBdr>
        <w:top w:val="none" w:sz="0" w:space="0" w:color="auto"/>
        <w:left w:val="none" w:sz="0" w:space="0" w:color="auto"/>
        <w:bottom w:val="none" w:sz="0" w:space="0" w:color="auto"/>
        <w:right w:val="none" w:sz="0" w:space="0" w:color="auto"/>
      </w:divBdr>
    </w:div>
    <w:div w:id="1267730884">
      <w:bodyDiv w:val="1"/>
      <w:marLeft w:val="0"/>
      <w:marRight w:val="0"/>
      <w:marTop w:val="0"/>
      <w:marBottom w:val="0"/>
      <w:divBdr>
        <w:top w:val="none" w:sz="0" w:space="0" w:color="auto"/>
        <w:left w:val="none" w:sz="0" w:space="0" w:color="auto"/>
        <w:bottom w:val="none" w:sz="0" w:space="0" w:color="auto"/>
        <w:right w:val="none" w:sz="0" w:space="0" w:color="auto"/>
      </w:divBdr>
    </w:div>
    <w:div w:id="1291202023">
      <w:bodyDiv w:val="1"/>
      <w:marLeft w:val="0"/>
      <w:marRight w:val="0"/>
      <w:marTop w:val="0"/>
      <w:marBottom w:val="0"/>
      <w:divBdr>
        <w:top w:val="none" w:sz="0" w:space="0" w:color="auto"/>
        <w:left w:val="none" w:sz="0" w:space="0" w:color="auto"/>
        <w:bottom w:val="none" w:sz="0" w:space="0" w:color="auto"/>
        <w:right w:val="none" w:sz="0" w:space="0" w:color="auto"/>
      </w:divBdr>
    </w:div>
    <w:div w:id="1298759674">
      <w:bodyDiv w:val="1"/>
      <w:marLeft w:val="0"/>
      <w:marRight w:val="0"/>
      <w:marTop w:val="0"/>
      <w:marBottom w:val="0"/>
      <w:divBdr>
        <w:top w:val="none" w:sz="0" w:space="0" w:color="auto"/>
        <w:left w:val="none" w:sz="0" w:space="0" w:color="auto"/>
        <w:bottom w:val="none" w:sz="0" w:space="0" w:color="auto"/>
        <w:right w:val="none" w:sz="0" w:space="0" w:color="auto"/>
      </w:divBdr>
    </w:div>
    <w:div w:id="1332634756">
      <w:bodyDiv w:val="1"/>
      <w:marLeft w:val="0"/>
      <w:marRight w:val="0"/>
      <w:marTop w:val="0"/>
      <w:marBottom w:val="0"/>
      <w:divBdr>
        <w:top w:val="none" w:sz="0" w:space="0" w:color="auto"/>
        <w:left w:val="none" w:sz="0" w:space="0" w:color="auto"/>
        <w:bottom w:val="none" w:sz="0" w:space="0" w:color="auto"/>
        <w:right w:val="none" w:sz="0" w:space="0" w:color="auto"/>
      </w:divBdr>
    </w:div>
    <w:div w:id="1348485969">
      <w:bodyDiv w:val="1"/>
      <w:marLeft w:val="0"/>
      <w:marRight w:val="0"/>
      <w:marTop w:val="0"/>
      <w:marBottom w:val="0"/>
      <w:divBdr>
        <w:top w:val="none" w:sz="0" w:space="0" w:color="auto"/>
        <w:left w:val="none" w:sz="0" w:space="0" w:color="auto"/>
        <w:bottom w:val="none" w:sz="0" w:space="0" w:color="auto"/>
        <w:right w:val="none" w:sz="0" w:space="0" w:color="auto"/>
      </w:divBdr>
    </w:div>
    <w:div w:id="1363438730">
      <w:bodyDiv w:val="1"/>
      <w:marLeft w:val="0"/>
      <w:marRight w:val="0"/>
      <w:marTop w:val="0"/>
      <w:marBottom w:val="0"/>
      <w:divBdr>
        <w:top w:val="none" w:sz="0" w:space="0" w:color="auto"/>
        <w:left w:val="none" w:sz="0" w:space="0" w:color="auto"/>
        <w:bottom w:val="none" w:sz="0" w:space="0" w:color="auto"/>
        <w:right w:val="none" w:sz="0" w:space="0" w:color="auto"/>
      </w:divBdr>
    </w:div>
    <w:div w:id="1391226616">
      <w:bodyDiv w:val="1"/>
      <w:marLeft w:val="0"/>
      <w:marRight w:val="0"/>
      <w:marTop w:val="0"/>
      <w:marBottom w:val="0"/>
      <w:divBdr>
        <w:top w:val="none" w:sz="0" w:space="0" w:color="auto"/>
        <w:left w:val="none" w:sz="0" w:space="0" w:color="auto"/>
        <w:bottom w:val="none" w:sz="0" w:space="0" w:color="auto"/>
        <w:right w:val="none" w:sz="0" w:space="0" w:color="auto"/>
      </w:divBdr>
    </w:div>
    <w:div w:id="1396779591">
      <w:bodyDiv w:val="1"/>
      <w:marLeft w:val="0"/>
      <w:marRight w:val="0"/>
      <w:marTop w:val="0"/>
      <w:marBottom w:val="0"/>
      <w:divBdr>
        <w:top w:val="none" w:sz="0" w:space="0" w:color="auto"/>
        <w:left w:val="none" w:sz="0" w:space="0" w:color="auto"/>
        <w:bottom w:val="none" w:sz="0" w:space="0" w:color="auto"/>
        <w:right w:val="none" w:sz="0" w:space="0" w:color="auto"/>
      </w:divBdr>
    </w:div>
    <w:div w:id="1428040002">
      <w:bodyDiv w:val="1"/>
      <w:marLeft w:val="0"/>
      <w:marRight w:val="0"/>
      <w:marTop w:val="0"/>
      <w:marBottom w:val="0"/>
      <w:divBdr>
        <w:top w:val="none" w:sz="0" w:space="0" w:color="auto"/>
        <w:left w:val="none" w:sz="0" w:space="0" w:color="auto"/>
        <w:bottom w:val="none" w:sz="0" w:space="0" w:color="auto"/>
        <w:right w:val="none" w:sz="0" w:space="0" w:color="auto"/>
      </w:divBdr>
    </w:div>
    <w:div w:id="1434671556">
      <w:bodyDiv w:val="1"/>
      <w:marLeft w:val="0"/>
      <w:marRight w:val="0"/>
      <w:marTop w:val="0"/>
      <w:marBottom w:val="0"/>
      <w:divBdr>
        <w:top w:val="none" w:sz="0" w:space="0" w:color="auto"/>
        <w:left w:val="none" w:sz="0" w:space="0" w:color="auto"/>
        <w:bottom w:val="none" w:sz="0" w:space="0" w:color="auto"/>
        <w:right w:val="none" w:sz="0" w:space="0" w:color="auto"/>
      </w:divBdr>
    </w:div>
    <w:div w:id="1447000066">
      <w:bodyDiv w:val="1"/>
      <w:marLeft w:val="0"/>
      <w:marRight w:val="0"/>
      <w:marTop w:val="0"/>
      <w:marBottom w:val="0"/>
      <w:divBdr>
        <w:top w:val="none" w:sz="0" w:space="0" w:color="auto"/>
        <w:left w:val="none" w:sz="0" w:space="0" w:color="auto"/>
        <w:bottom w:val="none" w:sz="0" w:space="0" w:color="auto"/>
        <w:right w:val="none" w:sz="0" w:space="0" w:color="auto"/>
      </w:divBdr>
    </w:div>
    <w:div w:id="1459760791">
      <w:bodyDiv w:val="1"/>
      <w:marLeft w:val="0"/>
      <w:marRight w:val="0"/>
      <w:marTop w:val="0"/>
      <w:marBottom w:val="0"/>
      <w:divBdr>
        <w:top w:val="none" w:sz="0" w:space="0" w:color="auto"/>
        <w:left w:val="none" w:sz="0" w:space="0" w:color="auto"/>
        <w:bottom w:val="none" w:sz="0" w:space="0" w:color="auto"/>
        <w:right w:val="none" w:sz="0" w:space="0" w:color="auto"/>
      </w:divBdr>
    </w:div>
    <w:div w:id="1470589138">
      <w:bodyDiv w:val="1"/>
      <w:marLeft w:val="0"/>
      <w:marRight w:val="0"/>
      <w:marTop w:val="0"/>
      <w:marBottom w:val="0"/>
      <w:divBdr>
        <w:top w:val="none" w:sz="0" w:space="0" w:color="auto"/>
        <w:left w:val="none" w:sz="0" w:space="0" w:color="auto"/>
        <w:bottom w:val="none" w:sz="0" w:space="0" w:color="auto"/>
        <w:right w:val="none" w:sz="0" w:space="0" w:color="auto"/>
      </w:divBdr>
    </w:div>
    <w:div w:id="1494681875">
      <w:bodyDiv w:val="1"/>
      <w:marLeft w:val="0"/>
      <w:marRight w:val="0"/>
      <w:marTop w:val="0"/>
      <w:marBottom w:val="0"/>
      <w:divBdr>
        <w:top w:val="none" w:sz="0" w:space="0" w:color="auto"/>
        <w:left w:val="none" w:sz="0" w:space="0" w:color="auto"/>
        <w:bottom w:val="none" w:sz="0" w:space="0" w:color="auto"/>
        <w:right w:val="none" w:sz="0" w:space="0" w:color="auto"/>
      </w:divBdr>
    </w:div>
    <w:div w:id="1521434025">
      <w:bodyDiv w:val="1"/>
      <w:marLeft w:val="0"/>
      <w:marRight w:val="0"/>
      <w:marTop w:val="0"/>
      <w:marBottom w:val="0"/>
      <w:divBdr>
        <w:top w:val="none" w:sz="0" w:space="0" w:color="auto"/>
        <w:left w:val="none" w:sz="0" w:space="0" w:color="auto"/>
        <w:bottom w:val="none" w:sz="0" w:space="0" w:color="auto"/>
        <w:right w:val="none" w:sz="0" w:space="0" w:color="auto"/>
      </w:divBdr>
    </w:div>
    <w:div w:id="1539127888">
      <w:bodyDiv w:val="1"/>
      <w:marLeft w:val="0"/>
      <w:marRight w:val="0"/>
      <w:marTop w:val="0"/>
      <w:marBottom w:val="0"/>
      <w:divBdr>
        <w:top w:val="none" w:sz="0" w:space="0" w:color="auto"/>
        <w:left w:val="none" w:sz="0" w:space="0" w:color="auto"/>
        <w:bottom w:val="none" w:sz="0" w:space="0" w:color="auto"/>
        <w:right w:val="none" w:sz="0" w:space="0" w:color="auto"/>
      </w:divBdr>
    </w:div>
    <w:div w:id="1547835858">
      <w:bodyDiv w:val="1"/>
      <w:marLeft w:val="0"/>
      <w:marRight w:val="0"/>
      <w:marTop w:val="0"/>
      <w:marBottom w:val="0"/>
      <w:divBdr>
        <w:top w:val="none" w:sz="0" w:space="0" w:color="auto"/>
        <w:left w:val="none" w:sz="0" w:space="0" w:color="auto"/>
        <w:bottom w:val="none" w:sz="0" w:space="0" w:color="auto"/>
        <w:right w:val="none" w:sz="0" w:space="0" w:color="auto"/>
      </w:divBdr>
    </w:div>
    <w:div w:id="1549339426">
      <w:bodyDiv w:val="1"/>
      <w:marLeft w:val="0"/>
      <w:marRight w:val="0"/>
      <w:marTop w:val="0"/>
      <w:marBottom w:val="0"/>
      <w:divBdr>
        <w:top w:val="none" w:sz="0" w:space="0" w:color="auto"/>
        <w:left w:val="none" w:sz="0" w:space="0" w:color="auto"/>
        <w:bottom w:val="none" w:sz="0" w:space="0" w:color="auto"/>
        <w:right w:val="none" w:sz="0" w:space="0" w:color="auto"/>
      </w:divBdr>
    </w:div>
    <w:div w:id="1560050296">
      <w:bodyDiv w:val="1"/>
      <w:marLeft w:val="0"/>
      <w:marRight w:val="0"/>
      <w:marTop w:val="0"/>
      <w:marBottom w:val="0"/>
      <w:divBdr>
        <w:top w:val="none" w:sz="0" w:space="0" w:color="auto"/>
        <w:left w:val="none" w:sz="0" w:space="0" w:color="auto"/>
        <w:bottom w:val="none" w:sz="0" w:space="0" w:color="auto"/>
        <w:right w:val="none" w:sz="0" w:space="0" w:color="auto"/>
      </w:divBdr>
    </w:div>
    <w:div w:id="1565140113">
      <w:bodyDiv w:val="1"/>
      <w:marLeft w:val="0"/>
      <w:marRight w:val="0"/>
      <w:marTop w:val="0"/>
      <w:marBottom w:val="0"/>
      <w:divBdr>
        <w:top w:val="none" w:sz="0" w:space="0" w:color="auto"/>
        <w:left w:val="none" w:sz="0" w:space="0" w:color="auto"/>
        <w:bottom w:val="none" w:sz="0" w:space="0" w:color="auto"/>
        <w:right w:val="none" w:sz="0" w:space="0" w:color="auto"/>
      </w:divBdr>
    </w:div>
    <w:div w:id="1599410732">
      <w:bodyDiv w:val="1"/>
      <w:marLeft w:val="0"/>
      <w:marRight w:val="0"/>
      <w:marTop w:val="0"/>
      <w:marBottom w:val="0"/>
      <w:divBdr>
        <w:top w:val="none" w:sz="0" w:space="0" w:color="auto"/>
        <w:left w:val="none" w:sz="0" w:space="0" w:color="auto"/>
        <w:bottom w:val="none" w:sz="0" w:space="0" w:color="auto"/>
        <w:right w:val="none" w:sz="0" w:space="0" w:color="auto"/>
      </w:divBdr>
    </w:div>
    <w:div w:id="1626890246">
      <w:bodyDiv w:val="1"/>
      <w:marLeft w:val="0"/>
      <w:marRight w:val="0"/>
      <w:marTop w:val="0"/>
      <w:marBottom w:val="0"/>
      <w:divBdr>
        <w:top w:val="none" w:sz="0" w:space="0" w:color="auto"/>
        <w:left w:val="none" w:sz="0" w:space="0" w:color="auto"/>
        <w:bottom w:val="none" w:sz="0" w:space="0" w:color="auto"/>
        <w:right w:val="none" w:sz="0" w:space="0" w:color="auto"/>
      </w:divBdr>
    </w:div>
    <w:div w:id="1631936618">
      <w:bodyDiv w:val="1"/>
      <w:marLeft w:val="0"/>
      <w:marRight w:val="0"/>
      <w:marTop w:val="0"/>
      <w:marBottom w:val="0"/>
      <w:divBdr>
        <w:top w:val="none" w:sz="0" w:space="0" w:color="auto"/>
        <w:left w:val="none" w:sz="0" w:space="0" w:color="auto"/>
        <w:bottom w:val="none" w:sz="0" w:space="0" w:color="auto"/>
        <w:right w:val="none" w:sz="0" w:space="0" w:color="auto"/>
      </w:divBdr>
    </w:div>
    <w:div w:id="1668090730">
      <w:bodyDiv w:val="1"/>
      <w:marLeft w:val="0"/>
      <w:marRight w:val="0"/>
      <w:marTop w:val="0"/>
      <w:marBottom w:val="0"/>
      <w:divBdr>
        <w:top w:val="none" w:sz="0" w:space="0" w:color="auto"/>
        <w:left w:val="none" w:sz="0" w:space="0" w:color="auto"/>
        <w:bottom w:val="none" w:sz="0" w:space="0" w:color="auto"/>
        <w:right w:val="none" w:sz="0" w:space="0" w:color="auto"/>
      </w:divBdr>
    </w:div>
    <w:div w:id="1683165825">
      <w:bodyDiv w:val="1"/>
      <w:marLeft w:val="0"/>
      <w:marRight w:val="0"/>
      <w:marTop w:val="0"/>
      <w:marBottom w:val="0"/>
      <w:divBdr>
        <w:top w:val="none" w:sz="0" w:space="0" w:color="auto"/>
        <w:left w:val="none" w:sz="0" w:space="0" w:color="auto"/>
        <w:bottom w:val="none" w:sz="0" w:space="0" w:color="auto"/>
        <w:right w:val="none" w:sz="0" w:space="0" w:color="auto"/>
      </w:divBdr>
    </w:div>
    <w:div w:id="1695502096">
      <w:bodyDiv w:val="1"/>
      <w:marLeft w:val="0"/>
      <w:marRight w:val="0"/>
      <w:marTop w:val="0"/>
      <w:marBottom w:val="0"/>
      <w:divBdr>
        <w:top w:val="none" w:sz="0" w:space="0" w:color="auto"/>
        <w:left w:val="none" w:sz="0" w:space="0" w:color="auto"/>
        <w:bottom w:val="none" w:sz="0" w:space="0" w:color="auto"/>
        <w:right w:val="none" w:sz="0" w:space="0" w:color="auto"/>
      </w:divBdr>
    </w:div>
    <w:div w:id="1704014855">
      <w:bodyDiv w:val="1"/>
      <w:marLeft w:val="0"/>
      <w:marRight w:val="0"/>
      <w:marTop w:val="0"/>
      <w:marBottom w:val="0"/>
      <w:divBdr>
        <w:top w:val="none" w:sz="0" w:space="0" w:color="auto"/>
        <w:left w:val="none" w:sz="0" w:space="0" w:color="auto"/>
        <w:bottom w:val="none" w:sz="0" w:space="0" w:color="auto"/>
        <w:right w:val="none" w:sz="0" w:space="0" w:color="auto"/>
      </w:divBdr>
    </w:div>
    <w:div w:id="1714770875">
      <w:bodyDiv w:val="1"/>
      <w:marLeft w:val="0"/>
      <w:marRight w:val="0"/>
      <w:marTop w:val="0"/>
      <w:marBottom w:val="0"/>
      <w:divBdr>
        <w:top w:val="none" w:sz="0" w:space="0" w:color="auto"/>
        <w:left w:val="none" w:sz="0" w:space="0" w:color="auto"/>
        <w:bottom w:val="none" w:sz="0" w:space="0" w:color="auto"/>
        <w:right w:val="none" w:sz="0" w:space="0" w:color="auto"/>
      </w:divBdr>
    </w:div>
    <w:div w:id="1725830406">
      <w:bodyDiv w:val="1"/>
      <w:marLeft w:val="0"/>
      <w:marRight w:val="0"/>
      <w:marTop w:val="0"/>
      <w:marBottom w:val="0"/>
      <w:divBdr>
        <w:top w:val="none" w:sz="0" w:space="0" w:color="auto"/>
        <w:left w:val="none" w:sz="0" w:space="0" w:color="auto"/>
        <w:bottom w:val="none" w:sz="0" w:space="0" w:color="auto"/>
        <w:right w:val="none" w:sz="0" w:space="0" w:color="auto"/>
      </w:divBdr>
    </w:div>
    <w:div w:id="1755126642">
      <w:bodyDiv w:val="1"/>
      <w:marLeft w:val="0"/>
      <w:marRight w:val="0"/>
      <w:marTop w:val="0"/>
      <w:marBottom w:val="0"/>
      <w:divBdr>
        <w:top w:val="none" w:sz="0" w:space="0" w:color="auto"/>
        <w:left w:val="none" w:sz="0" w:space="0" w:color="auto"/>
        <w:bottom w:val="none" w:sz="0" w:space="0" w:color="auto"/>
        <w:right w:val="none" w:sz="0" w:space="0" w:color="auto"/>
      </w:divBdr>
      <w:divsChild>
        <w:div w:id="1063256102">
          <w:marLeft w:val="480"/>
          <w:marRight w:val="0"/>
          <w:marTop w:val="0"/>
          <w:marBottom w:val="0"/>
          <w:divBdr>
            <w:top w:val="none" w:sz="0" w:space="0" w:color="auto"/>
            <w:left w:val="none" w:sz="0" w:space="0" w:color="auto"/>
            <w:bottom w:val="none" w:sz="0" w:space="0" w:color="auto"/>
            <w:right w:val="none" w:sz="0" w:space="0" w:color="auto"/>
          </w:divBdr>
        </w:div>
        <w:div w:id="870604496">
          <w:marLeft w:val="480"/>
          <w:marRight w:val="0"/>
          <w:marTop w:val="0"/>
          <w:marBottom w:val="0"/>
          <w:divBdr>
            <w:top w:val="none" w:sz="0" w:space="0" w:color="auto"/>
            <w:left w:val="none" w:sz="0" w:space="0" w:color="auto"/>
            <w:bottom w:val="none" w:sz="0" w:space="0" w:color="auto"/>
            <w:right w:val="none" w:sz="0" w:space="0" w:color="auto"/>
          </w:divBdr>
        </w:div>
        <w:div w:id="105581816">
          <w:marLeft w:val="480"/>
          <w:marRight w:val="0"/>
          <w:marTop w:val="0"/>
          <w:marBottom w:val="0"/>
          <w:divBdr>
            <w:top w:val="none" w:sz="0" w:space="0" w:color="auto"/>
            <w:left w:val="none" w:sz="0" w:space="0" w:color="auto"/>
            <w:bottom w:val="none" w:sz="0" w:space="0" w:color="auto"/>
            <w:right w:val="none" w:sz="0" w:space="0" w:color="auto"/>
          </w:divBdr>
        </w:div>
        <w:div w:id="1006595084">
          <w:marLeft w:val="480"/>
          <w:marRight w:val="0"/>
          <w:marTop w:val="0"/>
          <w:marBottom w:val="0"/>
          <w:divBdr>
            <w:top w:val="none" w:sz="0" w:space="0" w:color="auto"/>
            <w:left w:val="none" w:sz="0" w:space="0" w:color="auto"/>
            <w:bottom w:val="none" w:sz="0" w:space="0" w:color="auto"/>
            <w:right w:val="none" w:sz="0" w:space="0" w:color="auto"/>
          </w:divBdr>
        </w:div>
        <w:div w:id="1311516673">
          <w:marLeft w:val="480"/>
          <w:marRight w:val="0"/>
          <w:marTop w:val="0"/>
          <w:marBottom w:val="0"/>
          <w:divBdr>
            <w:top w:val="none" w:sz="0" w:space="0" w:color="auto"/>
            <w:left w:val="none" w:sz="0" w:space="0" w:color="auto"/>
            <w:bottom w:val="none" w:sz="0" w:space="0" w:color="auto"/>
            <w:right w:val="none" w:sz="0" w:space="0" w:color="auto"/>
          </w:divBdr>
        </w:div>
        <w:div w:id="1713648149">
          <w:marLeft w:val="480"/>
          <w:marRight w:val="0"/>
          <w:marTop w:val="0"/>
          <w:marBottom w:val="0"/>
          <w:divBdr>
            <w:top w:val="none" w:sz="0" w:space="0" w:color="auto"/>
            <w:left w:val="none" w:sz="0" w:space="0" w:color="auto"/>
            <w:bottom w:val="none" w:sz="0" w:space="0" w:color="auto"/>
            <w:right w:val="none" w:sz="0" w:space="0" w:color="auto"/>
          </w:divBdr>
        </w:div>
        <w:div w:id="1797599156">
          <w:marLeft w:val="480"/>
          <w:marRight w:val="0"/>
          <w:marTop w:val="0"/>
          <w:marBottom w:val="0"/>
          <w:divBdr>
            <w:top w:val="none" w:sz="0" w:space="0" w:color="auto"/>
            <w:left w:val="none" w:sz="0" w:space="0" w:color="auto"/>
            <w:bottom w:val="none" w:sz="0" w:space="0" w:color="auto"/>
            <w:right w:val="none" w:sz="0" w:space="0" w:color="auto"/>
          </w:divBdr>
        </w:div>
        <w:div w:id="500967690">
          <w:marLeft w:val="480"/>
          <w:marRight w:val="0"/>
          <w:marTop w:val="0"/>
          <w:marBottom w:val="0"/>
          <w:divBdr>
            <w:top w:val="none" w:sz="0" w:space="0" w:color="auto"/>
            <w:left w:val="none" w:sz="0" w:space="0" w:color="auto"/>
            <w:bottom w:val="none" w:sz="0" w:space="0" w:color="auto"/>
            <w:right w:val="none" w:sz="0" w:space="0" w:color="auto"/>
          </w:divBdr>
        </w:div>
        <w:div w:id="72549031">
          <w:marLeft w:val="480"/>
          <w:marRight w:val="0"/>
          <w:marTop w:val="0"/>
          <w:marBottom w:val="0"/>
          <w:divBdr>
            <w:top w:val="none" w:sz="0" w:space="0" w:color="auto"/>
            <w:left w:val="none" w:sz="0" w:space="0" w:color="auto"/>
            <w:bottom w:val="none" w:sz="0" w:space="0" w:color="auto"/>
            <w:right w:val="none" w:sz="0" w:space="0" w:color="auto"/>
          </w:divBdr>
        </w:div>
        <w:div w:id="1104688548">
          <w:marLeft w:val="480"/>
          <w:marRight w:val="0"/>
          <w:marTop w:val="0"/>
          <w:marBottom w:val="0"/>
          <w:divBdr>
            <w:top w:val="none" w:sz="0" w:space="0" w:color="auto"/>
            <w:left w:val="none" w:sz="0" w:space="0" w:color="auto"/>
            <w:bottom w:val="none" w:sz="0" w:space="0" w:color="auto"/>
            <w:right w:val="none" w:sz="0" w:space="0" w:color="auto"/>
          </w:divBdr>
        </w:div>
        <w:div w:id="1325402846">
          <w:marLeft w:val="480"/>
          <w:marRight w:val="0"/>
          <w:marTop w:val="0"/>
          <w:marBottom w:val="0"/>
          <w:divBdr>
            <w:top w:val="none" w:sz="0" w:space="0" w:color="auto"/>
            <w:left w:val="none" w:sz="0" w:space="0" w:color="auto"/>
            <w:bottom w:val="none" w:sz="0" w:space="0" w:color="auto"/>
            <w:right w:val="none" w:sz="0" w:space="0" w:color="auto"/>
          </w:divBdr>
        </w:div>
        <w:div w:id="929898502">
          <w:marLeft w:val="480"/>
          <w:marRight w:val="0"/>
          <w:marTop w:val="0"/>
          <w:marBottom w:val="0"/>
          <w:divBdr>
            <w:top w:val="none" w:sz="0" w:space="0" w:color="auto"/>
            <w:left w:val="none" w:sz="0" w:space="0" w:color="auto"/>
            <w:bottom w:val="none" w:sz="0" w:space="0" w:color="auto"/>
            <w:right w:val="none" w:sz="0" w:space="0" w:color="auto"/>
          </w:divBdr>
        </w:div>
        <w:div w:id="267542731">
          <w:marLeft w:val="480"/>
          <w:marRight w:val="0"/>
          <w:marTop w:val="0"/>
          <w:marBottom w:val="0"/>
          <w:divBdr>
            <w:top w:val="none" w:sz="0" w:space="0" w:color="auto"/>
            <w:left w:val="none" w:sz="0" w:space="0" w:color="auto"/>
            <w:bottom w:val="none" w:sz="0" w:space="0" w:color="auto"/>
            <w:right w:val="none" w:sz="0" w:space="0" w:color="auto"/>
          </w:divBdr>
        </w:div>
        <w:div w:id="199248421">
          <w:marLeft w:val="480"/>
          <w:marRight w:val="0"/>
          <w:marTop w:val="0"/>
          <w:marBottom w:val="0"/>
          <w:divBdr>
            <w:top w:val="none" w:sz="0" w:space="0" w:color="auto"/>
            <w:left w:val="none" w:sz="0" w:space="0" w:color="auto"/>
            <w:bottom w:val="none" w:sz="0" w:space="0" w:color="auto"/>
            <w:right w:val="none" w:sz="0" w:space="0" w:color="auto"/>
          </w:divBdr>
        </w:div>
        <w:div w:id="1039285645">
          <w:marLeft w:val="480"/>
          <w:marRight w:val="0"/>
          <w:marTop w:val="0"/>
          <w:marBottom w:val="0"/>
          <w:divBdr>
            <w:top w:val="none" w:sz="0" w:space="0" w:color="auto"/>
            <w:left w:val="none" w:sz="0" w:space="0" w:color="auto"/>
            <w:bottom w:val="none" w:sz="0" w:space="0" w:color="auto"/>
            <w:right w:val="none" w:sz="0" w:space="0" w:color="auto"/>
          </w:divBdr>
        </w:div>
        <w:div w:id="1816099327">
          <w:marLeft w:val="480"/>
          <w:marRight w:val="0"/>
          <w:marTop w:val="0"/>
          <w:marBottom w:val="0"/>
          <w:divBdr>
            <w:top w:val="none" w:sz="0" w:space="0" w:color="auto"/>
            <w:left w:val="none" w:sz="0" w:space="0" w:color="auto"/>
            <w:bottom w:val="none" w:sz="0" w:space="0" w:color="auto"/>
            <w:right w:val="none" w:sz="0" w:space="0" w:color="auto"/>
          </w:divBdr>
        </w:div>
        <w:div w:id="607858657">
          <w:marLeft w:val="480"/>
          <w:marRight w:val="0"/>
          <w:marTop w:val="0"/>
          <w:marBottom w:val="0"/>
          <w:divBdr>
            <w:top w:val="none" w:sz="0" w:space="0" w:color="auto"/>
            <w:left w:val="none" w:sz="0" w:space="0" w:color="auto"/>
            <w:bottom w:val="none" w:sz="0" w:space="0" w:color="auto"/>
            <w:right w:val="none" w:sz="0" w:space="0" w:color="auto"/>
          </w:divBdr>
        </w:div>
        <w:div w:id="95682985">
          <w:marLeft w:val="480"/>
          <w:marRight w:val="0"/>
          <w:marTop w:val="0"/>
          <w:marBottom w:val="0"/>
          <w:divBdr>
            <w:top w:val="none" w:sz="0" w:space="0" w:color="auto"/>
            <w:left w:val="none" w:sz="0" w:space="0" w:color="auto"/>
            <w:bottom w:val="none" w:sz="0" w:space="0" w:color="auto"/>
            <w:right w:val="none" w:sz="0" w:space="0" w:color="auto"/>
          </w:divBdr>
        </w:div>
        <w:div w:id="245112527">
          <w:marLeft w:val="480"/>
          <w:marRight w:val="0"/>
          <w:marTop w:val="0"/>
          <w:marBottom w:val="0"/>
          <w:divBdr>
            <w:top w:val="none" w:sz="0" w:space="0" w:color="auto"/>
            <w:left w:val="none" w:sz="0" w:space="0" w:color="auto"/>
            <w:bottom w:val="none" w:sz="0" w:space="0" w:color="auto"/>
            <w:right w:val="none" w:sz="0" w:space="0" w:color="auto"/>
          </w:divBdr>
        </w:div>
        <w:div w:id="648362995">
          <w:marLeft w:val="480"/>
          <w:marRight w:val="0"/>
          <w:marTop w:val="0"/>
          <w:marBottom w:val="0"/>
          <w:divBdr>
            <w:top w:val="none" w:sz="0" w:space="0" w:color="auto"/>
            <w:left w:val="none" w:sz="0" w:space="0" w:color="auto"/>
            <w:bottom w:val="none" w:sz="0" w:space="0" w:color="auto"/>
            <w:right w:val="none" w:sz="0" w:space="0" w:color="auto"/>
          </w:divBdr>
        </w:div>
        <w:div w:id="1563176759">
          <w:marLeft w:val="480"/>
          <w:marRight w:val="0"/>
          <w:marTop w:val="0"/>
          <w:marBottom w:val="0"/>
          <w:divBdr>
            <w:top w:val="none" w:sz="0" w:space="0" w:color="auto"/>
            <w:left w:val="none" w:sz="0" w:space="0" w:color="auto"/>
            <w:bottom w:val="none" w:sz="0" w:space="0" w:color="auto"/>
            <w:right w:val="none" w:sz="0" w:space="0" w:color="auto"/>
          </w:divBdr>
        </w:div>
        <w:div w:id="2017538117">
          <w:marLeft w:val="480"/>
          <w:marRight w:val="0"/>
          <w:marTop w:val="0"/>
          <w:marBottom w:val="0"/>
          <w:divBdr>
            <w:top w:val="none" w:sz="0" w:space="0" w:color="auto"/>
            <w:left w:val="none" w:sz="0" w:space="0" w:color="auto"/>
            <w:bottom w:val="none" w:sz="0" w:space="0" w:color="auto"/>
            <w:right w:val="none" w:sz="0" w:space="0" w:color="auto"/>
          </w:divBdr>
        </w:div>
        <w:div w:id="908198046">
          <w:marLeft w:val="480"/>
          <w:marRight w:val="0"/>
          <w:marTop w:val="0"/>
          <w:marBottom w:val="0"/>
          <w:divBdr>
            <w:top w:val="none" w:sz="0" w:space="0" w:color="auto"/>
            <w:left w:val="none" w:sz="0" w:space="0" w:color="auto"/>
            <w:bottom w:val="none" w:sz="0" w:space="0" w:color="auto"/>
            <w:right w:val="none" w:sz="0" w:space="0" w:color="auto"/>
          </w:divBdr>
        </w:div>
        <w:div w:id="609897769">
          <w:marLeft w:val="480"/>
          <w:marRight w:val="0"/>
          <w:marTop w:val="0"/>
          <w:marBottom w:val="0"/>
          <w:divBdr>
            <w:top w:val="none" w:sz="0" w:space="0" w:color="auto"/>
            <w:left w:val="none" w:sz="0" w:space="0" w:color="auto"/>
            <w:bottom w:val="none" w:sz="0" w:space="0" w:color="auto"/>
            <w:right w:val="none" w:sz="0" w:space="0" w:color="auto"/>
          </w:divBdr>
        </w:div>
        <w:div w:id="1486704907">
          <w:marLeft w:val="480"/>
          <w:marRight w:val="0"/>
          <w:marTop w:val="0"/>
          <w:marBottom w:val="0"/>
          <w:divBdr>
            <w:top w:val="none" w:sz="0" w:space="0" w:color="auto"/>
            <w:left w:val="none" w:sz="0" w:space="0" w:color="auto"/>
            <w:bottom w:val="none" w:sz="0" w:space="0" w:color="auto"/>
            <w:right w:val="none" w:sz="0" w:space="0" w:color="auto"/>
          </w:divBdr>
        </w:div>
        <w:div w:id="144470492">
          <w:marLeft w:val="480"/>
          <w:marRight w:val="0"/>
          <w:marTop w:val="0"/>
          <w:marBottom w:val="0"/>
          <w:divBdr>
            <w:top w:val="none" w:sz="0" w:space="0" w:color="auto"/>
            <w:left w:val="none" w:sz="0" w:space="0" w:color="auto"/>
            <w:bottom w:val="none" w:sz="0" w:space="0" w:color="auto"/>
            <w:right w:val="none" w:sz="0" w:space="0" w:color="auto"/>
          </w:divBdr>
        </w:div>
        <w:div w:id="105005981">
          <w:marLeft w:val="480"/>
          <w:marRight w:val="0"/>
          <w:marTop w:val="0"/>
          <w:marBottom w:val="0"/>
          <w:divBdr>
            <w:top w:val="none" w:sz="0" w:space="0" w:color="auto"/>
            <w:left w:val="none" w:sz="0" w:space="0" w:color="auto"/>
            <w:bottom w:val="none" w:sz="0" w:space="0" w:color="auto"/>
            <w:right w:val="none" w:sz="0" w:space="0" w:color="auto"/>
          </w:divBdr>
        </w:div>
        <w:div w:id="2978453">
          <w:marLeft w:val="480"/>
          <w:marRight w:val="0"/>
          <w:marTop w:val="0"/>
          <w:marBottom w:val="0"/>
          <w:divBdr>
            <w:top w:val="none" w:sz="0" w:space="0" w:color="auto"/>
            <w:left w:val="none" w:sz="0" w:space="0" w:color="auto"/>
            <w:bottom w:val="none" w:sz="0" w:space="0" w:color="auto"/>
            <w:right w:val="none" w:sz="0" w:space="0" w:color="auto"/>
          </w:divBdr>
        </w:div>
        <w:div w:id="1827897133">
          <w:marLeft w:val="480"/>
          <w:marRight w:val="0"/>
          <w:marTop w:val="0"/>
          <w:marBottom w:val="0"/>
          <w:divBdr>
            <w:top w:val="none" w:sz="0" w:space="0" w:color="auto"/>
            <w:left w:val="none" w:sz="0" w:space="0" w:color="auto"/>
            <w:bottom w:val="none" w:sz="0" w:space="0" w:color="auto"/>
            <w:right w:val="none" w:sz="0" w:space="0" w:color="auto"/>
          </w:divBdr>
        </w:div>
        <w:div w:id="2095393572">
          <w:marLeft w:val="480"/>
          <w:marRight w:val="0"/>
          <w:marTop w:val="0"/>
          <w:marBottom w:val="0"/>
          <w:divBdr>
            <w:top w:val="none" w:sz="0" w:space="0" w:color="auto"/>
            <w:left w:val="none" w:sz="0" w:space="0" w:color="auto"/>
            <w:bottom w:val="none" w:sz="0" w:space="0" w:color="auto"/>
            <w:right w:val="none" w:sz="0" w:space="0" w:color="auto"/>
          </w:divBdr>
        </w:div>
        <w:div w:id="1737239268">
          <w:marLeft w:val="480"/>
          <w:marRight w:val="0"/>
          <w:marTop w:val="0"/>
          <w:marBottom w:val="0"/>
          <w:divBdr>
            <w:top w:val="none" w:sz="0" w:space="0" w:color="auto"/>
            <w:left w:val="none" w:sz="0" w:space="0" w:color="auto"/>
            <w:bottom w:val="none" w:sz="0" w:space="0" w:color="auto"/>
            <w:right w:val="none" w:sz="0" w:space="0" w:color="auto"/>
          </w:divBdr>
        </w:div>
        <w:div w:id="305161501">
          <w:marLeft w:val="480"/>
          <w:marRight w:val="0"/>
          <w:marTop w:val="0"/>
          <w:marBottom w:val="0"/>
          <w:divBdr>
            <w:top w:val="none" w:sz="0" w:space="0" w:color="auto"/>
            <w:left w:val="none" w:sz="0" w:space="0" w:color="auto"/>
            <w:bottom w:val="none" w:sz="0" w:space="0" w:color="auto"/>
            <w:right w:val="none" w:sz="0" w:space="0" w:color="auto"/>
          </w:divBdr>
        </w:div>
        <w:div w:id="1654602008">
          <w:marLeft w:val="480"/>
          <w:marRight w:val="0"/>
          <w:marTop w:val="0"/>
          <w:marBottom w:val="0"/>
          <w:divBdr>
            <w:top w:val="none" w:sz="0" w:space="0" w:color="auto"/>
            <w:left w:val="none" w:sz="0" w:space="0" w:color="auto"/>
            <w:bottom w:val="none" w:sz="0" w:space="0" w:color="auto"/>
            <w:right w:val="none" w:sz="0" w:space="0" w:color="auto"/>
          </w:divBdr>
        </w:div>
        <w:div w:id="414135796">
          <w:marLeft w:val="480"/>
          <w:marRight w:val="0"/>
          <w:marTop w:val="0"/>
          <w:marBottom w:val="0"/>
          <w:divBdr>
            <w:top w:val="none" w:sz="0" w:space="0" w:color="auto"/>
            <w:left w:val="none" w:sz="0" w:space="0" w:color="auto"/>
            <w:bottom w:val="none" w:sz="0" w:space="0" w:color="auto"/>
            <w:right w:val="none" w:sz="0" w:space="0" w:color="auto"/>
          </w:divBdr>
        </w:div>
        <w:div w:id="265502350">
          <w:marLeft w:val="480"/>
          <w:marRight w:val="0"/>
          <w:marTop w:val="0"/>
          <w:marBottom w:val="0"/>
          <w:divBdr>
            <w:top w:val="none" w:sz="0" w:space="0" w:color="auto"/>
            <w:left w:val="none" w:sz="0" w:space="0" w:color="auto"/>
            <w:bottom w:val="none" w:sz="0" w:space="0" w:color="auto"/>
            <w:right w:val="none" w:sz="0" w:space="0" w:color="auto"/>
          </w:divBdr>
        </w:div>
        <w:div w:id="1082213409">
          <w:marLeft w:val="480"/>
          <w:marRight w:val="0"/>
          <w:marTop w:val="0"/>
          <w:marBottom w:val="0"/>
          <w:divBdr>
            <w:top w:val="none" w:sz="0" w:space="0" w:color="auto"/>
            <w:left w:val="none" w:sz="0" w:space="0" w:color="auto"/>
            <w:bottom w:val="none" w:sz="0" w:space="0" w:color="auto"/>
            <w:right w:val="none" w:sz="0" w:space="0" w:color="auto"/>
          </w:divBdr>
        </w:div>
        <w:div w:id="888884961">
          <w:marLeft w:val="480"/>
          <w:marRight w:val="0"/>
          <w:marTop w:val="0"/>
          <w:marBottom w:val="0"/>
          <w:divBdr>
            <w:top w:val="none" w:sz="0" w:space="0" w:color="auto"/>
            <w:left w:val="none" w:sz="0" w:space="0" w:color="auto"/>
            <w:bottom w:val="none" w:sz="0" w:space="0" w:color="auto"/>
            <w:right w:val="none" w:sz="0" w:space="0" w:color="auto"/>
          </w:divBdr>
        </w:div>
        <w:div w:id="1474710661">
          <w:marLeft w:val="480"/>
          <w:marRight w:val="0"/>
          <w:marTop w:val="0"/>
          <w:marBottom w:val="0"/>
          <w:divBdr>
            <w:top w:val="none" w:sz="0" w:space="0" w:color="auto"/>
            <w:left w:val="none" w:sz="0" w:space="0" w:color="auto"/>
            <w:bottom w:val="none" w:sz="0" w:space="0" w:color="auto"/>
            <w:right w:val="none" w:sz="0" w:space="0" w:color="auto"/>
          </w:divBdr>
        </w:div>
        <w:div w:id="1951081397">
          <w:marLeft w:val="480"/>
          <w:marRight w:val="0"/>
          <w:marTop w:val="0"/>
          <w:marBottom w:val="0"/>
          <w:divBdr>
            <w:top w:val="none" w:sz="0" w:space="0" w:color="auto"/>
            <w:left w:val="none" w:sz="0" w:space="0" w:color="auto"/>
            <w:bottom w:val="none" w:sz="0" w:space="0" w:color="auto"/>
            <w:right w:val="none" w:sz="0" w:space="0" w:color="auto"/>
          </w:divBdr>
        </w:div>
        <w:div w:id="98259083">
          <w:marLeft w:val="480"/>
          <w:marRight w:val="0"/>
          <w:marTop w:val="0"/>
          <w:marBottom w:val="0"/>
          <w:divBdr>
            <w:top w:val="none" w:sz="0" w:space="0" w:color="auto"/>
            <w:left w:val="none" w:sz="0" w:space="0" w:color="auto"/>
            <w:bottom w:val="none" w:sz="0" w:space="0" w:color="auto"/>
            <w:right w:val="none" w:sz="0" w:space="0" w:color="auto"/>
          </w:divBdr>
        </w:div>
        <w:div w:id="813059385">
          <w:marLeft w:val="480"/>
          <w:marRight w:val="0"/>
          <w:marTop w:val="0"/>
          <w:marBottom w:val="0"/>
          <w:divBdr>
            <w:top w:val="none" w:sz="0" w:space="0" w:color="auto"/>
            <w:left w:val="none" w:sz="0" w:space="0" w:color="auto"/>
            <w:bottom w:val="none" w:sz="0" w:space="0" w:color="auto"/>
            <w:right w:val="none" w:sz="0" w:space="0" w:color="auto"/>
          </w:divBdr>
        </w:div>
        <w:div w:id="1853450207">
          <w:marLeft w:val="480"/>
          <w:marRight w:val="0"/>
          <w:marTop w:val="0"/>
          <w:marBottom w:val="0"/>
          <w:divBdr>
            <w:top w:val="none" w:sz="0" w:space="0" w:color="auto"/>
            <w:left w:val="none" w:sz="0" w:space="0" w:color="auto"/>
            <w:bottom w:val="none" w:sz="0" w:space="0" w:color="auto"/>
            <w:right w:val="none" w:sz="0" w:space="0" w:color="auto"/>
          </w:divBdr>
        </w:div>
        <w:div w:id="1264412349">
          <w:marLeft w:val="480"/>
          <w:marRight w:val="0"/>
          <w:marTop w:val="0"/>
          <w:marBottom w:val="0"/>
          <w:divBdr>
            <w:top w:val="none" w:sz="0" w:space="0" w:color="auto"/>
            <w:left w:val="none" w:sz="0" w:space="0" w:color="auto"/>
            <w:bottom w:val="none" w:sz="0" w:space="0" w:color="auto"/>
            <w:right w:val="none" w:sz="0" w:space="0" w:color="auto"/>
          </w:divBdr>
        </w:div>
        <w:div w:id="163976365">
          <w:marLeft w:val="480"/>
          <w:marRight w:val="0"/>
          <w:marTop w:val="0"/>
          <w:marBottom w:val="0"/>
          <w:divBdr>
            <w:top w:val="none" w:sz="0" w:space="0" w:color="auto"/>
            <w:left w:val="none" w:sz="0" w:space="0" w:color="auto"/>
            <w:bottom w:val="none" w:sz="0" w:space="0" w:color="auto"/>
            <w:right w:val="none" w:sz="0" w:space="0" w:color="auto"/>
          </w:divBdr>
        </w:div>
        <w:div w:id="1675914191">
          <w:marLeft w:val="480"/>
          <w:marRight w:val="0"/>
          <w:marTop w:val="0"/>
          <w:marBottom w:val="0"/>
          <w:divBdr>
            <w:top w:val="none" w:sz="0" w:space="0" w:color="auto"/>
            <w:left w:val="none" w:sz="0" w:space="0" w:color="auto"/>
            <w:bottom w:val="none" w:sz="0" w:space="0" w:color="auto"/>
            <w:right w:val="none" w:sz="0" w:space="0" w:color="auto"/>
          </w:divBdr>
        </w:div>
        <w:div w:id="779908336">
          <w:marLeft w:val="480"/>
          <w:marRight w:val="0"/>
          <w:marTop w:val="0"/>
          <w:marBottom w:val="0"/>
          <w:divBdr>
            <w:top w:val="none" w:sz="0" w:space="0" w:color="auto"/>
            <w:left w:val="none" w:sz="0" w:space="0" w:color="auto"/>
            <w:bottom w:val="none" w:sz="0" w:space="0" w:color="auto"/>
            <w:right w:val="none" w:sz="0" w:space="0" w:color="auto"/>
          </w:divBdr>
        </w:div>
        <w:div w:id="1381516042">
          <w:marLeft w:val="480"/>
          <w:marRight w:val="0"/>
          <w:marTop w:val="0"/>
          <w:marBottom w:val="0"/>
          <w:divBdr>
            <w:top w:val="none" w:sz="0" w:space="0" w:color="auto"/>
            <w:left w:val="none" w:sz="0" w:space="0" w:color="auto"/>
            <w:bottom w:val="none" w:sz="0" w:space="0" w:color="auto"/>
            <w:right w:val="none" w:sz="0" w:space="0" w:color="auto"/>
          </w:divBdr>
        </w:div>
        <w:div w:id="1344748421">
          <w:marLeft w:val="480"/>
          <w:marRight w:val="0"/>
          <w:marTop w:val="0"/>
          <w:marBottom w:val="0"/>
          <w:divBdr>
            <w:top w:val="none" w:sz="0" w:space="0" w:color="auto"/>
            <w:left w:val="none" w:sz="0" w:space="0" w:color="auto"/>
            <w:bottom w:val="none" w:sz="0" w:space="0" w:color="auto"/>
            <w:right w:val="none" w:sz="0" w:space="0" w:color="auto"/>
          </w:divBdr>
        </w:div>
        <w:div w:id="828640492">
          <w:marLeft w:val="480"/>
          <w:marRight w:val="0"/>
          <w:marTop w:val="0"/>
          <w:marBottom w:val="0"/>
          <w:divBdr>
            <w:top w:val="none" w:sz="0" w:space="0" w:color="auto"/>
            <w:left w:val="none" w:sz="0" w:space="0" w:color="auto"/>
            <w:bottom w:val="none" w:sz="0" w:space="0" w:color="auto"/>
            <w:right w:val="none" w:sz="0" w:space="0" w:color="auto"/>
          </w:divBdr>
        </w:div>
        <w:div w:id="1646469958">
          <w:marLeft w:val="480"/>
          <w:marRight w:val="0"/>
          <w:marTop w:val="0"/>
          <w:marBottom w:val="0"/>
          <w:divBdr>
            <w:top w:val="none" w:sz="0" w:space="0" w:color="auto"/>
            <w:left w:val="none" w:sz="0" w:space="0" w:color="auto"/>
            <w:bottom w:val="none" w:sz="0" w:space="0" w:color="auto"/>
            <w:right w:val="none" w:sz="0" w:space="0" w:color="auto"/>
          </w:divBdr>
        </w:div>
        <w:div w:id="210968446">
          <w:marLeft w:val="480"/>
          <w:marRight w:val="0"/>
          <w:marTop w:val="0"/>
          <w:marBottom w:val="0"/>
          <w:divBdr>
            <w:top w:val="none" w:sz="0" w:space="0" w:color="auto"/>
            <w:left w:val="none" w:sz="0" w:space="0" w:color="auto"/>
            <w:bottom w:val="none" w:sz="0" w:space="0" w:color="auto"/>
            <w:right w:val="none" w:sz="0" w:space="0" w:color="auto"/>
          </w:divBdr>
        </w:div>
        <w:div w:id="833833787">
          <w:marLeft w:val="480"/>
          <w:marRight w:val="0"/>
          <w:marTop w:val="0"/>
          <w:marBottom w:val="0"/>
          <w:divBdr>
            <w:top w:val="none" w:sz="0" w:space="0" w:color="auto"/>
            <w:left w:val="none" w:sz="0" w:space="0" w:color="auto"/>
            <w:bottom w:val="none" w:sz="0" w:space="0" w:color="auto"/>
            <w:right w:val="none" w:sz="0" w:space="0" w:color="auto"/>
          </w:divBdr>
        </w:div>
        <w:div w:id="62529509">
          <w:marLeft w:val="480"/>
          <w:marRight w:val="0"/>
          <w:marTop w:val="0"/>
          <w:marBottom w:val="0"/>
          <w:divBdr>
            <w:top w:val="none" w:sz="0" w:space="0" w:color="auto"/>
            <w:left w:val="none" w:sz="0" w:space="0" w:color="auto"/>
            <w:bottom w:val="none" w:sz="0" w:space="0" w:color="auto"/>
            <w:right w:val="none" w:sz="0" w:space="0" w:color="auto"/>
          </w:divBdr>
        </w:div>
        <w:div w:id="1575311217">
          <w:marLeft w:val="480"/>
          <w:marRight w:val="0"/>
          <w:marTop w:val="0"/>
          <w:marBottom w:val="0"/>
          <w:divBdr>
            <w:top w:val="none" w:sz="0" w:space="0" w:color="auto"/>
            <w:left w:val="none" w:sz="0" w:space="0" w:color="auto"/>
            <w:bottom w:val="none" w:sz="0" w:space="0" w:color="auto"/>
            <w:right w:val="none" w:sz="0" w:space="0" w:color="auto"/>
          </w:divBdr>
        </w:div>
        <w:div w:id="177159931">
          <w:marLeft w:val="480"/>
          <w:marRight w:val="0"/>
          <w:marTop w:val="0"/>
          <w:marBottom w:val="0"/>
          <w:divBdr>
            <w:top w:val="none" w:sz="0" w:space="0" w:color="auto"/>
            <w:left w:val="none" w:sz="0" w:space="0" w:color="auto"/>
            <w:bottom w:val="none" w:sz="0" w:space="0" w:color="auto"/>
            <w:right w:val="none" w:sz="0" w:space="0" w:color="auto"/>
          </w:divBdr>
        </w:div>
        <w:div w:id="597569088">
          <w:marLeft w:val="480"/>
          <w:marRight w:val="0"/>
          <w:marTop w:val="0"/>
          <w:marBottom w:val="0"/>
          <w:divBdr>
            <w:top w:val="none" w:sz="0" w:space="0" w:color="auto"/>
            <w:left w:val="none" w:sz="0" w:space="0" w:color="auto"/>
            <w:bottom w:val="none" w:sz="0" w:space="0" w:color="auto"/>
            <w:right w:val="none" w:sz="0" w:space="0" w:color="auto"/>
          </w:divBdr>
        </w:div>
        <w:div w:id="1295870845">
          <w:marLeft w:val="480"/>
          <w:marRight w:val="0"/>
          <w:marTop w:val="0"/>
          <w:marBottom w:val="0"/>
          <w:divBdr>
            <w:top w:val="none" w:sz="0" w:space="0" w:color="auto"/>
            <w:left w:val="none" w:sz="0" w:space="0" w:color="auto"/>
            <w:bottom w:val="none" w:sz="0" w:space="0" w:color="auto"/>
            <w:right w:val="none" w:sz="0" w:space="0" w:color="auto"/>
          </w:divBdr>
        </w:div>
        <w:div w:id="766928850">
          <w:marLeft w:val="480"/>
          <w:marRight w:val="0"/>
          <w:marTop w:val="0"/>
          <w:marBottom w:val="0"/>
          <w:divBdr>
            <w:top w:val="none" w:sz="0" w:space="0" w:color="auto"/>
            <w:left w:val="none" w:sz="0" w:space="0" w:color="auto"/>
            <w:bottom w:val="none" w:sz="0" w:space="0" w:color="auto"/>
            <w:right w:val="none" w:sz="0" w:space="0" w:color="auto"/>
          </w:divBdr>
        </w:div>
        <w:div w:id="2083675364">
          <w:marLeft w:val="480"/>
          <w:marRight w:val="0"/>
          <w:marTop w:val="0"/>
          <w:marBottom w:val="0"/>
          <w:divBdr>
            <w:top w:val="none" w:sz="0" w:space="0" w:color="auto"/>
            <w:left w:val="none" w:sz="0" w:space="0" w:color="auto"/>
            <w:bottom w:val="none" w:sz="0" w:space="0" w:color="auto"/>
            <w:right w:val="none" w:sz="0" w:space="0" w:color="auto"/>
          </w:divBdr>
        </w:div>
        <w:div w:id="9643310">
          <w:marLeft w:val="480"/>
          <w:marRight w:val="0"/>
          <w:marTop w:val="0"/>
          <w:marBottom w:val="0"/>
          <w:divBdr>
            <w:top w:val="none" w:sz="0" w:space="0" w:color="auto"/>
            <w:left w:val="none" w:sz="0" w:space="0" w:color="auto"/>
            <w:bottom w:val="none" w:sz="0" w:space="0" w:color="auto"/>
            <w:right w:val="none" w:sz="0" w:space="0" w:color="auto"/>
          </w:divBdr>
        </w:div>
        <w:div w:id="815729524">
          <w:marLeft w:val="480"/>
          <w:marRight w:val="0"/>
          <w:marTop w:val="0"/>
          <w:marBottom w:val="0"/>
          <w:divBdr>
            <w:top w:val="none" w:sz="0" w:space="0" w:color="auto"/>
            <w:left w:val="none" w:sz="0" w:space="0" w:color="auto"/>
            <w:bottom w:val="none" w:sz="0" w:space="0" w:color="auto"/>
            <w:right w:val="none" w:sz="0" w:space="0" w:color="auto"/>
          </w:divBdr>
        </w:div>
        <w:div w:id="439686309">
          <w:marLeft w:val="480"/>
          <w:marRight w:val="0"/>
          <w:marTop w:val="0"/>
          <w:marBottom w:val="0"/>
          <w:divBdr>
            <w:top w:val="none" w:sz="0" w:space="0" w:color="auto"/>
            <w:left w:val="none" w:sz="0" w:space="0" w:color="auto"/>
            <w:bottom w:val="none" w:sz="0" w:space="0" w:color="auto"/>
            <w:right w:val="none" w:sz="0" w:space="0" w:color="auto"/>
          </w:divBdr>
        </w:div>
        <w:div w:id="111368604">
          <w:marLeft w:val="480"/>
          <w:marRight w:val="0"/>
          <w:marTop w:val="0"/>
          <w:marBottom w:val="0"/>
          <w:divBdr>
            <w:top w:val="none" w:sz="0" w:space="0" w:color="auto"/>
            <w:left w:val="none" w:sz="0" w:space="0" w:color="auto"/>
            <w:bottom w:val="none" w:sz="0" w:space="0" w:color="auto"/>
            <w:right w:val="none" w:sz="0" w:space="0" w:color="auto"/>
          </w:divBdr>
        </w:div>
        <w:div w:id="132450199">
          <w:marLeft w:val="480"/>
          <w:marRight w:val="0"/>
          <w:marTop w:val="0"/>
          <w:marBottom w:val="0"/>
          <w:divBdr>
            <w:top w:val="none" w:sz="0" w:space="0" w:color="auto"/>
            <w:left w:val="none" w:sz="0" w:space="0" w:color="auto"/>
            <w:bottom w:val="none" w:sz="0" w:space="0" w:color="auto"/>
            <w:right w:val="none" w:sz="0" w:space="0" w:color="auto"/>
          </w:divBdr>
        </w:div>
        <w:div w:id="1946814193">
          <w:marLeft w:val="480"/>
          <w:marRight w:val="0"/>
          <w:marTop w:val="0"/>
          <w:marBottom w:val="0"/>
          <w:divBdr>
            <w:top w:val="none" w:sz="0" w:space="0" w:color="auto"/>
            <w:left w:val="none" w:sz="0" w:space="0" w:color="auto"/>
            <w:bottom w:val="none" w:sz="0" w:space="0" w:color="auto"/>
            <w:right w:val="none" w:sz="0" w:space="0" w:color="auto"/>
          </w:divBdr>
        </w:div>
        <w:div w:id="704987855">
          <w:marLeft w:val="480"/>
          <w:marRight w:val="0"/>
          <w:marTop w:val="0"/>
          <w:marBottom w:val="0"/>
          <w:divBdr>
            <w:top w:val="none" w:sz="0" w:space="0" w:color="auto"/>
            <w:left w:val="none" w:sz="0" w:space="0" w:color="auto"/>
            <w:bottom w:val="none" w:sz="0" w:space="0" w:color="auto"/>
            <w:right w:val="none" w:sz="0" w:space="0" w:color="auto"/>
          </w:divBdr>
        </w:div>
        <w:div w:id="1326788129">
          <w:marLeft w:val="480"/>
          <w:marRight w:val="0"/>
          <w:marTop w:val="0"/>
          <w:marBottom w:val="0"/>
          <w:divBdr>
            <w:top w:val="none" w:sz="0" w:space="0" w:color="auto"/>
            <w:left w:val="none" w:sz="0" w:space="0" w:color="auto"/>
            <w:bottom w:val="none" w:sz="0" w:space="0" w:color="auto"/>
            <w:right w:val="none" w:sz="0" w:space="0" w:color="auto"/>
          </w:divBdr>
        </w:div>
        <w:div w:id="277369246">
          <w:marLeft w:val="480"/>
          <w:marRight w:val="0"/>
          <w:marTop w:val="0"/>
          <w:marBottom w:val="0"/>
          <w:divBdr>
            <w:top w:val="none" w:sz="0" w:space="0" w:color="auto"/>
            <w:left w:val="none" w:sz="0" w:space="0" w:color="auto"/>
            <w:bottom w:val="none" w:sz="0" w:space="0" w:color="auto"/>
            <w:right w:val="none" w:sz="0" w:space="0" w:color="auto"/>
          </w:divBdr>
        </w:div>
        <w:div w:id="1442990492">
          <w:marLeft w:val="480"/>
          <w:marRight w:val="0"/>
          <w:marTop w:val="0"/>
          <w:marBottom w:val="0"/>
          <w:divBdr>
            <w:top w:val="none" w:sz="0" w:space="0" w:color="auto"/>
            <w:left w:val="none" w:sz="0" w:space="0" w:color="auto"/>
            <w:bottom w:val="none" w:sz="0" w:space="0" w:color="auto"/>
            <w:right w:val="none" w:sz="0" w:space="0" w:color="auto"/>
          </w:divBdr>
        </w:div>
        <w:div w:id="1533110094">
          <w:marLeft w:val="480"/>
          <w:marRight w:val="0"/>
          <w:marTop w:val="0"/>
          <w:marBottom w:val="0"/>
          <w:divBdr>
            <w:top w:val="none" w:sz="0" w:space="0" w:color="auto"/>
            <w:left w:val="none" w:sz="0" w:space="0" w:color="auto"/>
            <w:bottom w:val="none" w:sz="0" w:space="0" w:color="auto"/>
            <w:right w:val="none" w:sz="0" w:space="0" w:color="auto"/>
          </w:divBdr>
        </w:div>
        <w:div w:id="1511678903">
          <w:marLeft w:val="480"/>
          <w:marRight w:val="0"/>
          <w:marTop w:val="0"/>
          <w:marBottom w:val="0"/>
          <w:divBdr>
            <w:top w:val="none" w:sz="0" w:space="0" w:color="auto"/>
            <w:left w:val="none" w:sz="0" w:space="0" w:color="auto"/>
            <w:bottom w:val="none" w:sz="0" w:space="0" w:color="auto"/>
            <w:right w:val="none" w:sz="0" w:space="0" w:color="auto"/>
          </w:divBdr>
        </w:div>
        <w:div w:id="1040285296">
          <w:marLeft w:val="480"/>
          <w:marRight w:val="0"/>
          <w:marTop w:val="0"/>
          <w:marBottom w:val="0"/>
          <w:divBdr>
            <w:top w:val="none" w:sz="0" w:space="0" w:color="auto"/>
            <w:left w:val="none" w:sz="0" w:space="0" w:color="auto"/>
            <w:bottom w:val="none" w:sz="0" w:space="0" w:color="auto"/>
            <w:right w:val="none" w:sz="0" w:space="0" w:color="auto"/>
          </w:divBdr>
        </w:div>
        <w:div w:id="1244222751">
          <w:marLeft w:val="480"/>
          <w:marRight w:val="0"/>
          <w:marTop w:val="0"/>
          <w:marBottom w:val="0"/>
          <w:divBdr>
            <w:top w:val="none" w:sz="0" w:space="0" w:color="auto"/>
            <w:left w:val="none" w:sz="0" w:space="0" w:color="auto"/>
            <w:bottom w:val="none" w:sz="0" w:space="0" w:color="auto"/>
            <w:right w:val="none" w:sz="0" w:space="0" w:color="auto"/>
          </w:divBdr>
        </w:div>
        <w:div w:id="1611812872">
          <w:marLeft w:val="480"/>
          <w:marRight w:val="0"/>
          <w:marTop w:val="0"/>
          <w:marBottom w:val="0"/>
          <w:divBdr>
            <w:top w:val="none" w:sz="0" w:space="0" w:color="auto"/>
            <w:left w:val="none" w:sz="0" w:space="0" w:color="auto"/>
            <w:bottom w:val="none" w:sz="0" w:space="0" w:color="auto"/>
            <w:right w:val="none" w:sz="0" w:space="0" w:color="auto"/>
          </w:divBdr>
        </w:div>
        <w:div w:id="1918979473">
          <w:marLeft w:val="480"/>
          <w:marRight w:val="0"/>
          <w:marTop w:val="0"/>
          <w:marBottom w:val="0"/>
          <w:divBdr>
            <w:top w:val="none" w:sz="0" w:space="0" w:color="auto"/>
            <w:left w:val="none" w:sz="0" w:space="0" w:color="auto"/>
            <w:bottom w:val="none" w:sz="0" w:space="0" w:color="auto"/>
            <w:right w:val="none" w:sz="0" w:space="0" w:color="auto"/>
          </w:divBdr>
        </w:div>
        <w:div w:id="283004341">
          <w:marLeft w:val="480"/>
          <w:marRight w:val="0"/>
          <w:marTop w:val="0"/>
          <w:marBottom w:val="0"/>
          <w:divBdr>
            <w:top w:val="none" w:sz="0" w:space="0" w:color="auto"/>
            <w:left w:val="none" w:sz="0" w:space="0" w:color="auto"/>
            <w:bottom w:val="none" w:sz="0" w:space="0" w:color="auto"/>
            <w:right w:val="none" w:sz="0" w:space="0" w:color="auto"/>
          </w:divBdr>
        </w:div>
        <w:div w:id="367145214">
          <w:marLeft w:val="480"/>
          <w:marRight w:val="0"/>
          <w:marTop w:val="0"/>
          <w:marBottom w:val="0"/>
          <w:divBdr>
            <w:top w:val="none" w:sz="0" w:space="0" w:color="auto"/>
            <w:left w:val="none" w:sz="0" w:space="0" w:color="auto"/>
            <w:bottom w:val="none" w:sz="0" w:space="0" w:color="auto"/>
            <w:right w:val="none" w:sz="0" w:space="0" w:color="auto"/>
          </w:divBdr>
        </w:div>
        <w:div w:id="2104573542">
          <w:marLeft w:val="480"/>
          <w:marRight w:val="0"/>
          <w:marTop w:val="0"/>
          <w:marBottom w:val="0"/>
          <w:divBdr>
            <w:top w:val="none" w:sz="0" w:space="0" w:color="auto"/>
            <w:left w:val="none" w:sz="0" w:space="0" w:color="auto"/>
            <w:bottom w:val="none" w:sz="0" w:space="0" w:color="auto"/>
            <w:right w:val="none" w:sz="0" w:space="0" w:color="auto"/>
          </w:divBdr>
        </w:div>
      </w:divsChild>
    </w:div>
    <w:div w:id="1772966577">
      <w:bodyDiv w:val="1"/>
      <w:marLeft w:val="0"/>
      <w:marRight w:val="0"/>
      <w:marTop w:val="0"/>
      <w:marBottom w:val="0"/>
      <w:divBdr>
        <w:top w:val="none" w:sz="0" w:space="0" w:color="auto"/>
        <w:left w:val="none" w:sz="0" w:space="0" w:color="auto"/>
        <w:bottom w:val="none" w:sz="0" w:space="0" w:color="auto"/>
        <w:right w:val="none" w:sz="0" w:space="0" w:color="auto"/>
      </w:divBdr>
    </w:div>
    <w:div w:id="1800489332">
      <w:bodyDiv w:val="1"/>
      <w:marLeft w:val="0"/>
      <w:marRight w:val="0"/>
      <w:marTop w:val="0"/>
      <w:marBottom w:val="0"/>
      <w:divBdr>
        <w:top w:val="none" w:sz="0" w:space="0" w:color="auto"/>
        <w:left w:val="none" w:sz="0" w:space="0" w:color="auto"/>
        <w:bottom w:val="none" w:sz="0" w:space="0" w:color="auto"/>
        <w:right w:val="none" w:sz="0" w:space="0" w:color="auto"/>
      </w:divBdr>
    </w:div>
    <w:div w:id="1804496975">
      <w:bodyDiv w:val="1"/>
      <w:marLeft w:val="0"/>
      <w:marRight w:val="0"/>
      <w:marTop w:val="0"/>
      <w:marBottom w:val="0"/>
      <w:divBdr>
        <w:top w:val="none" w:sz="0" w:space="0" w:color="auto"/>
        <w:left w:val="none" w:sz="0" w:space="0" w:color="auto"/>
        <w:bottom w:val="none" w:sz="0" w:space="0" w:color="auto"/>
        <w:right w:val="none" w:sz="0" w:space="0" w:color="auto"/>
      </w:divBdr>
    </w:div>
    <w:div w:id="1809319696">
      <w:bodyDiv w:val="1"/>
      <w:marLeft w:val="0"/>
      <w:marRight w:val="0"/>
      <w:marTop w:val="0"/>
      <w:marBottom w:val="0"/>
      <w:divBdr>
        <w:top w:val="none" w:sz="0" w:space="0" w:color="auto"/>
        <w:left w:val="none" w:sz="0" w:space="0" w:color="auto"/>
        <w:bottom w:val="none" w:sz="0" w:space="0" w:color="auto"/>
        <w:right w:val="none" w:sz="0" w:space="0" w:color="auto"/>
      </w:divBdr>
    </w:div>
    <w:div w:id="1816796888">
      <w:bodyDiv w:val="1"/>
      <w:marLeft w:val="0"/>
      <w:marRight w:val="0"/>
      <w:marTop w:val="0"/>
      <w:marBottom w:val="0"/>
      <w:divBdr>
        <w:top w:val="none" w:sz="0" w:space="0" w:color="auto"/>
        <w:left w:val="none" w:sz="0" w:space="0" w:color="auto"/>
        <w:bottom w:val="none" w:sz="0" w:space="0" w:color="auto"/>
        <w:right w:val="none" w:sz="0" w:space="0" w:color="auto"/>
      </w:divBdr>
    </w:div>
    <w:div w:id="1824269521">
      <w:bodyDiv w:val="1"/>
      <w:marLeft w:val="0"/>
      <w:marRight w:val="0"/>
      <w:marTop w:val="0"/>
      <w:marBottom w:val="0"/>
      <w:divBdr>
        <w:top w:val="none" w:sz="0" w:space="0" w:color="auto"/>
        <w:left w:val="none" w:sz="0" w:space="0" w:color="auto"/>
        <w:bottom w:val="none" w:sz="0" w:space="0" w:color="auto"/>
        <w:right w:val="none" w:sz="0" w:space="0" w:color="auto"/>
      </w:divBdr>
    </w:div>
    <w:div w:id="1837303121">
      <w:bodyDiv w:val="1"/>
      <w:marLeft w:val="0"/>
      <w:marRight w:val="0"/>
      <w:marTop w:val="0"/>
      <w:marBottom w:val="0"/>
      <w:divBdr>
        <w:top w:val="none" w:sz="0" w:space="0" w:color="auto"/>
        <w:left w:val="none" w:sz="0" w:space="0" w:color="auto"/>
        <w:bottom w:val="none" w:sz="0" w:space="0" w:color="auto"/>
        <w:right w:val="none" w:sz="0" w:space="0" w:color="auto"/>
      </w:divBdr>
    </w:div>
    <w:div w:id="1844083425">
      <w:bodyDiv w:val="1"/>
      <w:marLeft w:val="0"/>
      <w:marRight w:val="0"/>
      <w:marTop w:val="0"/>
      <w:marBottom w:val="0"/>
      <w:divBdr>
        <w:top w:val="none" w:sz="0" w:space="0" w:color="auto"/>
        <w:left w:val="none" w:sz="0" w:space="0" w:color="auto"/>
        <w:bottom w:val="none" w:sz="0" w:space="0" w:color="auto"/>
        <w:right w:val="none" w:sz="0" w:space="0" w:color="auto"/>
      </w:divBdr>
    </w:div>
    <w:div w:id="1846438797">
      <w:bodyDiv w:val="1"/>
      <w:marLeft w:val="0"/>
      <w:marRight w:val="0"/>
      <w:marTop w:val="0"/>
      <w:marBottom w:val="0"/>
      <w:divBdr>
        <w:top w:val="none" w:sz="0" w:space="0" w:color="auto"/>
        <w:left w:val="none" w:sz="0" w:space="0" w:color="auto"/>
        <w:bottom w:val="none" w:sz="0" w:space="0" w:color="auto"/>
        <w:right w:val="none" w:sz="0" w:space="0" w:color="auto"/>
      </w:divBdr>
    </w:div>
    <w:div w:id="1860846596">
      <w:bodyDiv w:val="1"/>
      <w:marLeft w:val="0"/>
      <w:marRight w:val="0"/>
      <w:marTop w:val="0"/>
      <w:marBottom w:val="0"/>
      <w:divBdr>
        <w:top w:val="none" w:sz="0" w:space="0" w:color="auto"/>
        <w:left w:val="none" w:sz="0" w:space="0" w:color="auto"/>
        <w:bottom w:val="none" w:sz="0" w:space="0" w:color="auto"/>
        <w:right w:val="none" w:sz="0" w:space="0" w:color="auto"/>
      </w:divBdr>
    </w:div>
    <w:div w:id="1877349251">
      <w:bodyDiv w:val="1"/>
      <w:marLeft w:val="0"/>
      <w:marRight w:val="0"/>
      <w:marTop w:val="0"/>
      <w:marBottom w:val="0"/>
      <w:divBdr>
        <w:top w:val="none" w:sz="0" w:space="0" w:color="auto"/>
        <w:left w:val="none" w:sz="0" w:space="0" w:color="auto"/>
        <w:bottom w:val="none" w:sz="0" w:space="0" w:color="auto"/>
        <w:right w:val="none" w:sz="0" w:space="0" w:color="auto"/>
      </w:divBdr>
    </w:div>
    <w:div w:id="1884752495">
      <w:bodyDiv w:val="1"/>
      <w:marLeft w:val="0"/>
      <w:marRight w:val="0"/>
      <w:marTop w:val="0"/>
      <w:marBottom w:val="0"/>
      <w:divBdr>
        <w:top w:val="none" w:sz="0" w:space="0" w:color="auto"/>
        <w:left w:val="none" w:sz="0" w:space="0" w:color="auto"/>
        <w:bottom w:val="none" w:sz="0" w:space="0" w:color="auto"/>
        <w:right w:val="none" w:sz="0" w:space="0" w:color="auto"/>
      </w:divBdr>
    </w:div>
    <w:div w:id="1886066419">
      <w:bodyDiv w:val="1"/>
      <w:marLeft w:val="0"/>
      <w:marRight w:val="0"/>
      <w:marTop w:val="0"/>
      <w:marBottom w:val="0"/>
      <w:divBdr>
        <w:top w:val="none" w:sz="0" w:space="0" w:color="auto"/>
        <w:left w:val="none" w:sz="0" w:space="0" w:color="auto"/>
        <w:bottom w:val="none" w:sz="0" w:space="0" w:color="auto"/>
        <w:right w:val="none" w:sz="0" w:space="0" w:color="auto"/>
      </w:divBdr>
    </w:div>
    <w:div w:id="1888105880">
      <w:bodyDiv w:val="1"/>
      <w:marLeft w:val="0"/>
      <w:marRight w:val="0"/>
      <w:marTop w:val="0"/>
      <w:marBottom w:val="0"/>
      <w:divBdr>
        <w:top w:val="none" w:sz="0" w:space="0" w:color="auto"/>
        <w:left w:val="none" w:sz="0" w:space="0" w:color="auto"/>
        <w:bottom w:val="none" w:sz="0" w:space="0" w:color="auto"/>
        <w:right w:val="none" w:sz="0" w:space="0" w:color="auto"/>
      </w:divBdr>
    </w:div>
    <w:div w:id="1908614679">
      <w:bodyDiv w:val="1"/>
      <w:marLeft w:val="0"/>
      <w:marRight w:val="0"/>
      <w:marTop w:val="0"/>
      <w:marBottom w:val="0"/>
      <w:divBdr>
        <w:top w:val="none" w:sz="0" w:space="0" w:color="auto"/>
        <w:left w:val="none" w:sz="0" w:space="0" w:color="auto"/>
        <w:bottom w:val="none" w:sz="0" w:space="0" w:color="auto"/>
        <w:right w:val="none" w:sz="0" w:space="0" w:color="auto"/>
      </w:divBdr>
    </w:div>
    <w:div w:id="1910311702">
      <w:bodyDiv w:val="1"/>
      <w:marLeft w:val="0"/>
      <w:marRight w:val="0"/>
      <w:marTop w:val="0"/>
      <w:marBottom w:val="0"/>
      <w:divBdr>
        <w:top w:val="none" w:sz="0" w:space="0" w:color="auto"/>
        <w:left w:val="none" w:sz="0" w:space="0" w:color="auto"/>
        <w:bottom w:val="none" w:sz="0" w:space="0" w:color="auto"/>
        <w:right w:val="none" w:sz="0" w:space="0" w:color="auto"/>
      </w:divBdr>
    </w:div>
    <w:div w:id="1919707754">
      <w:bodyDiv w:val="1"/>
      <w:marLeft w:val="0"/>
      <w:marRight w:val="0"/>
      <w:marTop w:val="0"/>
      <w:marBottom w:val="0"/>
      <w:divBdr>
        <w:top w:val="none" w:sz="0" w:space="0" w:color="auto"/>
        <w:left w:val="none" w:sz="0" w:space="0" w:color="auto"/>
        <w:bottom w:val="none" w:sz="0" w:space="0" w:color="auto"/>
        <w:right w:val="none" w:sz="0" w:space="0" w:color="auto"/>
      </w:divBdr>
    </w:div>
    <w:div w:id="1927612550">
      <w:bodyDiv w:val="1"/>
      <w:marLeft w:val="0"/>
      <w:marRight w:val="0"/>
      <w:marTop w:val="0"/>
      <w:marBottom w:val="0"/>
      <w:divBdr>
        <w:top w:val="none" w:sz="0" w:space="0" w:color="auto"/>
        <w:left w:val="none" w:sz="0" w:space="0" w:color="auto"/>
        <w:bottom w:val="none" w:sz="0" w:space="0" w:color="auto"/>
        <w:right w:val="none" w:sz="0" w:space="0" w:color="auto"/>
      </w:divBdr>
    </w:div>
    <w:div w:id="1956254808">
      <w:bodyDiv w:val="1"/>
      <w:marLeft w:val="0"/>
      <w:marRight w:val="0"/>
      <w:marTop w:val="0"/>
      <w:marBottom w:val="0"/>
      <w:divBdr>
        <w:top w:val="none" w:sz="0" w:space="0" w:color="auto"/>
        <w:left w:val="none" w:sz="0" w:space="0" w:color="auto"/>
        <w:bottom w:val="none" w:sz="0" w:space="0" w:color="auto"/>
        <w:right w:val="none" w:sz="0" w:space="0" w:color="auto"/>
      </w:divBdr>
    </w:div>
    <w:div w:id="1964455097">
      <w:bodyDiv w:val="1"/>
      <w:marLeft w:val="0"/>
      <w:marRight w:val="0"/>
      <w:marTop w:val="0"/>
      <w:marBottom w:val="0"/>
      <w:divBdr>
        <w:top w:val="none" w:sz="0" w:space="0" w:color="auto"/>
        <w:left w:val="none" w:sz="0" w:space="0" w:color="auto"/>
        <w:bottom w:val="none" w:sz="0" w:space="0" w:color="auto"/>
        <w:right w:val="none" w:sz="0" w:space="0" w:color="auto"/>
      </w:divBdr>
    </w:div>
    <w:div w:id="1969775408">
      <w:bodyDiv w:val="1"/>
      <w:marLeft w:val="0"/>
      <w:marRight w:val="0"/>
      <w:marTop w:val="0"/>
      <w:marBottom w:val="0"/>
      <w:divBdr>
        <w:top w:val="none" w:sz="0" w:space="0" w:color="auto"/>
        <w:left w:val="none" w:sz="0" w:space="0" w:color="auto"/>
        <w:bottom w:val="none" w:sz="0" w:space="0" w:color="auto"/>
        <w:right w:val="none" w:sz="0" w:space="0" w:color="auto"/>
      </w:divBdr>
    </w:div>
    <w:div w:id="2014449207">
      <w:bodyDiv w:val="1"/>
      <w:marLeft w:val="0"/>
      <w:marRight w:val="0"/>
      <w:marTop w:val="0"/>
      <w:marBottom w:val="0"/>
      <w:divBdr>
        <w:top w:val="none" w:sz="0" w:space="0" w:color="auto"/>
        <w:left w:val="none" w:sz="0" w:space="0" w:color="auto"/>
        <w:bottom w:val="none" w:sz="0" w:space="0" w:color="auto"/>
        <w:right w:val="none" w:sz="0" w:space="0" w:color="auto"/>
      </w:divBdr>
    </w:div>
    <w:div w:id="2029284872">
      <w:bodyDiv w:val="1"/>
      <w:marLeft w:val="0"/>
      <w:marRight w:val="0"/>
      <w:marTop w:val="0"/>
      <w:marBottom w:val="0"/>
      <w:divBdr>
        <w:top w:val="none" w:sz="0" w:space="0" w:color="auto"/>
        <w:left w:val="none" w:sz="0" w:space="0" w:color="auto"/>
        <w:bottom w:val="none" w:sz="0" w:space="0" w:color="auto"/>
        <w:right w:val="none" w:sz="0" w:space="0" w:color="auto"/>
      </w:divBdr>
    </w:div>
    <w:div w:id="2035305727">
      <w:bodyDiv w:val="1"/>
      <w:marLeft w:val="0"/>
      <w:marRight w:val="0"/>
      <w:marTop w:val="0"/>
      <w:marBottom w:val="0"/>
      <w:divBdr>
        <w:top w:val="none" w:sz="0" w:space="0" w:color="auto"/>
        <w:left w:val="none" w:sz="0" w:space="0" w:color="auto"/>
        <w:bottom w:val="none" w:sz="0" w:space="0" w:color="auto"/>
        <w:right w:val="none" w:sz="0" w:space="0" w:color="auto"/>
      </w:divBdr>
    </w:div>
    <w:div w:id="2041782767">
      <w:bodyDiv w:val="1"/>
      <w:marLeft w:val="0"/>
      <w:marRight w:val="0"/>
      <w:marTop w:val="0"/>
      <w:marBottom w:val="0"/>
      <w:divBdr>
        <w:top w:val="none" w:sz="0" w:space="0" w:color="auto"/>
        <w:left w:val="none" w:sz="0" w:space="0" w:color="auto"/>
        <w:bottom w:val="none" w:sz="0" w:space="0" w:color="auto"/>
        <w:right w:val="none" w:sz="0" w:space="0" w:color="auto"/>
      </w:divBdr>
    </w:div>
    <w:div w:id="2044674568">
      <w:bodyDiv w:val="1"/>
      <w:marLeft w:val="0"/>
      <w:marRight w:val="0"/>
      <w:marTop w:val="0"/>
      <w:marBottom w:val="0"/>
      <w:divBdr>
        <w:top w:val="none" w:sz="0" w:space="0" w:color="auto"/>
        <w:left w:val="none" w:sz="0" w:space="0" w:color="auto"/>
        <w:bottom w:val="none" w:sz="0" w:space="0" w:color="auto"/>
        <w:right w:val="none" w:sz="0" w:space="0" w:color="auto"/>
      </w:divBdr>
    </w:div>
    <w:div w:id="2071533717">
      <w:bodyDiv w:val="1"/>
      <w:marLeft w:val="0"/>
      <w:marRight w:val="0"/>
      <w:marTop w:val="0"/>
      <w:marBottom w:val="0"/>
      <w:divBdr>
        <w:top w:val="none" w:sz="0" w:space="0" w:color="auto"/>
        <w:left w:val="none" w:sz="0" w:space="0" w:color="auto"/>
        <w:bottom w:val="none" w:sz="0" w:space="0" w:color="auto"/>
        <w:right w:val="none" w:sz="0" w:space="0" w:color="auto"/>
      </w:divBdr>
    </w:div>
    <w:div w:id="2071732174">
      <w:bodyDiv w:val="1"/>
      <w:marLeft w:val="0"/>
      <w:marRight w:val="0"/>
      <w:marTop w:val="0"/>
      <w:marBottom w:val="0"/>
      <w:divBdr>
        <w:top w:val="none" w:sz="0" w:space="0" w:color="auto"/>
        <w:left w:val="none" w:sz="0" w:space="0" w:color="auto"/>
        <w:bottom w:val="none" w:sz="0" w:space="0" w:color="auto"/>
        <w:right w:val="none" w:sz="0" w:space="0" w:color="auto"/>
      </w:divBdr>
    </w:div>
    <w:div w:id="2077438386">
      <w:bodyDiv w:val="1"/>
      <w:marLeft w:val="0"/>
      <w:marRight w:val="0"/>
      <w:marTop w:val="0"/>
      <w:marBottom w:val="0"/>
      <w:divBdr>
        <w:top w:val="none" w:sz="0" w:space="0" w:color="auto"/>
        <w:left w:val="none" w:sz="0" w:space="0" w:color="auto"/>
        <w:bottom w:val="none" w:sz="0" w:space="0" w:color="auto"/>
        <w:right w:val="none" w:sz="0" w:space="0" w:color="auto"/>
      </w:divBdr>
    </w:div>
    <w:div w:id="2119714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9267A37-14F3-4E23-AF7F-2CBF17860EB5}"/>
      </w:docPartPr>
      <w:docPartBody>
        <w:p w:rsidR="00C85ABD" w:rsidRDefault="00673301">
          <w:r>
            <w:rPr>
              <w:rStyle w:val="PlaceholderText"/>
            </w:rPr>
            <w:t>Click or tap here to enter text.</w:t>
          </w:r>
        </w:p>
      </w:docPartBody>
    </w:docPart>
    <w:docPart>
      <w:docPartPr>
        <w:name w:val="EFF55DCCC4634D4A9BE2A5C34FB4F775"/>
        <w:category>
          <w:name w:val="General"/>
          <w:gallery w:val="placeholder"/>
        </w:category>
        <w:types>
          <w:type w:val="bbPlcHdr"/>
        </w:types>
        <w:behaviors>
          <w:behavior w:val="content"/>
        </w:behaviors>
        <w:guid w:val="{83D8FB2D-3C87-4D9E-9E74-6D19709D7567}"/>
      </w:docPartPr>
      <w:docPartBody>
        <w:p w:rsidR="00C85ABD" w:rsidRDefault="00673301">
          <w:pPr>
            <w:pStyle w:val="EFF55DCCC4634D4A9BE2A5C34FB4F775"/>
          </w:pPr>
          <w:r>
            <w:rPr>
              <w:rStyle w:val="PlaceholderText"/>
            </w:rPr>
            <w:t>Click or tap here to enter text.</w:t>
          </w:r>
        </w:p>
      </w:docPartBody>
    </w:docPart>
    <w:docPart>
      <w:docPartPr>
        <w:name w:val="87D40D9D003C405E953F65716E5FFDB8"/>
        <w:category>
          <w:name w:val="General"/>
          <w:gallery w:val="placeholder"/>
        </w:category>
        <w:types>
          <w:type w:val="bbPlcHdr"/>
        </w:types>
        <w:behaviors>
          <w:behavior w:val="content"/>
        </w:behaviors>
        <w:guid w:val="{688A631A-0538-4CD9-9ECE-7D833C2B1B9B}"/>
      </w:docPartPr>
      <w:docPartBody>
        <w:p w:rsidR="00C85ABD" w:rsidRDefault="00673301">
          <w:pPr>
            <w:pStyle w:val="87D40D9D003C405E953F65716E5FFDB8"/>
          </w:pPr>
          <w:r>
            <w:rPr>
              <w:rStyle w:val="PlaceholderText"/>
            </w:rPr>
            <w:t>Click or tap here to enter text.</w:t>
          </w:r>
        </w:p>
      </w:docPartBody>
    </w:docPart>
    <w:docPart>
      <w:docPartPr>
        <w:name w:val="D8171AB6C13C41D28FC502E0FCF281E6"/>
        <w:category>
          <w:name w:val="General"/>
          <w:gallery w:val="placeholder"/>
        </w:category>
        <w:types>
          <w:type w:val="bbPlcHdr"/>
        </w:types>
        <w:behaviors>
          <w:behavior w:val="content"/>
        </w:behaviors>
        <w:guid w:val="{E7DABC4E-A0E9-406B-928D-4B6E3B048A45}"/>
      </w:docPartPr>
      <w:docPartBody>
        <w:p w:rsidR="00C85ABD" w:rsidRDefault="00673301">
          <w:pPr>
            <w:pStyle w:val="D8171AB6C13C41D28FC502E0FCF281E6"/>
          </w:pPr>
          <w:r>
            <w:rPr>
              <w:rStyle w:val="PlaceholderText"/>
            </w:rPr>
            <w:t>Click or tap here to enter text.</w:t>
          </w:r>
        </w:p>
      </w:docPartBody>
    </w:docPart>
    <w:docPart>
      <w:docPartPr>
        <w:name w:val="69E6D424A2F14E41AFC590E6CBDAC925"/>
        <w:category>
          <w:name w:val="General"/>
          <w:gallery w:val="placeholder"/>
        </w:category>
        <w:types>
          <w:type w:val="bbPlcHdr"/>
        </w:types>
        <w:behaviors>
          <w:behavior w:val="content"/>
        </w:behaviors>
        <w:guid w:val="{354CA84F-F341-4D76-878B-9FA5E42E3EAA}"/>
      </w:docPartPr>
      <w:docPartBody>
        <w:p w:rsidR="00C85ABD" w:rsidRDefault="00673301">
          <w:pPr>
            <w:pStyle w:val="69E6D424A2F14E41AFC590E6CBDAC925"/>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AF9" w:rsidRDefault="00D01AF9">
      <w:pPr>
        <w:spacing w:line="240" w:lineRule="auto"/>
      </w:pPr>
      <w:r>
        <w:separator/>
      </w:r>
    </w:p>
  </w:endnote>
  <w:endnote w:type="continuationSeparator" w:id="0">
    <w:p w:rsidR="00D01AF9" w:rsidRDefault="00D01AF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ans-serif">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AF9" w:rsidRDefault="00D01AF9">
      <w:pPr>
        <w:spacing w:after="0"/>
      </w:pPr>
      <w:r>
        <w:separator/>
      </w:r>
    </w:p>
  </w:footnote>
  <w:footnote w:type="continuationSeparator" w:id="0">
    <w:p w:rsidR="00D01AF9" w:rsidRDefault="00D01AF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72D"/>
    <w:rsid w:val="00031190"/>
    <w:rsid w:val="00032991"/>
    <w:rsid w:val="000336BC"/>
    <w:rsid w:val="00062D8C"/>
    <w:rsid w:val="0007445E"/>
    <w:rsid w:val="000C1A85"/>
    <w:rsid w:val="000E4A43"/>
    <w:rsid w:val="000F04AC"/>
    <w:rsid w:val="001105DB"/>
    <w:rsid w:val="00135CBF"/>
    <w:rsid w:val="00181EEC"/>
    <w:rsid w:val="001837BA"/>
    <w:rsid w:val="001914DF"/>
    <w:rsid w:val="001925F3"/>
    <w:rsid w:val="001A4B5B"/>
    <w:rsid w:val="001B3D8C"/>
    <w:rsid w:val="001D6CD8"/>
    <w:rsid w:val="00215513"/>
    <w:rsid w:val="002279BF"/>
    <w:rsid w:val="00244E60"/>
    <w:rsid w:val="00255B3A"/>
    <w:rsid w:val="00261B2C"/>
    <w:rsid w:val="002D5184"/>
    <w:rsid w:val="002E192C"/>
    <w:rsid w:val="002F1066"/>
    <w:rsid w:val="00326B2B"/>
    <w:rsid w:val="00345ECE"/>
    <w:rsid w:val="003543D9"/>
    <w:rsid w:val="003969F3"/>
    <w:rsid w:val="003A5204"/>
    <w:rsid w:val="003C6FCC"/>
    <w:rsid w:val="003D3D45"/>
    <w:rsid w:val="00440E58"/>
    <w:rsid w:val="004506D1"/>
    <w:rsid w:val="00452FDE"/>
    <w:rsid w:val="004908E5"/>
    <w:rsid w:val="004B11BF"/>
    <w:rsid w:val="004E2001"/>
    <w:rsid w:val="004E5D5C"/>
    <w:rsid w:val="004F0064"/>
    <w:rsid w:val="004F464B"/>
    <w:rsid w:val="005112E3"/>
    <w:rsid w:val="0051328C"/>
    <w:rsid w:val="005427DD"/>
    <w:rsid w:val="0056203E"/>
    <w:rsid w:val="0057431E"/>
    <w:rsid w:val="00581EE3"/>
    <w:rsid w:val="005919A3"/>
    <w:rsid w:val="00595897"/>
    <w:rsid w:val="005E6FE4"/>
    <w:rsid w:val="00600850"/>
    <w:rsid w:val="00604870"/>
    <w:rsid w:val="006102F4"/>
    <w:rsid w:val="006158FA"/>
    <w:rsid w:val="0063172D"/>
    <w:rsid w:val="00663ECE"/>
    <w:rsid w:val="00667DD0"/>
    <w:rsid w:val="00673301"/>
    <w:rsid w:val="006A4821"/>
    <w:rsid w:val="006B7D86"/>
    <w:rsid w:val="006E2BBF"/>
    <w:rsid w:val="006F3171"/>
    <w:rsid w:val="00712CF8"/>
    <w:rsid w:val="00742861"/>
    <w:rsid w:val="007A312B"/>
    <w:rsid w:val="007B645F"/>
    <w:rsid w:val="0080065C"/>
    <w:rsid w:val="00802C5E"/>
    <w:rsid w:val="008241AE"/>
    <w:rsid w:val="008D6574"/>
    <w:rsid w:val="008F0882"/>
    <w:rsid w:val="008F3820"/>
    <w:rsid w:val="00934D27"/>
    <w:rsid w:val="00945B35"/>
    <w:rsid w:val="00970AF1"/>
    <w:rsid w:val="009854C5"/>
    <w:rsid w:val="009A072D"/>
    <w:rsid w:val="009F074E"/>
    <w:rsid w:val="00A00FD4"/>
    <w:rsid w:val="00A17D61"/>
    <w:rsid w:val="00A242E7"/>
    <w:rsid w:val="00A5475F"/>
    <w:rsid w:val="00AB2D38"/>
    <w:rsid w:val="00AB3F66"/>
    <w:rsid w:val="00AD22C8"/>
    <w:rsid w:val="00AE17AB"/>
    <w:rsid w:val="00B04FCD"/>
    <w:rsid w:val="00B2095E"/>
    <w:rsid w:val="00B215DA"/>
    <w:rsid w:val="00B43B3D"/>
    <w:rsid w:val="00B55846"/>
    <w:rsid w:val="00B62915"/>
    <w:rsid w:val="00B809DF"/>
    <w:rsid w:val="00BC18F1"/>
    <w:rsid w:val="00BE3D6A"/>
    <w:rsid w:val="00C0535A"/>
    <w:rsid w:val="00C121B8"/>
    <w:rsid w:val="00C26BE6"/>
    <w:rsid w:val="00C377FD"/>
    <w:rsid w:val="00C57F47"/>
    <w:rsid w:val="00C73F9D"/>
    <w:rsid w:val="00C7516C"/>
    <w:rsid w:val="00C83AC4"/>
    <w:rsid w:val="00C848AB"/>
    <w:rsid w:val="00C85ABD"/>
    <w:rsid w:val="00CC4443"/>
    <w:rsid w:val="00CD2391"/>
    <w:rsid w:val="00CD4174"/>
    <w:rsid w:val="00D01AF9"/>
    <w:rsid w:val="00D01E1A"/>
    <w:rsid w:val="00D04B34"/>
    <w:rsid w:val="00D0550D"/>
    <w:rsid w:val="00D350E7"/>
    <w:rsid w:val="00D4717A"/>
    <w:rsid w:val="00D57A7D"/>
    <w:rsid w:val="00D832C4"/>
    <w:rsid w:val="00D84F42"/>
    <w:rsid w:val="00DA04D4"/>
    <w:rsid w:val="00DB5769"/>
    <w:rsid w:val="00DE1C80"/>
    <w:rsid w:val="00E22EFC"/>
    <w:rsid w:val="00E30933"/>
    <w:rsid w:val="00E41415"/>
    <w:rsid w:val="00E511FA"/>
    <w:rsid w:val="00E616B6"/>
    <w:rsid w:val="00E872C0"/>
    <w:rsid w:val="00EA68C9"/>
    <w:rsid w:val="00EC6146"/>
    <w:rsid w:val="00ED368E"/>
    <w:rsid w:val="00ED5DCE"/>
    <w:rsid w:val="00F126B8"/>
    <w:rsid w:val="00F2283F"/>
    <w:rsid w:val="00F3667F"/>
    <w:rsid w:val="00F46620"/>
    <w:rsid w:val="00F53E5E"/>
    <w:rsid w:val="00F652F5"/>
    <w:rsid w:val="00F91397"/>
    <w:rsid w:val="00FA10CD"/>
    <w:rsid w:val="00FC6E57"/>
    <w:rsid w:val="00FD7113"/>
    <w:rsid w:val="00FE205E"/>
    <w:rsid w:val="00FE5DF9"/>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8" w:lineRule="auto"/>
    </w:pPr>
    <w:rPr>
      <w:kern w:val="2"/>
      <w:sz w:val="24"/>
      <w:szCs w:val="24"/>
      <w:lang w:val="zh-C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666666"/>
    </w:rPr>
  </w:style>
  <w:style w:type="paragraph" w:customStyle="1" w:styleId="EFF55DCCC4634D4A9BE2A5C34FB4F775">
    <w:name w:val="EFF55DCCC4634D4A9BE2A5C34FB4F775"/>
    <w:qFormat/>
    <w:pPr>
      <w:spacing w:after="160" w:line="278" w:lineRule="auto"/>
    </w:pPr>
    <w:rPr>
      <w:kern w:val="2"/>
      <w:sz w:val="24"/>
      <w:szCs w:val="24"/>
      <w:lang w:val="zh-CN" w:eastAsia="zh-CN"/>
      <w14:ligatures w14:val="standardContextual"/>
    </w:rPr>
  </w:style>
  <w:style w:type="paragraph" w:customStyle="1" w:styleId="87D40D9D003C405E953F65716E5FFDB8">
    <w:name w:val="87D40D9D003C405E953F65716E5FFDB8"/>
    <w:pPr>
      <w:spacing w:after="160" w:line="278" w:lineRule="auto"/>
    </w:pPr>
    <w:rPr>
      <w:kern w:val="2"/>
      <w:sz w:val="24"/>
      <w:szCs w:val="24"/>
      <w:lang w:val="zh-CN" w:eastAsia="zh-CN"/>
      <w14:ligatures w14:val="standardContextual"/>
    </w:rPr>
  </w:style>
  <w:style w:type="paragraph" w:customStyle="1" w:styleId="D8171AB6C13C41D28FC502E0FCF281E6">
    <w:name w:val="D8171AB6C13C41D28FC502E0FCF281E6"/>
    <w:qFormat/>
    <w:pPr>
      <w:spacing w:after="160" w:line="278" w:lineRule="auto"/>
    </w:pPr>
    <w:rPr>
      <w:kern w:val="2"/>
      <w:sz w:val="24"/>
      <w:szCs w:val="24"/>
      <w:lang w:val="zh-CN" w:eastAsia="zh-CN"/>
      <w14:ligatures w14:val="standardContextual"/>
    </w:rPr>
  </w:style>
  <w:style w:type="paragraph" w:customStyle="1" w:styleId="69E6D424A2F14E41AFC590E6CBDAC925">
    <w:name w:val="69E6D424A2F14E41AFC590E6CBDAC925"/>
    <w:pPr>
      <w:spacing w:after="160" w:line="278" w:lineRule="auto"/>
    </w:pPr>
    <w:rPr>
      <w:kern w:val="2"/>
      <w:sz w:val="24"/>
      <w:szCs w:val="24"/>
      <w:lang w:val="zh-CN"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31C44F-5491-45DB-9E3F-21C3750CBAD5}">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d081fce9-996b-4ec5-8f0e-7c87f385e388&quot;,&quot;properties&quot;:{&quot;noteIndex&quot;:0},&quot;isEdited&quot;:false,&quot;manualOverride&quot;:{&quot;isManuallyOverridden&quot;:true,&quot;citeprocText&quot;:&quot;(Waryati &amp;#38; Solaiman, 2022)&quot;,&quot;manualOverrideText&quot;:&quot;(Waryati &amp; Solaiman, 2022).&quot;},&quot;citationTag&quot;:&quot;MENDELEY_CITATION_v3_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&quot;,&quot;citationItems&quot;:[{&quot;id&quot;:&quot;733df4cc-bd68-348b-aecb-a85eee165479&quot;,&quot;itemData&quot;:{&quot;type&quot;:&quot;article-journal&quot;,&quot;id&quot;:&quot;733df4cc-bd68-348b-aecb-a85eee165479&quot;,&quot;title&quot;:&quot;Pengaruh Lingkungan Makroekonomi Terhadap Indeks Harga Saham Gabungan di Bursa Efek Indonesia&quot;,&quot;author&quot;:[{&quot;family&quot;:&quot;Waryati&quot;,&quot;given&quot;:&quot;Sri Yuli&quot;,&quot;parse-names&quot;:false,&quot;dropping-particle&quot;:&quot;&quot;,&quot;non-dropping-particle&quot;:&quot;&quot;},{&quot;family&quot;:&quot;Solaiman&quot;,&quot;given&quot;:&quot;Andri&quot;,&quot;parse-names&quot;:false,&quot;dropping-particle&quot;:&quot;&quot;,&quot;non-dropping-particle&quot;:&quot;&quot;}],&quot;container-title&quot;:&quot;Coopetition: Jurnal Ilmiah Manajemen&quot;,&quot;DOI&quot;:&quot;https://doi.org/10.32670/coopetition.v13i2&quot;,&quot;ISSN&quot;:&quot;2086-4620&quot;,&quot;issued&quot;:{&quot;date-parts&quot;:[[2022]]},&quot;issue&quot;:&quot;2&quot;,&quot;volume&quot;:&quot;13&quot;,&quot;container-title-short&quot;:&quot;&quot;},&quot;isTemporary&quot;:false}]},{&quot;citationID&quot;:&quot;MENDELEY_CITATION_92c7a0b9-0ab0-4f13-85e1-6fd6171024af&quot;,&quot;properties&quot;:{&quot;noteIndex&quot;:0},&quot;isEdited&quot;:false,&quot;manualOverride&quot;:{&quot;isManuallyOverridden&quot;:true,&quot;citeprocText&quot;:&quot;(Rokhyani et al., 2023)&quot;,&quot;manualOverrideText&quot;:&quot;(Rokhyani et al., 2023).&quot;},&quot;citationTag&quot;:&quot;MENDELEY_CITATION_v3_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&quot;,&quot;citationItems&quot;:[{&quot;id&quot;:&quot;d77de958-a8de-3a6a-b335-cc6fdecfbc15&quot;,&quot;itemData&quot;:{&quot;type&quot;:&quot;article-journal&quot;,&quot;id&quot;:&quot;d77de958-a8de-3a6a-b335-cc6fdecfbc15&quot;,&quot;title&quot;:&quot;Do financial ratios affect stock prices in the consumer non-cyclical sector?&quot;,&quot;author&quot;:[{&quot;family&quot;:&quot;Rokhyani&quot;,&quot;given&quot;:&quot;Ida&quot;,&quot;parse-names&quot;:false,&quot;dropping-particle&quot;:&quot;&quot;,&quot;non-dropping-particle&quot;:&quot;&quot;},{&quot;family&quot;:&quot;Widodo&quot;,&quot;given&quot;:&quot;Saniman&quot;,&quot;parse-names&quot;:false,&quot;dropping-particle&quot;:&quot;&quot;,&quot;non-dropping-particle&quot;:&quot;&quot;},{&quot;family&quot;:&quot;Sari1&quot;,&quot;given&quot;:&quot;Mella Katrina&quot;,&quot;parse-names&quot;:false,&quot;dropping-particle&quot;:&quot;&quot;,&quot;non-dropping-particle&quot;:&quot;&quot;}],&quot;container-title&quot;:&quot;Sebelas Maret Business Review&quot;,&quot;DOI&quot;:&quot;https://dx.doi.org/10.20961/smbr.v8i1.77448&quot;,&quot;ISSN&quot;:&quot;2528-0635&quot;,&quot;URL&quot;:&quot;www.investing.com.&quot;,&quot;issued&quot;:{&quot;date-parts&quot;:[[2023]]},&quot;page&quot;:&quot;78-87&quot;,&quot;abstract&quot;:&quot;Maintaining a company's position among its competitors requires significant investment funds.&quot;,&quot;issue&quot;:&quot;2&quot;,&quot;volume&quot;:&quot;8&quot;,&quot;container-title-short&quot;:&quot;&quot;},&quot;isTemporary&quot;:false}]},{&quot;citationID&quot;:&quot;MENDELEY_CITATION_64aefaca-61ed-47b4-8c55-9904a60865ce&quot;,&quot;properties&quot;:{&quot;noteIndex&quot;:0},&quot;isEdited&quot;:false,&quot;manualOverride&quot;:{&quot;isManuallyOverridden&quot;:true,&quot;citeprocText&quot;:&quot;(Barsyah &amp;#38; Hermi, 2025)&quot;,&quot;manualOverrideText&quot;:&quot;(Barsyah &amp; Hermi, 2025).&quot;},&quot;citationTag&quot;:&quot;MENDELEY_CITATION_v3_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&quot;,&quot;citationItems&quot;:[{&quot;id&quot;:&quot;7d9bc423-e403-3326-992c-1f7c0c04a629&quot;,&quot;itemData&quot;:{&quot;type&quot;:&quot;article-journal&quot;,&quot;id&quot;:&quot;7d9bc423-e403-3326-992c-1f7c0c04a629&quot;,&quot;title&quot;:&quot;Faktor yang Mempengaruhi Profitabilitas pada Perusahaan Consumer Non Cyclical Tahun 2021-2023&quot;,&quot;author&quot;:[{&quot;family&quot;:&quot;Barsyah&quot;,&quot;given&quot;:&quot;Nurul Laily&quot;,&quot;parse-names&quot;:false,&quot;dropping-particle&quot;:&quot;&quot;,&quot;non-dropping-particle&quot;:&quot;&quot;},{&quot;family&quot;:&quot;Hermi&quot;,&quot;given&quot;:&quot;Hermi&quot;,&quot;parse-names&quot;:false,&quot;dropping-particle&quot;:&quot;&quot;,&quot;non-dropping-particle&quot;:&quot;&quot;}],&quot;container-title&quot;:&quot;Jurnal Inovasi Ekonomi Syariah dan Akuntansi&quot;,&quot;DOI&quot;:&quot;10.61132/jiesa.v2i2.847&quot;,&quot;issued&quot;:{&quot;date-parts&quot;:[[2025]]},&quot;page&quot;:&quot;1-16&quot;,&quot;abstract&quot;:&quot;Companies run businesses with the aim of gaining profits that can be measured by profitability. Profitability is a measure that evaluates a company's ability to generate profits or profits over time. This study aims to analyze the effect of accounts receivable turnover, sales growth, inventory turnover, and cash turnover on profitability. This research was conducted on non-cyclical consumer companies listed on the Indonesia Stock Exchange. This research is a descriptive quantitative study. This study uses panel data consisting of cross-section data, namely non-cyclical consumer companies with a time series for the period 2021-2023. The sample used in this study was 59 companies. The analysis technique used in this study is panel data regression. The results of the analysis show that (1) Accounts receivable turnover has a positive and significant effect on profitability in the non-cyclical consumer sector. (2) Sales growth does not affect profitability in the non-cyclical consumer sector. (3) Inventory turnover has a positive and significant effect on profitability in the non-cyclical consumer sector. (4) Cash turnover does not affect profitability in the non-cyclical consumer sector&quot;,&quot;issue&quot;:&quot;2&quot;,&quot;volume&quot;:&quot;2&quot;,&quot;container-title-short&quot;:&quot;&quot;},&quot;isTemporary&quot;:false}]},{&quot;citationID&quot;:&quot;MENDELEY_CITATION_51a05b10-6c0f-4f24-8476-6b9631419e82&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&quot;,&quot;citationItems&quot;:[{&quot;id&quot;:&quot;bb6cc062-0c97-3a2f-9ccc-ff6a22bf666d&quot;,&quot;itemData&quot;:{&quot;type&quot;:&quot;article-journal&quot;,&quot;id&quot;:&quot;bb6cc062-0c97-3a2f-9ccc-ff6a22bf666d&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container-title&quot;:&quot;EL MUHASABA: Jurnal Akutansi&quot;,&quot;DOI&quot;:&quot;https://doi.org/10.18860/em.v12i1.10123&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eac56c1b-0093-4f8e-8b6e-19b33c54b5bb&quot;,&quot;properties&quot;:{&quot;noteIndex&quot;:0},&quot;isEdited&quot;:false,&quot;manualOverride&quot;:{&quot;isManuallyOverridden&quot;:true,&quot;citeprocText&quot;:&quot;(Suwandani et al., 2017)&quot;,&quot;manualOverrideText&quot;:&quot;(Suwandani et al., 2017).&quot;},&quot;citationTag&quot;:&quot;MENDELEY_CITATION_v3_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&quot;,&quot;citationItems&quot;:[{&quot;id&quot;:&quot;fd864899-42eb-3001-8add-3effd60d8192&quot;,&quot;itemData&quot;:{&quot;type&quot;:&quot;article-journal&quot;,&quot;id&quot;:&quot;fd864899-42eb-3001-8add-3effd60d8192&quot;,&quot;title&quot;:&quot;Pengaruh Profitabilitas Terhadap Harga Saham&quot;,&quot;author&quot;:[{&quot;family&quot;:&quot;Suwandani&quot;,&quot;given&quot;:&quot;Anita&quot;,&quot;parse-names&quot;:false,&quot;dropping-particle&quot;:&quot;&quot;,&quot;non-dropping-particle&quot;:&quot;&quot;},{&quot;family&quot;:&quot;Suhendro&quot;,&quot;given&quot;:&quot;&quot;,&quot;parse-names&quot;:false,&quot;dropping-particle&quot;:&quot;&quot;,&quot;non-dropping-particle&quot;:&quot;&quot;},{&quot;family&quot;:&quot;Wijayanti&quot;,&quot;given&quot;:&quot;Anita&quot;,&quot;parse-names&quot;:false,&quot;dropping-particle&quot;:&quot;&quot;,&quot;non-dropping-particle&quot;:&quot;&quot;}],&quot;container-title&quot;:&quot;JURNAL AKUNTANSI DAN PAJAK&quot;,&quot;DOI&quot;:&quot;https://doi.org/10.29040/jap.v18i01.89&quot;,&quot;ISSN&quot;:&quot;2579-3055&quot;,&quot;issued&quot;:{&quot;date-parts&quot;:[[2017]]},&quot;issue&quot;:&quot;01&quot;,&quot;volume&quot;:&quot;18&quot;,&quot;container-title-short&quot;:&quot;&quot;},&quot;isTemporary&quot;:false}]},{&quot;citationID&quot;:&quot;MENDELEY_CITATION_7c9cb3bb-380c-46c9-a703-b3785c2bb184&quot;,&quot;properties&quot;:{&quot;noteIndex&quot;:0},&quot;isEdited&quot;:false,&quot;manualOverride&quot;:{&quot;isManuallyOverridden&quot;:true,&quot;citeprocText&quot;:&quot;(Wahyuningrum &amp;#38; Sunarto, 2023)&quot;,&quot;manualOverrideText&quot;:&quot;(Wahyuningrum &amp; Sunarto, 2023).&quot;},&quot;citationTag&quot;:&quot;MENDELEY_CITATION_v3_eyJjaXRhdGlvbklEIjoiTUVOREVMRVlfQ0lUQVRJT05fN2M5Y2IzYmItMzgwYy00NmM5LWE3MDMtYjM3ODVjMmJiMTg0IiwicHJvcGVydGllcyI6eyJub3RlSW5kZXgiOjB9LCJpc0VkaXRlZCI6ZmFsc2UsIm1hbnVhbE92ZXJyaWRlIjp7ImlzTWFudWFsbHlPdmVycmlkZGVuIjp0cnVlLCJjaXRlcHJvY1RleHQiOiIoV2FoeXVuaW5ncnVtICYjMzg7IFN1bmFydG8sIDIwMjMpIiwibWFudWFsT3ZlcnJpZGVUZXh0IjoiKFdhaHl1bmluZ3J1bSAmIFN1bmFydG8sIDIwMjMpLi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quot;,&quot;citationItems&quot;:[{&quot;id&quot;:&quot;4954fd65-bda0-3067-baf3-0fdbd63c0a54&quot;,&quot;itemData&quot;:{&quot;type&quot;:&quot;article-journal&quot;,&quot;id&quot;:&quot;4954fd65-bda0-3067-baf3-0fdbd63c0a54&quot;,&quot;title&quot;:&quot;Pengaruh Likuiditas, Profitabilitas, Leverage Dan Ukuran Perusahaan\nTerhadap Nilai Perusahaan&quot;,&quot;author&quot;:[{&quot;family&quot;:&quot;Wahyuningrum&quot;,&quot;given&quot;:&quot;Alfa Dwi&quot;,&quot;parse-names&quot;:false,&quot;dropping-particle&quot;:&quot;&quot;,&quot;non-dropping-particle&quot;:&quot;&quot;},{&quot;family&quot;:&quot;Sunarto&quot;,&quot;given&quot;:&quot;&quot;,&quot;parse-names&quot;:false,&quot;dropping-particle&quot;:&quot;&quot;,&quot;non-dropping-particle&quot;:&quot;&quot;}],&quot;container-title&quot;:&quot;Jurnal Riset Akutansi Politala&quot;,&quot;accessed&quot;:{&quot;date-parts&quot;:[[2025,4,20]]},&quot;URL&quot;:&quot;http://jra.politala.ac.id/index.php/JRA/index&quot;,&quot;issued&quot;:{&quot;date-parts&quot;:[[2023]]},&quot;issue&quot;:&quot;1&quot;,&quot;volume&quot;:&quot;6&quot;,&quot;container-title-short&quot;:&quot;&quot;},&quot;isTemporary&quot;:false}]},{&quot;citationID&quot;:&quot;MENDELEY_CITATION_c2849adc-e90e-4a35-9cf3-abc118b44f43&quot;,&quot;properties&quot;:{&quot;noteIndex&quot;:0},&quot;isEdited&quot;:false,&quot;manualOverride&quot;:{&quot;isManuallyOverridden&quot;:true,&quot;citeprocText&quot;:&quot;(Puspitasari et al., 2025; Putra &amp;#38; Sari, 2023; Saputra, 2022; Sukesti et al., 2021)&quot;,&quot;manualOverrideText&quot;:&quot;(Puspitasari et al., 2025; Putra &amp; Sari, 2023; Saputra, 2022; Sukesti et al., 2021).&quot;},&quot;citationTag&quot;:&quot;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&quot;,&quot;citationItems&quot;:[{&quot;id&quot;:&quot;70a46632-22ad-3a8b-a6b9-16d2ef9c35ca&quot;,&quot;itemData&quot;:{&quot;type&quot;:&quot;article-journal&quot;,&quot;id&quot;:&quot;70a46632-22ad-3a8b-a6b9-16d2ef9c35ca&quot;,&quot;title&quot;:&quot;The Effect Of NPM, ROA, ROE, EPS And Per Ratio On The Stock Price Of Lq45 Companies Listed On The Indonesian Stock Exchange For The Period 2021-2023&quot;,&quot;author&quot;:[{&quot;family&quot;:&quot;Puspitasari&quot;,&quot;given&quot;:&quot;Nadia&quot;,&quot;parse-names&quot;:false,&quot;dropping-particle&quot;:&quot;&quot;,&quot;non-dropping-particle&quot;:&quot;&quot;},{&quot;family&quot;:&quot;Soleh&quot;,&quot;given&quot;:&quot;Ahmad&quot;,&quot;parse-names&quot;:false,&quot;dropping-particle&quot;:&quot;&quot;,&quot;non-dropping-particle&quot;:&quot;&quot;},{&quot;family&quot;:&quot;Irawan Abi&quot;,&quot;given&quot;:&quot;Yudi&quot;,&quot;parse-names&quot;:false,&quot;dropping-particle&quot;:&quot;&quot;,&quot;non-dropping-particle&quot;:&quot;&quot;}],&quot;container-title&quot;:&quot;Jurnal Ilmiah Ekonomi dan Bisnis&quot;,&quot;DOI&quot;:&quot;10.37676/ekombis.v13i1&quot;,&quot;ISSN&quot;:&quot;2716-4411&quot;,&quot;URL&quot;:&quot;https://jurnal.unived.ac.id/index.php/er/indexDOI:https://doi.org/10.37676/ekombis.v13i1&quot;,&quot;issued&quot;:{&quot;date-parts&quot;:[[2025]]},&quot;page&quot;:&quot;13&quot;,&quot;abstract&quot;:&quot;There are many companies listed on the Indonesia Stock Exchange (BEI), but there is a special classification for companies with the best financial performance. One of them is a company included in the LQ45 index group.&quot;,&quot;issue&quot;:&quot;1&quot;,&quot;volume&quot;:&quot;13&quot;,&quot;container-title-short&quot;:&quot;&quot;},&quot;isTemporary&quot;:false},{&quot;id&quot;:&quot;7f209997-758e-3a05-88b8-315716fee9bb&quot;,&quot;itemData&quot;:{&quot;type&quot;:&quot;article-journal&quot;,&quot;id&quot;:&quot;7f209997-758e-3a05-88b8-315716fee9bb&quot;,&quot;title&quot;:&quot;Pengaruh ROA, CR, dan DER terhadap PBV Pada Sektor Manufaktur Sub Sektor Makanan dan Minuman Yang Terdaftar di Bursa Efek Indonesia Periode 2018-2020&quot;,&quot;author&quot;:[{&quot;family&quot;:&quot;Putra&quot;,&quot;given&quot;:&quot;Pramana&quot;,&quot;parse-names&quot;:false,&quot;dropping-particle&quot;:&quot;&quot;,&quot;non-dropping-particle&quot;:&quot;&quot;},{&quot;family&quot;:&quot;Sari&quot;,&quot;given&quot;:&quot;Eka Purnama&quot;,&quot;parse-names&quot;:false,&quot;dropping-particle&quot;:&quot;&quot;,&quot;non-dropping-particle&quot;:&quot;&quot;}],&quot;container-title&quot;:&quot;Manajemen Kreatif Jurnal&quot;,&quot;DOI&quot;:&quot;10.55606/makreju.v1i4.2167&quot;,&quot;ISSN&quot;:&quot;2963-9638&quot;,&quot;issued&quot;:{&quot;date-parts&quot;:[[2023]]},&quot;page&quot;:&quot;189-202&quot;,&quot;abstract&quot;:&quot;Firm value is the level of success of managers in managing company resources entrusted to them which is often associated with stock prices. This study aims to examine and analyze the effect of ROA, CR, and DER on PBV in food and beverage companies listed on the Indonesia Stock Exchange. The type of research used in this research is quantitative research with a descriptive approach. The samples used in this study amounted to 20 which were taken using purposive sampling method. ROA has no effect on PBV for food and beverage companies listed on the Indonesia Stock Exchange for the 2018-2020 period, CR has no effect on PBV for food and beverage companies listed on the Indonesia Stock Exchange for the 2018-2020 period. DER has no effect on the PBV of food and beverage companies listed on the Indonesia Stock Exchange for the 2018-2020 period. ROA, CR AND DER have no effect on the PBV of food and beverage companies listed on the Indonesia Stock Exchange for the period 2018-2020\r  \r  &quot;,&quot;publisher&quot;:&quot;Politeknik Pratama Purwokerto&quot;,&quot;issue&quot;:&quot;4&quot;,&quot;volume&quot;:&quot;1&quot;,&quot;container-title-short&quot;:&quot;&quot;},&quot;isTemporary&quot;:false},{&quot;id&quot;:&quot;5b3e29c8-9434-38fd-9b75-83c780b64f03&quot;,&quot;itemData&quot;:{&quot;type&quot;:&quot;article-journal&quot;,&quot;id&quot;:&quot;5b3e29c8-9434-38fd-9b75-83c780b64f03&quot;,&quot;title&quot;:&quot;Analysis Effect Return on Assets (ROA), Return on Equity (ROE) and Price Earning Ratio (PER) on Stock Prices of Coal Companies in the Indonesia Stock Exchange (IDX) Period 2018-2021&quot;,&quot;author&quot;:[{&quot;family&quot;:&quot;Saputra&quot;,&quot;given&quot;:&quot;Farhan&quot;,&quot;parse-names&quot;:false,&quot;dropping-particle&quot;:&quot;&quot;,&quot;non-dropping-particle&quot;:&quot;&quot;}],&quot;container-title&quot;:&quot;Dinasti International Journal Of Economics, Finance And Accounting&quot;,&quot;DOI&quot;:&quot;10.38035/dijefa.v3i1&quot;,&quot;URL&quot;:&quot;https://doi.org/10.38035/dijefa.v3i1&quot;,&quot;issued&quot;:{&quot;date-parts&quot;:[[2022]]},&quot;issue&quot;:&quot;1&quot;,&quot;volume&quot;:&quot;3&quot;,&quot;container-title-short&quot;:&quot;&quot;},&quot;isTemporary&quot;:false},{&quot;id&quot;:&quot;19fabc40-18e5-33e9-8f6a-0bdedaf4d412&quot;,&quot;itemData&quot;:{&quot;type&quot;:&quot;article-journal&quot;,&quot;id&quot;:&quot;19fabc40-18e5-33e9-8f6a-0bdedaf4d412&quot;,&quot;title&quot;:&quot;Factors Affecting the Stock Price: The Role of Firm Performance&quot;,&quot;author&quot;:[{&quot;family&quot;:&quot;Sukesti&quot;,&quot;given&quot;:&quot;Fatmasari&quot;,&quot;parse-names&quot;:false,&quot;dropping-particle&quot;:&quot;&quot;,&quot;non-dropping-particle&quot;:&quot;&quot;},{&quot;family&quot;:&quot;Ghozali&quot;,&quot;given&quot;:&quot;Imam&quot;,&quot;parse-names&quot;:false,&quot;dropping-particle&quot;:&quot;&quot;,&quot;non-dropping-particle&quot;:&quot;&quot;},{&quot;family&quot;:&quot;Fuad&quot;,&quot;given&quot;:&quot;Fuad&quot;,&quot;parse-names&quot;:false,&quot;dropping-particle&quot;:&quot;&quot;,&quot;non-dropping-particle&quot;:&quot;&quot;},{&quot;family&quot;:&quot;Almasyhari&quot;,&quot;given&quot;:&quot;Abdul Kharis&quot;,&quot;parse-names&quot;:false,&quot;dropping-particle&quot;:&quot;&quot;,&quot;non-dropping-particle&quot;:&quot;&quot;},{&quot;family&quot;:&quot;Nurcahyono&quot;,&quot;given&quot;:&quot;Nurcahyono&quot;,&quot;parse-names&quot;:false,&quot;dropping-particle&quot;:&quot;&quot;,&quot;non-dropping-particle&quot;:&quot;&quot;}],&quot;container-title&quot;:&quot;Journal of Asian Finance, Economics and Business&quot;,&quot;DOI&quot;:&quot;10.13106/jafeb.2021.vol8.no2.0165&quot;,&quot;ISSN&quot;:&quot;22884645&quot;,&quot;issued&quot;:{&quot;date-parts&quot;:[[2021]]},&quot;page&quot;:&quot;165-173&quot;,&quot;abstract&quot;:&quot;This study examined the effect of Debt Equity Ratio (DER), Net Profit Margin (NPM), and Size on stock prices with company performance as measured by Return on Assets (ROA) as a mediating variable. The sample used is 136 manufacturing companies listed on the Indonesia Stock Exchange (IDX) in the 2014-2018 period. This research was tested using a Warp PLS statistical test tool to prove the proposed hypothesis. The results showed that DER has a significant negative effect on ROA and a significant positive effect on Stock Price. NPM has a significant positive effect on ROA as well as a significant positive effect on Stock Price. While Size has a significant positive effect on ROA but has no effect on Stock Price. ROA has a significant positive effect on Stock Price. ROA does not act as a mediating variable in the relationship between Size and Stock Price; however, ROA acts as a mediating variable in the DER and Stock Price relationship, as well as, in the relationship between NPM and Stock Price. The implications of the results of this study can be used by investors in making investment decisions, paying attention to the company’s financial aspects, namely DER, NPM, Size, and ROA.&quot;,&quot;publisher&quot;:&quot;Korea Distribution Science Association (KODISA)&quot;,&quot;issue&quot;:&quot;2&quot;,&quot;volume&quot;:&quot;8&quot;,&quot;container-title-short&quot;:&quot;&quot;},&quot;isTemporary&quot;:false}]},{&quot;citationID&quot;:&quot;MENDELEY_CITATION_631a897c-18e3-42ff-b8c1-48b115b01619&quot;,&quot;properties&quot;:{&quot;noteIndex&quot;:0},&quot;isEdited&quot;:false,&quot;manualOverride&quot;:{&quot;isManuallyOverridden&quot;:true,&quot;citeprocText&quot;:&quot;(Ginting et al., 2024; Kusumaningrum &amp;#38; Iswara, 2022; Muktiadji &amp;#38; Pamungkas, 2022)&quot;,&quot;manualOverrideText&quot;:&quot;(Ginting et al., 2024; Kusumaningrum &amp; Iswara, 2022; Muktiadji &amp; Pamungkas, 2022).&quot;},&quot;citationTag&quot;:&quot;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&quot;,&quot;citationItems&quot;:[{&quot;id&quot;:&quot;a1b80354-bdd9-3ca4-a0a4-887fd1b7ad5e&quot;,&quot;itemData&quot;:{&quot;type&quot;:&quot;article-journal&quot;,&quot;id&quot;:&quot;a1b80354-bdd9-3ca4-a0a4-887fd1b7ad5e&quot;,&quot;title&quot;:&quot;The Effect Of Financial Performance On The Stock Price Of Companies With Earnings Per Share As A Moderating Variety (Case Study On Property And Real Estate Companies Listed On The Idx In 2019-2023)&quot;,&quot;author&quot;:[{&quot;family&quot;:&quot;Ginting&quot;,&quot;given&quot;:&quot;Arya Permana&quot;,&quot;parse-names&quot;:false,&quot;dropping-particle&quot;:&quot;&quot;,&quot;non-dropping-particle&quot;:&quot;&quot;},{&quot;family&quot;:&quot;Ilham&quot;,&quot;given&quot;:&quot;Rico Nur&quot;,&quot;parse-names&quot;:false,&quot;dropping-particle&quot;:&quot;&quot;,&quot;non-dropping-particle&quot;:&quot;&quot;},{&quot;family&quot;:&quot;Syamni&quot;,&quot;given&quot;:&quot;Ghazali&quot;,&quot;parse-names&quot;:false,&quot;dropping-particle&quot;:&quot;&quot;,&quot;non-dropping-particle&quot;:&quot;&quot;},{&quot;family&quot;:&quot;Akhyar&quot;,&quot;given&quot;:&quot;Chairil&quot;,&quot;parse-names&quot;:false,&quot;dropping-particle&quot;:&quot;&quot;,&quot;non-dropping-particle&quot;:&quot;&quot;}],&quot;container-title&quot;:&quot;JARUDA : Journal of Accounting Research Utility Finance And Digital assets&quot;,&quot;DOI&quot;:&quot;https://doi.org/10.54443/jaruda.v3i3.208&quot;,&quot;URL&quot;:&quot;www.idx.co.id&quot;,&quot;issued&quot;:{&quot;date-parts&quot;:[[2024]]},&quot;abstract&quot;:&quot;This research aims to determine the effect of financial performance on company share prices with earnings per share as a moderating variable (case study of property and real estate companies listed on the BEI in 2019-2023. The sample for this research is 52 property and real estate sector companies listed on Indonesia Stock Exchange (BEI) and which submitted consecutive annual financial reports during the 2019-2022 period. The analysis tool used is panel data regression using descriptive statistics, classical assumption tests and hypothesis testing has no effect on share prices in property and real estate sector companies listed on the BEI for the 2019-2023 period, then EPS is unable to influence ROA and DER on share prices in property and real estate sector companies listed on the BEI for the 2019-2023 period.&quot;,&quot;issue&quot;:&quot;3&quot;,&quot;volume&quot;:&quot;3&quot;,&quot;container-title-short&quot;:&quot;&quot;},&quot;isTemporary&quot;:false},{&quot;id&quot;:&quot;d2127a71-8f2d-3ea8-ab98-1faf98c5f73d&quot;,&quot;itemData&quot;:{&quot;type&quot;:&quot;article-journal&quot;,&quot;id&quot;:&quot;d2127a71-8f2d-3ea8-ab98-1faf98c5f73d&quot;,&quot;title&quot;:&quot;Pengaruh Profitabilitas, Leverage, dan Ukuran Perusahaan Terhadap Nilai Perusahaan&quot;,&quot;author&quot;:[{&quot;family&quot;:&quot;Kusumaningrum&quot;,&quot;given&quot;:&quot;Diyah Putri&quot;,&quot;parse-names&quot;:false,&quot;dropping-particle&quot;:&quot;&quot;,&quot;non-dropping-particle&quot;:&quot;&quot;},{&quot;family&quot;:&quot;Iswara&quot;,&quot;given&quot;:&quot;Ulfa Setia&quot;,&quot;parse-names&quot;:false,&quot;dropping-particle&quot;:&quot;&quot;,&quot;non-dropping-particle&quot;:&quot;&quot;}],&quot;container-title&quot;:&quot;Jurnal Ilmiah Akuntansi dan Keauangan&quot;,&quot;DOI&quot;:&quot;10.24034/jiaku.v1i3&quot;,&quot;issued&quot;:{&quot;date-parts&quot;:[[2022]]},&quot;page&quot;:&quot;295-312&quot;,&quot;abstract&quot;:&quot;Issn 2963-671X DOI 10.24034/jiaku.v1i3. 5509 Key word: profitability, leverage, firm size, firm value. Kata kunci: profitabilitas, leverage, ukuran perusahaan, nilai perusahaan. Abstract This research aimed to examine and analyze independent variables consisting of profitability, leverage, and firm size; on the dependent variable namely, firm value. The profitability was measured by Return On Asset (ROA), leverage was measured by Debt to Equity Ratio (DER), and firm size was measured by SIZE. Meanwhile, the firm value was measured by Price Book Value (PBV). The population was Food and Beverage companies that were listed on Indonesia Stock Exchange (IDX) during 2017-2021. The research was quantitative. Furthermore, the data collection technique used purposive sampling. In line with that, there were 14 companies as the sample and 70 data of observations. Additionally, the data analysis technique used multiple linear analysis. The result concluded that (a) profitability had a positive effect on firm value. It meant, that with good profitability, the companies could become a good prospect for investors in the future. Likewise, (b) leverage had a positive effect on firm value. This meant that higher leverage would increase the firm value which the investors liked. However, (c) firm size did not affect firm value since it could not be a profit consideration within companies.&quot;,&quot;issue&quot;:&quot;3&quot;,&quot;volume&quot;:&quot;1&quot;,&quot;container-title-short&quot;:&quot;&quot;},&quot;isTemporary&quot;:false},{&quot;id&quot;:&quot;617e3aea-4d0c-37bb-9e77-30d04d15048c&quot;,&quot;itemData&quot;:{&quot;type&quot;:&quot;article-journal&quot;,&quot;id&quot;:&quot;617e3aea-4d0c-37bb-9e77-30d04d15048c&quot;,&quot;title&quot;:&quot;The Effect of Financial Ratio on Stock Price of Banks Listed on the Indonesia Stock Exchange (IDX)&quot;,&quot;author&quot;:[{&quot;family&quot;:&quot;Muktiadji&quot;,&quot;given&quot;:&quot;Nusa&quot;,&quot;parse-names&quot;:false,&quot;dropping-particle&quot;:&quot;&quot;,&quot;non-dropping-particle&quot;:&quot;&quot;},{&quot;family&quot;:&quot;Pamungkas&quot;,&quot;given&quot;:&quot;Bambang&quot;,&quot;parse-names&quot;:false,&quot;dropping-particle&quot;:&quot;&quot;,&quot;non-dropping-particle&quot;:&quot;&quot;}],&quot;container-title&quot;:&quot;Asian Journal of Economics, Business and Accounting&quot;,&quot;DOI&quot;:&quot;10.9734/ajeba/2022/v22i24910&quot;,&quot;issued&quot;:{&quot;date-parts&quot;:[[2022]]},&quot;page&quot;:&quot;232-240&quot;,&quot;abstract&quot;:&quot;This study aims to analyze the effect of financial ratios on stock prices ­of banks listed on the IDX, how _they influence _return on assets (ROA), debt -equity ratio (DER), price book value (PBV), and net profit margin (NPM)­. This research method uses the descriptive method. The unit of analysis is the banking companies listed on the Indonesia Stock Exchange (IDX). The research sample is 50 bank companies. The analytical method used in this study is multiple linear regression method. The results showed that partially PBV has a positive effect on stock prices, while ROA has no positive effect. DER has no negative effect on stock prices, and NPM has no positive effect on stock prices. Simultaneously ROA, DER, PBV, and NPM affect stock prices at banks listed on the Indonesia Stock Exchange. The limitations of this study are the limitations of the processed data and the variables used. This study ­would be helpful to the equity investment community, as material consideration for investing in companies.&quot;,&quot;publisher&quot;:&quot;Sciencedomain International&quot;,&quot;issue&quot;:&quot;24&quot;,&quot;volume&quot;:&quot;22&quot;,&quot;container-title-short&quot;:&quot;&quot;},&quot;isTemporary&quot;:false}]},{&quot;citationID&quot;:&quot;MENDELEY_CITATION_302593e4-0323-4e5b-908a-2df520775272&quot;,&quot;properties&quot;:{&quot;noteIndex&quot;:0},&quot;isEdited&quot;:false,&quot;manualOverride&quot;:{&quot;isManuallyOverridden&quot;:true,&quot;citeprocText&quot;:&quot;(Arhinful &amp;#38; Radmehr, 2023)&quot;,&quot;manualOverrideText&quot;:&quot;(Arhinful &amp; Radmehr, 2023).&quot;},&quot;citationTag&quot;:&quot;MENDELEY_CITATION_v3_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&quot;,&quot;citationItems&quot;:[{&quot;id&quot;:&quot;d4b53d9c-10a9-322c-bb8a-e9ab08da5196&quot;,&quot;itemData&quot;:{&quot;type&quot;:&quot;article-journal&quot;,&quot;id&quot;:&quot;d4b53d9c-10a9-322c-bb8a-e9ab08da5196&quot;,&quot;title&quot;:&quot;The Impact of Financial Leverage on the Financial Performance of the Firms Listed on the Tokyo Stock Exchange&quot;,&quot;author&quot;:[{&quot;family&quot;:&quot;Arhinful&quot;,&quot;given&quot;:&quot;Richard&quot;,&quot;parse-names&quot;:false,&quot;dropping-particle&quot;:&quot;&quot;,&quot;non-dropping-particle&quot;:&quot;&quot;},{&quot;family&quot;:&quot;Radmehr&quot;,&quot;given&quot;:&quot;Mehrshad&quot;,&quot;parse-names&quot;:false,&quot;dropping-particle&quot;:&quot;&quot;,&quot;non-dropping-particle&quot;:&quot;&quot;}],&quot;container-title&quot;:&quot;SAGE Open&quot;,&quot;container-title-short&quot;:&quot;Sage Open&quot;,&quot;DOI&quot;:&quot;10.1177/21582440231204099&quot;,&quot;ISSN&quot;:&quot;21582440&quot;,&quot;issued&quot;:{&quot;date-parts&quot;:[[2023,10,1]]},&quot;abstract&quot;:&quot;Japan is widely regarded as one of the world’s most developed nations. The country’s electronics industry, in particular, is consistently ranked among the global leaders in innovatiion. Industries such as automotive, construction, electronics, metal, and telecommunications, companies have traditionally leaned more heavily on debt financing for both their day-to-day operations and investment endeavors, rather than relying on equity financing. In Japan, debt financing is favored as cost-effective source of capital compared to equity financing. The study selected 257 automotive, construction, electronic, metal, and telecommunications companies between 2000 and 2021. To find the effect of financial leverage on financial performance, the study used the random effect and the GMM to estimate the effect of the firms’ leverage on financial performance. The study found that interest coverage has a positive and statistically significant effect on ROA, ROE, and Tobin’s Q. The study discovered that cash coverage has a positive and statistically significant effect on ROE. The study found that debt service obligations have a negative and statistically significant effect on financial performance.&quot;,&quot;publisher&quot;:&quot;SAGE Publications Inc.&quot;,&quot;issue&quot;:&quot;4&quot;,&quot;volume&quot;:&quot;13&quot;},&quot;isTemporary&quot;:false}]},{&quot;citationID&quot;:&quot;MENDELEY_CITATION_3dd767e5-964b-4503-8f8a-ad300a1e2d5a&quot;,&quot;properties&quot;:{&quot;noteIndex&quot;:0},&quot;isEdited&quot;:false,&quot;manualOverride&quot;:{&quot;isManuallyOverridden&quot;:true,&quot;citeprocText&quot;:&quot;(Kim et al., 2023)&quot;,&quot;manualOverrideText&quot;:&quot;(Kim et al., 2023),&quot;},&quot;citationTag&quot;:&quot;MENDELEY_CITATION_v3_eyJjaXRhdGlvbklEIjoiTUVOREVMRVlfQ0lUQVRJT05fM2RkNzY3ZTUtOTY0Yi00NTAzLThmOGEtYWQzMDBhMWUyZDVhIiwicHJvcGVydGllcyI6eyJub3RlSW5kZXgiOjB9LCJpc0VkaXRlZCI6ZmFsc2UsIm1hbnVhbE92ZXJyaWRlIjp7ImlzTWFudWFsbHlPdmVycmlkZGVuIjp0cnVlLCJjaXRlcHJvY1RleHQiOiIoS2ltIGV0IGFsLiwgMjAyMykiLCJtYW51YWxPdmVycmlkZVRleHQiOiIoS2ltIGV0IGFsLiwgMjAyMyks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citationID&quot;:&quot;MENDELEY_CITATION_59785bb9-c8a9-4393-be7e-26b755c6181c&quot;,&quot;properties&quot;:{&quot;noteIndex&quot;:0},&quot;isEdited&quot;:false,&quot;manualOverride&quot;:{&quot;isManuallyOverridden&quot;:true,&quot;citeprocText&quot;:&quot;(Silas et al., 2025)&quot;,&quot;manualOverrideText&quot;:&quot;(Silas et al., 2025).&quot;},&quot;citationTag&quot;:&quot;MENDELEY_CITATION_v3_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&quot;,&quot;citationItems&quot;:[{&quot;id&quot;:&quot;e3eca6f7-1899-357c-8187-96929a4615b1&quot;,&quot;itemData&quot;:{&quot;type&quot;:&quot;article-journal&quot;,&quot;id&quot;:&quot;e3eca6f7-1899-357c-8187-96929a4615b1&quot;,&quot;title&quot;:&quot;Corporate Tax Shield and Earnings Multiple of Listed Deposit Money Banks in Nigeria&quot;,&quot;author&quot;:[{&quot;family&quot;:&quot;Silas&quot;,&quot;given&quot;:&quot;Idara&quot;,&quot;parse-names&quot;:false,&quot;dropping-particle&quot;:&quot;&quot;,&quot;non-dropping-particle&quot;:&quot;&quot;},{&quot;family&quot;:&quot;Etim&quot;,&quot;given&quot;:&quot;Uwem&quot;,&quot;parse-names&quot;:false,&quot;dropping-particle&quot;:&quot;&quot;,&quot;non-dropping-particle&quot;:&quot;&quot;},{&quot;family&quot;:&quot;Paul&quot;,&quot;given&quot;:&quot;Usen&quot;,&quot;parse-names&quot;:false,&quot;dropping-particle&quot;:&quot;&quot;,&quot;non-dropping-particle&quot;:&quot;&quot;}],&quot;container-title&quot;:&quot;Journal of Accounting and Financial Management E&quot;,&quot;DOI&quot;:&quot;10.56201/jafm.v11.no1.2025.pg22.39&quot;,&quot;ISSN&quot;:&quot;2695-2211&quot;,&quot;URL&quot;:&quot;www.iiardjournals.org&quot;,&quot;issued&quot;:{&quot;date-parts&quot;:[[2025]]},&quot;abstract&quot;:&quot;The multiplicity of tax system has made it very imperative for banks to take conscious effort to reduce tax liabilities by engaging in cost cutting strategies. This study therefore was carried out to ascertain the effect of corporate tax shield on earnings multiple of deposit money banks listed on the Nigerian Exchange Group for the period 2014 to 2023. The independent variable of this study being corporate tax shield was proxied by debt tax shield, depreciation tax shield and charitable donation tax shield while the dependent variable was earnings multiple. The research design adopted for this study was ex post facto, secondary data were used. The population of the study was 13 listed deposit money banks in Nigeria while the sample size of 11 deposit money banks was purposively selected. The data were analysed tested using the robust fixed effects generalized least square regression and the statistical package employed was STATA version 14.2. The result of the analysis revealed that debt tax shield has a significant positive effect on earnings multiple; depreciation tax shield has nonsignificant effect on earnings multiple; charitable donations tax shield has significant negative effect on earnings multiple of listed deposit money banks in Nigeria. Thus, it was concluded that tax shield has significant effect on earnings multiple of listed deposit money banks in Nigeria. Based on these findings, it was recommended among others that the management of listed deposit money banks in Nigeria should leverage debt financing to reduce their tax liability and increase their earnings multiple. This can be achieved by increasing debt financing in their capital structure and taking advantage of interest deductions on debt.&quot;,&quot;issue&quot;:&quot;1&quot;,&quot;volume&quot;:&quot;11&quot;,&quot;container-title-short&quot;:&quot;&quot;},&quot;isTemporary&quot;:false}]},{&quot;citationID&quot;:&quot;MENDELEY_CITATION_09e7f8e7-412e-4d4c-a0e4-5d3c6f0290c8&quot;,&quot;properties&quot;:{&quot;noteIndex&quot;:0},&quot;isEdited&quot;:false,&quot;manualOverride&quot;:{&quot;isManuallyOverridden&quot;:true,&quot;citeprocText&quot;:&quot;(Emanue &amp;#38; Riwayati, 2024; Kusuma et al., 2024; Suwarno &amp;#38; Muthmainnah, 2024)&quot;,&quot;manualOverrideText&quot;:&quot;(Emanue &amp; Riwayati, 2024; Kusuma et al., 2024; Suwarno &amp; Muthmainnah, 2024).&quot;},&quot;citationTag&quot;:&quot;MENDELEY_CITATION_v3_eyJjaXRhdGlvbklEIjoiTUVOREVMRVlfQ0lUQVRJT05fMDllN2Y4ZTctNDEyZS00ZDRjLWEwZTQtNWQzYzZmMDI5MGM4IiwicHJvcGVydGllcyI6eyJub3RlSW5kZXgiOjB9LCJpc0VkaXRlZCI6ZmFsc2UsIm1hbnVhbE92ZXJyaWRlIjp7ImlzTWFudWFsbHlPdmVycmlkZGVuIjp0cnVlLCJjaXRlcHJvY1RleHQiOiIoRW1hbnVlICYjMzg7IFJpd2F5YXRpLCAyMDI0OyBLdXN1bWEgZXQgYWwuLCAyMDI0OyBTdXdhcm5vICYjMzg7IE11dGhtYWlubmFoLCAyMDI0KSIsIm1hbnVhbE92ZXJyaWRlVGV4dCI6IihFbWFudWUgJiBSaXdheWF0aSwgMjAyNDsgS3VzdW1hIGV0IGFsLiwgMjAyNDsgU3V3YXJubyAmIE11dGhtYWlubmFoLCAyMDI0KS4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quot;,&quot;citationItems&quot;:[{&quot;id&quot;:&quot;aeb95b29-1394-338f-b5cc-aef7b24c9a11&quot;,&quot;itemData&quot;:{&quot;type&quot;:&quot;article-journal&quot;,&quot;id&quot;:&quot;aeb95b29-1394-338f-b5cc-aef7b24c9a11&quot;,&quot;title&quot;:&quot;Financial Performance Affecting Stock Prices of Food and Beverage Sub-Sector Companies in Indonesia Article history&quot;,&quot;author&quot;:[{&quot;family&quot;:&quot;Emanue&quot;,&quot;given&quot;:&quot;Magdalena Permatasari&quot;,&quot;parse-names&quot;:false,&quot;dropping-particle&quot;:&quot;&quot;,&quot;non-dropping-particle&quot;:&quot;&quot;},{&quot;family&quot;:&quot;Riwayati&quot;,&quot;given&quot;:&quot;Hedwigis Esti&quot;,&quot;parse-names&quot;:false,&quot;dropping-particle&quot;:&quot;&quot;,&quot;non-dropping-particle&quot;:&quot;&quot;}],&quot;container-title&quot;:&quot;Management Research Studies Journal Vulume&quot;,&quot;DOI&quot;:&quot;https://doi.org/10.56174/mrsj.v5i1.646&quot;,&quot;URL&quot;:&quot;https://journal.perbanas.id/index.php/mrsj&quot;,&quot;issued&quot;:{&quot;date-parts&quot;:[[2024]]},&quot;page&quot;:&quot;2745-6161&quot;,&quot;abstract&quot;:&quot;This research aimed to analyze the effect of return on asset, return on equity, debt to equity ratio and earning per share toward stock price in company food and beverage sub-sector listed on the Indonesia Stock Exchange during the period 2018 to 2022. The population in this research was 118 companies in the consumer non-cyclicals sector. The determination of samples is using purposive sampling method, so that the selected sample is relevant to the research objectives. The company sampled in this research was 16 food and beverage companies. Researchers used data panel regression analysis techniques with data processing using the E-views 10 application to test the research hypothesis. The results shows return on assets and return on equity has no positive effect on stock prices, debt to equity ratio has a negative effect on stock prices and earning per share has a positive effect on the stock price of food and beverage sub-sector companies. These research results are simultaneously shows that the return on asset, return on equity, debt to equity ratio and earning per share variables are capable to explain stock prices on those 16 food and beverages companies listed on the Indonesia Stock Exchange.&quot;,&quot;issue&quot;:&quot;1&quot;,&quot;volume&quot;:&quot;5&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6e02ccd1-668b-3579-a80d-88d3907b02e0&quot;,&quot;itemData&quot;:{&quot;type&quot;:&quot;article-journal&quot;,&quot;id&quot;:&quot;6e02ccd1-668b-3579-a80d-88d3907b02e0&quot;,&quot;title&quot;:&quot;Fundamental Factors on Stock Price with Sustainability Report as Moderating Variable&quot;,&quot;author&quot;:[{&quot;family&quot;:&quot;Suwarno&quot;,&quot;given&quot;:&quot;Try Edi&quot;,&quot;parse-names&quot;:false,&quot;dropping-particle&quot;:&quot;&quot;,&quot;non-dropping-particle&quot;:&quot;&quot;},{&quot;family&quot;:&quot;Muthmainnah&quot;,&quot;given&quot;:&quot;Riyadatul&quot;,&quot;parse-names&quot;:false,&quot;dropping-particle&quot;:&quot;&quot;,&quot;non-dropping-particle&quot;:&quot;&quot;}],&quot;container-title&quot;:&quot;INTERNATIONAL JOURNAL OF SOCIAL SCIENCE AND EDUCATION RESEARCH STUDIES&quot;,&quot;DOI&quot;:&quot;10.55677/ijssers/V04I9Y2024-01&quot;,&quot;ISSN&quot;:&quot;27702782&quot;,&quot;URL&quot;:&quot;https://ijssers.org/single-view/?id=9983&amp;pid=9980&quot;,&quot;issued&quot;:{&quot;date-parts&quot;:[[2024]]},&quot;abstract&quot;:&quot;&lt;p&gt;This study aims to obtain empirical evidence of the effect of Liquidity, Solvency, and Profitability on Stock Prices with Sustainability Report as a Moderating Variable. The population in this study were mining companies on the Indonesia Stock Exchange. Sampling was done using purposive sampling. The secondary data collection method used is financial reports and sustainability reports. The results showed that Liquidity and Profitability had no effect on Stock Price while Solvency had a negative effect on Stock Price, Sustainability Report did not strengthen Liquidity and Profitability on Stock Price while Sustainability Report strengthened the effect of Solvency on Stock Price.&lt;/p&gt;&quot;,&quot;issue&quot;:&quot;09&quot;,&quot;volume&quot;:&quot;04&quot;,&quot;container-title-short&quot;:&quot;&quot;},&quot;isTemporary&quot;:false}]},{&quot;citationID&quot;:&quot;MENDELEY_CITATION_49a793e0-4d20-4352-ba46-c8929dba8a67&quot;,&quot;properties&quot;:{&quot;noteIndex&quot;:0},&quot;isEdited&quot;:false,&quot;manualOverride&quot;:{&quot;isManuallyOverridden&quot;:true,&quot;citeprocText&quot;:&quot;(Argyanezar &amp;#38; Damayanti, 2024; Arifin et al., 2024; Sukesti et al., 2021; Supriadi et al., 2024)&quot;,&quot;manualOverrideText&quot;:&quot;(Argyanezar &amp; Damayanti, 2024; Arifin et al., 2024; Sukesti et al., 2021; Supriadi et al., 2024).&quot;},&quot;citationTag&quot;:&quot;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&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6a06ddd1-3f7b-35ba-81ed-a418644022de&quot;,&quot;itemData&quot;:{&quot;type&quot;:&quot;article-journal&quot;,&quot;id&quot;:&quot;6a06ddd1-3f7b-35ba-81ed-a418644022de&quot;,&quot;title&quot;:&quot;Financial Ratios' Effect on Stock Prices in Banking Subsector Companies&quot;,&quot;author&quot;:[{&quot;family&quot;:&quot;Arifin&quot;,&quot;given&quot;:&quot;Childan Berlian&quot;,&quot;parse-names&quot;:false,&quot;dropping-particle&quot;:&quot;&quot;,&quot;non-dropping-particle&quot;:&quot;&quot;},{&quot;family&quot;:&quot;Zulbetti&quot;,&quot;given&quot;:&quot;Rita&quot;,&quot;parse-names&quot;:false,&quot;dropping-particle&quot;:&quot;&quot;,&quot;non-dropping-particle&quot;:&quot;&quot;},{&quot;family&quot;:&quot;Perwito&quot;,&quot;given&quot;:&quot;&quot;,&quot;parse-names&quot;:false,&quot;dropping-particle&quot;:&quot;&quot;,&quot;non-dropping-particle&quot;:&quot;&quot;}],&quot;container-title&quot;:&quot;Jurnal Ilmu Keuangan dan Perbankan (JIKA)&quot;,&quot;DOI&quot;:&quot;https://doi.org/10.34010/jika.v14i1.14139&quot;,&quot;ISSN&quot;:&quot;2086-0455&quot;,&quot;issued&quot;:{&quot;date-parts&quot;:[[2024]]},&quot;abstract&quot;:&quot;This research analyzed the impact of financial ratios on stock prices in banking companies listed on the IDX from 2020 to 2023. Using a sample of 19 companies selected through purposive sampling from 47 issuers, the study examined Profitability (ROA, ROE), Solvency (DER), and Market Value (PBV) ratios. The findings show that ROE and PBV have a positive and significant impact on Stock Prices, suggesting that investors value companies with strong equity returns and market valuation. In contrast, ROA and DER do not significantly influence stock prices, indicating that asset utilization and debt levels may not be major considerations for investors in this sector. These results provide valuable insights for investors and regulators, underscoring the importance of financial ratios in making informed investment decisions and understanding stock price movements in the banking industry.&quot;,&quot;issue&quot;:&quot;1&quot;,&quot;volume&quot;:&quot;14&quot;,&quot;container-title-short&quot;:&quot;&quot;},&quot;isTemporary&quot;:false},{&quot;id&quot;:&quot;19fabc40-18e5-33e9-8f6a-0bdedaf4d412&quot;,&quot;itemData&quot;:{&quot;type&quot;:&quot;article-journal&quot;,&quot;id&quot;:&quot;19fabc40-18e5-33e9-8f6a-0bdedaf4d412&quot;,&quot;title&quot;:&quot;Factors Affecting the Stock Price: The Role of Firm Performance&quot;,&quot;author&quot;:[{&quot;family&quot;:&quot;Sukesti&quot;,&quot;given&quot;:&quot;Fatmasari&quot;,&quot;parse-names&quot;:false,&quot;dropping-particle&quot;:&quot;&quot;,&quot;non-dropping-particle&quot;:&quot;&quot;},{&quot;family&quot;:&quot;Ghozali&quot;,&quot;given&quot;:&quot;Imam&quot;,&quot;parse-names&quot;:false,&quot;dropping-particle&quot;:&quot;&quot;,&quot;non-dropping-particle&quot;:&quot;&quot;},{&quot;family&quot;:&quot;Fuad&quot;,&quot;given&quot;:&quot;Fuad&quot;,&quot;parse-names&quot;:false,&quot;dropping-particle&quot;:&quot;&quot;,&quot;non-dropping-particle&quot;:&quot;&quot;},{&quot;family&quot;:&quot;Almasyhari&quot;,&quot;given&quot;:&quot;Abdul Kharis&quot;,&quot;parse-names&quot;:false,&quot;dropping-particle&quot;:&quot;&quot;,&quot;non-dropping-particle&quot;:&quot;&quot;},{&quot;family&quot;:&quot;Nurcahyono&quot;,&quot;given&quot;:&quot;Nurcahyono&quot;,&quot;parse-names&quot;:false,&quot;dropping-particle&quot;:&quot;&quot;,&quot;non-dropping-particle&quot;:&quot;&quot;}],&quot;container-title&quot;:&quot;Journal of Asian Finance, Economics and Business&quot;,&quot;DOI&quot;:&quot;10.13106/jafeb.2021.vol8.no2.0165&quot;,&quot;ISSN&quot;:&quot;22884645&quot;,&quot;issued&quot;:{&quot;date-parts&quot;:[[2021]]},&quot;page&quot;:&quot;165-173&quot;,&quot;abstract&quot;:&quot;This study examined the effect of Debt Equity Ratio (DER), Net Profit Margin (NPM), and Size on stock prices with company performance as measured by Return on Assets (ROA) as a mediating variable. The sample used is 136 manufacturing companies listed on the Indonesia Stock Exchange (IDX) in the 2014-2018 period. This research was tested using a Warp PLS statistical test tool to prove the proposed hypothesis. The results showed that DER has a significant negative effect on ROA and a significant positive effect on Stock Price. NPM has a significant positive effect on ROA as well as a significant positive effect on Stock Price. While Size has a significant positive effect on ROA but has no effect on Stock Price. ROA has a significant positive effect on Stock Price. ROA does not act as a mediating variable in the relationship between Size and Stock Price; however, ROA acts as a mediating variable in the DER and Stock Price relationship, as well as, in the relationship between NPM and Stock Price. The implications of the results of this study can be used by investors in making investment decisions, paying attention to the company’s financial aspects, namely DER, NPM, Size, and ROA.&quot;,&quot;publisher&quot;:&quot;Korea Distribution Science Association (KODISA)&quot;,&quot;issue&quot;:&quot;2&quot;,&quot;volume&quot;:&quot;8&quot;,&quot;container-title-short&quot;:&quot;&quot;},&quot;isTemporary&quot;:false},{&quot;id&quot;:&quot;f2bd1be4-992a-3c09-bec1-59b91f4741a0&quot;,&quot;itemData&quot;:{&quot;type&quot;:&quot;article-journal&quot;,&quot;id&quot;:&quot;f2bd1be4-992a-3c09-bec1-59b91f4741a0&quot;,&quot;title&quot;:&quot;The Influence Of Liquidity, Leverage , Profitability, And Inflation On Stock Prices&quot;,&quot;author&quot;:[{&quot;family&quot;:&quot;Supriadi&quot;,&quot;given&quot;:&quot;Yoyon&quot;,&quot;parse-names&quot;:false,&quot;dropping-particle&quot;:&quot;&quot;,&quot;non-dropping-particle&quot;:&quot;&quot;},{&quot;family&quot;:&quot;Standika&quot;,&quot;given&quot;:&quot;Christian&quot;,&quot;parse-names&quot;:false,&quot;dropping-particle&quot;:&quot;&quot;,&quot;non-dropping-particle&quot;:&quot;&quot;},{&quot;family&quot;:&quot;Nurisnaini&quot;,&quot;given&quot;:&quot;Neni&quot;,&quot;parse-names&quot;:false,&quot;dropping-particle&quot;:&quot;&quot;,&quot;non-dropping-particle&quot;:&quot;&quot;}],&quot;container-title&quot;:&quot;Jurnal Ilmiah Manajemen Kesatuan&quot;,&quot;DOI&quot;:&quot;10.37641/jimkes.v12i3.2542&quot;,&quot;ISSN&quot;:&quot;2337-7860&quot;,&quot;issued&quot;:{&quot;date-parts&quot;:[[2024,5,25]]},&quot;page&quot;:&quot;629-636&quot;,&quot;abstract&quot;:&quot;This research aims to examine the influence of liquidity, Leverage, profitability, and inflation on the stock prices of trading companies listed on the Indonesia Stock Exchange during the period of 2017-2021. A quantitative approach was utilized in this study. The sample was selected using purposive sampling method, consisting of trading companies listed on the Indonesia Stock Exchange during the years 2017-2021. Initially, there were 79 companies, but the sample was narrowed down to 8 trading companies where their financial reports were publicly available and accessible. The findings of this study are as follows: (1) Current Ratio (CR) does not have a significant impact on stock prices, with a significant value of 0.365 &gt; 0.05. (2) Debt to Equity Ratio (DER) does not have a significant impact on stock prices, with a significant value of 0.320 &lt; 0.05. (3) Return on Equity Assets (ROA) has a significant positive influence on stock prices, with a significance value of 0.00 &lt; 0.05. Based on the simultaneous testing results, this research confirms a significant influence between the variables of Current Ratio (CR), Debt to Equity Ratio (DER), and Return on Assets (ROA) on Stock Prices, with a significant value of 0.000 &lt; 0 .\r  \r Keywords: Liquidity, Leverage, Profitability, Inflation, Stock Prices.&quot;,&quot;publisher&quot;:&quot;Institut Bisnis dan Informatika Kesatuan&quot;,&quot;issue&quot;:&quot;3&quot;,&quot;volume&quot;:&quot;12&quot;,&quot;container-title-short&quot;:&quot;&quot;},&quot;isTemporary&quot;:false}]},{&quot;citationID&quot;:&quot;MENDELEY_CITATION_e8d22b22-fa8e-408a-b23a-a1456027697d&quot;,&quot;properties&quot;:{&quot;noteIndex&quot;:0},&quot;isEdited&quot;:false,&quot;manualOverride&quot;:{&quot;isManuallyOverridden&quot;:true,&quot;citeprocText&quot;:&quot;(Rendiyansyah &amp;#38; Kresandra, 2025)&quot;,&quot;manualOverrideText&quot;:&quot;(Rendiyansyah &amp; Kresandra, 2025).&quot;},&quot;citationTag&quot;:&quot;MENDELEY_CITATION_v3_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&quot;,&quot;citationItems&quot;:[{&quot;id&quot;:&quot;9772c5cd-e39f-3ac9-96d0-f16dc62c483c&quot;,&quot;itemData&quot;:{&quot;type&quot;:&quot;article-journal&quot;,&quot;id&quot;:&quot;9772c5cd-e39f-3ac9-96d0-f16dc62c483c&quot;,&quot;title&quot;:&quot;The Effect Of Liquidity, Solvency And Profitability On Stock Prices (Study of Classification J Infrastructure Companies Listed on the Indonesian Stock Exchange for the 2020-2023 Period)&quot;,&quot;author&quot;:[{&quot;family&quot;:&quot;Rendiyansyah&quot;,&quot;given&quot;:&quot;Rois&quot;,&quot;parse-names&quot;:false,&quot;dropping-particle&quot;:&quot;&quot;,&quot;non-dropping-particle&quot;:&quot;&quot;},{&quot;family&quot;:&quot;Kresandra&quot;,&quot;given&quot;:&quot;Anak agung Ngurah Aung&quot;,&quot;parse-names&quot;:false,&quot;dropping-particle&quot;:&quot;&quot;,&quot;non-dropping-particle&quot;:&quot;&quot;}],&quot;container-title&quot;:&quot;DIJEFA : Dinasti Internasional Journal of Economi, Finance &amp; Accounting&quot;,&quot;DOI&quot;:&quot;10.38035/dijefa.v5i6&quot;,&quot;issued&quot;:{&quot;date-parts&quot;:[[2025]]},&quot;abstract&quot;:&quot;This research investigates the empirical relationship between liquidity, solvency, and profitability and stock prices of infrastructure companies listed on the Indonesia Stock Exchange (IDX) during the 2020-2023 period. Employing a sample of 22 infrastructure companies selected through purposive sampling, the study utilizes multiple linear regression analysis with current ratio, debt-to-equity ratio, and return on assets as independent variables. The findings indicate that liquidity exerts a negative influence on stock prices, while profitability demonstrates a positive correlation. Notably, solvency does not exhibit a significant impact on stock prices. These results suggest that investors in infrastructure companies may prioritize high profitability over high liquidity when making investment decisions. The study contributes to the existing literature by providing empirical evidence on the financial determinants of stock prices in the infrastructure sector and offers insights for future research.&quot;,&quot;issue&quot;:&quot;6&quot;,&quot;volume&quot;:&quot;5&quot;,&quot;container-title-short&quot;:&quot;&quot;},&quot;isTemporary&quot;:false}]},{&quot;citationID&quot;:&quot;MENDELEY_CITATION_7b1ec20e-45f4-4e40-9187-6ed6532c7f08&quot;,&quot;properties&quot;:{&quot;noteIndex&quot;:0},&quot;isEdited&quot;:false,&quot;manualOverride&quot;:{&quot;isManuallyOverridden&quot;:true,&quot;citeprocText&quot;:&quot;(Marcelina &amp;#38; Cahyono, 2022)&quot;,&quot;manualOverrideText&quot;:&quot;(Marcelina &amp; Cahyono, 2022).&quot;},&quot;citationTag&quot;:&quot;MENDELEY_CITATION_v3_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&quot;,&quot;citationItems&quot;:[{&quot;id&quot;:&quot;6eff325a-59db-38d9-bd11-46e33c556897&quot;,&quot;itemData&quot;:{&quot;type&quot;:&quot;article-journal&quot;,&quot;id&quot;:&quot;6eff325a-59db-38d9-bd11-46e33c556897&quot;,&quot;title&quot;:&quot;Pengaruh Current Ratio, Return On Asset Dan Earning Per Share Terhadap Harga Saham (Studi Pada Perusahaan Farmasi Yang Terdaftar Di BEI) Sekolah Tinggi Ilmu Ekonomi Indonesia (STIESIA) Surabaya&quot;,&quot;author&quot;:[{&quot;family&quot;:&quot;Marcelina&quot;,&quot;given&quot;:&quot;Diana Aristiya&quot;,&quot;parse-names&quot;:false,&quot;dropping-particle&quot;:&quot;&quot;,&quot;non-dropping-particle&quot;:&quot;&quot;},{&quot;family&quot;:&quot;Cahyono&quot;,&quot;given&quot;:&quot;Krido Eko&quot;,&quot;parse-names&quot;:false,&quot;dropping-particle&quot;:&quot;&quot;,&quot;non-dropping-particle&quot;:&quot;&quot;}],&quot;container-title&quot;:&quot;Jurnal Ilmu dan Riset Manajemen&quot;,&quot;accessed&quot;:{&quot;date-parts&quot;:[[2025,4,26]]},&quot;ISSN&quot;:&quot;2461-0593&quot;,&quot;URL&quot;:&quot;https://jurnalmahasiswa.stiesia.ac.id/index.php/jirm/issue/view/181&quot;,&quot;issued&quot;:{&quot;date-parts&quot;:[[2022]]},&quot;abstract&quot;:&quot;This research aimed to find out the effect of the Current Ratio (CR), Return On Asset (ROA) and Earning Per Share (EPS) on the stock price at a pharmaceutical company listed on the Indonesia Stock Exchange (IDX) during the periods of 2016-2020. Furthermore, the independent variable of this research used the Current Ratio (CR), Return On assets (ROA) and Earning Per Share (EPS) and the dependent variable used stock price.This research used the quantitative method. This research used a purposive sampling method with 11 pharmaceutical companies listed on Indonesia Stock Exchange (IDX) 7 samples fulfilled the determined criteria sample. Furthermore, the data analysis tehnique used multiple linear regression, classical assumption test, proper model test, and hypothesis test with SPSS 23. The research result showed that Current ratio (CR) had negative but insignificant effect on the stock price, Return on assets (ROA) had negative and significant effect on the stock price, while Earning Per Share (EPS) had positive and significant effect on the stock price.&quot;,&quot;issue&quot;:&quot;2&quot;,&quot;volume&quot;:&quot;11&quot;,&quot;container-title-short&quot;:&quot;&quot;},&quot;isTemporary&quot;:false}]},{&quot;citationID&quot;:&quot;MENDELEY_CITATION_7a11dbd6-61bf-4d62-b2d7-e3ea928b92d9&quot;,&quot;properties&quot;:{&quot;noteIndex&quot;:0},&quot;isEdited&quot;:false,&quot;manualOverride&quot;:{&quot;isManuallyOverridden&quot;:true,&quot;citeprocText&quot;:&quot;(Argyanezar &amp;#38; Damayanti, 2024; Purwanto &amp;#38; Perkasa, 2024; Wulansari et al., 2023)&quot;,&quot;manualOverrideText&quot;:&quot;(Argyanezar &amp; Damayanti, 2024; Purwanto &amp; Perkasa, 2024; Wulansari et al., 2023).&quot;},&quot;citationTag&quot;:&quot;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8c72fc31-633b-3f8b-b6e1-6c620d9e6918&quot;,&quot;itemData&quot;:{&quot;type&quot;:&quot;article-journal&quot;,&quot;id&quot;:&quot;8c72fc31-633b-3f8b-b6e1-6c620d9e6918&quot;,&quot;title&quot;:&quot;Banking Share Prices Analysis: The Influence of Financial Ratios Amidst Digital Transformation&quot;,&quot;author&quot;:[{&quot;family&quot;:&quot;Purwanto&quot;,&quot;given&quot;:&quot;Setiyo&quot;,&quot;parse-names&quot;:false,&quot;dropping-particle&quot;:&quot;&quot;,&quot;non-dropping-particle&quot;:&quot;&quot;},{&quot;family&quot;:&quot;Perkasa&quot;,&quot;given&quot;:&quot;Didin Hikmah&quot;,&quot;parse-names&quot;:false,&quot;dropping-particle&quot;:&quot;&quot;,&quot;non-dropping-particle&quot;:&quot;&quot;}],&quot;container-title&quot;:&quot;Quantitative Economics and Management Studies&quot;,&quot;DOI&quot;:&quot;10.35877/454RI.qems2753&quot;,&quot;ISSN&quot;:&quot;2722-6247&quot;,&quot;URL&quot;:&quot;https://qemsjournal.org/index.php/qems/article/view/2753&quot;,&quot;issued&quot;:{&quot;date-parts&quot;:[[2024]]},&quot;page&quot;:&quot;871-878&quot;,&quot;abstract&quot;:&quot;&lt;p&gt;This research aims to analyze the influence of financial ratios on share prices in the banking sub-sector listed on the Indonesia Stock Exchange. The approach in this research is to use a quantitative approach and based on its objectives, this type of research is causal, namely research that explains the influence of an independent variable on the dependent variable. The independent variables in this research include Current Ratio (CR), Debt to Equity Ratio (DER), and Return On Assets (ROA) and the dependent variable in this research is Stock Price. The population of this research is banking companies listed on the Indonesia Stock Exchange, totaling 46 banking issuers. The sample determination procedure uses a non-probability sampling method, namely in the form of purposive sampling. Purposive sampling is a sampling technique with certain considerations. Based on the selection results, there were 20 banks that met the criteria. Data analysis was carried out using multiple linear regression analysis. The results of the analysis show that the Current Ratio and Debt to Equity Ratio have a negative effect on stock prices, Return On Assets have a positive effect on share prices.&lt;/p&gt;&quot;,&quot;issue&quot;:&quot;4&quot;,&quot;volume&quot;:&quot;5&quot;,&quot;container-title-short&quot;:&quot;&quot;},&quot;isTemporary&quot;:false},{&quot;id&quot;:&quot;ea056536-c621-3e57-834f-5feed38648cf&quot;,&quot;itemData&quot;:{&quot;type&quot;:&quot;article-journal&quot;,&quot;id&quot;:&quot;ea056536-c621-3e57-834f-5feed38648cf&quot;,&quot;title&quot;:&quot;effect of financial ratio on stock price in telecommunications sector companies listed on the Indonesia stock exchange&quot;,&quot;author&quot;:[{&quot;family&quot;:&quot;Wulansari&quot;,&quot;given&quot;:&quot;Tri&quot;,&quot;parse-names&quot;:false,&quot;dropping-particle&quot;:&quot;&quot;,&quot;non-dropping-particle&quot;:&quot;&quot;},{&quot;family&quot;:&quot;Sulastri&quot;,&quot;given&quot;:&quot;Sulastri&quot;,&quot;parse-names&quot;:false,&quot;dropping-particle&quot;:&quot;&quot;,&quot;non-dropping-particle&quot;:&quot;&quot;},{&quot;family&quot;:&quot;Widiyanti&quot;,&quot;given&quot;:&quot;Marlina&quot;,&quot;parse-names&quot;:false,&quot;dropping-particle&quot;:&quot;&quot;,&quot;non-dropping-particle&quot;:&quot;&quot;},{&quot;family&quot;:&quot;Adam&quot;,&quot;given&quot;:&quot;Mohamad&quot;,&quot;parse-names&quot;:false,&quot;dropping-particle&quot;:&quot;&quot;,&quot;non-dropping-particle&quot;:&quot;&quot;}],&quot;container-title&quot;:&quot;International journal of business, economics &amp; management&quot;,&quot;DOI&quot;:&quot;10.21744/ijbem.v6n1.2058&quot;,&quot;issued&quot;:{&quot;date-parts&quot;:[[2023]]},&quot;page&quot;:&quot;1-9&quot;,&quot;abstract&quot;:&quot;This study aims to determine the effect of financial ratios on stock prices in telecommunications sector companies listed on the Indonesia Stock Exchange (IDX) during the 2017-2021 period. The population in this study were all telecommunications sector companies listed on the Indonesia Stock Exchange (IDX) from 2017 to 2021. Using a purposive sampling technique, the research sample consisted of 10 telecommunications sector companies. Data analysis used the panel data regression method, where the selected model was the fixed effect. The results showed that the Current Ratio (CR), Return on Equity (ROE), Return on Assets (ROA), and Earning Per Share (EPS) had a positive and significant effect on stock prices. In contrast, the Debt to Equity Ratio (DER) was negative and significant to stock prices.&quot;,&quot;publisher&quot;:&quot;Scientific and Literature Open Access Publishing&quot;,&quot;issue&quot;:&quot;1&quot;,&quot;volume&quot;:&quot;6&quot;,&quot;container-title-short&quot;:&quot;&quot;},&quot;isTemporary&quot;:false}]},{&quot;citationID&quot;:&quot;MENDELEY_CITATION_2a276834-be42-471b-9fca-a215e074c030&quot;,&quot;properties&quot;:{&quot;noteIndex&quot;:0},&quot;isEdited&quot;:false,&quot;manualOverride&quot;:{&quot;isManuallyOverridden&quot;:true,&quot;citeprocText&quot;:&quot;(Kusuma et al., 2024; Nugraha &amp;#38; Artini, 2022; Sa’adah et al., 2024)&quot;,&quot;manualOverrideText&quot;:&quot;(Kusuma et al., 2024; Nugraha &amp; Artini, 2022; Sa’adah et al., 2024).&quot;},&quot;citationTag&quot;:&quot;MENDELEY_CITATION_v3_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&quot;,&quot;citationItems&quot;:[{&quot;id&quot;:&quot;fa5ce42f-0f6a-31a3-82ba-9d6274e82118&quot;,&quot;itemData&quot;:{&quot;type&quot;:&quot;article-journal&quot;,&quot;id&quot;:&quot;fa5ce42f-0f6a-31a3-82ba-9d6274e82118&quot;,&quot;title&quot;:&quot;The Effect of Financial Performance on Stock Prices of Automotive and Component Sub Sector Companies in the Indonesia Stock Exchange&quot;,&quot;author&quot;:[{&quot;family&quot;:&quot;Nugraha&quot;,&quot;given&quot;:&quot;Komang Cipta&quot;,&quot;parse-names&quot;:false,&quot;dropping-particle&quot;:&quot;&quot;,&quot;non-dropping-particle&quot;:&quot;&quot;},{&quot;family&quot;:&quot;Artini&quot;,&quot;given&quot;:&quot;Luh Gede Sri&quot;,&quot;parse-names&quot;:false,&quot;dropping-particle&quot;:&quot;&quot;,&quot;non-dropping-particle&quot;:&quot;&quot;}],&quot;container-title&quot;:&quot;European Journal of Business and Management Research&quot;,&quot;DOI&quot;:&quot;10.24018/ejbmr.2022.7.4.1595&quot;,&quot;issued&quot;:{&quot;date-parts&quot;:[[2022]]},&quot;page&quot;:&quot;327-331&quot;,&quot;abstract&quot;:&quot;The tock price is a measure of investor interest in investing in a company. Companies that have good financial performance are generally the main focus of investors. Analysis of a company can be done by analyzing financial ratios. The phenomenon that occurs in the automotive and component sub-sector companies is the occurrence of stock price fluctuations caused by the company's internal and external factors. This study aims to analyze the effect of financial performance on stock prices of companies in the automotive and component sub-sectors on the Indonesia Stock Exchange. The data used in this study is secondary data, namely by looking at the financial statements of the automotive and component sub-sector companies on the Indonesia Stock Exchange which can be accessed through the website www.idx.co.id. This study uses the method of determining the sample using purposive sampling. The sample used is the automotive and component sub-sector companies on the Indonesia Stock Exchange, with 60 data. The analysis technique used is multiple linear regression. The results show that Return on Assets (ROA) has a positive effect on stock prices of companies in the automotive and component sub-sectors on the Indonesian stock exchange. Current Ratio (CR) has a negative effect on stock prices of companies in the automotive and component sub-sectors on the Indonesian stock exchange. Debt to Equity Ratio (DER) has a negative effect on the stock prices of companies in the automotive and component sub-sectors on the Indonesia Stock Exchange.&quot;,&quot;publisher&quot;:&quot;European Open Science Publishing&quot;,&quot;issue&quot;:&quot;4&quot;,&quot;volume&quot;:&quot;7&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d7c7841d-da72-3cb1-a74c-19d5458b2a35&quot;,&quot;itemData&quot;:{&quot;type&quot;:&quot;article-journal&quot;,&quot;id&quot;:&quot;d7c7841d-da72-3cb1-a74c-19d5458b2a35&quot;,&quot;title&quot;:&quot;The Effect Of Current Ratio (CR) and Net Profit Margin (NPM) On Stock Price (Case Study Of Automotive Subsector Manufacturing Companies Listed On The IDX in 2020-2022)&quot;,&quot;author&quot;:[{&quot;family&quot;:&quot;Sa'adah&quot;,&quot;given&quot;:&quot;Naellus&quot;,&quot;parse-names&quot;:false,&quot;dropping-particle&quot;:&quot;&quot;,&quot;non-dropping-particle&quot;:&quot;&quot;},{&quot;family&quot;:&quot;Alayda&quot;,&quot;given&quot;:&quot;Wulan&quot;,&quot;parse-names&quot;:false,&quot;dropping-particle&quot;:&quot;&quot;,&quot;non-dropping-particle&quot;:&quot;&quot;},{&quot;family&quot;:&quot;Komara&quot;,&quot;given&quot;:&quot;Acep&quot;,&quot;parse-names&quot;:false,&quot;dropping-particle&quot;:&quot;&quot;,&quot;non-dropping-particle&quot;:&quot;&quot;}],&quot;container-title&quot;:&quot;Technology, and Business (JETBIS)&quot;,&quot;DOI&quot;:&quot;https://doi.org/10.57185/jetbis.v3i7.114&quot;,&quot;ISSN&quot;:&quot;2962-9330&quot;,&quot;URL&quot;:&quot;https://jetbis.al-makkipublisher.com/index.php/al/index&quot;,&quot;issued&quot;:{&quot;date-parts&quot;:[[2024]]},&quot;issue&quot;:&quot;7&quot;,&quot;volume&quot;:&quot;3&quot;,&quot;container-title-short&quot;:&quot;&quot;},&quot;isTemporary&quot;:false}]},{&quot;citationID&quot;:&quot;MENDELEY_CITATION_289ae81a-41e4-4ac3-a7cf-6300ab83a4e8&quot;,&quot;properties&quot;:{&quot;noteIndex&quot;:0},&quot;isEdited&quot;:false,&quot;manualOverride&quot;:{&quot;isManuallyOverridden&quot;:true,&quot;citeprocText&quot;:&quot;(Tantorio et al., 2023)&quot;,&quot;manualOverrideText&quot;:&quot;(Tantorio et al., 2023).&quot;},&quot;citationTag&quot;:&quot;MENDELEY_CITATION_v3_eyJjaXRhdGlvbklEIjoiTUVOREVMRVlfQ0lUQVRJT05fMjg5YWU4MWEtNDFlNC00YWMzLWE3Y2YtNjMwMGFiODNhNGU4IiwicHJvcGVydGllcyI6eyJub3RlSW5kZXgiOjB9LCJpc0VkaXRlZCI6ZmFsc2UsIm1hbnVhbE92ZXJyaWRlIjp7ImlzTWFudWFsbHlPdmVycmlkZGVuIjp0cnVlLCJjaXRlcHJvY1RleHQiOiIoVGFudG9yaW8gZXQgYWwuLCAyMDIzKSIsIm1hbnVhbE92ZXJyaWRlVGV4dCI6IihUYW50b3JpbyBldCBhbC4sIDIwMjMpLi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quot;,&quot;citationItems&quot;:[{&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citationID&quot;:&quot;MENDELEY_CITATION_b4ccf56e-7e94-4e67-a2cf-47c7e3b1e743&quot;,&quot;properties&quot;:{&quot;noteIndex&quot;:0},&quot;isEdited&quot;:false,&quot;manualOverride&quot;:{&quot;isManuallyOverridden&quot;:true,&quot;citeprocText&quot;:&quot;(Argyanezar &amp;#38; Damayanti, 2024; Nurcholis et al., 2024; Tantorio et al., 2023)&quot;,&quot;manualOverrideText&quot;:&quot;(Argyanezar &amp; Damayanti, 2024; Nurcholis et al., 2024; Tantorio et al., 2023).&quot;},&quot;citationTag&quot;:&quot;MENDELEY_CITATION_v3_eyJjaXRhdGlvbklEIjoiTUVOREVMRVlfQ0lUQVRJT05fYjRjY2Y1NmUtN2U5NC00ZTY3LWEyY2YtNDdjN2UzYjFlNzQz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id&quot;:&quot;fd809ca6-8e5d-3ee9-aca6-0ec23bde4cb1&quot;,&quot;itemData&quot;:{&quot;type&quot;:&quot;article-journal&quot;,&quot;id&quot;:&quot;fd809ca6-8e5d-3ee9-aca6-0ec23bde4cb1&quot;,&quot;title&quot;:&quot;Pengaruh Total Asset Turnover (Tato) dan Net Profit Margin (NPM) terhadap Harga Saham pada PT Matahari Department Store Tbk Periode 2013-2023&quot;,&quot;author&quot;:[{&quot;family&quot;:&quot;Nurcholis&quot;,&quot;given&quot;:&quot;Irfan&quot;,&quot;parse-names&quot;:false,&quot;dropping-particle&quot;:&quot;&quot;,&quot;non-dropping-particle&quot;:&quot;&quot;},{&quot;family&quot;:&quot;Pratama&quot;,&quot;given&quot;:&quot;Aditya&quot;,&quot;parse-names&quot;:false,&quot;dropping-particle&quot;:&quot;&quot;,&quot;non-dropping-particle&quot;:&quot;&quot;},{&quot;family&quot;:&quot;Daeng Matta&quot;,&quot;given&quot;:&quot;Yusran&quot;,&quot;parse-names&quot;:false,&quot;dropping-particle&quot;:&quot;&quot;,&quot;non-dropping-particle&quot;:&quot;&quot;}],&quot;container-title&quot;:&quot;Cakrawala: Jurnal Ekonomi, Manajemen dan Bisnis&quot;,&quot;DOI&quot;:&quot;https://doi.org/10.70451/cakrawala.v1i4.252&quot;,&quot;ISSN&quot;:&quot;3046-8884&quot;,&quot;URL&quot;:&quot;https://jurnalamanah.com/index.php/cakrawala/index&quot;,&quot;issued&quot;:{&quot;date-parts&quot;:[[2024]]},&quot;page&quot;:&quot;1420-1429&quot;,&quot;abstract&quot;:&quot;Article History: This study aims to determinate the effect of the Total Aset Turnover Rasio and Net Profit Margin Rasio on the Stock Price at PT Matahari Department Store Tbk for the period 2013-2023 partially and simultaneously. The research method used is a quantitative approach method. The population used in this study is the Finansial Statements of PT Matahari Department Store Tbk for the year 2013-2023. The sample used were in the form of Balance Sheet and Profit and Loss Statement of PT Matahari Department Store Tbk. the data analysis techniques used are descriptive analysis and statistical analysis through the SPSS calculation stage using IMB SPSS version 21 (clasical assumption test, regression analysis, coefficient test and hypothesis test). The result of this study show that the Total Assets Turnover Rasio has a significant effect on the stock Price, the result of the calculation of the T-tes obtained a calculation value of 2,508 &gt; ttable 2,30600 and a significant value of 0,036 &lt; 0,05. Net Profit Margin has No. effect andi s not significsnt on the Stock Price, the result of the T-test obtained a calculation value of 1,050 &lt; ttable 2.30600 and a significant value of 0,324 &gt; 0,05. The result of the simultaneous study with the F-test showed that the Total Assets Turnover Rasio and the Net Profit Margin Rasio had a significant effect on the Stock Price, this was evidenced by the result of the calculation of the F-test obtained a value of 7,028 &gt; ftable of a 4,46 and a significant value of 0,017 &lt; 0,05.&quot;,&quot;publisher&quot;:&quot;Desember&quot;,&quot;issue&quot;:&quot;4&quot;,&quot;volume&quot;:&quot;1&quot;,&quot;container-title-short&quot;:&quot;&quot;},&quot;isTemporary&quot;:false}]},{&quot;citationID&quot;:&quot;MENDELEY_CITATION_8c9fcb7a-978b-42d4-a384-7c2a54dc6a65&quot;,&quot;properties&quot;:{&quot;noteIndex&quot;:0},&quot;isEdited&quot;:false,&quot;manualOverride&quot;:{&quot;isManuallyOverridden&quot;:true,&quot;citeprocText&quot;:&quot;(Aanggraini &amp;#38; Kardinal, 2023; Nurbaiti &amp;#38; Mardiati, 2024; Sihombing &amp;#38; Zakchona, 2024)&quot;,&quot;manualOverrideText&quot;:&quot;(Aanggraini &amp; Kardinal, 2023; Nurbaiti &amp; Mardiati, 2024; Sihombing &amp; Zakchona, 2024).&quot;},&quot;citationTag&quot;:&quot;MENDELEY_CITATION_v3_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&quot;,&quot;citationItems&quot;:[{&quot;id&quot;:&quot;8ad6e5fd-0957-3ece-82ec-980518f4d0f1&quot;,&quot;itemData&quot;:{&quot;type&quot;:&quot;article-journal&quot;,&quot;id&quot;:&quot;8ad6e5fd-0957-3ece-82ec-980518f4d0f1&quot;,&quot;title&quot;:&quot;Determinants of profitability, liquidity, solvency, and activity ratios on the stock price with dividend payout as moderating variable&quot;,&quot;author&quot;:[{&quot;family&quot;:&quot;Sihombing&quot;,&quot;given&quot;:&quot;Pardomuan&quot;,&quot;parse-names&quot;:false,&quot;dropping-particle&quot;:&quot;&quot;,&quot;non-dropping-particle&quot;:&quot;&quot;},{&quot;family&quot;:&quot;Zakchona&quot;,&quot;given&quot;:&quot;Elia&quot;,&quot;parse-names&quot;:false,&quot;dropping-particle&quot;:&quot;&quot;,&quot;non-dropping-particle&quot;:&quot;&quot;}],&quot;container-title&quot;:&quot;Jurnal Ekonomi dan Bisnis&quot;,&quot;DOI&quot;:&quot;https://doi.org/10.24914/jeb.v27i2.10268&quot;,&quot;ISSN&quot;:&quot;2528-0147&quot;,&quot;issued&quot;:{&quot;date-parts&quot;:[[2024]]},&quot;page&quot;:&quot;1-24&quot;,&quot;issue&quot;:&quot;2&quot;,&quot;volume&quot;:&quot;27&quot;,&quot;container-title-short&quot;:&quot;&quot;},&quot;isTemporary&quot;:false},{&quot;id&quot;:&quot;a60a304b-62ad-30eb-9d67-b6e63f011561&quot;,&quot;itemData&quot;:{&quot;type&quot;:&quot;article-journal&quot;,&quot;id&quot;:&quot;a60a304b-62ad-30eb-9d67-b6e63f011561&quot;,&quot;title&quot;:&quot;Pengaruh Total Asset Turnover (TATO) Dan Return On Asset (ROA) Terhadap Harga Saham Pada PT. Wilmar Cahaya Indonesia Tbk Periode 2013-2022&quot;,&quot;author&quot;:[{&quot;family&quot;:&quot;Nurbaiti&quot;,&quot;given&quot;:&quot;Suci&quot;,&quot;parse-names&quot;:false,&quot;dropping-particle&quot;:&quot;&quot;,&quot;non-dropping-particle&quot;:&quot;&quot;},{&quot;family&quot;:&quot;Mardiati&quot;,&quot;given&quot;:&quot;Dijan&quot;,&quot;parse-names&quot;:false,&quot;dropping-particle&quot;:&quot;&quot;,&quot;non-dropping-particle&quot;:&quot;&quot;}],&quot;container-title&quot;:&quot;Jurnal Manajemen Keuangan&quot;,&quot;DOI&quot;:&quot;10.56457/fin.v2i2.689&quot;,&quot;issued&quot;:{&quot;date-parts&quot;:[[2024]]},&quot;page&quot;:&quot;3021-8535&quot;,&quot;issue&quot;:&quot;2&quot;,&quot;volume&quot;:&quot;2&quot;,&quot;container-title-short&quot;:&quot;&quot;},&quot;isTemporary&quot;:false},{&quot;id&quot;:&quot;6661f28c-9cf0-358c-91c7-4087d93885d0&quot;,&quot;itemData&quot;:{&quot;type&quot;:&quot;article-journal&quot;,&quot;id&quot;:&quot;6661f28c-9cf0-358c-91c7-4087d93885d0&quot;,&quot;title&quot;:&quot;Pengaruh Rasio Aktivitas Terhadap Harga Saham Pada Perusahaan Manufaktur Yang Tercatat Di BEI&quot;,&quot;author&quot;:[{&quot;family&quot;:&quot;Aanggraini&quot;,&quot;given&quot;:&quot;Mariska&quot;,&quot;parse-names&quot;:false,&quot;dropping-particle&quot;:&quot;&quot;,&quot;non-dropping-particle&quot;:&quot;&quot;},{&quot;family&quot;:&quot;Kardinal&quot;,&quot;given&quot;:&quot;&quot;,&quot;parse-names&quot;:false,&quot;dropping-particle&quot;:&quot;&quot;,&quot;non-dropping-particle&quot;:&quot;&quot;}],&quot;container-title&quot;:&quot;PROCEEDING MDP STUDENT CONFERENCE (MSC) 2023&quot;,&quot;DOI&quot;:&quot;https://doi.org/10.35957/mdp-sc.v2i2.4085&quot;,&quot;ISSN&quot;:&quot;2985-7406&quot;,&quot;URL&quot;:&quot;www.idx.co.id&quot;,&quot;issued&quot;:{&quot;date-parts&quot;:[[2023]]},&quot;abstract&quot;:&quot;This study aims to analyze the effect of the activity ratio proxied using Total Assets Turn Over (TATO) on stock prices with profitability ratios proxied by Earning Per Share (EPS) as a mediating variable in manufacturing companies listed on the IDX for the 2017-2021. The method in the reaserch uses the quantitative method. The sampling method in this study was a purposive sampling method and a sample of 68 companies. The data analysis technique used is hypothesis testing and path analysis with the help of the SPSS program. The results of the study show that TATO had a positive and significant effect on EPS, EPS had a positive and significant effect on stock prices, TATO had a negative and significant effect on stock prices, then EPS is indirectly able to mediate the relationship between TATO and stock prices.&quot;,&quot;issue&quot;:&quot;2&quot;,&quot;volume&quot;:&quot;2&quot;,&quot;container-title-short&quot;:&quot;&quot;},&quot;isTemporary&quot;:false}]},{&quot;citationID&quot;:&quot;MENDELEY_CITATION_af3e8b7a-33d6-4c72-8102-f3da2f84ae03&quot;,&quot;properties&quot;:{&quot;noteIndex&quot;:0},&quot;isEdited&quot;:false,&quot;manualOverride&quot;:{&quot;isManuallyOverridden&quot;:true,&quot;citeprocText&quot;:&quot;(Novita &amp;#38; Aminah, 2024; Pertiwi &amp;#38; Sukoco, 2022)&quot;,&quot;manualOverrideText&quot;:&quot;(Novita &amp; Aminah, 2024; Pertiwi &amp; Sukoco, 2022).&quot;},&quot;citationTag&quot;:&quot;MENDELEY_CITATION_v3_eyJjaXRhdGlvbklEIjoiTUVOREVMRVlfQ0lUQVRJT05fYWYzZThiN2EtMzNkNi00YzcyLTgxMDItZjNkYTJmODRhZTAz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&quot;,&quot;citationItems&quot;:[{&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citationID&quot;:&quot;MENDELEY_CITATION_f44f9f86-4d4a-40ad-bfa9-65624a8f17bc&quot;,&quot;properties&quot;:{&quot;noteIndex&quot;:0},&quot;isEdited&quot;:false,&quot;manualOverride&quot;:{&quot;isManuallyOverridden&quot;:false,&quot;citeprocText&quot;:&quot;(Kim et al., 2023; Novita &amp;#38; Aminah, 2024; Pertiwi &amp;#38; Sukoco, 2022)&quot;,&quot;manualOverrideText&quot;:&quot;&quot;},&quot;citationTag&quot;:&quot;MENDELEY_CITATION_v3_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a66b0594-4493-478d-a975-f907e45d473d&quot;,&quot;properties&quot;:{&quot;noteIndex&quot;:0},&quot;isEdited&quot;:false,&quot;manualOverride&quot;:{&quot;isManuallyOverridden&quot;:true,&quot;citeprocText&quot;:&quot;(Novita &amp;#38; Aminah, 2024; Pertiwi &amp;#38; Sukoco, 2022)&quot;,&quot;manualOverrideText&quot;:&quot;(Novita &amp; Aminah, 2024; Pertiwi &amp; Sukoco, 2022).&quot;},&quot;citationTag&quot;:&quot;MENDELEY_CITATION_v3_eyJjaXRhdGlvbklEIjoiTUVOREVMRVlfQ0lUQVRJT05fYTY2YjA1OTQtNDQ5My00NzhkLWE5NzUtZjkwN2U0NWQ0NzNk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uIn0sImNpdGF0aW9uSXRlbXMiOlt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quot;,&quot;citationItems&quot;:[{&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803a9bb5-b9f4-48bb-a778-78e0479b2690&quot;,&quot;properties&quot;:{&quot;noteIndex&quot;:0},&quot;isEdited&quot;:false,&quot;manualOverride&quot;:{&quot;isManuallyOverridden&quot;:true,&quot;citeprocText&quot;:&quot;(Hasangapon et al., 2021; Rachmawati et al., 2022)&quot;,&quot;manualOverrideText&quot;:&quot;(Hasangapon et al., 2021; Rachmawati et al., 2022).&quot;},&quot;citationTag&quot;:&quot;MENDELEY_CITATION_v3_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&quot;,&quot;citationItems&quot;:[{&quot;id&quot;:&quot;02ce6473-93b3-3b48-8f5a-fd78693d7dde&quot;,&quot;itemData&quot;:{&quot;type&quot;:&quot;article-journal&quot;,&quot;id&quot;:&quot;02ce6473-93b3-3b48-8f5a-fd78693d7dde&quot;,&quot;title&quot;:&quot;Pengaruh TATO, DAR Dan ROA Terhadap PBV\nPerusahaan Yang Terdaftar Di Indeks Lq45\nBei 2018-2020&quot;,&quot;author&quot;:[{&quot;family&quot;:&quot;Rachmawati&quot;,&quot;given&quot;:&quot;Noor Faidzah&quot;,&quot;parse-names&quot;:false,&quot;dropping-particle&quot;:&quot;&quot;,&quot;non-dropping-particle&quot;:&quot;&quot;},{&quot;family&quot;:&quot;Murdiyanto&quot;,&quot;given&quot;:&quot;Edy&quot;,&quot;parse-names&quot;:false,&quot;dropping-particle&quot;:&quot;&quot;,&quot;non-dropping-particle&quot;:&quot;&quot;},{&quot;family&quot;:&quot;Rahmawati&quot;,&quot;given&quot;:&quot;Zulfa&quot;,&quot;parse-names&quot;:false,&quot;dropping-particle&quot;:&quot;&quot;,&quot;non-dropping-particle&quot;:&quot;&quot;}],&quot;container-title&quot;:&quot;OPTIMAL: Jurnal Ekonomi dan Manajemen&quot;,&quot;DOI&quot;:&quot;https://doi.org/10.55606/optimal.v2i2&quot;,&quot;issued&quot;:{&quot;date-parts&quot;:[[2022]]},&quot;issue&quot;:&quot;2&quot;,&quot;volume&quot;:&quot;2&quot;,&quot;container-title-short&quot;:&quot;&quot;},&quot;isTemporary&quot;:false},{&quot;id&quot;:&quot;e386c40f-c6c7-33d2-b45e-2afa0e2b335d&quot;,&quot;itemData&quot;:{&quot;type&quot;:&quot;report&quot;,&quot;id&quot;:&quot;e386c40f-c6c7-33d2-b45e-2afa0e2b335d&quot;,&quot;title&quot;:&quot;The Effect Of Firm Size And Total Assets Turnover (Tato) On Firm Value Mediated By Profitability In Wholesale And Retail Sector Companies&quot;,&quot;author&quot;:[{&quot;family&quot;:&quot;Hasangapon&quot;,&quot;given&quot;:&quot;Mario&quot;,&quot;parse-names&quot;:false,&quot;dropping-particle&quot;:&quot;&quot;,&quot;non-dropping-particle&quot;:&quot;&quot;},{&quot;family&quot;:&quot;Iskandar&quot;,&quot;given&quot;:&quot;Deni&quot;,&quot;parse-names&quot;:false,&quot;dropping-particle&quot;:&quot;&quot;,&quot;non-dropping-particle&quot;:&quot;&quot;},{&quot;family&quot;:&quot;Desy Purnama&quot;,&quot;given&quot;:&quot;Eka&quot;,&quot;parse-names&quot;:false,&quot;dropping-particle&quot;:&quot;&quot;,&quot;non-dropping-particle&quot;:&quot;&quot;}],&quot;DOI&quot;:&quot;https://doi.org/10.31253/pe.v19i3.635&quot;,&quot;URL&quot;:&quot;https://jurnal.ubd.ac.id/index.php/ds&quot;,&quot;issued&quot;:{&quot;date-parts&quot;:[[2021]]},&quot;abstract&quot;:&quot;The company's management will provide good performance which can be observed from the financial reports. This will give signals to the investors that the company is in good condition so that the investors are willing to invest their funds in that company. The samples from this study is trading companies consisting of 47 wholesale companies and 15 retail companies in which 15 companies are matched with the criteria. The sample selection technique used is purposive sampling to obtain 15 out of 57 companies matched with the criteria to be tested. This study used a multiple linear regression analysis techniques using SPSS 25. The data analysis technique used in this study is the classical assumption test including the normality test, multicollinearity test, heteroscedasticity test, and autocorrelation test. The data analysis used to test the hypothesis is the f test and t test and path analysis to test the mediation of profitability. In the variable of firm size, TATO and profitability on firm value, have a determinant value R2 of .313, on the other hand, the variable firm size and TATO on profitability has a determinant value of R2 of .074. In conclusion, (1) The size of a company has no significant effect on Firm Value with the Sig. result .317 (2) TATO has a significant positive effect on Firm Value with Sig. result .000 (3) Profitability has a positive significant effect on Firm Value with Sig. ROA .007 (4) The firm size has a significant positive effect on probability with value Sig. result .012 (5) TATO has no significant effect on Probability with Sig. result .0480 (6) Profitability is able to mediate firm size on firm value (7) Profitability is unable to mediate TATO on firm value.&quot;,&quot;issue&quot;:&quot;3&quot;,&quot;volume&quot;:&quot;19&quot;,&quot;container-title-short&quot;:&quot;&quot;},&quot;isTemporary&quot;:false}]},{&quot;citationID&quot;:&quot;MENDELEY_CITATION_8d4f4063-f064-4c98-80ad-8a9b2e115ddf&quot;,&quot;properties&quot;:{&quot;noteIndex&quot;:0},&quot;isEdited&quot;:false,&quot;manualOverride&quot;:{&quot;isManuallyOverridden&quot;:true,&quot;citeprocText&quot;:&quot;(Hasanah &amp;#38; Rusliati, 2017)&quot;,&quot;manualOverrideText&quot;:&quot;(Hasanah &amp; Rusliati, 2017).&quot;},&quot;citationTag&quot;:&quot;MENDELEY_CITATION_v3_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&quot;,&quot;citationItems&quot;:[{&quot;id&quot;:&quot;1a0801dd-51e5-31e3-b953-14a6bdb1c6d7&quot;,&quot;itemData&quot;:{&quot;type&quot;:&quot;article-journal&quot;,&quot;id&quot;:&quot;1a0801dd-51e5-31e3-b953-14a6bdb1c6d7&quot;,&quot;title&quot;:&quot;Harga Saham Dengan Metode Dividend Discount Model Dan Price To Book Value&quot;,&quot;author&quot;:[{&quot;family&quot;:&quot;Hasanah&quot;,&quot;given&quot;:&quot;Resti Siti&quot;,&quot;parse-names&quot;:false,&quot;dropping-particle&quot;:&quot;&quot;,&quot;non-dropping-particle&quot;:&quot;&quot;},{&quot;family&quot;:&quot;Rusliati&quot;,&quot;given&quot;:&quot;Ellen&quot;,&quot;parse-names&quot;:false,&quot;dropping-particle&quot;:&quot;&quot;,&quot;non-dropping-particle&quot;:&quot;&quot;}],&quot;container-title&quot;:&quot;Jurnal Riset Bisnis dan Manajemen (JRBM)&quot;,&quot;DOI&quot;:&quot;https://doi.org/10.23969/jrbm.v10i2.446&quot;,&quot;issued&quot;:{&quot;date-parts&quot;:[[2017]]},&quot;page&quot;:&quot;1-10&quot;,&quot;abstract&quot;:&quot;This study aims to analyze the company's intrinsic value using the dividend discount model (DDM) and price to book value (PBV) of companies registered in LQ 45, in 2010-2014. The sample selected by the criterion is always listed in the LQ 45 and pay dividends. The method used is descriptive and quantitative and the measurement accuracy with root mean squared error (RMSE). The results showed that intrinsic value DDM method is more accurate than PBV with an average value of DDM RMSE is smaller than the average RMSE PBV. DDM method is more suitable for companies with growth consistent and at the stage of maturity and always pay dividends. PBV method would be better to assess the company's stock with similar industries or sectors, so the obvious comparison is cheap or expensive stocks. Keywords : dividend discounted model, price to book value, root mean square error and stock price valuation.&quot;,&quot;issue&quot;:&quot;2&quot;,&quot;volume&quot;:&quot;10&quot;,&quot;container-title-short&quot;:&quot;&quot;},&quot;isTemporary&quot;:false}]},{&quot;citationID&quot;:&quot;MENDELEY_CITATION_bffb5185-3b62-4285-8117-6ee276ba322e&quot;,&quot;properties&quot;:{&quot;noteIndex&quot;:0},&quot;isEdited&quot;:false,&quot;manualOverride&quot;:{&quot;isManuallyOverridden&quot;:true,&quot;citeprocText&quot;:&quot;(Handayani &amp;#38; Arif, 2021)&quot;,&quot;manualOverrideText&quot;:&quot;(Handayani &amp; Arif, 2021).&quot;},&quot;citationTag&quot;:&quot;MENDELEY_CITATION_v3_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&quot;,&quot;citationItems&quot;:[{&quot;id&quot;:&quot;0d01cdae-41f6-3dc5-a107-3d1f02977387&quot;,&quot;itemData&quot;:{&quot;type&quot;:&quot;report&quot;,&quot;id&quot;:&quot;0d01cdae-41f6-3dc5-a107-3d1f02977387&quot;,&quot;title&quot;:&quot;Pengaruh Pengaruh Price Earning Ratio (PER), Debt to Equity Ratio (DER), Net Profit Margin (NPM) dan Total Assets Turnover (TATO) Terhadap Harga Saham Pada PT. Unilever Indonesia Tbk Periode 2011-2018&quot;,&quot;author&quot;:[{&quot;family&quot;:&quot;Handayani&quot;,&quot;given&quot;:&quot;Witri&quot;,&quot;parse-names&quot;:false,&quot;dropping-particle&quot;:&quot;&quot;,&quot;non-dropping-particle&quot;:&quot;&quot;},{&quot;family&quot;:&quot;Arif&quot;,&quot;given&quot;:&quot;Elsya Meida&quot;,&quot;parse-names&quot;:false,&quot;dropping-particle&quot;:&quot;&quot;,&quot;non-dropping-particle&quot;:&quot;&quot;}],&quot;container-title&quot;:&quot;Jurnal Manajemen FE-UB&quot;,&quot;issued&quot;:{&quot;date-parts&quot;:[[2021]]},&quot;number-of-pages&quot;:&quot;72&quot;,&quot;abstract&quot;:&quot;The results showed that the variable Price Earning Ratio, Debt to Equity Ratio, Net Profit Margin and Total Assets Turnover simultaneously had a positive and significant effect on stock prices with a Prob value (F-statistic) of 0.000032. Partially Price Earning Ratio has a positive and significant effect with a t-statistic value of 5.621043 and a probability value of 0.0000, Debt to Equity Ratio partially has a positive and significant effect with a t-statistic value of 4.572382 and a probability value of 0.0001. Net Profit Margin partially has a positive and significant effect with a t-statistic value of 3.188182 and a probability value of 0.0036. Total Assets Turnover partially has a positive and significant effect with a t-statistic value of 4.611411 and a probability value of 0.0001. In addition, it is obtained that the adjusted R-squared value is 0.547148, this means that 54.77 stock price factors can be determined from the four independent variables. While the remaining 45.23 is influenced by other variables outside the study.&quot;,&quot;issue&quot;:&quot;2&quot;,&quot;volume&quot;:&quot;9&quot;,&quot;container-title-short&quot;:&quot;&quot;},&quot;isTemporary&quot;:false}]},{&quot;citationID&quot;:&quot;MENDELEY_CITATION_5a995b59-e92a-4f44-bc50-4a7c3041d62b&quot;,&quot;properties&quot;:{&quot;noteIndex&quot;:0},&quot;isEdited&quot;:false,&quot;manualOverride&quot;:{&quot;isManuallyOverridden&quot;:true,&quot;citeprocText&quot;:&quot;(Connelly et al., 2011)&quot;,&quot;manualOverrideText&quot;:&quot;Connelly et al.,( 2011)&quot;},&quot;citationTag&quot;:&quot;MENDELEY_CITATION_v3_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&quot;,&quot;citationItems&quot;:[{&quot;id&quot;:&quot;7f97f927-abb5-34b9-a088-3623d161c265&quot;,&quot;itemData&quot;:{&quot;type&quot;:&quot;article&quot;,&quot;id&quot;:&quot;7f97f927-abb5-34b9-a088-3623d161c265&quot;,&quot;title&quot;:&quot;Signaling theory: A review and assessment&quot;,&quot;author&quot;:[{&quot;family&quot;:&quot;Connelly&quot;,&quot;given&quot;:&quot;Brian L.&quot;,&quot;parse-names&quot;:false,&quot;dropping-particle&quot;:&quot;&quot;,&quot;non-dropping-particle&quot;:&quot;&quot;},{&quot;family&quot;:&quot;Certo&quot;,&quot;given&quot;:&quot;S. Trevis&quot;,&quot;parse-names&quot;:false,&quot;dropping-particle&quot;:&quot;&quot;,&quot;non-dropping-particle&quot;:&quot;&quot;},{&quot;family&quot;:&quot;Ireland&quot;,&quot;given&quot;:&quot;R. Duane&quot;,&quot;parse-names&quot;:false,&quot;dropping-particle&quot;:&quot;&quot;,&quot;non-dropping-particle&quot;:&quot;&quot;},{&quot;family&quot;:&quot;Reutzel&quot;,&quot;given&quot;:&quot;Christopher R.&quot;,&quot;parse-names&quot;:false,&quot;dropping-particle&quot;:&quot;&quot;,&quot;non-dropping-particle&quot;:&quot;&quot;}],&quot;container-title&quot;:&quot;Journal of Management&quot;,&quot;container-title-short&quot;:&quot;J Manage&quot;,&quot;DOI&quot;:&quot;10.1177/0149206310388419&quot;,&quot;ISSN&quot;:&quot;01492063&quot;,&quot;issued&quot;:{&quot;date-parts&quot;:[[2011,1]]},&quot;page&quot;:&quot;39-67&quot;,&quot;abstract&quot;:&quot;Signaling theory is useful for describing behavior when two parties (individuals or organizations) have access to different information. Typically, one party, the sender, must choose whether and how to communicate (or signal) that information, and the other party, the receiver, must choose how to interpret the signal. Accordingly, signaling theory holds a prominent position in a variety of management literatures, including strategic management, entrepreneurship, and human resource management. While the use of signaling theory has gained momentum in recent years, its central tenets have become blurred as it has been applied to organizational concerns. The authors, therefore, provide a concise synthesis of the theory and its key concepts, review its use in the management literature, and put forward directions for future research that will encourage scholars to use signaling theory in new ways and to develop more complex formulations and nuanced variations of the theory. © The Author(s) 2011.&quot;,&quot;issue&quot;:&quot;1&quot;,&quot;volume&quot;:&quot;37&quot;},&quot;isTemporary&quot;:false}]},{&quot;citationID&quot;:&quot;MENDELEY_CITATION_1a203881-f776-466c-80d0-a3359f033c6d&quot;,&quot;properties&quot;:{&quot;noteIndex&quot;:0},&quot;isEdited&quot;:false,&quot;manualOverride&quot;:{&quot;isManuallyOverridden&quot;:true,&quot;citeprocText&quot;:&quot;(Wu et al., 2025)&quot;,&quot;manualOverrideText&quot;:&quot;(Wu et al., 2025),&quot;},&quot;citationTag&quot;:&quot;MENDELEY_CITATION_v3_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&quot;,&quot;citationItems&quot;:[{&quot;id&quot;:&quot;1a13f851-b808-3132-a63a-b6c3a5e36120&quot;,&quot;itemData&quot;:{&quot;type&quot;:&quot;article-journal&quot;,&quot;id&quot;:&quot;1a13f851-b808-3132-a63a-b6c3a5e36120&quot;,&quot;title&quot;:&quot;Consumer negative opinions on stock returns: evidence from E-commerce reviews in China&quot;,&quot;author&quot;:[{&quot;family&quot;:&quot;Wu&quot;,&quot;given&quot;:&quot;Danni&quot;,&quot;parse-names&quot;:false,&quot;dropping-particle&quot;:&quot;&quot;,&quot;non-dropping-particle&quot;:&quot;&quot;},{&quot;family&quot;:&quot;Zhou&quot;,&quot;given&quot;:&quot;Zhenkun&quot;,&quot;parse-names&quot;:false,&quot;dropping-particle&quot;:&quot;&quot;,&quot;non-dropping-particle&quot;:&quot;&quot;},{&quot;family&quot;:&quot;Su&quot;,&quot;given&quot;:&quot;Zhi&quot;,&quot;parse-names&quot;:false,&quot;dropping-particle&quot;:&quot;&quot;,&quot;non-dropping-particle&quot;:&quot;&quot;}],&quot;container-title&quot;:&quot;Financial Innovation&quot;,&quot;DOI&quot;:&quot;10.1186/s40854-024-00746-9&quot;,&quot;ISSN&quot;:&quot;21994730&quot;,&quot;issued&quot;:{&quot;date-parts&quot;:[[2025,12]]},&quot;abstract&quot;:&quot;This study investigates the significance of e-commerce consumer opinions regarding value in China’s A-share market. By analyzing a large dataset comprising over 18 million online consumer reviews on JD.com, we demonstrate that sentiments expressed in e-commerce reviews can influence stock returns. This indicates that consumer opinions on the e-commerce platform contain valuable information that can impact the stock market. Our findings show that Consumer Negative Sentiment Tendency (CNST) and One-Star Tendency (OST) have a negative effect on expected stock returns, even after controlling for firm characteristics such as market risk, illiquidity, idiosyncratic volatility, and asset growth. Further analysis indicates that CNST demonstrates stronger predictive power within the home appliance industry, under high sentiment conditions, in growth companies, and among firms with lower accounting transparency. We also find that CNST negatively predicts revenue surprises, earnings surprises, and cash flow shocks. These results suggest that consumer opinions and sentiments derived from e-commerce reviews highlight firms’ intrinsic worth and prospects. Future research could explore how firms, including suppliers and logistics companies, can leverage the information conveyed by consumer opinions on e-commerce platforms.&quot;,&quot;publisher&quot;:&quot;Springer Science and Business Media Deutschland GmbH&quot;,&quot;issue&quot;:&quot;1&quot;,&quot;volume&quot;:&quot;11&quot;,&quot;container-title-short&quot;:&quot;&quot;},&quot;isTemporary&quot;:false}]},{&quot;citationID&quot;:&quot;MENDELEY_CITATION_a6ed6181-3977-4c9c-a86d-db8eab7e3364&quot;,&quot;properties&quot;:{&quot;noteIndex&quot;:0},&quot;isEdited&quot;:false,&quot;manualOverride&quot;:{&quot;isManuallyOverridden&quot;:true,&quot;citeprocText&quot;:&quot;(M. Innayah &amp;#38; Pratama, 2022)&quot;,&quot;manualOverrideText&quot;:&quot;(Innayah &amp; Pratama, 2022),&quot;},&quot;citationTag&quot;:&quot;MENDELEY_CITATION_v3_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&quot;,&quot;citationItems&quot;:[{&quot;id&quot;:&quot;2cc87438-4771-324a-96a1-6c4e98a021bd&quot;,&quot;itemData&quot;:{&quot;type&quot;:&quot;article-journal&quot;,&quot;id&quot;:&quot;2cc87438-4771-324a-96a1-6c4e98a021bd&quot;,&quot;title&quot;:&quot;Political Connection and Board Characteristic’s effect on Financial Performance: Evidence from Indonesian Banking Firm&quot;,&quot;author&quot;:[{&quot;family&quot;:&quot;Innayah&quot;,&quot;given&quot;:&quot;Maulida&quot;,&quot;parse-names&quot;:false,&quot;dropping-particle&quot;:&quot;&quot;,&quot;non-dropping-particle&quot;:&quot;&quot;},{&quot;family&quot;:&quot;Pratama&quot;,&quot;given&quot;:&quot;Bima&quot;,&quot;parse-names&quot;:false,&quot;dropping-particle&quot;:&quot;&quot;,&quot;non-dropping-particle&quot;:&quot;&quot;}],&quot;container-title&quot;:&quot;ICBAE 2022: Proceedings of the 3rd International Conference of Business, Accounting, and Economics&quot;,&quot;DOI&quot;:&quot;10.4108/eai.10-8-2022.2320876&quot;,&quot;issued&quot;:{&quot;date-parts&quot;:[[2022]]},&quot;abstract&quot;:&quot;Purpose: The objectives of this paper are to (i) identify and assess the barriers to Board gender diversity (BGD) in Maltese Equity-listed Entities (MLE's) and Large Public Sector Entities (LPSE's) and analyse the extent of BGD presence therein; (ii) assess the perceived implications of BGD on Board effectiveness (BE) and (iii) to recommend how the level of BGD may be improved. Methodology: A mixed-methods research approach was adopted. Semi-structured interviews were conducted with 29 participants consisting of 9 company secretaries, 5 directors, 12 participants in Board meetings and 3 Institutional representatives. Findings: BGD barriers were found to mainly result from (i) historical and cultural influences; (ii) limited existing networks owing to country smallness and scarce visibility of females; (iii) lack of mentors offering guidance to females;(iv) and the inequitable sharing of childcare responsibilities between parents rendering work-life balance difficult for females. BGD was also perceived to have a positive impact on BE owing to the ensuing variety of skills and personalities and the minimisation, if not prevention, of groupthink. Furthermore, females were perceived as tending to be more ethically behaved, better at multi-tasking, and having an eye for detail. Practical implications: The paper concludes that the existing barriers to BGD are as yet rendering it rather low in both MLEs and LPSEs. Furthermore, the more the female Board ratio increases towards a reasonable female/male balance, the more Boards are rendered effective by such BGD. The current position reflects the immediate need for the implementation of measures towards increasing the female Board ratio. Originality value: This paper attempts to increase awareness about the need to enhance the level of BGD in MLEs and LPSEs, and also about the positive impact that an improved BGD may have on BE. It also recommends a number of ways as to how entities may improve such BGD level.&quot;,&quot;publisher&quot;:&quot;European Alliance for Innovation n.o.&quot;,&quot;container-title-short&quot;:&quot;&quot;},&quot;isTemporary&quot;:false}]},{&quot;citationID&quot;:&quot;MENDELEY_CITATION_45967154-e231-44f5-a215-875d2f4e5b7d&quot;,&quot;properties&quot;:{&quot;noteIndex&quot;:0},&quot;isEdited&quot;:false,&quot;manualOverride&quot;:{&quot;isManuallyOverridden&quot;:true,&quot;citeprocText&quot;:&quot;(Sa’adah et al., 2024)&quot;,&quot;manualOverrideText&quot;:&quot;(Sa’adah et al., 2024).&quot;},&quot;citationTag&quot;:&quot;MENDELEY_CITATION_v3_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&quot;,&quot;citationItems&quot;:[{&quot;id&quot;:&quot;d7c7841d-da72-3cb1-a74c-19d5458b2a35&quot;,&quot;itemData&quot;:{&quot;type&quot;:&quot;article-journal&quot;,&quot;id&quot;:&quot;d7c7841d-da72-3cb1-a74c-19d5458b2a35&quot;,&quot;title&quot;:&quot;The Effect Of Current Ratio (CR) and Net Profit Margin (NPM) On Stock Price (Case Study Of Automotive Subsector Manufacturing Companies Listed On The IDX in 2020-2022)&quot;,&quot;author&quot;:[{&quot;family&quot;:&quot;Sa'adah&quot;,&quot;given&quot;:&quot;Naellus&quot;,&quot;parse-names&quot;:false,&quot;dropping-particle&quot;:&quot;&quot;,&quot;non-dropping-particle&quot;:&quot;&quot;},{&quot;family&quot;:&quot;Alayda&quot;,&quot;given&quot;:&quot;Wulan&quot;,&quot;parse-names&quot;:false,&quot;dropping-particle&quot;:&quot;&quot;,&quot;non-dropping-particle&quot;:&quot;&quot;},{&quot;family&quot;:&quot;Komara&quot;,&quot;given&quot;:&quot;Acep&quot;,&quot;parse-names&quot;:false,&quot;dropping-particle&quot;:&quot;&quot;,&quot;non-dropping-particle&quot;:&quot;&quot;}],&quot;container-title&quot;:&quot;Technology, and Business (JETBIS)&quot;,&quot;DOI&quot;:&quot;https://doi.org/10.57185/jetbis.v3i7.114&quot;,&quot;ISSN&quot;:&quot;2962-9330&quot;,&quot;URL&quot;:&quot;https://jetbis.al-makkipublisher.com/index.php/al/index&quot;,&quot;issued&quot;:{&quot;date-parts&quot;:[[2024]]},&quot;issue&quot;:&quot;7&quot;,&quot;volume&quot;:&quot;3&quot;,&quot;container-title-short&quot;:&quot;&quot;},&quot;isTemporary&quot;:false}]},{&quot;citationID&quot;:&quot;MENDELEY_CITATION_f8746e0f-3ae3-48ea-b37e-7a4a13f4d7ff&quot;,&quot;properties&quot;:{&quot;noteIndex&quot;:0},&quot;isEdited&quot;:false,&quot;manualOverride&quot;:{&quot;isManuallyOverridden&quot;:false,&quot;citeprocText&quot;:&quot;(Kusumaningrum &amp;#38; Iswara, 2022)&quot;,&quot;manualOverrideText&quot;:&quot;&quot;},&quot;citationTag&quot;:&quot;MENDELEY_CITATION_v3_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&quot;,&quot;citationItems&quot;:[{&quot;id&quot;:&quot;d2127a71-8f2d-3ea8-ab98-1faf98c5f73d&quot;,&quot;itemData&quot;:{&quot;type&quot;:&quot;article-journal&quot;,&quot;id&quot;:&quot;d2127a71-8f2d-3ea8-ab98-1faf98c5f73d&quot;,&quot;title&quot;:&quot;Pengaruh Profitabilitas, Leverage, dan Ukuran Perusahaan Terhadap Nilai Perusahaan&quot;,&quot;author&quot;:[{&quot;family&quot;:&quot;Kusumaningrum&quot;,&quot;given&quot;:&quot;Diyah Putri&quot;,&quot;parse-names&quot;:false,&quot;dropping-particle&quot;:&quot;&quot;,&quot;non-dropping-particle&quot;:&quot;&quot;},{&quot;family&quot;:&quot;Iswara&quot;,&quot;given&quot;:&quot;Ulfa Setia&quot;,&quot;parse-names&quot;:false,&quot;dropping-particle&quot;:&quot;&quot;,&quot;non-dropping-particle&quot;:&quot;&quot;}],&quot;container-title&quot;:&quot;Jurnal Ilmiah Akuntansi dan Keauangan&quot;,&quot;DOI&quot;:&quot;10.24034/jiaku.v1i3&quot;,&quot;issued&quot;:{&quot;date-parts&quot;:[[2022]]},&quot;page&quot;:&quot;295-312&quot;,&quot;abstract&quot;:&quot;Issn 2963-671X DOI 10.24034/jiaku.v1i3. 5509 Key word: profitability, leverage, firm size, firm value. Kata kunci: profitabilitas, leverage, ukuran perusahaan, nilai perusahaan. Abstract This research aimed to examine and analyze independent variables consisting of profitability, leverage, and firm size; on the dependent variable namely, firm value. The profitability was measured by Return On Asset (ROA), leverage was measured by Debt to Equity Ratio (DER), and firm size was measured by SIZE. Meanwhile, the firm value was measured by Price Book Value (PBV). The population was Food and Beverage companies that were listed on Indonesia Stock Exchange (IDX) during 2017-2021. The research was quantitative. Furthermore, the data collection technique used purposive sampling. In line with that, there were 14 companies as the sample and 70 data of observations. Additionally, the data analysis technique used multiple linear analysis. The result concluded that (a) profitability had a positive effect on firm value. It meant, that with good profitability, the companies could become a good prospect for investors in the future. Likewise, (b) leverage had a positive effect on firm value. This meant that higher leverage would increase the firm value which the investors liked. However, (c) firm size did not affect firm value since it could not be a profit consideration within companies.&quot;,&quot;issue&quot;:&quot;3&quot;,&quot;volume&quot;:&quot;1&quot;,&quot;container-title-short&quot;:&quot;&quot;},&quot;isTemporary&quot;:false}]},{&quot;citationID&quot;:&quot;MENDELEY_CITATION_56b8bc71-23b2-4190-98ab-55120d53ed72&quot;,&quot;properties&quot;:{&quot;noteIndex&quot;:0},&quot;isEdited&quot;:false,&quot;manualOverride&quot;:{&quot;isManuallyOverridden&quot;:true,&quot;citeprocText&quot;:&quot;(Tubastuvi &amp;#38; Cinintya Pratama, 2020)&quot;,&quot;manualOverrideText&quot;:&quot;(Tubastuvi &amp; Cinintya Pratama, 2020).&quot;},&quot;citationTag&quot;:&quot;MENDELEY_CITATION_v3_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&quot;,&quot;citationItems&quot;:[{&quot;id&quot;:&quot;fb35493b-b6f7-3366-97d6-9851af6e89e8&quot;,&quot;itemData&quot;:{&quot;type&quot;:&quot;article-journal&quot;,&quot;id&quot;:&quot;fb35493b-b6f7-3366-97d6-9851af6e89e8&quot;,&quot;title&quot;:&quot;Competition And Net-Profit-And-Loss Sharing Margin In Indonesian Islamic Microfinance Institutions&quot;,&quot;author&quot;:[{&quot;family&quot;:&quot;Tubastuvi&quot;,&quot;given&quot;:&quot;Naelati&quot;,&quot;parse-names&quot;:false,&quot;dropping-particle&quot;:&quot;&quot;,&quot;non-dropping-particle&quot;:&quot;&quot;},{&quot;family&quot;:&quot;Cinintya Pratama&quot;,&quot;given&quot;:&quot;Bima&quot;,&quot;parse-names&quot;:false,&quot;dropping-particle&quot;:&quot;&quot;,&quot;non-dropping-particle&quot;:&quot;&quot;}],&quot;container-title&quot;:&quot;JOURNAL OF CRITICAL REVIEWS&quot;,&quot;ISSN&quot;:&quot;2394-5152&quot;,&quot;issued&quot;:{&quot;date-parts&quot;:[[2020]]},&quot;abstract&quot;:&quot;Microfinance institutions (MFIs) have been criticized for their tendency of taking high margin of borrowing compared to commercial bank. It is therefore important to understand factors that affect the margin in microfinance industry. This paper examines the effect of competition with four controlled variables on the margin. The total of 2815 observation were collected from Otoritas Jasa Keuangan (OJK) on Indonesian Islamic MFIs database using quarterly data spanning from 2010-2016. A panel data regression model has been adopted. Based on the Hausman test, fixed effect estimator has chosen to analyze the data. The results show that the degree of competition which proxied by Herfindahl-Hirschman Index (HHI) was positive and significant. According to HHI result, the Indonesian Islamic MFIs is under monopolistic market.. Thus, the Islamic MFIs are able to dominate the financial market and it could lead to a sustainable net profit margin in the future.&quot;,&quot;issue&quot;:&quot;8&quot;,&quot;volume&quot;:&quot;7&quot;,&quot;container-title-short&quot;:&quot;&quot;},&quot;isTemporary&quot;:false}]},{&quot;citationID&quot;:&quot;MENDELEY_CITATION_fb34541b-a575-482d-9cf3-c02dbd265452&quot;,&quot;properties&quot;:{&quot;noteIndex&quot;:0},&quot;isEdited&quot;:false,&quot;manualOverride&quot;:{&quot;isManuallyOverridden&quot;:true,&quot;citeprocText&quot;:&quot;(Puspitasari et al., 2025; Putri et al., 2024; Saputra, 2022; Sukesti et al., 2021)&quot;,&quot;manualOverrideText&quot;:&quot;(Puspitasari et al., 2025; Putri et al., 2024; Saputra, 2022; Sukesti et al., 2021).&quot;},&quot;citationTag&quot;:&quot;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&quot;,&quot;citationItems&quot;:[{&quot;id&quot;:&quot;5b3e29c8-9434-38fd-9b75-83c780b64f03&quot;,&quot;itemData&quot;:{&quot;type&quot;:&quot;article-journal&quot;,&quot;id&quot;:&quot;5b3e29c8-9434-38fd-9b75-83c780b64f03&quot;,&quot;title&quot;:&quot;Analysis Effect Return on Assets (ROA), Return on Equity (ROE) and Price Earning Ratio (PER) on Stock Prices of Coal Companies in the Indonesia Stock Exchange (IDX) Period 2018-2021&quot;,&quot;author&quot;:[{&quot;family&quot;:&quot;Saputra&quot;,&quot;given&quot;:&quot;Farhan&quot;,&quot;parse-names&quot;:false,&quot;dropping-particle&quot;:&quot;&quot;,&quot;non-dropping-particle&quot;:&quot;&quot;}],&quot;container-title&quot;:&quot;Dinasti International Journal Of Economics, Finance And Accounting&quot;,&quot;DOI&quot;:&quot;10.38035/dijefa.v3i1&quot;,&quot;URL&quot;:&quot;https://doi.org/10.38035/dijefa.v3i1&quot;,&quot;issued&quot;:{&quot;date-parts&quot;:[[2022]]},&quot;issue&quot;:&quot;1&quot;,&quot;volume&quot;:&quot;3&quot;,&quot;container-title-short&quot;:&quot;&quot;},&quot;isTemporary&quot;:false},{&quot;id&quot;:&quot;19fabc40-18e5-33e9-8f6a-0bdedaf4d412&quot;,&quot;itemData&quot;:{&quot;type&quot;:&quot;article-journal&quot;,&quot;id&quot;:&quot;19fabc40-18e5-33e9-8f6a-0bdedaf4d412&quot;,&quot;title&quot;:&quot;Factors Affecting the Stock Price: The Role of Firm Performance&quot;,&quot;author&quot;:[{&quot;family&quot;:&quot;Sukesti&quot;,&quot;given&quot;:&quot;Fatmasari&quot;,&quot;parse-names&quot;:false,&quot;dropping-particle&quot;:&quot;&quot;,&quot;non-dropping-particle&quot;:&quot;&quot;},{&quot;family&quot;:&quot;Ghozali&quot;,&quot;given&quot;:&quot;Imam&quot;,&quot;parse-names&quot;:false,&quot;dropping-particle&quot;:&quot;&quot;,&quot;non-dropping-particle&quot;:&quot;&quot;},{&quot;family&quot;:&quot;Fuad&quot;,&quot;given&quot;:&quot;Fuad&quot;,&quot;parse-names&quot;:false,&quot;dropping-particle&quot;:&quot;&quot;,&quot;non-dropping-particle&quot;:&quot;&quot;},{&quot;family&quot;:&quot;Almasyhari&quot;,&quot;given&quot;:&quot;Abdul Kharis&quot;,&quot;parse-names&quot;:false,&quot;dropping-particle&quot;:&quot;&quot;,&quot;non-dropping-particle&quot;:&quot;&quot;},{&quot;family&quot;:&quot;Nurcahyono&quot;,&quot;given&quot;:&quot;Nurcahyono&quot;,&quot;parse-names&quot;:false,&quot;dropping-particle&quot;:&quot;&quot;,&quot;non-dropping-particle&quot;:&quot;&quot;}],&quot;container-title&quot;:&quot;Journal of Asian Finance, Economics and Business&quot;,&quot;DOI&quot;:&quot;10.13106/jafeb.2021.vol8.no2.0165&quot;,&quot;ISSN&quot;:&quot;22884645&quot;,&quot;issued&quot;:{&quot;date-parts&quot;:[[2021]]},&quot;page&quot;:&quot;165-173&quot;,&quot;abstract&quot;:&quot;This study examined the effect of Debt Equity Ratio (DER), Net Profit Margin (NPM), and Size on stock prices with company performance as measured by Return on Assets (ROA) as a mediating variable. The sample used is 136 manufacturing companies listed on the Indonesia Stock Exchange (IDX) in the 2014-2018 period. This research was tested using a Warp PLS statistical test tool to prove the proposed hypothesis. The results showed that DER has a significant negative effect on ROA and a significant positive effect on Stock Price. NPM has a significant positive effect on ROA as well as a significant positive effect on Stock Price. While Size has a significant positive effect on ROA but has no effect on Stock Price. ROA has a significant positive effect on Stock Price. ROA does not act as a mediating variable in the relationship between Size and Stock Price; however, ROA acts as a mediating variable in the DER and Stock Price relationship, as well as, in the relationship between NPM and Stock Price. The implications of the results of this study can be used by investors in making investment decisions, paying attention to the company’s financial aspects, namely DER, NPM, Size, and ROA.&quot;,&quot;publisher&quot;:&quot;Korea Distribution Science Association (KODISA)&quot;,&quot;issue&quot;:&quot;2&quot;,&quot;volume&quot;:&quot;8&quot;,&quot;container-title-short&quot;:&quot;&quot;},&quot;isTemporary&quot;:false},{&quot;id&quot;:&quot;484a28d8-96a4-3532-9181-2857c3d44fad&quot;,&quot;itemData&quot;:{&quot;type&quot;:&quot;article-journal&quot;,&quot;id&quot;:&quot;484a28d8-96a4-3532-9181-2857c3d44fad&quot;,&quot;title&quot;:&quot;The Effect OF ROA, ROE, AND EPS On Stock Prices Of Companies Registered On Jii For The 2018-2021&quot;,&quot;author&quot;:[{&quot;family&quot;:&quot;Putri&quot;,&quot;given&quot;:&quot;Ema Santika&quot;,&quot;parse-names&quot;:false,&quot;dropping-particle&quot;:&quot;&quot;,&quot;non-dropping-particle&quot;:&quot;&quot;},{&quot;family&quot;:&quot;Usdeldi&quot;,&quot;given&quot;:&quot;&quot;,&quot;parse-names&quot;:false,&quot;dropping-particle&quot;:&quot;&quot;,&quot;non-dropping-particle&quot;:&quot;&quot;},{&quot;family&quot;:&quot;Rahma&quot;,&quot;given&quot;:&quot;Sri&quot;,&quot;parse-names&quot;:false,&quot;dropping-particle&quot;:&quot;&quot;,&quot;non-dropping-particle&quot;:&quot;&quot;}],&quot;container-title&quot;:&quot;AL-DZHAB&quot;,&quot;DOI&quot;:&quot;https://doi.org/10.32939/dhb.v5i1.3152&quot;,&quot;issued&quot;:{&quot;date-parts&quot;:[[2024]]},&quot;abstract&quot;:&quot;Purpose: This study aims to analyse the effect of Return On Assets, Return on Equity, and Earnings Per Share on stock prices in companies listed on JII for 2018-2021. Desain/Methodology/Approach: The authors use quantitative research to obtain data by accessing the company's financial statements. The samples used in this study were 12 companies registered on JII for the 2014-2018 period, passing through the purposive sampling stage according to the criteria needed for the study. The data analysis method used in this study is panel data regression techniques. Findings: The research results show that Return On Assets (ROA) has an effect on stock prices in a positive direction, Return on Equity (ROE) has an effect on stock prices in a negative direction, and Earning Per Share (EPS) affects stock prices in a negative direction. ROA, ROE, and EPS affect stock prices at 96.44%, while other variables outside the research explain the remaining 3.56%. Research Implications: Inform investors or potential investors about the importance of analysing the company's financial statements before investing.&quot;,&quot;issue&quot;:&quot;1&quot;,&quot;volume&quot;:&quot;5&quot;,&quot;container-title-short&quot;:&quot;&quot;},&quot;isTemporary&quot;:false},{&quot;id&quot;:&quot;70a46632-22ad-3a8b-a6b9-16d2ef9c35ca&quot;,&quot;itemData&quot;:{&quot;type&quot;:&quot;article-journal&quot;,&quot;id&quot;:&quot;70a46632-22ad-3a8b-a6b9-16d2ef9c35ca&quot;,&quot;title&quot;:&quot;The Effect Of NPM, ROA, ROE, EPS And Per Ratio On The Stock Price Of Lq45 Companies Listed On The Indonesian Stock Exchange For The Period 2021-2023&quot;,&quot;author&quot;:[{&quot;family&quot;:&quot;Puspitasari&quot;,&quot;given&quot;:&quot;Nadia&quot;,&quot;parse-names&quot;:false,&quot;dropping-particle&quot;:&quot;&quot;,&quot;non-dropping-particle&quot;:&quot;&quot;},{&quot;family&quot;:&quot;Soleh&quot;,&quot;given&quot;:&quot;Ahmad&quot;,&quot;parse-names&quot;:false,&quot;dropping-particle&quot;:&quot;&quot;,&quot;non-dropping-particle&quot;:&quot;&quot;},{&quot;family&quot;:&quot;Irawan Abi&quot;,&quot;given&quot;:&quot;Yudi&quot;,&quot;parse-names&quot;:false,&quot;dropping-particle&quot;:&quot;&quot;,&quot;non-dropping-particle&quot;:&quot;&quot;}],&quot;container-title&quot;:&quot;Jurnal Ilmiah Ekonomi dan Bisnis&quot;,&quot;DOI&quot;:&quot;10.37676/ekombis.v13i1&quot;,&quot;ISSN&quot;:&quot;2716-4411&quot;,&quot;URL&quot;:&quot;https://jurnal.unived.ac.id/index.php/er/indexDOI:https://doi.org/10.37676/ekombis.v13i1&quot;,&quot;issued&quot;:{&quot;date-parts&quot;:[[2025]]},&quot;page&quot;:&quot;13&quot;,&quot;abstract&quot;:&quot;There are many companies listed on the Indonesia Stock Exchange (BEI), but there is a special classification for companies with the best financial performance. One of them is a company included in the LQ45 index group.&quot;,&quot;issue&quot;:&quot;1&quot;,&quot;volume&quot;:&quot;13&quot;,&quot;container-title-short&quot;:&quot;&quot;},&quot;isTemporary&quot;:false}]},{&quot;citationID&quot;:&quot;MENDELEY_CITATION_fc0f4180-913d-47aa-89b2-efa07a8fe0f2&quot;,&quot;properties&quot;:{&quot;noteIndex&quot;:0},&quot;isEdited&quot;:false,&quot;manualOverride&quot;:{&quot;isManuallyOverridden&quot;:true,&quot;citeprocText&quot;:&quot;(Wahyuningrum &amp;#38; Sunarto, 2023)&quot;,&quot;manualOverrideText&quot;:&quot;(Wahyuningrum &amp; Sunarto, 2023).&quot;},&quot;citationTag&quot;:&quot;MENDELEY_CITATION_v3_eyJjaXRhdGlvbklEIjoiTUVOREVMRVlfQ0lUQVRJT05fZmMwZjQxODAtOTEzZC00N2FhLTg5YjItZWZhMDdhOGZlMGYyIiwicHJvcGVydGllcyI6eyJub3RlSW5kZXgiOjB9LCJpc0VkaXRlZCI6ZmFsc2UsIm1hbnVhbE92ZXJyaWRlIjp7ImlzTWFudWFsbHlPdmVycmlkZGVuIjp0cnVlLCJjaXRlcHJvY1RleHQiOiIoV2FoeXVuaW5ncnVtICYjMzg7IFN1bmFydG8sIDIwMjMpIiwibWFudWFsT3ZlcnJpZGVUZXh0IjoiKFdhaHl1bmluZ3J1bSAmIFN1bmFydG8sIDIwMjMpLi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quot;,&quot;citationItems&quot;:[{&quot;id&quot;:&quot;4954fd65-bda0-3067-baf3-0fdbd63c0a54&quot;,&quot;itemData&quot;:{&quot;type&quot;:&quot;article-journal&quot;,&quot;id&quot;:&quot;4954fd65-bda0-3067-baf3-0fdbd63c0a54&quot;,&quot;title&quot;:&quot;Pengaruh Likuiditas, Profitabilitas, Leverage Dan Ukuran Perusahaan\nTerhadap Nilai Perusahaan&quot;,&quot;author&quot;:[{&quot;family&quot;:&quot;Wahyuningrum&quot;,&quot;given&quot;:&quot;Alfa Dwi&quot;,&quot;parse-names&quot;:false,&quot;dropping-particle&quot;:&quot;&quot;,&quot;non-dropping-particle&quot;:&quot;&quot;},{&quot;family&quot;:&quot;Sunarto&quot;,&quot;given&quot;:&quot;&quot;,&quot;parse-names&quot;:false,&quot;dropping-particle&quot;:&quot;&quot;,&quot;non-dropping-particle&quot;:&quot;&quot;}],&quot;container-title&quot;:&quot;Jurnal Riset Akutansi Politala&quot;,&quot;accessed&quot;:{&quot;date-parts&quot;:[[2025,4,20]]},&quot;URL&quot;:&quot;http://jra.politala.ac.id/index.php/JRA/index&quot;,&quot;issued&quot;:{&quot;date-parts&quot;:[[2023]]},&quot;issue&quot;:&quot;1&quot;,&quot;volume&quot;:&quot;6&quot;,&quot;container-title-short&quot;:&quot;&quot;},&quot;isTemporary&quot;:false}]},{&quot;citationID&quot;:&quot;MENDELEY_CITATION_e5257e33-e1eb-4d57-b8f3-ffcb0f04bfea&quot;,&quot;properties&quot;:{&quot;noteIndex&quot;:0},&quot;isEdited&quot;:false,&quot;manualOverride&quot;:{&quot;isManuallyOverridden&quot;:true,&quot;citeprocText&quot;:&quot;(Silas et al., 2025)&quot;,&quot;manualOverrideText&quot;:&quot;(Silas et al., 2025).&quot;},&quot;citationTag&quot;:&quot;MENDELEY_CITATION_v3_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&quot;,&quot;citationItems&quot;:[{&quot;id&quot;:&quot;e3eca6f7-1899-357c-8187-96929a4615b1&quot;,&quot;itemData&quot;:{&quot;type&quot;:&quot;article-journal&quot;,&quot;id&quot;:&quot;e3eca6f7-1899-357c-8187-96929a4615b1&quot;,&quot;title&quot;:&quot;Corporate Tax Shield and Earnings Multiple of Listed Deposit Money Banks in Nigeria&quot;,&quot;author&quot;:[{&quot;family&quot;:&quot;Silas&quot;,&quot;given&quot;:&quot;Idara&quot;,&quot;parse-names&quot;:false,&quot;dropping-particle&quot;:&quot;&quot;,&quot;non-dropping-particle&quot;:&quot;&quot;},{&quot;family&quot;:&quot;Etim&quot;,&quot;given&quot;:&quot;Uwem&quot;,&quot;parse-names&quot;:false,&quot;dropping-particle&quot;:&quot;&quot;,&quot;non-dropping-particle&quot;:&quot;&quot;},{&quot;family&quot;:&quot;Paul&quot;,&quot;given&quot;:&quot;Usen&quot;,&quot;parse-names&quot;:false,&quot;dropping-particle&quot;:&quot;&quot;,&quot;non-dropping-particle&quot;:&quot;&quot;}],&quot;container-title&quot;:&quot;Journal of Accounting and Financial Management E&quot;,&quot;DOI&quot;:&quot;10.56201/jafm.v11.no1.2025.pg22.39&quot;,&quot;ISSN&quot;:&quot;2695-2211&quot;,&quot;URL&quot;:&quot;www.iiardjournals.org&quot;,&quot;issued&quot;:{&quot;date-parts&quot;:[[2025]]},&quot;abstract&quot;:&quot;The multiplicity of tax system has made it very imperative for banks to take conscious effort to reduce tax liabilities by engaging in cost cutting strategies. This study therefore was carried out to ascertain the effect of corporate tax shield on earnings multiple of deposit money banks listed on the Nigerian Exchange Group for the period 2014 to 2023. The independent variable of this study being corporate tax shield was proxied by debt tax shield, depreciation tax shield and charitable donation tax shield while the dependent variable was earnings multiple. The research design adopted for this study was ex post facto, secondary data were used. The population of the study was 13 listed deposit money banks in Nigeria while the sample size of 11 deposit money banks was purposively selected. The data were analysed tested using the robust fixed effects generalized least square regression and the statistical package employed was STATA version 14.2. The result of the analysis revealed that debt tax shield has a significant positive effect on earnings multiple; depreciation tax shield has nonsignificant effect on earnings multiple; charitable donations tax shield has significant negative effect on earnings multiple of listed deposit money banks in Nigeria. Thus, it was concluded that tax shield has significant effect on earnings multiple of listed deposit money banks in Nigeria. Based on these findings, it was recommended among others that the management of listed deposit money banks in Nigeria should leverage debt financing to reduce their tax liability and increase their earnings multiple. This can be achieved by increasing debt financing in their capital structure and taking advantage of interest deductions on debt.&quot;,&quot;issue&quot;:&quot;1&quot;,&quot;volume&quot;:&quot;11&quot;,&quot;container-title-short&quot;:&quot;&quot;},&quot;isTemporary&quot;:false}]},{&quot;citationID&quot;:&quot;MENDELEY_CITATION_eb24e1b7-fd9f-4552-822e-bdfc668c9d3a&quot;,&quot;properties&quot;:{&quot;noteIndex&quot;:0},&quot;isEdited&quot;:false,&quot;manualOverride&quot;:{&quot;isManuallyOverridden&quot;:true,&quot;citeprocText&quot;:&quot;(Emanue &amp;#38; Riwayati, 2024; Kusuma et al., 2024; Suwarno &amp;#38; Muthmainnah, 2024)&quot;,&quot;manualOverrideText&quot;:&quot;(Emanue &amp; Riwayati, 2024; Kusuma et al., 2024; Suwarno &amp; Muthmainnah, 2024).&quot;},&quot;citationTag&quot;:&quot;MENDELEY_CITATION_v3_eyJjaXRhdGlvbklEIjoiTUVOREVMRVlfQ0lUQVRJT05fZWIyNGUxYjctZmQ5Zi00NTUyLTgyMmUtYmRmYzY2OGM5ZDNhIiwicHJvcGVydGllcyI6eyJub3RlSW5kZXgiOjB9LCJpc0VkaXRlZCI6ZmFsc2UsIm1hbnVhbE92ZXJyaWRlIjp7ImlzTWFudWFsbHlPdmVycmlkZGVuIjp0cnVlLCJjaXRlcHJvY1RleHQiOiIoRW1hbnVlICYjMzg7IFJpd2F5YXRpLCAyMDI0OyBLdXN1bWEgZXQgYWwuLCAyMDI0OyBTdXdhcm5vICYjMzg7IE11dGhtYWlubmFoLCAyMDI0KSIsIm1hbnVhbE92ZXJyaWRlVGV4dCI6IihFbWFudWUgJiBSaXdheWF0aSwgMjAyNDsgS3VzdW1hIGV0IGFsLiwgMjAyNDsgU3V3YXJubyAmIE11dGhtYWlubmFoLCAyMDI0KS4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quot;,&quot;citationItems&quot;:[{&quot;id&quot;:&quot;aeb95b29-1394-338f-b5cc-aef7b24c9a11&quot;,&quot;itemData&quot;:{&quot;type&quot;:&quot;article-journal&quot;,&quot;id&quot;:&quot;aeb95b29-1394-338f-b5cc-aef7b24c9a11&quot;,&quot;title&quot;:&quot;Financial Performance Affecting Stock Prices of Food and Beverage Sub-Sector Companies in Indonesia Article history&quot;,&quot;author&quot;:[{&quot;family&quot;:&quot;Emanue&quot;,&quot;given&quot;:&quot;Magdalena Permatasari&quot;,&quot;parse-names&quot;:false,&quot;dropping-particle&quot;:&quot;&quot;,&quot;non-dropping-particle&quot;:&quot;&quot;},{&quot;family&quot;:&quot;Riwayati&quot;,&quot;given&quot;:&quot;Hedwigis Esti&quot;,&quot;parse-names&quot;:false,&quot;dropping-particle&quot;:&quot;&quot;,&quot;non-dropping-particle&quot;:&quot;&quot;}],&quot;container-title&quot;:&quot;Management Research Studies Journal Vulume&quot;,&quot;DOI&quot;:&quot;https://doi.org/10.56174/mrsj.v5i1.646&quot;,&quot;URL&quot;:&quot;https://journal.perbanas.id/index.php/mrsj&quot;,&quot;issued&quot;:{&quot;date-parts&quot;:[[2024]]},&quot;page&quot;:&quot;2745-6161&quot;,&quot;abstract&quot;:&quot;This research aimed to analyze the effect of return on asset, return on equity, debt to equity ratio and earning per share toward stock price in company food and beverage sub-sector listed on the Indonesia Stock Exchange during the period 2018 to 2022. The population in this research was 118 companies in the consumer non-cyclicals sector. The determination of samples is using purposive sampling method, so that the selected sample is relevant to the research objectives. The company sampled in this research was 16 food and beverage companies. Researchers used data panel regression analysis techniques with data processing using the E-views 10 application to test the research hypothesis. The results shows return on assets and return on equity has no positive effect on stock prices, debt to equity ratio has a negative effect on stock prices and earning per share has a positive effect on the stock price of food and beverage sub-sector companies. These research results are simultaneously shows that the return on asset, return on equity, debt to equity ratio and earning per share variables are capable to explain stock prices on those 16 food and beverages companies listed on the Indonesia Stock Exchange.&quot;,&quot;issue&quot;:&quot;1&quot;,&quot;volume&quot;:&quot;5&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6e02ccd1-668b-3579-a80d-88d3907b02e0&quot;,&quot;itemData&quot;:{&quot;type&quot;:&quot;article-journal&quot;,&quot;id&quot;:&quot;6e02ccd1-668b-3579-a80d-88d3907b02e0&quot;,&quot;title&quot;:&quot;Fundamental Factors on Stock Price with Sustainability Report as Moderating Variable&quot;,&quot;author&quot;:[{&quot;family&quot;:&quot;Suwarno&quot;,&quot;given&quot;:&quot;Try Edi&quot;,&quot;parse-names&quot;:false,&quot;dropping-particle&quot;:&quot;&quot;,&quot;non-dropping-particle&quot;:&quot;&quot;},{&quot;family&quot;:&quot;Muthmainnah&quot;,&quot;given&quot;:&quot;Riyadatul&quot;,&quot;parse-names&quot;:false,&quot;dropping-particle&quot;:&quot;&quot;,&quot;non-dropping-particle&quot;:&quot;&quot;}],&quot;container-title&quot;:&quot;INTERNATIONAL JOURNAL OF SOCIAL SCIENCE AND EDUCATION RESEARCH STUDIES&quot;,&quot;DOI&quot;:&quot;10.55677/ijssers/V04I9Y2024-01&quot;,&quot;ISSN&quot;:&quot;27702782&quot;,&quot;URL&quot;:&quot;https://ijssers.org/single-view/?id=9983&amp;pid=9980&quot;,&quot;issued&quot;:{&quot;date-parts&quot;:[[2024]]},&quot;abstract&quot;:&quot;&lt;p&gt;This study aims to obtain empirical evidence of the effect of Liquidity, Solvency, and Profitability on Stock Prices with Sustainability Report as a Moderating Variable. The population in this study were mining companies on the Indonesia Stock Exchange. Sampling was done using purposive sampling. The secondary data collection method used is financial reports and sustainability reports. The results showed that Liquidity and Profitability had no effect on Stock Price while Solvency had a negative effect on Stock Price, Sustainability Report did not strengthen Liquidity and Profitability on Stock Price while Sustainability Report strengthened the effect of Solvency on Stock Price.&lt;/p&gt;&quot;,&quot;issue&quot;:&quot;09&quot;,&quot;volume&quot;:&quot;04&quot;,&quot;container-title-short&quot;:&quot;&quot;},&quot;isTemporary&quot;:false}]},{&quot;citationID&quot;:&quot;MENDELEY_CITATION_11bb4dab-8857-4b50-ab82-c3e9659246b8&quot;,&quot;properties&quot;:{&quot;noteIndex&quot;:0},&quot;isEdited&quot;:false,&quot;manualOverride&quot;:{&quot;isManuallyOverridden&quot;:true,&quot;citeprocText&quot;:&quot;(Rendiyansyah &amp;#38; Kresandra, 2025)&quot;,&quot;manualOverrideText&quot;:&quot;(Rendiyansyah &amp; Kresandra, 2025).&quot;},&quot;citationTag&quot;:&quot;MENDELEY_CITATION_v3_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&quot;,&quot;citationItems&quot;:[{&quot;id&quot;:&quot;9772c5cd-e39f-3ac9-96d0-f16dc62c483c&quot;,&quot;itemData&quot;:{&quot;type&quot;:&quot;article-journal&quot;,&quot;id&quot;:&quot;9772c5cd-e39f-3ac9-96d0-f16dc62c483c&quot;,&quot;title&quot;:&quot;The Effect Of Liquidity, Solvency And Profitability On Stock Prices (Study of Classification J Infrastructure Companies Listed on the Indonesian Stock Exchange for the 2020-2023 Period)&quot;,&quot;author&quot;:[{&quot;family&quot;:&quot;Rendiyansyah&quot;,&quot;given&quot;:&quot;Rois&quot;,&quot;parse-names&quot;:false,&quot;dropping-particle&quot;:&quot;&quot;,&quot;non-dropping-particle&quot;:&quot;&quot;},{&quot;family&quot;:&quot;Kresandra&quot;,&quot;given&quot;:&quot;Anak agung Ngurah Aung&quot;,&quot;parse-names&quot;:false,&quot;dropping-particle&quot;:&quot;&quot;,&quot;non-dropping-particle&quot;:&quot;&quot;}],&quot;container-title&quot;:&quot;DIJEFA : Dinasti Internasional Journal of Economi, Finance &amp; Accounting&quot;,&quot;DOI&quot;:&quot;10.38035/dijefa.v5i6&quot;,&quot;issued&quot;:{&quot;date-parts&quot;:[[2025]]},&quot;abstract&quot;:&quot;This research investigates the empirical relationship between liquidity, solvency, and profitability and stock prices of infrastructure companies listed on the Indonesia Stock Exchange (IDX) during the 2020-2023 period. Employing a sample of 22 infrastructure companies selected through purposive sampling, the study utilizes multiple linear regression analysis with current ratio, debt-to-equity ratio, and return on assets as independent variables. The findings indicate that liquidity exerts a negative influence on stock prices, while profitability demonstrates a positive correlation. Notably, solvency does not exhibit a significant impact on stock prices. These results suggest that investors in infrastructure companies may prioritize high profitability over high liquidity when making investment decisions. The study contributes to the existing literature by providing empirical evidence on the financial determinants of stock prices in the infrastructure sector and offers insights for future research.&quot;,&quot;issue&quot;:&quot;6&quot;,&quot;volume&quot;:&quot;5&quot;,&quot;container-title-short&quot;:&quot;&quot;},&quot;isTemporary&quot;:false}]},{&quot;citationID&quot;:&quot;MENDELEY_CITATION_b479232c-e23e-4668-a8d1-0c288efcfda2&quot;,&quot;properties&quot;:{&quot;noteIndex&quot;:0},&quot;isEdited&quot;:false,&quot;manualOverride&quot;:{&quot;isManuallyOverridden&quot;:true,&quot;citeprocText&quot;:&quot;(Rahmawati et al., 2023)&quot;,&quot;manualOverrideText&quot;:&quot;(Rahmawati et al., 2023).&quot;},&quot;citationTag&quot;:&quot;MENDELEY_CITATION_v3_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&quot;,&quot;citationItems&quot;:[{&quot;id&quot;:&quot;604dc7e4-7a09-384f-b16d-5e90a62788dc&quot;,&quot;itemData&quot;:{&quot;type&quot;:&quot;article-journal&quot;,&quot;id&quot;:&quot;604dc7e4-7a09-384f-b16d-5e90a62788dc&quot;,&quot;title&quot;:&quot;Financial Ratios and Corporate Governance's Impact on Financial Performance in the Indonesian Stock Market: The Case in Manufacturing Industry&quot;,&quot;author&quot;:[{&quot;family&quot;:&quot;Rahmawati&quot;,&quot;given&quot;:&quot;Ika Yustina&quot;,&quot;parse-names&quot;:false,&quot;dropping-particle&quot;:&quot;&quot;,&quot;non-dropping-particle&quot;:&quot;&quot;},{&quot;family&quot;:&quot;Najmudin&quot;,&quot;given&quot;:&quot;&quot;,&quot;parse-names&quot;:false,&quot;dropping-particle&quot;:&quot;&quot;,&quot;non-dropping-particle&quot;:&quot;&quot;},{&quot;family&quot;:&quot;Adawiyah&quot;,&quot;given&quot;:&quot;Wiwiek Robiatul&quot;,&quot;parse-names&quot;:false,&quot;dropping-particle&quot;:&quot;&quot;,&quot;non-dropping-particle&quot;:&quot;&quot;},{&quot;family&quot;:&quot;Jayanti&quot;,&quot;given&quot;:&quot;Esih&quot;,&quot;parse-names&quot;:false,&quot;dropping-particle&quot;:&quot;&quot;,&quot;non-dropping-particle&quot;:&quot;&quot;},{&quot;family&quot;:&quot;Berniz&quot;,&quot;given&quot;:&quot;Yulis Maulida&quot;,&quot;parse-names&quot;:false,&quot;dropping-particle&quot;:&quot;&quot;,&quot;non-dropping-particle&quot;:&quot;&quot;},{&quot;family&quot;:&quot;Utami&quot;,&quot;given&quot;:&quot;Yuni&quot;,&quot;parse-names&quot;:false,&quot;dropping-particle&quot;:&quot;&quot;,&quot;non-dropping-particle&quot;:&quot;&quot;}],&quot;container-title&quot;:&quot;Asian Journal of Economics, Business and Accounting&quot;,&quot;DOI&quot;:&quot;10.9734/ajeba/2023/v23i171037&quot;,&quot;issued&quot;:{&quot;date-parts&quot;:[[2023,6,28]]},&quot;page&quot;:&quot;1-12&quot;,&quot;abstract&quot;:&quot;Aims: Here to determine how financial ratios in this case, liquidity and leverage ratios along with an examination of corporate governance in this case, institutional and management ownership affect the company's financial performance.\r Study Design: The population of the study consists of 194 manufacturing-related companies listed on the Indonesia Stock Exchange (IDX) for the 2019–2021 period. The data for this study came from the company's annual report.\r Methodology: The method used to gather the data was purposeful sampling. For this inquiry, 36 businesses served as samples. The conventional assumption test, multiple regression analysis, model fit test, and hypothesis testing are tested using the analytical tool Eviews 12.\r Results: Given that managerial ownership, institutional ownership, and liquidity ratios are the variables affecting the company's financial performance, the analysis' findings show that only one hypothesis—the impact of the leverage ratio on the company's financial performance—is supported, whereas H2, H3, and H4 are not.&quot;,&quot;publisher&quot;:&quot;Sciencedomain International&quot;,&quot;issue&quot;:&quot;17&quot;,&quot;volume&quot;:&quot;23&quot;,&quot;container-title-short&quot;:&quot;&quot;},&quot;isTemporary&quot;:false}]},{&quot;citationID&quot;:&quot;MENDELEY_CITATION_541bfcda-a36f-416d-958b-540c2a2c3baf&quot;,&quot;properties&quot;:{&quot;noteIndex&quot;:0},&quot;isEdited&quot;:false,&quot;manualOverride&quot;:{&quot;isManuallyOverridden&quot;:true,&quot;citeprocText&quot;:&quot;(Zahra et al., n.d.)&quot;,&quot;manualOverrideText&quot;:&quot;(Zahra et al., n.d.).&quot;},&quot;citationTag&quot;:&quot;MENDELEY_CITATION_v3_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&quot;,&quot;citationItems&quot;:[{&quot;id&quot;:&quot;c59a1aea-b814-3a43-8372-af5966c90913&quot;,&quot;itemData&quot;:{&quot;type&quot;:&quot;article-journal&quot;,&quot;id&quot;:&quot;c59a1aea-b814-3a43-8372-af5966c90913&quot;,&quot;title&quot;:&quot;Factors Influencing Financial Performance On Banking Companies In Indonesia: Does Financial Technology Matter?&quot;,&quot;author&quot;:[{&quot;family&quot;:&quot;Zahra&quot;,&quot;given&quot;:&quot;Hakimatuz&quot;,&quot;parse-names&quot;:false,&quot;dropping-particle&quot;:&quot;&quot;,&quot;non-dropping-particle&quot;:&quot;&quot;},{&quot;family&quot;:&quot;Nurul Innayah&quot;,&quot;given&quot;:&quot;Maulida&quot;,&quot;parse-names&quot;:false,&quot;dropping-particle&quot;:&quot;&quot;,&quot;non-dropping-particle&quot;:&quot;&quot;},{&quot;family&quot;:&quot;Tubastuvi&quot;,&quot;given&quot;:&quot;Naelati&quot;,&quot;parse-names&quot;:false,&quot;dropping-particle&quot;:&quot;&quot;,&quot;non-dropping-particle&quot;:&quot;&quot;},{&quot;family&quot;:&quot;Aryoko&quot;,&quot;given&quot;:&quot;Yudhistira Pradhipta&quot;,&quot;parse-names&quot;:false,&quot;dropping-particle&quot;:&quot;&quot;,&quot;non-dropping-particle&quot;:&quot;&quot;}],&quot;container-title&quot;:&quot;Business and Accounting Research (IJEBAR) Peer Reviewed-International Journal&quot;,&quot;DOI&quot;:&quot;https://doi.org/10.29040/ijebar.v8i3.14475&quot;,&quot;ISSN&quot;:&quot;2622-4771&quot;,&quot;URL&quot;:&quot;https://jurnal.stie-aas.ac.id/index.php/IJEBAR&quot;,&quot;abstract&quot;:&quot;This study aimed to examine the effect of company size, liquidity, and dividend policy on financial performance, using financial technology as a moderating variable and leverage as a control variable. The population of this study is conventional banking sector companies registered with the Indonesian Financial Services Authority (OJK) from 2019 to 2022. The sample collection method uses a purposive sampling technique. The number of samples obtained was 91 companies, with 137 observations. This study utilized the Fixed Effect Regression Model based on the preliminary test result for panel data regression. The results showed that liquidity and financial technology significantly positively affect financial performance. Company size and dividend policy have a negative effect on financial performance. The application of financial technology by conventional Indonesian banks can strengthen the influence of the positive relationship between firm size, liquidity, and dividend policy on financial performance. Based on this research, it is necessary to maintain an optimal level of liquidity and adopt financial technology to improve the company's financial performance. The easier and safer the financial technology the company uses will further affect the level of company performance.&quot;,&quot;volume&quot;:&quot;8&quot;,&quot;container-title-short&quot;:&quot;&quot;},&quot;isTemporary&quot;:false}]},{&quot;citationID&quot;:&quot;MENDELEY_CITATION_6cec176f-e3a5-4252-a807-8c9d0ad4d320&quot;,&quot;properties&quot;:{&quot;noteIndex&quot;:0},&quot;isEdited&quot;:false,&quot;manualOverride&quot;:{&quot;isManuallyOverridden&quot;:true,&quot;citeprocText&quot;:&quot;(Ferli et al., 2022)&quot;,&quot;manualOverrideText&quot;:&quot;(Ferli et al., 2022).&quot;},&quot;citationTag&quot;:&quot;MENDELEY_CITATION_v3_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&quot;,&quot;citationItems&quot;:[{&quot;id&quot;:&quot;0a33d07d-14a0-3db9-84f0-47f4b4509f16&quot;,&quot;itemData&quot;:{&quot;type&quot;:&quot;article-journal&quot;,&quot;id&quot;:&quot;0a33d07d-14a0-3db9-84f0-47f4b4509f16&quot;,&quot;title&quot;:&quot;Pengaruh CR, DER dan ROE Terhadap Harga aham pada Perusahaan Consumer Goods Periode 2018-2021&quot;,&quot;author&quot;:[{&quot;family&quot;:&quot;Ferli&quot;,&quot;given&quot;:&quot;Ossi&quot;,&quot;parse-names&quot;:false,&quot;dropping-particle&quot;:&quot;&quot;,&quot;non-dropping-particle&quot;:&quot;&quot;},{&quot;family&quot;:&quot;Annisa Rahma&quot;,&quot;given&quot;:&quot;Ajeng&quot;,&quot;parse-names&quot;:false,&quot;dropping-particle&quot;:&quot;&quot;,&quot;non-dropping-particle&quot;:&quot;&quot;},{&quot;family&quot;:&quot;Ertika Shafira&quot;,&quot;given&quot;:&quot;Dona&quot;,&quot;parse-names&quot;:false,&quot;dropping-particle&quot;:&quot;&quot;,&quot;non-dropping-particle&quot;:&quot;&quot;},{&quot;family&quot;:&quot;William&quot;,&quot;given&quot;:&quot;Yoshua&quot;,&quot;parse-names&quot;:false,&quot;dropping-particle&quot;:&quot;&quot;,&quot;non-dropping-particle&quot;:&quot;&quot;}],&quot;container-title&quot;:&quot;Jurnal Keuangan dan Perbankan&quot;,&quot;DOI&quot;:&quot;https://doi.org/10.35384/jkp.v19i1.339&quot;,&quot;issued&quot;:{&quot;date-parts&quot;:[[2022]]},&quot;page&quot;:&quot;27-36&quot;,&quot;abstract&quot;:&quot;During the Covid-19 pandemic, the share price of the consumer goods sektor was not so corrected but tended to be stable, it is alleged that this sektor is still needed during the pandemic compared to other sektors. The study aims to analyze the effect of financial ratios, namely Current Ratio (CR), Debt to Equity ratio (DER), and Return on Equity (ROE) on stock prices. The population of this study is consumer goods companies listed on the Indonesia Stock Exchange for the 2018-2021 period. This study used secondary data using the purposive sampling method of 26 companies. This study used descriptive statistical analysis and multiple linear regression. The results showed that ROE had a positive effect on stock prices. CR has no effect on stock prices. DER results had an effect on the 2020-2021 sample while 2018-2019 had no effect on the stock price.&quot;,&quot;issue&quot;:&quot;1&quot;,&quot;volume&quot;:&quot;19&quot;,&quot;container-title-short&quot;:&quot;&quot;},&quot;isTemporary&quot;:false}]},{&quot;citationID&quot;:&quot;MENDELEY_CITATION_487adb0f-f099-4a30-9274-01bf7cd43767&quot;,&quot;properties&quot;:{&quot;noteIndex&quot;:0},&quot;isEdited&quot;:false,&quot;manualOverride&quot;:{&quot;isManuallyOverridden&quot;:true,&quot;citeprocText&quot;:&quot;(Argyanezar &amp;#38; Damayanti, 2024; Purwanto &amp;#38; Perkasa, 2024; Wulansari et al., 2023)&quot;,&quot;manualOverrideText&quot;:&quot;(Argyanezar &amp; Damayanti, 2024; Purwanto &amp; Perkasa, 2024; Wulansari et al., 2023).&quot;},&quot;citationTag&quot;:&quot;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8c72fc31-633b-3f8b-b6e1-6c620d9e6918&quot;,&quot;itemData&quot;:{&quot;type&quot;:&quot;article-journal&quot;,&quot;id&quot;:&quot;8c72fc31-633b-3f8b-b6e1-6c620d9e6918&quot;,&quot;title&quot;:&quot;Banking Share Prices Analysis: The Influence of Financial Ratios Amidst Digital Transformation&quot;,&quot;author&quot;:[{&quot;family&quot;:&quot;Purwanto&quot;,&quot;given&quot;:&quot;Setiyo&quot;,&quot;parse-names&quot;:false,&quot;dropping-particle&quot;:&quot;&quot;,&quot;non-dropping-particle&quot;:&quot;&quot;},{&quot;family&quot;:&quot;Perkasa&quot;,&quot;given&quot;:&quot;Didin Hikmah&quot;,&quot;parse-names&quot;:false,&quot;dropping-particle&quot;:&quot;&quot;,&quot;non-dropping-particle&quot;:&quot;&quot;}],&quot;container-title&quot;:&quot;Quantitative Economics and Management Studies&quot;,&quot;DOI&quot;:&quot;10.35877/454RI.qems2753&quot;,&quot;ISSN&quot;:&quot;2722-6247&quot;,&quot;URL&quot;:&quot;https://qemsjournal.org/index.php/qems/article/view/2753&quot;,&quot;issued&quot;:{&quot;date-parts&quot;:[[2024]]},&quot;page&quot;:&quot;871-878&quot;,&quot;abstract&quot;:&quot;&lt;p&gt;This research aims to analyze the influence of financial ratios on share prices in the banking sub-sector listed on the Indonesia Stock Exchange. The approach in this research is to use a quantitative approach and based on its objectives, this type of research is causal, namely research that explains the influence of an independent variable on the dependent variable. The independent variables in this research include Current Ratio (CR), Debt to Equity Ratio (DER), and Return On Assets (ROA) and the dependent variable in this research is Stock Price. The population of this research is banking companies listed on the Indonesia Stock Exchange, totaling 46 banking issuers. The sample determination procedure uses a non-probability sampling method, namely in the form of purposive sampling. Purposive sampling is a sampling technique with certain considerations. Based on the selection results, there were 20 banks that met the criteria. Data analysis was carried out using multiple linear regression analysis. The results of the analysis show that the Current Ratio and Debt to Equity Ratio have a negative effect on stock prices, Return On Assets have a positive effect on share prices.&lt;/p&gt;&quot;,&quot;issue&quot;:&quot;4&quot;,&quot;volume&quot;:&quot;5&quot;,&quot;container-title-short&quot;:&quot;&quot;},&quot;isTemporary&quot;:false},{&quot;id&quot;:&quot;ea056536-c621-3e57-834f-5feed38648cf&quot;,&quot;itemData&quot;:{&quot;type&quot;:&quot;article-journal&quot;,&quot;id&quot;:&quot;ea056536-c621-3e57-834f-5feed38648cf&quot;,&quot;title&quot;:&quot;effect of financial ratio on stock price in telecommunications sector companies listed on the Indonesia stock exchange&quot;,&quot;author&quot;:[{&quot;family&quot;:&quot;Wulansari&quot;,&quot;given&quot;:&quot;Tri&quot;,&quot;parse-names&quot;:false,&quot;dropping-particle&quot;:&quot;&quot;,&quot;non-dropping-particle&quot;:&quot;&quot;},{&quot;family&quot;:&quot;Sulastri&quot;,&quot;given&quot;:&quot;Sulastri&quot;,&quot;parse-names&quot;:false,&quot;dropping-particle&quot;:&quot;&quot;,&quot;non-dropping-particle&quot;:&quot;&quot;},{&quot;family&quot;:&quot;Widiyanti&quot;,&quot;given&quot;:&quot;Marlina&quot;,&quot;parse-names&quot;:false,&quot;dropping-particle&quot;:&quot;&quot;,&quot;non-dropping-particle&quot;:&quot;&quot;},{&quot;family&quot;:&quot;Adam&quot;,&quot;given&quot;:&quot;Mohamad&quot;,&quot;parse-names&quot;:false,&quot;dropping-particle&quot;:&quot;&quot;,&quot;non-dropping-particle&quot;:&quot;&quot;}],&quot;container-title&quot;:&quot;International journal of business, economics &amp; management&quot;,&quot;DOI&quot;:&quot;10.21744/ijbem.v6n1.2058&quot;,&quot;issued&quot;:{&quot;date-parts&quot;:[[2023]]},&quot;page&quot;:&quot;1-9&quot;,&quot;abstract&quot;:&quot;This study aims to determine the effect of financial ratios on stock prices in telecommunications sector companies listed on the Indonesia Stock Exchange (IDX) during the 2017-2021 period. The population in this study were all telecommunications sector companies listed on the Indonesia Stock Exchange (IDX) from 2017 to 2021. Using a purposive sampling technique, the research sample consisted of 10 telecommunications sector companies. Data analysis used the panel data regression method, where the selected model was the fixed effect. The results showed that the Current Ratio (CR), Return on Equity (ROE), Return on Assets (ROA), and Earning Per Share (EPS) had a positive and significant effect on stock prices. In contrast, the Debt to Equity Ratio (DER) was negative and significant to stock prices.&quot;,&quot;publisher&quot;:&quot;Scientific and Literature Open Access Publishing&quot;,&quot;issue&quot;:&quot;1&quot;,&quot;volume&quot;:&quot;6&quot;,&quot;container-title-short&quot;:&quot;&quot;},&quot;isTemporary&quot;:false}]},{&quot;citationID&quot;:&quot;MENDELEY_CITATION_03897232-995f-4630-8905-88d8404dbdfc&quot;,&quot;properties&quot;:{&quot;noteIndex&quot;:0},&quot;isEdited&quot;:false,&quot;manualOverride&quot;:{&quot;isManuallyOverridden&quot;:true,&quot;citeprocText&quot;:&quot;(Tantorio et al., 2023)&quot;,&quot;manualOverrideText&quot;:&quot;(Tantorio et al., 2023).&quot;},&quot;citationTag&quot;:&quot;MENDELEY_CITATION_v3_eyJjaXRhdGlvbklEIjoiTUVOREVMRVlfQ0lUQVRJT05fMDM4OTcyMzItOTk1Zi00NjMwLTg5MDUtODhkODQwNGRiZGZjIiwicHJvcGVydGllcyI6eyJub3RlSW5kZXgiOjB9LCJpc0VkaXRlZCI6ZmFsc2UsIm1hbnVhbE92ZXJyaWRlIjp7ImlzTWFudWFsbHlPdmVycmlkZGVuIjp0cnVlLCJjaXRlcHJvY1RleHQiOiIoVGFudG9yaW8gZXQgYWwuLCAyMDIzKSIsIm1hbnVhbE92ZXJyaWRlVGV4dCI6IihUYW50b3JpbyBldCBhbC4sIDIwMjMpLi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quot;,&quot;citationItems&quot;:[{&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citationID&quot;:&quot;MENDELEY_CITATION_c6d1a348-3531-4124-931b-296b2b0455a8&quot;,&quot;properties&quot;:{&quot;noteIndex&quot;:0},&quot;isEdited&quot;:false,&quot;manualOverride&quot;:{&quot;isManuallyOverridden&quot;:true,&quot;citeprocText&quot;:&quot;(Dini &amp;#38; Pasaribu, 2021)&quot;,&quot;manualOverrideText&quot;:&quot;(Dini &amp; Pasaribu, 2021).&quot;},&quot;citationTag&quot;:&quot;MENDELEY_CITATION_v3_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&quot;,&quot;citationItems&quot;:[{&quot;id&quot;:&quot;7be14139-bc9d-3bb8-b404-5bd9c102654a&quot;,&quot;itemData&quot;:{&quot;type&quot;:&quot;article-journal&quot;,&quot;id&quot;:&quot;7be14139-bc9d-3bb8-b404-5bd9c102654a&quot;,&quot;title&quot;:&quot;Pengaruh ROE, CR, TATO, DER Terhadap Harga Saham Perusahaan\nPerdagangan Besar Barang Produksi &amp; Konsumsi&quot;,&quot;author&quot;:[{&quot;family&quot;:&quot;Dini&quot;,&quot;given&quot;:&quot;Siti&quot;,&quot;parse-names&quot;:false,&quot;dropping-particle&quot;:&quot;&quot;,&quot;non-dropping-particle&quot;:&quot;&quot;},{&quot;family&quot;:&quot;Pasaribu&quot;,&quot;given&quot;:&quot;Farida&quot;,&quot;parse-names&quot;:false,&quot;dropping-particle&quot;:&quot;&quot;,&quot;non-dropping-particle&quot;:&quot;&quot;}],&quot;container-title&quot;:&quot;Jambura Economic Education Journal&quot;,&quot;DOI&quot;:&quot;https://doi.org/10.37479/jeej.v3i2.11063&quot;,&quot;issued&quot;:{&quot;date-parts&quot;:[[2021]]},&quot;issue&quot;:&quot;2&quot;,&quot;volume&quot;:&quot;3&quot;,&quot;container-title-short&quot;:&quot;&quot;},&quot;isTemporary&quot;:false}]},{&quot;citationID&quot;:&quot;MENDELEY_CITATION_908bf665-dcb6-46a7-90ca-7a3462bf275e&quot;,&quot;properties&quot;:{&quot;noteIndex&quot;:0},&quot;isEdited&quot;:false,&quot;manualOverride&quot;:{&quot;isManuallyOverridden&quot;:true,&quot;citeprocText&quot;:&quot;(Argyanezar &amp;#38; Damayanti, 2024; Nurcholis et al., 2024; Tantorio et al., 2023)&quot;,&quot;manualOverrideText&quot;:&quot;(Argyanezar &amp; Damayanti, 2024; Nurcholis et al., 2024; Tantorio et al., 2023).&quot;},&quot;citationTag&quot;:&quot;MENDELEY_CITATION_v3_eyJjaXRhdGlvbklEIjoiTUVOREVMRVlfQ0lUQVRJT05fOTA4YmY2NjUtZGNiNi00NmE3LTkwY2EtN2EzNDYyYmYyNzVl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id&quot;:&quot;fd809ca6-8e5d-3ee9-aca6-0ec23bde4cb1&quot;,&quot;itemData&quot;:{&quot;type&quot;:&quot;article-journal&quot;,&quot;id&quot;:&quot;fd809ca6-8e5d-3ee9-aca6-0ec23bde4cb1&quot;,&quot;title&quot;:&quot;Pengaruh Total Asset Turnover (Tato) dan Net Profit Margin (NPM) terhadap Harga Saham pada PT Matahari Department Store Tbk Periode 2013-2023&quot;,&quot;author&quot;:[{&quot;family&quot;:&quot;Nurcholis&quot;,&quot;given&quot;:&quot;Irfan&quot;,&quot;parse-names&quot;:false,&quot;dropping-particle&quot;:&quot;&quot;,&quot;non-dropping-particle&quot;:&quot;&quot;},{&quot;family&quot;:&quot;Pratama&quot;,&quot;given&quot;:&quot;Aditya&quot;,&quot;parse-names&quot;:false,&quot;dropping-particle&quot;:&quot;&quot;,&quot;non-dropping-particle&quot;:&quot;&quot;},{&quot;family&quot;:&quot;Daeng Matta&quot;,&quot;given&quot;:&quot;Yusran&quot;,&quot;parse-names&quot;:false,&quot;dropping-particle&quot;:&quot;&quot;,&quot;non-dropping-particle&quot;:&quot;&quot;}],&quot;container-title&quot;:&quot;Cakrawala: Jurnal Ekonomi, Manajemen dan Bisnis&quot;,&quot;DOI&quot;:&quot;https://doi.org/10.70451/cakrawala.v1i4.252&quot;,&quot;ISSN&quot;:&quot;3046-8884&quot;,&quot;URL&quot;:&quot;https://jurnalamanah.com/index.php/cakrawala/index&quot;,&quot;issued&quot;:{&quot;date-parts&quot;:[[2024]]},&quot;page&quot;:&quot;1420-1429&quot;,&quot;abstract&quot;:&quot;Article History: This study aims to determinate the effect of the Total Aset Turnover Rasio and Net Profit Margin Rasio on the Stock Price at PT Matahari Department Store Tbk for the period 2013-2023 partially and simultaneously. The research method used is a quantitative approach method. The population used in this study is the Finansial Statements of PT Matahari Department Store Tbk for the year 2013-2023. The sample used were in the form of Balance Sheet and Profit and Loss Statement of PT Matahari Department Store Tbk. the data analysis techniques used are descriptive analysis and statistical analysis through the SPSS calculation stage using IMB SPSS version 21 (clasical assumption test, regression analysis, coefficient test and hypothesis test). The result of this study show that the Total Assets Turnover Rasio has a significant effect on the stock Price, the result of the calculation of the T-tes obtained a calculation value of 2,508 &gt; ttable 2,30600 and a significant value of 0,036 &lt; 0,05. Net Profit Margin has No. effect andi s not significsnt on the Stock Price, the result of the T-test obtained a calculation value of 1,050 &lt; ttable 2.30600 and a significant value of 0,324 &gt; 0,05. The result of the simultaneous study with the F-test showed that the Total Assets Turnover Rasio and the Net Profit Margin Rasio had a significant effect on the Stock Price, this was evidenced by the result of the calculation of the F-test obtained a value of 7,028 &gt; ftable of a 4,46 and a significant value of 0,017 &lt; 0,05.&quot;,&quot;publisher&quot;:&quot;Desember&quot;,&quot;issue&quot;:&quot;4&quot;,&quot;volume&quot;:&quot;1&quot;,&quot;container-title-short&quot;:&quot;&quot;},&quot;isTemporary&quot;:false}]},{&quot;citationID&quot;:&quot;MENDELEY_CITATION_9520f313-c2c9-45f4-824c-b9030496def3&quot;,&quot;properties&quot;:{&quot;noteIndex&quot;:0},&quot;isEdited&quot;:false,&quot;manualOverride&quot;:{&quot;isManuallyOverridden&quot;:true,&quot;citeprocText&quot;:&quot;(Veronica, 2022)&quot;,&quot;manualOverrideText&quot;:&quot;(Veronica, 2022).&quot;},&quot;citationTag&quot;:&quot;MENDELEY_CITATION_v3_eyJjaXRhdGlvbklEIjoiTUVOREVMRVlfQ0lUQVRJT05fOTUyMGYzMTMtYzJjOS00NWY0LTgyNGMtYjkwMzA0OTZkZWYzIiwicHJvcGVydGllcyI6eyJub3RlSW5kZXgiOjB9LCJpc0VkaXRlZCI6ZmFsc2UsIm1hbnVhbE92ZXJyaWRlIjp7ImlzTWFudWFsbHlPdmVycmlkZGVuIjp0cnVlLCJjaXRlcHJvY1RleHQiOiIoVmVyb25pY2EsIDIwMjIpIiwibWFudWFsT3ZlcnJpZGVUZXh0IjoiKFZlcm9uaWNhLCAyMDIyKS4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quot;,&quot;citationItems&quot;:[{&quot;id&quot;:&quot;c67d0c3d-ae36-3b24-ae45-728c0021e109&quot;,&quot;itemData&quot;:{&quot;type&quot;:&quot;article-journal&quot;,&quot;id&quot;:&quot;c67d0c3d-ae36-3b24-ae45-728c0021e109&quot;,&quot;title&quot;:&quot;The Effect Of Return On Assets And Price To Book Value On Stock Prices&quot;,&quot;author&quot;:[{&quot;family&quot;:&quot;Veronica&quot;,&quot;given&quot;:&quot;Meilin&quot;,&quot;parse-names&quot;:false,&quot;dropping-particle&quot;:&quot;&quot;,&quot;non-dropping-particle&quot;:&quot;&quot;}],&quot;container-title&quot;:&quot;Ekonomica Sharia: Jurnal Pemikiran dan Pengembangan Ekonomi Syariah&quot;,&quot;DOI&quot;:&quot;https://doi.org/10.36908/esha.v8i1.519&quot;,&quot;issued&quot;:{&quot;date-parts&quot;:[[2022]]},&quot;abstract&quot;:&quot;This study aims to analyze the effect of return on assets and price to book value on the share price of PT Ciputra Tbk. The data used is secondary data obtained through the documentation process. The analytical method used is multiple linear regression analysis. The results prove that return on assets (X1) has no effect on stock prices (Y). Meanwhile, price to book value (X2) has a significant effect on stock prices (Y). This research is expected to help companies to increase stock prices through return on assets and price to book value ratio.&quot;,&quot;issue&quot;:&quot;1&quot;,&quot;volume&quot;:&quot;8&quot;,&quot;container-title-short&quot;:&quot;&quot;},&quot;isTemporary&quot;:false}]},{&quot;citationID&quot;:&quot;MENDELEY_CITATION_caf81b2e-d54a-4d2d-951e-d6a2f6354793&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Y2FmODFiMmUtZDU0YS00ZDJkLTk1MWUtZDZhMmY2MzU0Nzkz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14e39ccc-9b4f-4ff5-9b64-f6dac0ceb088&quot;,&quot;properties&quot;:{&quot;noteIndex&quot;:0},&quot;isEdited&quot;:false,&quot;manualOverride&quot;:{&quot;isManuallyOverridden&quot;:true,&quot;citeprocText&quot;:&quot;(Elieser et al., 2022; Muktiadji &amp;#38; Pamungkas, 2022; Surjanto &amp;#38; Sugiharto, 2021)&quot;,&quot;manualOverrideText&quot;:&quot;(Elieser et al., 2022; Muktiadji &amp; Pamungkas, 2022; Surjanto &amp; Sugiharto, 2021).&quot;},&quot;citationTag&quot;:&quot;MENDELEY_CITATION_v3_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&quot;,&quot;citationItems&quot;:[{&quot;id&quot;:&quot;617e3aea-4d0c-37bb-9e77-30d04d15048c&quot;,&quot;itemData&quot;:{&quot;type&quot;:&quot;article-journal&quot;,&quot;id&quot;:&quot;617e3aea-4d0c-37bb-9e77-30d04d15048c&quot;,&quot;title&quot;:&quot;The Effect of Financial Ratio on Stock Price of Banks Listed on the Indonesia Stock Exchange (IDX)&quot;,&quot;author&quot;:[{&quot;family&quot;:&quot;Muktiadji&quot;,&quot;given&quot;:&quot;Nusa&quot;,&quot;parse-names&quot;:false,&quot;dropping-particle&quot;:&quot;&quot;,&quot;non-dropping-particle&quot;:&quot;&quot;},{&quot;family&quot;:&quot;Pamungkas&quot;,&quot;given&quot;:&quot;Bambang&quot;,&quot;parse-names&quot;:false,&quot;dropping-particle&quot;:&quot;&quot;,&quot;non-dropping-particle&quot;:&quot;&quot;}],&quot;container-title&quot;:&quot;Asian Journal of Economics, Business and Accounting&quot;,&quot;DOI&quot;:&quot;10.9734/ajeba/2022/v22i24910&quot;,&quot;issued&quot;:{&quot;date-parts&quot;:[[2022]]},&quot;page&quot;:&quot;232-240&quot;,&quot;abstract&quot;:&quot;This study aims to analyze the effect of financial ratios on stock prices ­of banks listed on the IDX, how _they influence _return on assets (ROA), debt -equity ratio (DER), price book value (PBV), and net profit margin (NPM)­. This research method uses the descriptive method. The unit of analysis is the banking companies listed on the Indonesia Stock Exchange (IDX). The research sample is 50 bank companies. The analytical method used in this study is multiple linear regression method. The results showed that partially PBV has a positive effect on stock prices, while ROA has no positive effect. DER has no negative effect on stock prices, and NPM has no positive effect on stock prices. Simultaneously ROA, DER, PBV, and NPM affect stock prices at banks listed on the Indonesia Stock Exchange. The limitations of this study are the limitations of the processed data and the variables used. This study ­would be helpful to the equity investment community, as material consideration for investing in companies.&quot;,&quot;publisher&quot;:&quot;Sciencedomain International&quot;,&quot;issue&quot;:&quot;24&quot;,&quot;volume&quot;:&quot;22&quot;,&quot;container-title-short&quot;:&quot;&quot;},&quot;isTemporary&quot;:false},{&quot;id&quot;:&quot;492ee02e-cbe3-362d-b88b-6d6b32cda675&quot;,&quot;itemData&quot;:{&quot;type&quot;:&quot;article-journal&quot;,&quot;id&quot;:&quot;492ee02e-cbe3-362d-b88b-6d6b32cda675&quot;,&quot;title&quot;:&quot;Enrichment: Journal of Management LQ45 Stock Price Valuation Analysis Using Price to Book Value (PBV) and Price Earning Ratio (PER) Variables from 2016-2020&quot;,&quot;author&quot;:[{&quot;family&quot;:&quot;Surjanto&quot;,&quot;given&quot;:&quot;Davin&quot;,&quot;parse-names&quot;:false,&quot;dropping-particle&quot;:&quot;&quot;,&quot;non-dropping-particle&quot;:&quot;&quot;},{&quot;family&quot;:&quot;Sugiharto&quot;,&quot;given&quot;:&quot;Totok&quot;,&quot;parse-names&quot;:false,&quot;dropping-particle&quot;:&quot;&quot;,&quot;non-dropping-particle&quot;:&quot;&quot;}],&quot;container-title&quot;:&quot;Enrichment: Journal of Management&quot;,&quot;DOI&quot;:&quot;https://doi.org/10.35335/enrichment.v12i1.192&quot;,&quot;ISSN&quot;:&quot;2721-7787&quot;,&quot;URL&quot;:&quot;www.enrichment.iocspublisher.org&quot;,&quot;issued&quot;:{&quot;date-parts&quot;:[[2021]]},&quot;issue&quot;:&quot;1&quot;,&quot;volume&quot;:&quot;12&quot;,&quot;container-title-short&quot;:&quot;&quot;},&quot;isTemporary&quot;:false},{&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citationID&quot;:&quot;MENDELEY_CITATION_4419fb3e-4ab8-40ab-88e1-87f1b0654967&quot;,&quot;properties&quot;:{&quot;noteIndex&quot;:0},&quot;isEdited&quot;:false,&quot;manualOverride&quot;:{&quot;isManuallyOverridden&quot;:true,&quot;citeprocText&quot;:&quot;(Meisaroh et al., 2023)&quot;,&quot;manualOverrideText&quot;:&quot;(Meisaroh et al., 2023).&quot;},&quot;citationTag&quot;:&quot;MENDELEY_CITATION_v3_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&quot;,&quot;citationItems&quot;:[{&quot;id&quot;:&quot;a786c343-4e48-35b7-8e66-18ed84c8e00e&quot;,&quot;itemData&quot;:{&quot;type&quot;:&quot;article-journal&quot;,&quot;id&quot;:&quot;a786c343-4e48-35b7-8e66-18ed84c8e00e&quot;,&quot;title&quot;:&quot;Pengaruh NPM, ROA, ROE Terhadap Pertumbuhan Laba Dengan Bopo Sebagai Moderasi&quot;,&quot;author&quot;:[{&quot;family&quot;:&quot;Meisaroh&quot;,&quot;given&quot;:&quot;Siti&quot;,&quot;parse-names&quot;:false,&quot;dropping-particle&quot;:&quot;&quot;,&quot;non-dropping-particle&quot;:&quot;&quot;},{&quot;family&quot;:&quot;Ridho Nugroho&quot;,&quot;given&quot;:&quot;Tatas&quot;,&quot;parse-names&quot;:false,&quot;dropping-particle&quot;:&quot;&quot;,&quot;non-dropping-particle&quot;:&quot;&quot;},{&quot;family&quot;:&quot;Fitri Isnaini&quot;,&quot;given&quot;:&quot;Nurdiana&quot;,&quot;parse-names&quot;:false,&quot;dropping-particle&quot;:&quot;&quot;,&quot;non-dropping-particle&quot;:&quot;&quot;},{&quot;family&quot;:&quot;Baidlowi&quot;,&quot;given&quot;:&quot;Imam&quot;,&quot;parse-names&quot;:false,&quot;dropping-particle&quot;:&quot;&quot;,&quot;non-dropping-particle&quot;:&quot;&quot;}],&quot;container-title&quot;:&quot;Jurnal Mutiara Ilmu Akuntansi&quot;,&quot;DOI&quot;:&quot;10.55606/jumia.v1i4.1990&quot;,&quot;ISSN&quot;:&quot;2964-9722&quot;,&quot;issued&quot;:{&quot;date-parts&quot;:[[2023]]},&quot;page&quot;:&quot;84-95&quot;,&quot;abstract&quot;:&quot;The aim of this study is to find out the impact of NPM, ROA, and ROE on BOPO-moderated profit growth in food and beverage sub-sector manufacturing companies in the period 2017–2022. This type of research is called quantitative descriptive research. The population used 26 food and beverage companies. The samples used in this study were from 14 companies, for a total of 84 samples obtained using purposive sampling techniques. Data analysis techniques use descriptive statistics, classical assumption tests that include normality tests, multicolinerity tests, heteroskedasticity tests, and autocorrelation tests, double linear regression analysis, moderated regression analyses, hypothetical tests (t tests), and determination coefficients with the help of SPSS program 26. The secondary data used is the financial report obtained from the Indonesian Stock Exchange. The results of the research show that NPM has no influence on profit growth, while ROA and ROE influence profit growth, and BOPOs are not able to moderate the relationship between NPM to profit growth. BOPOs are not capable of moderating the relationship between ROA to profit growth, BOPOs are not capable of moderating the relationship between ROE to profit growth\r  \r  &quot;,&quot;publisher&quot;:&quot;Politeknik Pratama Purwokerto&quot;,&quot;issue&quot;:&quot;4&quot;,&quot;volume&quot;:&quot;1&quot;,&quot;container-title-short&quot;:&quot;&quot;},&quot;isTemporary&quot;:false}]},{&quot;citationID&quot;:&quot;MENDELEY_CITATION_19711641-35bb-4b0e-bbf4-62d6916affc8&quot;,&quot;properties&quot;:{&quot;noteIndex&quot;:0},&quot;isEdited&quot;:false,&quot;manualOverride&quot;:{&quot;isManuallyOverridden&quot;:true,&quot;citeprocText&quot;:&quot;(M. N. Innayah &amp;#38; Pratama, 2021)&quot;,&quot;manualOverrideText&quot;:&quot;(Innayah &amp; Pratama, 2021)&quot;},&quot;citationTag&quot;:&quot;MENDELEY_CITATION_v3_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&quot;,&quot;citationItems&quot;:[{&quot;id&quot;:&quot;0ce1343f-a750-32f2-b0ba-461c3b21a3af&quot;,&quot;itemData&quot;:{&quot;type&quot;:&quot;article-journal&quot;,&quot;id&quot;:&quot;0ce1343f-a750-32f2-b0ba-461c3b21a3af&quot;,&quot;title&quot;:&quot;Board Diversity and Its Effects on Firm Performance and Risk: A Study in Banking Firms&quot;,&quot;author&quot;:[{&quot;family&quot;:&quot;Innayah&quot;,&quot;given&quot;:&quot;Maulida Nurul&quot;,&quot;parse-names&quot;:false,&quot;dropping-particle&quot;:&quot;&quot;,&quot;non-dropping-particle&quot;:&quot;&quot;},{&quot;family&quot;:&quot;Pratama&quot;,&quot;given&quot;:&quot;Bima Cinintya&quot;,&quot;parse-names&quot;:false,&quot;dropping-particle&quot;:&quot;&quot;,&quot;non-dropping-particle&quot;:&quot;&quot;}],&quot;container-title&quot;:&quot;Journal of Accounting and Investment&quot;,&quot;DOI&quot;:&quot;10.18196/jai.v22i1.10005&quot;,&quot;ISSN&quot;:&quot;2622-3899&quot;,&quot;issued&quot;:{&quot;date-parts&quot;:[[2021]]},&quot;abstract&quot;:&quot;This study examines the effect of board diversity on firm performance and risk in banking firms. The data used in this study was obtained from Bloomberg and OSIRIS database and also firm’s annual reports during 2014-2018 and conducted on banking firms in Indonesia. The final sample used in this study consists of a total of 160 observations. This study uses panel data regression model analysis, ie. fixed effect regression and random effect regression. The results showed that woman director has a positive effect on performance. This results are consistent with resource dependence theory and human capital theory which states that a more diverse board will provide more valuable resources, which can result in better firm performance. The results also showed that woman director have a negative effect on risk because woman director can correct bias in important decisions. Otherwise, based on the research data, the small number of foreign directors make their existence have no effect on performance and risk.&quot;,&quot;publisher&quot;:&quot;Universitas Muhammadiyah Yogyakarta&quot;,&quot;volume&quot;:&quot;22&quot;,&quot;container-title-short&quot;:&quot;&quot;},&quot;isTemporary&quot;:false}]},{&quot;citationID&quot;:&quot;MENDELEY_CITATION_eed11edf-e7cd-46ab-a36e-2e245983db76&quot;,&quot;properties&quot;:{&quot;noteIndex&quot;:0},&quot;isEdited&quot;:false,&quot;manualOverride&quot;:{&quot;isManuallyOverridden&quot;:true,&quot;citeprocText&quot;:&quot;(Berry&lt;sup&gt;1&lt;/sup&gt;, 2023)&quot;,&quot;manualOverrideText&quot;:&quot;(Berry, 2023)&quot;},&quot;citationTag&quot;:&quot;MENDELEY_CITATION_v3_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&quot;,&quot;citationItems&quot;:[{&quot;id&quot;:&quot;135dc7fb-7e31-3f05-b468-744f68c46fa8&quot;,&quot;itemData&quot;:{&quot;type&quot;:&quot;article-journal&quot;,&quot;id&quot;:&quot;135dc7fb-7e31-3f05-b468-744f68c46fa8&quot;,&quot;title&quot;:&quot;Perspective Financial Ratios in Assessing the Performance of Stock on Textile Sector Firm Listed on the Indonesia Stock Exchange&quot;,&quot;author&quot;:[{&quot;family&quot;:&quot;Berry¹&quot;,&quot;given&quot;:&quot;Yunike&quot;,&quot;parse-names&quot;:false,&quot;dropping-particle&quot;:&quot;&quot;,&quot;non-dropping-particle&quot;:&quot;&quot;}],&quot;container-title&quot;:&quot;Jurnal Manjemn Universitas Bung Hata&quot;,&quot;DOI&quot;:&quot;https://doi.org/10.37301/jmubh.v18i2.22027&quot;,&quot;ISSN&quot;:&quot;2615-5270&quot;,&quot;issued&quot;:{&quot;date-parts&quot;:[[2023]]},&quot;abstract&quot;:&quot;Observing the rise in investors in the Indonesian stock exchange, particularly during the Covid 19 pandemic, the author is interested in research on fundamental analysis in assessing stock prices on the Indonesian stock exchange, especially firms in the textile and apparel sectors. This research investigates how financial ratios affect stock values from 2018 to 2020. A total of 16 firms serve as research samples. This research used panel data and was analyzed by a regression test of panel. From the test results, it was found that variables price book value, price earning ratio, quick ratio, return on total assets and total asset turnover has effect on stock price while there was no effect of debt Ratio and rurrent ratio on stock price in garment and textiles sector for 2018-2020.&quot;,&quot;issue&quot;:&quot;02&quot;,&quot;volume&quot;:&quot;18&quot;,&quot;container-title-short&quot;:&quot;&quot;},&quot;isTemporary&quot;:false}]},{&quot;citationID&quot;:&quot;MENDELEY_CITATION_496cfb34-a719-4a8e-b4a9-291a4be93ea0&quot;,&quot;properties&quot;:{&quot;noteIndex&quot;:0},&quot;isEdited&quot;:false,&quot;manualOverride&quot;:{&quot;isManuallyOverridden&quot;:true,&quot;citeprocText&quot;:&quot;(Kyissima et al., 2020)&quot;,&quot;manualOverrideText&quot;:&quot;(Kyissima et al., 2020).&quot;},&quot;citationTag&quot;:&quot;MENDELEY_CITATION_v3_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&quot;,&quot;citationItems&quot;:[{&quot;id&quot;:&quot;aaf8bf81-2bb3-3154-9d23-448ee064f590&quot;,&quot;itemData&quot;:{&quot;type&quot;:&quot;article-journal&quot;,&quot;id&quot;:&quot;aaf8bf81-2bb3-3154-9d23-448ee064f590&quot;,&quot;title&quot;:&quot;Analysis of capital structure stability of listed firms in China&quot;,&quot;author&quot;:[{&quot;family&quot;:&quot;Kyissima&quot;,&quot;given&quot;:&quot;Kelvin Henry&quot;,&quot;parse-names&quot;:false,&quot;dropping-particle&quot;:&quot;&quot;,&quot;non-dropping-particle&quot;:&quot;&quot;},{&quot;family&quot;:&quot;Xue&quot;,&quot;given&quot;:&quot;Gong Zhang&quot;,&quot;parse-names&quot;:false,&quot;dropping-particle&quot;:&quot;&quot;,&quot;non-dropping-particle&quot;:&quot;&quot;},{&quot;family&quot;:&quot;Yapatake Kossele&quot;,&quot;given&quot;:&quot;Thales Pacific&quot;,&quot;parse-names&quot;:false,&quot;dropping-particle&quot;:&quot;&quot;,&quot;non-dropping-particle&quot;:&quot;&quot;},{&quot;family&quot;:&quot;Abeid&quot;,&quot;given&quot;:&quot;Ahmed Ramadhan&quot;,&quot;parse-names&quot;:false,&quot;dropping-particle&quot;:&quot;&quot;,&quot;non-dropping-particle&quot;:&quot;&quot;}],&quot;container-title&quot;:&quot;China Finance Review International&quot;,&quot;DOI&quot;:&quot;10.1108/CFRI-05-2018-0044&quot;,&quot;ISSN&quot;:&quot;20441401&quot;,&quot;issued&quot;:{&quot;date-parts&quot;:[[2020,3,23]]},&quot;page&quot;:&quot;213-228&quot;,&quot;abstract&quot;:&quot;Purpose: The purpose of this paper is to analyze the corporate capital structure stability of listed firms in China during the period 1990–2013. Design/methodology/approach: The study uses panel data from a sample of 716 firms that have been listed in China for at least 15 years. A fixed-effects panel data regression model with time effects is used in the estimation. Findings: The findings show that size, profitability and investment opportunities have a significant influence on capital structure, whereas the tangibility of assets is not found to be significant. Few industries show significance in explaining differences and variation in leverage ratios. Social implications: It is recommended by this study that corporate managers of listed firms in China should consider leverage ratios variation while choosing the capital structure. Originality/value: This study can be helpful in assisting companies to make financing decisions and setting up strategies relevant in their growth and profitability. The study will also have a significant assistance to bring to light corporate issues to policy makers, especially in the areas of both equity and debt financing, particularly the bond market. To the society, this study will show the nature of Chinese-listed companies, and it can assist individual investors in making decisions regarding companies in which they hold investments and in making meaningful comparisons with other companies. The paper also aims at contributing to the existing literature on the empirical study on capital structure.&quot;,&quot;publisher&quot;:&quot;Emerald Group Holdings Ltd.&quot;,&quot;issue&quot;:&quot;2&quot;,&quot;volume&quot;:&quot;10&quot;,&quot;container-title-short&quot;:&quot;&quot;},&quot;isTemporary&quot;:false}]},{&quot;citationID&quot;:&quot;MENDELEY_CITATION_354b987a-6f3d-4f86-919e-742eb0d603c5&quot;,&quot;properties&quot;:{&quot;noteIndex&quot;:0},&quot;isEdited&quot;:false,&quot;manualOverride&quot;:{&quot;isManuallyOverridden&quot;:false,&quot;citeprocText&quot;:&quot;(Kim et al., 2023)&quot;,&quot;manualOverrideText&quot;:&quot;&quot;},&quot;citationTag&quot;:&quot;MENDELEY_CITATION_v3_eyJjaXRhdGlvbklEIjoiTUVOREVMRVlfQ0lUQVRJT05fMzU0Yjk4N2EtNmYzZC00Zjg2LTkxOWUtNzQyZWIwZDYwM2M1IiwicHJvcGVydGllcyI6eyJub3RlSW5kZXgiOjB9LCJpc0VkaXRlZCI6ZmFsc2UsIm1hbnVhbE92ZXJyaWRlIjp7ImlzTWFudWFsbHlPdmVycmlkZGVuIjpmYWxzZSwiY2l0ZXByb2NUZXh0IjoiKEtpbSBldCBhbC4sIDIwMjMpIiwibWFudWFsT3ZlcnJpZGVUZXh0Ijoi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citationID&quot;:&quot;MENDELEY_CITATION_a167ed54-376f-411b-aaa5-3ac68e6112b8&quot;,&quot;properties&quot;:{&quot;noteIndex&quot;:0},&quot;isEdited&quot;:false,&quot;manualOverride&quot;:{&quot;isManuallyOverridden&quot;:false,&quot;citeprocText&quot;:&quot;(Tanapuan et al., 2022)&quot;,&quot;manualOverrideText&quot;:&quot;&quot;},&quot;citationTag&quot;:&quot;MENDELEY_CITATION_v3_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&quot;,&quot;citationItems&quot;:[{&quot;id&quot;:&quot;59763638-4966-3fde-aafa-fbb7ad8721f8&quot;,&quot;itemData&quot;:{&quot;type&quot;:&quot;article-journal&quot;,&quot;id&quot;:&quot;59763638-4966-3fde-aafa-fbb7ad8721f8&quot;,&quot;title&quot;:&quot;Analisis Pengaruh Profitabilitas Dan Likuiditas Terhadap Nilai Perusahan Pada Perusahaan Manufaktur Yang Terdaftar Di Bursa Efek Indonesia&quot;,&quot;author&quot;:[{&quot;family&quot;:&quot;Tanapuan&quot;,&quot;given&quot;:&quot;Eduardus Yemri&quot;,&quot;parse-names&quot;:false,&quot;dropping-particle&quot;:&quot;&quot;,&quot;non-dropping-particle&quot;:&quot;&quot;},{&quot;family&quot;:&quot;Rinofah&quot;,&quot;given&quot;:&quot;Rizal&quot;,&quot;parse-names&quot;:false,&quot;dropping-particle&quot;:&quot;&quot;,&quot;non-dropping-particle&quot;:&quot;&quot;},{&quot;family&quot;:&quot;Maulida&quot;,&quot;given&quot;:&quot;Alfiatul&quot;,&quot;parse-names&quot;:false,&quot;dropping-particle&quot;:&quot;&quot;,&quot;non-dropping-particle&quot;:&quot;&quot;}],&quot;container-title&quot;:&quot;Jurnal Bisnisman : Riset bisnis dan Manjemen&quot;,&quot;URL&quot;:&quot;http://bisnisman.nusaputra.ac.id&quot;,&quot;issued&quot;:{&quot;date-parts&quot;:[[2022]]},&quot;page&quot;:&quot;1-14&quot;,&quot;abstract&quot;:&quot;The study was conducted to analyze the effect of the Profitability variable as proportioned to the Return on Equity (ROE) and Return on Assets (ROA) and the Liquidity variable, which was proportional to the Current Ratio (CR) and Fast Ratio (QR) on Firm Value. The data were obtained using the purposive sampling method with the following criteria: (1) Food and beverage sector companies that have been listed on the Indonesia Stock Exchange (IDX) during the Research period (2015 to 2019), and (2) companies that present successive financial reports during the study period (2015 to 2019). We obtained a sample of 12 companies from 28 companies that will be used as research objects from these criteria. The study results show that Return on Equity (ROE) and Return on Assets (ROA) affect firm value, meaning that the profitability variable positively affects firm value. Meanwhile, the Current Ratio (CR) and Quick Ratio (QR) do not affect firm value, meaning that the liquidity variable hurts firm value.&quot;,&quot;publisher&quot;:&quot;Oktober-Jnuari&quot;,&quot;issue&quot;:&quot;3&quot;,&quot;volume&quot;:&quot;3&quot;,&quot;container-title-short&quot;:&quot;&quot;},&quot;isTemporary&quot;:false}]},{&quot;citationID&quot;:&quot;MENDELEY_CITATION_dc1248d0-c477-4f89-9a33-7d4fb8b2ab81&quot;,&quot;properties&quot;:{&quot;noteIndex&quot;:0},&quot;isEdited&quot;:false,&quot;manualOverride&quot;:{&quot;isManuallyOverridden&quot;:true,&quot;citeprocText&quot;:&quot;(Tanri et al., 2020)&quot;,&quot;manualOverrideText&quot;:&quot;(Tanri et al., 2020).&quot;},&quot;citationTag&quot;:&quot;MENDELEY_CITATION_v3_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&quot;,&quot;citationItems&quot;:[{&quot;id&quot;:&quot;56575d0a-5306-3bb1-963d-f95ea9b45eda&quot;,&quot;itemData&quot;:{&quot;type&quot;:&quot;article-journal&quot;,&quot;id&quot;:&quot;56575d0a-5306-3bb1-963d-f95ea9b45eda&quot;,&quot;title&quot;:&quot;Pengaruh Current Ratio, Net Profit Margin, Stabilitas Penjualan dan Struktur Aktiva terhadap Struktur Modal di BEI Periode 2014-2017&quot;,&quot;author&quot;:[{&quot;family&quot;:&quot;Tanri&quot;,&quot;given&quot;:&quot;Jessica&quot;,&quot;parse-names&quot;:false,&quot;dropping-particle&quot;:&quot;&quot;,&quot;non-dropping-particle&quot;:&quot;&quot;},{&quot;family&quot;:&quot;Behrry&quot;,&quot;given&quot;:&quot;Francroyce Zulion&quot;,&quot;parse-names&quot;:false,&quot;dropping-particle&quot;:&quot;&quot;,&quot;non-dropping-particle&quot;:&quot;&quot;},{&quot;family&quot;:&quot;Vandana&quot;,&quot;given&quot;:&quot;Liviaty&quot;,&quot;parse-names&quot;:false,&quot;dropping-particle&quot;:&quot;&quot;,&quot;non-dropping-particle&quot;:&quot;&quot;},{&quot;family&quot;:&quot;Winarno&quot;,&quot;given&quot;:&quot;Ira Martika&quot;,&quot;parse-names&quot;:false,&quot;dropping-particle&quot;:&quot;&quot;,&quot;non-dropping-particle&quot;:&quot;&quot;},{&quot;family&quot;:&quot;Afiezan&quot;,&quot;given&quot;:&quot;Adam&quot;,&quot;parse-names&quot;:false,&quot;dropping-particle&quot;:&quot;&quot;,&quot;non-dropping-particle&quot;:&quot;&quot;}],&quot;container-title&quot;:&quot;Owner Riset &amp; Jurnal Akuntansi&quot;,&quot;DOI&quot;:&quot;10.33395/owner.v4i1.189&quot;,&quot;ISSN&quot;:&quot;2548-7507&quot;,&quot;issued&quot;:{&quot;date-parts&quot;:[[2020]]},&quot;abstract&quot;:&quot;Tujuan penelitian ini adalah untuk mengetahui pengaruh Current Ratio,Net Profit Margin, Stabilitas Penjualan dan Struktur Aktiva terhadap Struktur Modal. Populasi penelitian ini berjumlah 69 perusahaan dari sektor industri dasar dan kimia yang terdaftar di Bursa Efek Indonesia Periode 2014-2017. Hubungan likuiditas dan struktur modal yaitu mengukur kemampuan perusahaan saat membayar hutang jangka pendek dengan melihat aset lancar yang ada di perusahaan. Net profit margin akan memperoleh tambahan modal untuk perusahaan baik yang akan dimasukkan ke dalam laba ditahan maupun langsung digunakan untuk investasi. Stabilitas penjualan dapat mempengaruhi struktur modal, dengan kenaikan tingkat pertumbuhan penjualan maka dapat meningkatkan aset lancar dan meningkatkan modal yang ada di perusahaan. Hasil penelitian ini adalah Current ratio dan struktur aktiva berpengaruh dan tidak signifikan terhadap struktur modal. Net profit margin dan stabilitas penjualan tidak berpengaruh dan signifikan terhadap struktur modal. Current ratio, net profit margin, stabilitas penjualan dan struktur aktiva berpengaruh dan signifikan terhadap struktur modal.&quot;,&quot;publisher&quot;:&quot;Politeknik Ganesha&quot;,&quot;issue&quot;:&quot;1&quot;,&quot;volume&quot;:&quot;4&quot;,&quot;container-title-short&quot;:&quot;&quot;},&quot;isTemporary&quot;:false}]},{&quot;citationID&quot;:&quot;MENDELEY_CITATION_b891815a-5617-4082-8482-5c6c3c2adc72&quot;,&quot;properties&quot;:{&quot;noteIndex&quot;:0},&quot;isEdited&quot;:false,&quot;manualOverride&quot;:{&quot;isManuallyOverridden&quot;:true,&quot;citeprocText&quot;:&quot;(Mustafa et al., 2022)&quot;,&quot;manualOverrideText&quot;:&quot;(Mustafa et al., 2022).&quot;},&quot;citationTag&quot;:&quot;MENDELEY_CITATION_v3_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&quot;,&quot;citationItems&quot;:[{&quot;id&quot;:&quot;0b7ccca6-f835-3d7c-93bb-5147db359981&quot;,&quot;itemData&quot;:{&quot;type&quot;:&quot;article-journal&quot;,&quot;id&quot;:&quot;0b7ccca6-f835-3d7c-93bb-5147db359981&quot;,&quot;title&quot;:&quot;Struktur Aktiva, Manajemen Hutang dan Efisiensi Aset terhadap Kinerja Laba&quot;,&quot;author&quot;:[{&quot;family&quot;:&quot;Mustafa&quot;,&quot;given&quot;:&quot;Yuniarti&quot;,&quot;parse-names&quot;:false,&quot;dropping-particle&quot;:&quot;&quot;,&quot;non-dropping-particle&quot;:&quot;&quot;},{&quot;family&quot;:&quot;Karundeng&quot;,&quot;given&quot;:&quot;Deby.R&quot;,&quot;parse-names&quot;:false,&quot;dropping-particle&quot;:&quot;&quot;,&quot;non-dropping-particle&quot;:&quot;&quot;},{&quot;family&quot;:&quot;Suyanto&quot;,&quot;given&quot;:&quot;Muhamad Afan&quot;,&quot;parse-names&quot;:false,&quot;dropping-particle&quot;:&quot;&quot;,&quot;non-dropping-particle&quot;:&quot;&quot;},{&quot;family&quot;:&quot;Rasid&quot;,&quot;given&quot;:&quot;Ayub&quot;,&quot;parse-names&quot;:false,&quot;dropping-particle&quot;:&quot;&quot;,&quot;non-dropping-particle&quot;:&quot;&quot;}],&quot;container-title&quot;:&quot;Jurnal Pendidikan dan Kewirausahaan&quot;,&quot;DOI&quot;:&quot;https://doi.org/10.47668/pkwu.v10i1.381&quot;,&quot;issued&quot;:{&quot;date-parts&quot;:[[2022]]},&quot;issue&quot;:&quot;2&quot;,&quot;volume&quot;:&quot;10&quot;,&quot;container-title-short&quot;:&quot;&quot;},&quot;isTemporary&quot;:false}]},{&quot;citationID&quot;:&quot;MENDELEY_CITATION_4b126f63-f62d-4c55-add4-67597793bbf3&quot;,&quot;properties&quot;:{&quot;noteIndex&quot;:0},&quot;isEdited&quot;:false,&quot;manualOverride&quot;:{&quot;isManuallyOverridden&quot;:true,&quot;citeprocText&quot;:&quot;(Dini &amp;#38; Pasaribu, 2021)&quot;,&quot;manualOverrideText&quot;:&quot;(Dini &amp; Pasaribu, 2021).&quot;},&quot;citationTag&quot;:&quot;MENDELEY_CITATION_v3_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&quot;,&quot;citationItems&quot;:[{&quot;id&quot;:&quot;7be14139-bc9d-3bb8-b404-5bd9c102654a&quot;,&quot;itemData&quot;:{&quot;type&quot;:&quot;article-journal&quot;,&quot;id&quot;:&quot;7be14139-bc9d-3bb8-b404-5bd9c102654a&quot;,&quot;title&quot;:&quot;Pengaruh ROE, CR, TATO, DER Terhadap Harga Saham Perusahaan\nPerdagangan Besar Barang Produksi &amp; Konsumsi&quot;,&quot;author&quot;:[{&quot;family&quot;:&quot;Dini&quot;,&quot;given&quot;:&quot;Siti&quot;,&quot;parse-names&quot;:false,&quot;dropping-particle&quot;:&quot;&quot;,&quot;non-dropping-particle&quot;:&quot;&quot;},{&quot;family&quot;:&quot;Pasaribu&quot;,&quot;given&quot;:&quot;Farida&quot;,&quot;parse-names&quot;:false,&quot;dropping-particle&quot;:&quot;&quot;,&quot;non-dropping-particle&quot;:&quot;&quot;}],&quot;container-title&quot;:&quot;Jambura Economic Education Journal&quot;,&quot;DOI&quot;:&quot;https://doi.org/10.37479/jeej.v3i2.11063&quot;,&quot;issued&quot;:{&quot;date-parts&quot;:[[2021]]},&quot;issue&quot;:&quot;2&quot;,&quot;volume&quot;:&quot;3&quot;,&quot;container-title-short&quot;:&quot;&quot;},&quot;isTemporary&quot;:false}]},{&quot;citationID&quot;:&quot;MENDELEY_CITATION_c379f27f-0fb7-4569-b887-3cb8cfcee80c&quot;,&quot;properties&quot;:{&quot;noteIndex&quot;:0},&quot;isEdited&quot;:false,&quot;manualOverride&quot;:{&quot;isManuallyOverridden&quot;:true,&quot;citeprocText&quot;:&quot;(Wardoyo et al., 2022)&quot;,&quot;manualOverrideText&quot;:&quot;(Wardoyo et al., 2022).&quot;},&quot;citationTag&quot;:&quot;MENDELEY_CITATION_v3_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&quot;,&quot;citationItems&quot;:[{&quot;id&quot;:&quot;81631361-c2c1-3c05-a519-4d992db8d655&quot;,&quot;itemData&quot;:{&quot;type&quot;:&quot;article-journal&quot;,&quot;id&quot;:&quot;81631361-c2c1-3c05-a519-4d992db8d655&quot;,&quot;title&quot;:&quot;Pengaruh Intellectual Capital Terhadap Return On Assets&quot;,&quot;author&quot;:[{&quot;family&quot;:&quot;Wardoyo&quot;,&quot;given&quot;:&quot;Dwi Urip&quot;,&quot;parse-names&quot;:false,&quot;dropping-particle&quot;:&quot;&quot;,&quot;non-dropping-particle&quot;:&quot;&quot;},{&quot;family&quot;:&quot;Rini&quot;,&quot;given&quot;:&quot;Amalia Cahya&quot;,&quot;parse-names&quot;:false,&quot;dropping-particle&quot;:&quot;&quot;,&quot;non-dropping-particle&quot;:&quot;&quot;},{&quot;family&quot;:&quot;Dini&quot;,&quot;given&quot;:&quot;Ade Amara&quot;,&quot;parse-names&quot;:false,&quot;dropping-particle&quot;:&quot;&quot;,&quot;non-dropping-particle&quot;:&quot;&quot;}],&quot;container-title&quot;:&quot;Jurnal Akuntansi dan Keuangan&quot;,&quot;DOI&quot;:&quot;10.23960/jak.v27i1.350&quot;,&quot;ISSN&quot;:&quot;1410-1831&quot;,&quot;issued&quot;:{&quot;date-parts&quot;:[[2022,1,28]]},&quot;page&quot;:&quot;1-10&quot;,&quot;abstract&quot;:&quot;Return on Assets is one of the indicators that can be used to measure how effectively a company utilizes its assets to generate profits and achieve competitive advantage in its performance. The Resources-Based Theory explains that the use of resources effectively and efficiently can be a competitive advantage for a company. Intellectual capital is a resource in the form of intangible assets that are believed to be able to create added value for an entity through the Value Added Intellectual Capital (VAIC™) method. Therefore, this study aims to determine the effect of Intellectual Capital as proxy for Value Added Capital Employed (VACA), Value Added Human Capital (VAHU), and Structural Capital Value Added (STVA) on Return on Assets (ROA). This research is in the form of quantitative research using descriptive statistical analysis methods and panel data regression analysis with secondary data sources and samples from mining sector companies listed on the Indonesia Stock Exchange for the 2017-2020 period. The results showed that simultaneously VACA, VAHU and STVA had a significant effect on ROA. However, partially VACA showed a significant negative effect on ROA, VAHU had a significant positive effect on ROA, and STVA did not have a significant effect on ROA.&quot;,&quot;publisher&quot;:&quot;Lembaga Penelitian dan Pengabdian kepada Masyarakat Universitas Lampung&quot;,&quot;issue&quot;:&quot;1&quot;,&quot;volume&quot;:&quot;27&quot;,&quot;container-title-short&quot;:&quot;&quot;},&quot;isTemporary&quot;:false}]},{&quot;citationID&quot;:&quot;MENDELEY_CITATION_8c93a4a0-4a25-4a6a-8b35-48e88e25bfad&quot;,&quot;properties&quot;:{&quot;noteIndex&quot;:0},&quot;isEdited&quot;:false,&quot;manualOverride&quot;:{&quot;isManuallyOverridden&quot;:true,&quot;citeprocText&quot;:&quot;(Berry&lt;sup&gt;1&lt;/sup&gt;, 2023)&quot;,&quot;manualOverrideText&quot;:&quot;(Berry, 2023).&quot;},&quot;citationTag&quot;:&quot;MENDELEY_CITATION_v3_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&quot;,&quot;citationItems&quot;:[{&quot;id&quot;:&quot;135dc7fb-7e31-3f05-b468-744f68c46fa8&quot;,&quot;itemData&quot;:{&quot;type&quot;:&quot;article-journal&quot;,&quot;id&quot;:&quot;135dc7fb-7e31-3f05-b468-744f68c46fa8&quot;,&quot;title&quot;:&quot;Perspective Financial Ratios in Assessing the Performance of Stock on Textile Sector Firm Listed on the Indonesia Stock Exchange&quot;,&quot;author&quot;:[{&quot;family&quot;:&quot;Berry¹&quot;,&quot;given&quot;:&quot;Yunike&quot;,&quot;parse-names&quot;:false,&quot;dropping-particle&quot;:&quot;&quot;,&quot;non-dropping-particle&quot;:&quot;&quot;}],&quot;container-title&quot;:&quot;Jurnal Manjemn Universitas Bung Hata&quot;,&quot;DOI&quot;:&quot;https://doi.org/10.37301/jmubh.v18i2.22027&quot;,&quot;ISSN&quot;:&quot;2615-5270&quot;,&quot;issued&quot;:{&quot;date-parts&quot;:[[2023]]},&quot;abstract&quot;:&quot;Observing the rise in investors in the Indonesian stock exchange, particularly during the Covid 19 pandemic, the author is interested in research on fundamental analysis in assessing stock prices on the Indonesian stock exchange, especially firms in the textile and apparel sectors. This research investigates how financial ratios affect stock values from 2018 to 2020. A total of 16 firms serve as research samples. This research used panel data and was analyzed by a regression test of panel. From the test results, it was found that variables price book value, price earning ratio, quick ratio, return on total assets and total asset turnover has effect on stock price while there was no effect of debt Ratio and rurrent ratio on stock price in garment and textiles sector for 2018-2020.&quot;,&quot;issue&quot;:&quot;02&quot;,&quot;volume&quot;:&quot;18&quot;,&quot;container-title-short&quot;:&quot;&quot;},&quot;isTemporary&quot;:false}]},{&quot;citationID&quot;:&quot;MENDELEY_CITATION_acf474d8-b3e8-4e7f-b47a-4d97bf3ad026&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YWNmNDc0ZDgtYjNlOC00ZTdmLWI0N2EtNGQ5N2JmM2FkMDI2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406889a7-3eb9-49d3-91ac-d355774dd275&quot;,&quot;properties&quot;:{&quot;noteIndex&quot;:0},&quot;isEdited&quot;:false,&quot;manualOverride&quot;:{&quot;isManuallyOverridden&quot;:true,&quot;citeprocText&quot;:&quot;(Kyissima et al., 2020)&quot;,&quot;manualOverrideText&quot;:&quot;(Kyissima et al., 2020).&quot;},&quot;citationTag&quot;:&quot;MENDELEY_CITATION_v3_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&quot;,&quot;citationItems&quot;:[{&quot;id&quot;:&quot;aaf8bf81-2bb3-3154-9d23-448ee064f590&quot;,&quot;itemData&quot;:{&quot;type&quot;:&quot;article-journal&quot;,&quot;id&quot;:&quot;aaf8bf81-2bb3-3154-9d23-448ee064f590&quot;,&quot;title&quot;:&quot;Analysis of capital structure stability of listed firms in China&quot;,&quot;author&quot;:[{&quot;family&quot;:&quot;Kyissima&quot;,&quot;given&quot;:&quot;Kelvin Henry&quot;,&quot;parse-names&quot;:false,&quot;dropping-particle&quot;:&quot;&quot;,&quot;non-dropping-particle&quot;:&quot;&quot;},{&quot;family&quot;:&quot;Xue&quot;,&quot;given&quot;:&quot;Gong Zhang&quot;,&quot;parse-names&quot;:false,&quot;dropping-particle&quot;:&quot;&quot;,&quot;non-dropping-particle&quot;:&quot;&quot;},{&quot;family&quot;:&quot;Yapatake Kossele&quot;,&quot;given&quot;:&quot;Thales Pacific&quot;,&quot;parse-names&quot;:false,&quot;dropping-particle&quot;:&quot;&quot;,&quot;non-dropping-particle&quot;:&quot;&quot;},{&quot;family&quot;:&quot;Abeid&quot;,&quot;given&quot;:&quot;Ahmed Ramadhan&quot;,&quot;parse-names&quot;:false,&quot;dropping-particle&quot;:&quot;&quot;,&quot;non-dropping-particle&quot;:&quot;&quot;}],&quot;container-title&quot;:&quot;China Finance Review International&quot;,&quot;DOI&quot;:&quot;10.1108/CFRI-05-2018-0044&quot;,&quot;ISSN&quot;:&quot;20441401&quot;,&quot;issued&quot;:{&quot;date-parts&quot;:[[2020,3,23]]},&quot;page&quot;:&quot;213-228&quot;,&quot;abstract&quot;:&quot;Purpose: The purpose of this paper is to analyze the corporate capital structure stability of listed firms in China during the period 1990–2013. Design/methodology/approach: The study uses panel data from a sample of 716 firms that have been listed in China for at least 15 years. A fixed-effects panel data regression model with time effects is used in the estimation. Findings: The findings show that size, profitability and investment opportunities have a significant influence on capital structure, whereas the tangibility of assets is not found to be significant. Few industries show significance in explaining differences and variation in leverage ratios. Social implications: It is recommended by this study that corporate managers of listed firms in China should consider leverage ratios variation while choosing the capital structure. Originality/value: This study can be helpful in assisting companies to make financing decisions and setting up strategies relevant in their growth and profitability. The study will also have a significant assistance to bring to light corporate issues to policy makers, especially in the areas of both equity and debt financing, particularly the bond market. To the society, this study will show the nature of Chinese-listed companies, and it can assist individual investors in making decisions regarding companies in which they hold investments and in making meaningful comparisons with other companies. The paper also aims at contributing to the existing literature on the empirical study on capital structure.&quot;,&quot;publisher&quot;:&quot;Emerald Group Holdings Ltd.&quot;,&quot;issue&quot;:&quot;2&quot;,&quot;volume&quot;:&quot;10&quot;,&quot;container-title-short&quot;:&quot;&quot;},&quot;isTemporary&quot;:false}]},{&quot;citationID&quot;:&quot;MENDELEY_CITATION_e5a5629f-78b3-4929-979a-46da323876ff&quot;,&quot;properties&quot;:{&quot;noteIndex&quot;:0},&quot;isEdited&quot;:false,&quot;manualOverride&quot;:{&quot;isManuallyOverridden&quot;:true,&quot;citeprocText&quot;:&quot;(Kim et al., 2023)&quot;,&quot;manualOverrideText&quot;:&quot;(Kim et al., 2023).&quot;},&quot;citationTag&quot;:&quot;MENDELEY_CITATION_v3_eyJjaXRhdGlvbklEIjoiTUVOREVMRVlfQ0lUQVRJT05fZTVhNTYyOWYtNzhiMy00OTI5LTk3OWEtNDZkYTMyMzg3NmZmIiwicHJvcGVydGllcyI6eyJub3RlSW5kZXgiOjB9LCJpc0VkaXRlZCI6ZmFsc2UsIm1hbnVhbE92ZXJyaWRlIjp7ImlzTWFudWFsbHlPdmVycmlkZGVuIjp0cnVlLCJjaXRlcHJvY1RleHQiOiIoS2ltIGV0IGFsLiwgMjAyMykiLCJtYW51YWxPdmVycmlkZVRleHQiOiIoS2ltIGV0IGFsLiwgMjAyMyku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citationID&quot;:&quot;MENDELEY_CITATION_1e14c009-0f96-4d9e-8eff-6c3320ede1f0&quot;,&quot;properties&quot;:{&quot;noteIndex&quot;:0},&quot;isEdited&quot;:false,&quot;manualOverride&quot;:{&quot;isManuallyOverridden&quot;:true,&quot;citeprocText&quot;:&quot;(Veronica, 2022)&quot;,&quot;manualOverrideText&quot;:&quot;(Veronica, 2022),&quot;},&quot;citationTag&quot;:&quot;MENDELEY_CITATION_v3_eyJjaXRhdGlvbklEIjoiTUVOREVMRVlfQ0lUQVRJT05fMWUxNGMwMDktMGY5Ni00ZDllLThlZmYtNmMzMzIwZWRlMWYwIiwicHJvcGVydGllcyI6eyJub3RlSW5kZXgiOjB9LCJpc0VkaXRlZCI6ZmFsc2UsIm1hbnVhbE92ZXJyaWRlIjp7ImlzTWFudWFsbHlPdmVycmlkZGVuIjp0cnVlLCJjaXRlcHJvY1RleHQiOiIoVmVyb25pY2EsIDIwMjIpIiwibWFudWFsT3ZlcnJpZGVUZXh0IjoiKFZlcm9uaWNhLCAyMDIyKSw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quot;,&quot;citationItems&quot;:[{&quot;id&quot;:&quot;c67d0c3d-ae36-3b24-ae45-728c0021e109&quot;,&quot;itemData&quot;:{&quot;type&quot;:&quot;article-journal&quot;,&quot;id&quot;:&quot;c67d0c3d-ae36-3b24-ae45-728c0021e109&quot;,&quot;title&quot;:&quot;The Effect Of Return On Assets And Price To Book Value On Stock Prices&quot;,&quot;author&quot;:[{&quot;family&quot;:&quot;Veronica&quot;,&quot;given&quot;:&quot;Meilin&quot;,&quot;parse-names&quot;:false,&quot;dropping-particle&quot;:&quot;&quot;,&quot;non-dropping-particle&quot;:&quot;&quot;}],&quot;container-title&quot;:&quot;Ekonomica Sharia: Jurnal Pemikiran dan Pengembangan Ekonomi Syariah&quot;,&quot;DOI&quot;:&quot;https://doi.org/10.36908/esha.v8i1.519&quot;,&quot;issued&quot;:{&quot;date-parts&quot;:[[2022]]},&quot;abstract&quot;:&quot;This study aims to analyze the effect of return on assets and price to book value on the share price of PT Ciputra Tbk. The data used is secondary data obtained through the documentation process. The analytical method used is multiple linear regression analysis. The results prove that return on assets (X1) has no effect on stock prices (Y). Meanwhile, price to book value (X2) has a significant effect on stock prices (Y). This research is expected to help companies to increase stock prices through return on assets and price to book value ratio.&quot;,&quot;issue&quot;:&quot;1&quot;,&quot;volume&quot;:&quot;8&quot;,&quot;container-title-short&quot;:&quot;&quot;},&quot;isTemporary&quot;:false}]},{&quot;citationID&quot;:&quot;MENDELEY_CITATION_b67763bc-41ab-4df3-b722-45918013e8b4&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YjY3NzYzYmMtNDFhYi00ZGYzLWI3MjItNDU5MTgwMTNlOGI0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a0fa5495-590d-40b3-888d-2335ee8a324b&quot;,&quot;properties&quot;:{&quot;noteIndex&quot;:0},&quot;isEdited&quot;:false,&quot;manualOverride&quot;:{&quot;isManuallyOverridden&quot;:true,&quot;citeprocText&quot;:&quot;(Tanapuan et al., 2022)&quot;,&quot;manualOverrideText&quot;:&quot;(Tanapuan et al., 2022).&quot;},&quot;citationTag&quot;:&quot;MENDELEY_CITATION_v3_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&quot;,&quot;citationItems&quot;:[{&quot;id&quot;:&quot;59763638-4966-3fde-aafa-fbb7ad8721f8&quot;,&quot;itemData&quot;:{&quot;type&quot;:&quot;article-journal&quot;,&quot;id&quot;:&quot;59763638-4966-3fde-aafa-fbb7ad8721f8&quot;,&quot;title&quot;:&quot;Analisis Pengaruh Profitabilitas Dan Likuiditas Terhadap Nilai Perusahan Pada Perusahaan Manufaktur Yang Terdaftar Di Bursa Efek Indonesia&quot;,&quot;author&quot;:[{&quot;family&quot;:&quot;Tanapuan&quot;,&quot;given&quot;:&quot;Eduardus Yemri&quot;,&quot;parse-names&quot;:false,&quot;dropping-particle&quot;:&quot;&quot;,&quot;non-dropping-particle&quot;:&quot;&quot;},{&quot;family&quot;:&quot;Rinofah&quot;,&quot;given&quot;:&quot;Rizal&quot;,&quot;parse-names&quot;:false,&quot;dropping-particle&quot;:&quot;&quot;,&quot;non-dropping-particle&quot;:&quot;&quot;},{&quot;family&quot;:&quot;Maulida&quot;,&quot;given&quot;:&quot;Alfiatul&quot;,&quot;parse-names&quot;:false,&quot;dropping-particle&quot;:&quot;&quot;,&quot;non-dropping-particle&quot;:&quot;&quot;}],&quot;container-title&quot;:&quot;Jurnal Bisnisman : Riset bisnis dan Manjemen&quot;,&quot;URL&quot;:&quot;http://bisnisman.nusaputra.ac.id&quot;,&quot;issued&quot;:{&quot;date-parts&quot;:[[2022]]},&quot;page&quot;:&quot;1-14&quot;,&quot;abstract&quot;:&quot;The study was conducted to analyze the effect of the Profitability variable as proportioned to the Return on Equity (ROE) and Return on Assets (ROA) and the Liquidity variable, which was proportional to the Current Ratio (CR) and Fast Ratio (QR) on Firm Value. The data were obtained using the purposive sampling method with the following criteria: (1) Food and beverage sector companies that have been listed on the Indonesia Stock Exchange (IDX) during the Research period (2015 to 2019), and (2) companies that present successive financial reports during the study period (2015 to 2019). We obtained a sample of 12 companies from 28 companies that will be used as research objects from these criteria. The study results show that Return on Equity (ROE) and Return on Assets (ROA) affect firm value, meaning that the profitability variable positively affects firm value. Meanwhile, the Current Ratio (CR) and Quick Ratio (QR) do not affect firm value, meaning that the liquidity variable hurts firm value.&quot;,&quot;publisher&quot;:&quot;Oktober-Jnuari&quot;,&quot;issue&quot;:&quot;3&quot;,&quot;volume&quot;:&quot;3&quot;,&quot;container-title-short&quot;:&quot;&quot;},&quot;isTemporary&quot;:false}]},{&quot;citationID&quot;:&quot;MENDELEY_CITATION_744b816d-79b6-44b9-a4ce-49c09274230a&quot;,&quot;properties&quot;:{&quot;noteIndex&quot;:0},&quot;isEdited&quot;:false,&quot;manualOverride&quot;:{&quot;isManuallyOverridden&quot;:false,&quot;citeprocText&quot;:&quot;(Tanri et al., 2020)&quot;,&quot;manualOverrideText&quot;:&quot;&quot;},&quot;citationTag&quot;:&quot;MENDELEY_CITATION_v3_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&quot;,&quot;citationItems&quot;:[{&quot;id&quot;:&quot;56575d0a-5306-3bb1-963d-f95ea9b45eda&quot;,&quot;itemData&quot;:{&quot;type&quot;:&quot;article-journal&quot;,&quot;id&quot;:&quot;56575d0a-5306-3bb1-963d-f95ea9b45eda&quot;,&quot;title&quot;:&quot;Pengaruh Current Ratio, Net Profit Margin, Stabilitas Penjualan dan Struktur Aktiva terhadap Struktur Modal di BEI Periode 2014-2017&quot;,&quot;author&quot;:[{&quot;family&quot;:&quot;Tanri&quot;,&quot;given&quot;:&quot;Jessica&quot;,&quot;parse-names&quot;:false,&quot;dropping-particle&quot;:&quot;&quot;,&quot;non-dropping-particle&quot;:&quot;&quot;},{&quot;family&quot;:&quot;Behrry&quot;,&quot;given&quot;:&quot;Francroyce Zulion&quot;,&quot;parse-names&quot;:false,&quot;dropping-particle&quot;:&quot;&quot;,&quot;non-dropping-particle&quot;:&quot;&quot;},{&quot;family&quot;:&quot;Vandana&quot;,&quot;given&quot;:&quot;Liviaty&quot;,&quot;parse-names&quot;:false,&quot;dropping-particle&quot;:&quot;&quot;,&quot;non-dropping-particle&quot;:&quot;&quot;},{&quot;family&quot;:&quot;Winarno&quot;,&quot;given&quot;:&quot;Ira Martika&quot;,&quot;parse-names&quot;:false,&quot;dropping-particle&quot;:&quot;&quot;,&quot;non-dropping-particle&quot;:&quot;&quot;},{&quot;family&quot;:&quot;Afiezan&quot;,&quot;given&quot;:&quot;Adam&quot;,&quot;parse-names&quot;:false,&quot;dropping-particle&quot;:&quot;&quot;,&quot;non-dropping-particle&quot;:&quot;&quot;}],&quot;container-title&quot;:&quot;Owner Riset &amp; Jurnal Akuntansi&quot;,&quot;DOI&quot;:&quot;10.33395/owner.v4i1.189&quot;,&quot;ISSN&quot;:&quot;2548-7507&quot;,&quot;issued&quot;:{&quot;date-parts&quot;:[[2020]]},&quot;abstract&quot;:&quot;Tujuan penelitian ini adalah untuk mengetahui pengaruh Current Ratio,Net Profit Margin, Stabilitas Penjualan dan Struktur Aktiva terhadap Struktur Modal. Populasi penelitian ini berjumlah 69 perusahaan dari sektor industri dasar dan kimia yang terdaftar di Bursa Efek Indonesia Periode 2014-2017. Hubungan likuiditas dan struktur modal yaitu mengukur kemampuan perusahaan saat membayar hutang jangka pendek dengan melihat aset lancar yang ada di perusahaan. Net profit margin akan memperoleh tambahan modal untuk perusahaan baik yang akan dimasukkan ke dalam laba ditahan maupun langsung digunakan untuk investasi. Stabilitas penjualan dapat mempengaruhi struktur modal, dengan kenaikan tingkat pertumbuhan penjualan maka dapat meningkatkan aset lancar dan meningkatkan modal yang ada di perusahaan. Hasil penelitian ini adalah Current ratio dan struktur aktiva berpengaruh dan tidak signifikan terhadap struktur modal. Net profit margin dan stabilitas penjualan tidak berpengaruh dan signifikan terhadap struktur modal. Current ratio, net profit margin, stabilitas penjualan dan struktur aktiva berpengaruh dan signifikan terhadap struktur modal.&quot;,&quot;publisher&quot;:&quot;Politeknik Ganesha&quot;,&quot;issue&quot;:&quot;1&quot;,&quot;volume&quot;:&quot;4&quot;,&quot;container-title-short&quot;:&quot;&quot;},&quot;isTemporary&quot;:false}]},{&quot;citationID&quot;:&quot;MENDELEY_CITATION_7d1e05e8-ad61-49c9-b606-4909a30b46f4&quot;,&quot;properties&quot;:{&quot;noteIndex&quot;:0},&quot;isEdited&quot;:false,&quot;manualOverride&quot;:{&quot;isManuallyOverridden&quot;:true,&quot;citeprocText&quot;:&quot;(Elieser et al., 2022)&quot;,&quot;manualOverrideText&quot;:&quot;(Elieser et al., 2022),&quot;},&quot;citationTag&quot;:&quot;MENDELEY_CITATION_v3_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&quot;,&quot;citationItems&quot;:[{&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citationID&quot;:&quot;MENDELEY_CITATION_d10f1634-dd91-4a54-a344-121efe3d52bb&quot;,&quot;properties&quot;:{&quot;noteIndex&quot;:0},&quot;isEdited&quot;:false,&quot;manualOverride&quot;:{&quot;isManuallyOverridden&quot;:false,&quot;citeprocText&quot;:&quot;(Digdowiseiso &amp;#38; Fadillah, 2022)&quot;,&quot;manualOverrideText&quot;:&quot;&quot;},&quot;citationTag&quot;:&quot;MENDELEY_CITATION_v3_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&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52e9fd90-97e8-49ab-9ceb-37a33f7252ef&quot;,&quot;properties&quot;:{&quot;noteIndex&quot;:0},&quot;isEdited&quot;:false,&quot;manualOverride&quot;:{&quot;isManuallyOverridden&quot;:true,&quot;citeprocText&quot;:&quot;(Dini &amp;#38; Pasaribu, 2021; Mustafa et al., 2022)&quot;,&quot;manualOverrideText&quot;:&quot;(Dini &amp; Pasaribu, 2021; Mustafa et al., 2022).&quot;},&quot;citationTag&quot;:&quot;MENDELEY_CITATION_v3_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&quot;,&quot;citationItems&quot;:[{&quot;id&quot;:&quot;0b7ccca6-f835-3d7c-93bb-5147db359981&quot;,&quot;itemData&quot;:{&quot;type&quot;:&quot;article-journal&quot;,&quot;id&quot;:&quot;0b7ccca6-f835-3d7c-93bb-5147db359981&quot;,&quot;title&quot;:&quot;Struktur Aktiva, Manajemen Hutang dan Efisiensi Aset terhadap Kinerja Laba&quot;,&quot;author&quot;:[{&quot;family&quot;:&quot;Mustafa&quot;,&quot;given&quot;:&quot;Yuniarti&quot;,&quot;parse-names&quot;:false,&quot;dropping-particle&quot;:&quot;&quot;,&quot;non-dropping-particle&quot;:&quot;&quot;},{&quot;family&quot;:&quot;Karundeng&quot;,&quot;given&quot;:&quot;Deby.R&quot;,&quot;parse-names&quot;:false,&quot;dropping-particle&quot;:&quot;&quot;,&quot;non-dropping-particle&quot;:&quot;&quot;},{&quot;family&quot;:&quot;Suyanto&quot;,&quot;given&quot;:&quot;Muhamad Afan&quot;,&quot;parse-names&quot;:false,&quot;dropping-particle&quot;:&quot;&quot;,&quot;non-dropping-particle&quot;:&quot;&quot;},{&quot;family&quot;:&quot;Rasid&quot;,&quot;given&quot;:&quot;Ayub&quot;,&quot;parse-names&quot;:false,&quot;dropping-particle&quot;:&quot;&quot;,&quot;non-dropping-particle&quot;:&quot;&quot;}],&quot;container-title&quot;:&quot;Jurnal Pendidikan dan Kewirausahaan&quot;,&quot;DOI&quot;:&quot;https://doi.org/10.47668/pkwu.v10i1.381&quot;,&quot;issued&quot;:{&quot;date-parts&quot;:[[2022]]},&quot;issue&quot;:&quot;2&quot;,&quot;volume&quot;:&quot;10&quot;,&quot;container-title-short&quot;:&quot;&quot;},&quot;isTemporary&quot;:false},{&quot;id&quot;:&quot;7be14139-bc9d-3bb8-b404-5bd9c102654a&quot;,&quot;itemData&quot;:{&quot;type&quot;:&quot;article-journal&quot;,&quot;id&quot;:&quot;7be14139-bc9d-3bb8-b404-5bd9c102654a&quot;,&quot;title&quot;:&quot;Pengaruh ROE, CR, TATO, DER Terhadap Harga Saham Perusahaan\nPerdagangan Besar Barang Produksi &amp; Konsumsi&quot;,&quot;author&quot;:[{&quot;family&quot;:&quot;Dini&quot;,&quot;given&quot;:&quot;Siti&quot;,&quot;parse-names&quot;:false,&quot;dropping-particle&quot;:&quot;&quot;,&quot;non-dropping-particle&quot;:&quot;&quot;},{&quot;family&quot;:&quot;Pasaribu&quot;,&quot;given&quot;:&quot;Farida&quot;,&quot;parse-names&quot;:false,&quot;dropping-particle&quot;:&quot;&quot;,&quot;non-dropping-particle&quot;:&quot;&quot;}],&quot;container-title&quot;:&quot;Jambura Economic Education Journal&quot;,&quot;DOI&quot;:&quot;https://doi.org/10.37479/jeej.v3i2.11063&quot;,&quot;issued&quot;:{&quot;date-parts&quot;:[[2021]]},&quot;issue&quot;:&quot;2&quot;,&quot;volume&quot;:&quot;3&quot;,&quot;container-title-short&quot;:&quot;&quot;},&quot;isTemporary&quot;:false}]},{&quot;citationID&quot;:&quot;MENDELEY_CITATION_41f0afcb-04a3-42f7-975b-c38be35266b0&quot;,&quot;properties&quot;:{&quot;noteIndex&quot;:0},&quot;isEdited&quot;:false,&quot;manualOverride&quot;:{&quot;isManuallyOverridden&quot;:true,&quot;citeprocText&quot;:&quot;(Veronica, 2022)&quot;,&quot;manualOverrideText&quot;:&quot;(Veronica, 2022),&quot;},&quot;citationTag&quot;:&quot;MENDELEY_CITATION_v3_eyJjaXRhdGlvbklEIjoiTUVOREVMRVlfQ0lUQVRJT05fNDFmMGFmY2ItMDRhMy00MmY3LTk3NWItYzM4YmUzNTI2NmIwIiwicHJvcGVydGllcyI6eyJub3RlSW5kZXgiOjB9LCJpc0VkaXRlZCI6ZmFsc2UsIm1hbnVhbE92ZXJyaWRlIjp7ImlzTWFudWFsbHlPdmVycmlkZGVuIjp0cnVlLCJjaXRlcHJvY1RleHQiOiIoVmVyb25pY2EsIDIwMjIpIiwibWFudWFsT3ZlcnJpZGVUZXh0IjoiKFZlcm9uaWNhLCAyMDIyKSw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quot;,&quot;citationItems&quot;:[{&quot;id&quot;:&quot;c67d0c3d-ae36-3b24-ae45-728c0021e109&quot;,&quot;itemData&quot;:{&quot;type&quot;:&quot;article-journal&quot;,&quot;id&quot;:&quot;c67d0c3d-ae36-3b24-ae45-728c0021e109&quot;,&quot;title&quot;:&quot;The Effect Of Return On Assets And Price To Book Value On Stock Prices&quot;,&quot;author&quot;:[{&quot;family&quot;:&quot;Veronica&quot;,&quot;given&quot;:&quot;Meilin&quot;,&quot;parse-names&quot;:false,&quot;dropping-particle&quot;:&quot;&quot;,&quot;non-dropping-particle&quot;:&quot;&quot;}],&quot;container-title&quot;:&quot;Ekonomica Sharia: Jurnal Pemikiran dan Pengembangan Ekonomi Syariah&quot;,&quot;DOI&quot;:&quot;https://doi.org/10.36908/esha.v8i1.519&quot;,&quot;issued&quot;:{&quot;date-parts&quot;:[[2022]]},&quot;abstract&quot;:&quot;This study aims to analyze the effect of return on assets and price to book value on the share price of PT Ciputra Tbk. The data used is secondary data obtained through the documentation process. The analytical method used is multiple linear regression analysis. The results prove that return on assets (X1) has no effect on stock prices (Y). Meanwhile, price to book value (X2) has a significant effect on stock prices (Y). This research is expected to help companies to increase stock prices through return on assets and price to book value ratio.&quot;,&quot;issue&quot;:&quot;1&quot;,&quot;volume&quot;:&quot;8&quot;,&quot;container-title-short&quot;:&quot;&quot;},&quot;isTemporary&quot;:false}]},{&quot;citationID&quot;:&quot;MENDELEY_CITATION_2a11c425-14b4-4b2c-b90c-05f5bf8dcde0&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MmExMWM0MjUtMTRiNC00YjJjLWI5MGMtMDVmNWJmOGRjZGUwIiwicHJvcGVydGllcyI6eyJub3RlSW5kZXgiOjB9LCJpc0VkaXRlZCI6ZmFsc2UsIm1hbnVhbE92ZXJyaWRlIjp7ImlzTWFudWFsbHlPdmVycmlkZGVuIjp0cnVlLCJjaXRlcHJvY1RleHQiOiIoRGlnZG93aXNlaXNvICYjMzg7IEZhZGlsbGFoLCAyMDIyKSIsIm1hbnVhbE92ZXJyaWRlVGV4dCI6IihEaWdkb3dpc2Vpc28gJiBGYWRpbGxhaCwgMjAyMiks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61c1b958-5938-44c0-8d1f-731606350d0f&quot;,&quot;properties&quot;:{&quot;noteIndex&quot;:0},&quot;isEdited&quot;:false,&quot;manualOverride&quot;:{&quot;isManuallyOverridden&quot;:false,&quot;citeprocText&quot;:&quot;(Brigham &amp;#38; Ehrhard, 2020)&quot;,&quot;manualOverrideText&quot;:&quot;&quot;},&quot;citationTag&quot;:&quot;MENDELEY_CITATION_v3_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&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663a9ba6-c374-4754-a65c-44cdf1f1d9a3&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NjYzYTliYTYtYzM3NC00NzU0LWE2NWMtNDRjZGYxZjFkOWEz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8bee61b4-2fbe-4af8-b901-a4efbd7313fa&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OGJlZTYxYjQtMmZiZS00YWY4LWI5MDEtYTRlZmJkNzMxM2Zh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228274b2-c019-4d2b-825f-3e3fa047673d&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MjI4Mjc0YjItYzAxOS00ZDJiLTgyNWYtM2UzZmEwNDc2NzNk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c4a27ba8-a6e6-41cb-8cba-9f8e082016a8&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YzRhMjdiYTgtYTZlNi00MWNiLThjYmEtOWY4ZTA4MjAxNmE4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6d744846-857f-4fc0-be9f-6e3768054dd8&quot;,&quot;properties&quot;:{&quot;noteIndex&quot;:0,&quot;mode&quot;:&quot;composite&quot;},&quot;isEdited&quot;:false,&quot;manualOverride&quot;:{&quot;isManuallyOverridden&quot;:false,&quot;citeprocText&quot;:&quot;Gujarati &amp;#38; Porter (2009)&quot;,&quot;manualOverrideText&quot;:&quot;&quot;},&quot;citationTag&quot;:&quot;MENDELEY_CITATION_v3_eyJjaXRhdGlvbklEIjoiTUVOREVMRVlfQ0lUQVRJT05fNmQ3NDQ4NDYtODU3Zi00ZmMwLWJlOWYtNmUzNzY4MDU0ZGQ4IiwicHJvcGVydGllcyI6eyJub3RlSW5kZXgiOjAsIm1vZGUiOiJjb21wb3NpdGUifSwiaXNFZGl0ZWQiOmZhbHNlLCJtYW51YWxPdmVycmlkZSI6eyJpc01hbnVhbGx5T3ZlcnJpZGRlbiI6ZmFsc2UsImNpdGVwcm9jVGV4dCI6Ikd1amFyYXRpICYjMzg7IFBvcnRlciAo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displayAs&quot;:&quot;composite&quot;,&quot;suppress-author&quot;:false,&quot;composite&quot;:true,&quot;author-only&quot;:false}]},{&quot;citationID&quot;:&quot;MENDELEY_CITATION_4a9267a0-72e2-4d96-89d2-058021e5fdfa&quot;,&quot;properties&quot;:{&quot;noteIndex&quot;:0,&quot;mode&quot;:&quot;composite&quot;},&quot;isEdited&quot;:false,&quot;manualOverride&quot;:{&quot;isManuallyOverridden&quot;:false,&quot;citeprocText&quot;:&quot;Gujarati &amp;#38; Porter (2009)&quot;,&quot;manualOverrideText&quot;:&quot;&quot;},&quot;citationTag&quot;:&quot;MENDELEY_CITATION_v3_eyJjaXRhdGlvbklEIjoiTUVOREVMRVlfQ0lUQVRJT05fNGE5MjY3YTAtNzJlMi00ZDk2LTg5ZDItMDU4MDIxZTVmZGZhIiwicHJvcGVydGllcyI6eyJub3RlSW5kZXgiOjAsIm1vZGUiOiJjb21wb3NpdGUifSwiaXNFZGl0ZWQiOmZhbHNlLCJtYW51YWxPdmVycmlkZSI6eyJpc01hbnVhbGx5T3ZlcnJpZGRlbiI6ZmFsc2UsImNpdGVwcm9jVGV4dCI6Ikd1amFyYXRpICYjMzg7IFBvcnRlciAo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displayAs&quot;:&quot;composite&quot;,&quot;suppress-author&quot;:false,&quot;composite&quot;:true,&quot;author-only&quot;:false}]},{&quot;citationID&quot;:&quot;MENDELEY_CITATION_f70ca340-fed9-480d-9dac-1b2cdddd5049&quot;,&quot;properties&quot;:{&quot;noteIndex&quot;:0},&quot;isEdited&quot;:false,&quot;manualOverride&quot;:{&quot;isManuallyOverridden&quot;:false,&quot;citeprocText&quot;:&quot;(Gujarati &amp;#38; Porter, 2009)&quot;,&quot;manualOverrideText&quot;:&quot;&quot;},&quot;citationTag&quot;:&quot;MENDELEY_CITATION_v3_eyJjaXRhdGlvbklEIjoiTUVOREVMRVlfQ0lUQVRJT05fZjcwY2EzNDAtZmVkOS00ODBkLTlkYWMtMWIyY2RkZGQ1MDQ5IiwicHJvcGVydGllcyI6eyJub3RlSW5kZXgiOjB9LCJpc0VkaXRlZCI6ZmFsc2UsIm1hbnVhbE92ZXJyaWRlIjp7ImlzTWFudWFsbHlPdmVycmlkZGVuIjpmYWxzZSwiY2l0ZXByb2NUZXh0IjoiKEd1amFyYXRpICYjMzg7IFBvcnRlciwg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c3VwcHJlc3MtYXV0aG9yIjpmYWxzZSwiY29tcG9zaXRlIjpmYWxzZSwiYXV0aG9yLW9ubHkiOmZhbHNlfV19&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suppress-author&quot;:false,&quot;composite&quot;:false,&quot;author-only&quot;:false}]},{&quot;citationID&quot;:&quot;MENDELEY_CITATION_2d1c5b57-71db-403f-9fe2-2dee6acdbca8&quot;,&quot;properties&quot;:{&quot;noteIndex&quot;:0},&quot;isEdited&quot;:false,&quot;manualOverride&quot;:{&quot;isManuallyOverridden&quot;:false,&quot;citeprocText&quot;:&quot;(Gujarati &amp;#38; Porter, 2009)&quot;,&quot;manualOverrideText&quot;:&quot;&quot;},&quot;citationTag&quot;:&quot;MENDELEY_CITATION_v3_eyJjaXRhdGlvbklEIjoiTUVOREVMRVlfQ0lUQVRJT05fMmQxYzViNTctNzFkYi00MDNmLTlmZTItMmRlZTZhY2RiY2E4IiwicHJvcGVydGllcyI6eyJub3RlSW5kZXgiOjB9LCJpc0VkaXRlZCI6ZmFsc2UsIm1hbnVhbE92ZXJyaWRlIjp7ImlzTWFudWFsbHlPdmVycmlkZGVuIjpmYWxzZSwiY2l0ZXByb2NUZXh0IjoiKEd1amFyYXRpICYjMzg7IFBvcnRlciwg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c3VwcHJlc3MtYXV0aG9yIjpmYWxzZSwiY29tcG9zaXRlIjpmYWxzZSwiYXV0aG9yLW9ubHkiOmZhbHNlfV19&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suppress-author&quot;:false,&quot;composite&quot;:false,&quot;author-only&quot;:false}]},{&quot;citationID&quot;:&quot;MENDELEY_CITATION_ce170d26-f8d4-4132-9d00-8627752e99aa&quot;,&quot;properties&quot;:{&quot;noteIndex&quot;:0},&quot;isEdited&quot;:false,&quot;manualOverride&quot;:{&quot;isManuallyOverridden&quot;:true,&quot;citeprocText&quot;:&quot;(Gujarati &amp;#38; Porter, 2009)&quot;,&quot;manualOverrideText&quot;:&quot;(Gujarati &amp; Porter, 2009).&quot;},&quot;citationTag&quot;:&quot;MENDELEY_CITATION_v3_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citationID&quot;:&quot;MENDELEY_CITATION_64b451d9-bc48-4581-8015-de66b5aede49&quot;,&quot;properties&quot;:{&quot;noteIndex&quot;:0,&quot;mode&quot;:&quot;composite&quot;},&quot;isEdited&quot;:false,&quot;manualOverride&quot;:{&quot;isManuallyOverridden&quot;:true,&quot;citeprocText&quot;:&quot;Gujarati &amp;#38; Porter (2009)&quot;,&quot;manualOverrideText&quot;:&quot;Gujarati &amp; Porter (2009 : 122).&quot;},&quot;citationTag&quot;:&quot;MENDELEY_CITATION_v3_eyJjaXRhdGlvbklEIjoiTUVOREVMRVlfQ0lUQVRJT05fNjRiNDUxZDktYmM0OC00NTgxLTgwMTUtZGU2NmI1YWVkZTQ5IiwicHJvcGVydGllcyI6eyJub3RlSW5kZXgiOjAsIm1vZGUiOiJjb21wb3NpdGUifSwiaXNFZGl0ZWQiOmZhbHNlLCJtYW51YWxPdmVycmlkZSI6eyJpc01hbnVhbGx5T3ZlcnJpZGRlbiI6dHJ1ZSwiY2l0ZXByb2NUZXh0IjoiR3VqYXJhdGkgJiMzODsgUG9ydGVyICgyMDA5KSIsIm1hbnVhbE92ZXJyaWRlVGV4dCI6Ikd1amFyYXRpICYgUG9ydGVyICgyMDA5IDogMTIyKS4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displayAs&quot;:&quot;composite&quot;,&quot;suppress-author&quot;:false,&quot;composite&quot;:true,&quot;author-only&quot;:false}]},{&quot;citationID&quot;:&quot;MENDELEY_CITATION_bfb2ed9c-2d4e-4fc0-96d8-05b63d8a61c8&quot;,&quot;properties&quot;:{&quot;noteIndex&quot;:0},&quot;isEdited&quot;:false,&quot;manualOverride&quot;:{&quot;isManuallyOverridden&quot;:true,&quot;citeprocText&quot;:&quot;(Abu-Bader &amp;#38; Jones, 2021)&quot;,&quot;manualOverrideText&quot;:&quot;(Abu-Bader &amp; Jones, 2021).&quot;},&quot;citationTag&quot;:&quot;MENDELEY_CITATION_v3_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&quot;,&quot;citationItems&quot;:[{&quot;id&quot;:&quot;4a24d564-3b1b-3dcd-b956-8cba4b0cd1ee&quot;,&quot;itemData&quot;:{&quot;type&quot;:&quot;article-journal&quot;,&quot;id&quot;:&quot;4a24d564-3b1b-3dcd-b956-8cba4b0cd1ee&quot;,&quot;title&quot;:&quot;Statistical Mediation Analysis Using The Sobel Test And Hayes Spss Process Macro&quot;,&quot;author&quot;:[{&quot;family&quot;:&quot;Abu-Bader&quot;,&quot;given&quot;:&quot;Soleman&quot;,&quot;parse-names&quot;:false,&quot;dropping-particle&quot;:&quot;&quot;,&quot;non-dropping-particle&quot;:&quot;&quot;},{&quot;family&quot;:&quot;Jones&quot;,&quot;given&quot;:&quot;Tiffanie Victoria&quot;,&quot;parse-names&quot;:false,&quot;dropping-particle&quot;:&quot;&quot;,&quot;non-dropping-particle&quot;:&quot;&quot;}],&quot;container-title&quot;:&quot;International Journal of Quantitative and Qualitative Research Methods&quot;,&quot;accessed&quot;:{&quot;date-parts&quot;:[[2025,7,8]]},&quot;ISSN&quot;:&quot;20563639&quot;,&quot;URL&quot;:&quot;https://ssrn.com/abstract=3799204&quot;,&quot;issued&quot;:{&quot;date-parts&quot;:[[2021]]},&quot;page&quot;:&quot;42-61&quot;,&quot;abstract&quot;:&quot;This paper aims to focus on the emerging practical application of mediational analysis in social science research practice. Objectives: The paper introduces simple mediation analysis to social science researchers discusses two statistical methods used to examine the effect of mediating variables on the relationship between the independent and dependent variables. These are the Sobel test and bootstrapping using Hayes Process Macro. The paper (1) defines and discusses the purpose of mediation, (2) discusses conditions for mediation, (3) presents research questions examined by mediation, (4) outlines assumptions of mediation analysis, (5) presents computer programs used in mediation analysis, and (6) presents a detailed practical example illustrating how to conduct mediating analysis, read the results output, and write the results. Implications: The paper concludes with a discussion on the implications of mediation research for social science research and practice.&quot;,&quot;issue&quot;:&quot;1&quot;,&quot;volume&quot;:&quot;9&quot;,&quot;container-title-short&quot;:&quot;&quot;},&quot;isTemporary&quot;:false}]},{&quot;citationID&quot;:&quot;MENDELEY_CITATION_b8703541-67f6-4de1-9182-446aec3e6366&quot;,&quot;properties&quot;:{&quot;noteIndex&quot;:0},&quot;isEdited&quot;:false,&quot;manualOverride&quot;:{&quot;isManuallyOverridden&quot;:true,&quot;citeprocText&quot;:&quot;(Puspitasari et al., 2025; Putri et al., 2024; Saputra, 2022)&quot;,&quot;manualOverrideText&quot;:&quot;(Puspitasari et al., 2025; Putri et al., 2024; Saputra, 2022).&quot;},&quot;citationTag&quot;:&quot;MENDELEY_CITATION_v3_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&quot;,&quot;citationItems&quot;:[{&quot;id&quot;:&quot;5b3e29c8-9434-38fd-9b75-83c780b64f03&quot;,&quot;itemData&quot;:{&quot;type&quot;:&quot;article-journal&quot;,&quot;id&quot;:&quot;5b3e29c8-9434-38fd-9b75-83c780b64f03&quot;,&quot;title&quot;:&quot;Analysis Effect Return on Assets (ROA), Return on Equity (ROE) and Price Earning Ratio (PER) on Stock Prices of Coal Companies in the Indonesia Stock Exchange (IDX) Period 2018-2021&quot;,&quot;author&quot;:[{&quot;family&quot;:&quot;Saputra&quot;,&quot;given&quot;:&quot;Farhan&quot;,&quot;parse-names&quot;:false,&quot;dropping-particle&quot;:&quot;&quot;,&quot;non-dropping-particle&quot;:&quot;&quot;}],&quot;container-title&quot;:&quot;Dinasti International Journal Of Economics, Finance And Accounting&quot;,&quot;DOI&quot;:&quot;10.38035/dijefa.v3i1&quot;,&quot;URL&quot;:&quot;https://doi.org/10.38035/dijefa.v3i1&quot;,&quot;issued&quot;:{&quot;date-parts&quot;:[[2022]]},&quot;issue&quot;:&quot;1&quot;,&quot;volume&quot;:&quot;3&quot;,&quot;container-title-short&quot;:&quot;&quot;},&quot;isTemporary&quot;:false},{&quot;id&quot;:&quot;484a28d8-96a4-3532-9181-2857c3d44fad&quot;,&quot;itemData&quot;:{&quot;type&quot;:&quot;article-journal&quot;,&quot;id&quot;:&quot;484a28d8-96a4-3532-9181-2857c3d44fad&quot;,&quot;title&quot;:&quot;The Effect OF ROA, ROE, AND EPS On Stock Prices Of Companies Registered On Jii For The 2018-2021&quot;,&quot;author&quot;:[{&quot;family&quot;:&quot;Putri&quot;,&quot;given&quot;:&quot;Ema Santika&quot;,&quot;parse-names&quot;:false,&quot;dropping-particle&quot;:&quot;&quot;,&quot;non-dropping-particle&quot;:&quot;&quot;},{&quot;family&quot;:&quot;Usdeldi&quot;,&quot;given&quot;:&quot;&quot;,&quot;parse-names&quot;:false,&quot;dropping-particle&quot;:&quot;&quot;,&quot;non-dropping-particle&quot;:&quot;&quot;},{&quot;family&quot;:&quot;Rahma&quot;,&quot;given&quot;:&quot;Sri&quot;,&quot;parse-names&quot;:false,&quot;dropping-particle&quot;:&quot;&quot;,&quot;non-dropping-particle&quot;:&quot;&quot;}],&quot;container-title&quot;:&quot;AL-DZHAB&quot;,&quot;DOI&quot;:&quot;https://doi.org/10.32939/dhb.v5i1.3152&quot;,&quot;issued&quot;:{&quot;date-parts&quot;:[[2024]]},&quot;abstract&quot;:&quot;Purpose: This study aims to analyse the effect of Return On Assets, Return on Equity, and Earnings Per Share on stock prices in companies listed on JII for 2018-2021. Desain/Methodology/Approach: The authors use quantitative research to obtain data by accessing the company's financial statements. The samples used in this study were 12 companies registered on JII for the 2014-2018 period, passing through the purposive sampling stage according to the criteria needed for the study. The data analysis method used in this study is panel data regression techniques. Findings: The research results show that Return On Assets (ROA) has an effect on stock prices in a positive direction, Return on Equity (ROE) has an effect on stock prices in a negative direction, and Earning Per Share (EPS) affects stock prices in a negative direction. ROA, ROE, and EPS affect stock prices at 96.44%, while other variables outside the research explain the remaining 3.56%. Research Implications: Inform investors or potential investors about the importance of analysing the company's financial statements before investing.&quot;,&quot;issue&quot;:&quot;1&quot;,&quot;volume&quot;:&quot;5&quot;,&quot;container-title-short&quot;:&quot;&quot;},&quot;isTemporary&quot;:false},{&quot;id&quot;:&quot;70a46632-22ad-3a8b-a6b9-16d2ef9c35ca&quot;,&quot;itemData&quot;:{&quot;type&quot;:&quot;article-journal&quot;,&quot;id&quot;:&quot;70a46632-22ad-3a8b-a6b9-16d2ef9c35ca&quot;,&quot;title&quot;:&quot;The Effect Of NPM, ROA, ROE, EPS And Per Ratio On The Stock Price Of Lq45 Companies Listed On The Indonesian Stock Exchange For The Period 2021-2023&quot;,&quot;author&quot;:[{&quot;family&quot;:&quot;Puspitasari&quot;,&quot;given&quot;:&quot;Nadia&quot;,&quot;parse-names&quot;:false,&quot;dropping-particle&quot;:&quot;&quot;,&quot;non-dropping-particle&quot;:&quot;&quot;},{&quot;family&quot;:&quot;Soleh&quot;,&quot;given&quot;:&quot;Ahmad&quot;,&quot;parse-names&quot;:false,&quot;dropping-particle&quot;:&quot;&quot;,&quot;non-dropping-particle&quot;:&quot;&quot;},{&quot;family&quot;:&quot;Irawan Abi&quot;,&quot;given&quot;:&quot;Yudi&quot;,&quot;parse-names&quot;:false,&quot;dropping-particle&quot;:&quot;&quot;,&quot;non-dropping-particle&quot;:&quot;&quot;}],&quot;container-title&quot;:&quot;Jurnal Ilmiah Ekonomi dan Bisnis&quot;,&quot;DOI&quot;:&quot;10.37676/ekombis.v13i1&quot;,&quot;ISSN&quot;:&quot;2716-4411&quot;,&quot;URL&quot;:&quot;https://jurnal.unived.ac.id/index.php/er/indexDOI:https://doi.org/10.37676/ekombis.v13i1&quot;,&quot;issued&quot;:{&quot;date-parts&quot;:[[2025]]},&quot;page&quot;:&quot;13&quot;,&quot;abstract&quot;:&quot;There are many companies listed on the Indonesia Stock Exchange (BEI), but there is a special classification for companies with the best financial performance. One of them is a company included in the LQ45 index group.&quot;,&quot;issue&quot;:&quot;1&quot;,&quot;volume&quot;:&quot;13&quot;,&quot;container-title-short&quot;:&quot;&quot;},&quot;isTemporary&quot;:false}]},{&quot;citationID&quot;:&quot;MENDELEY_CITATION_ea863b63-dd15-49ce-93bd-ebf134bba6b0&quot;,&quot;properties&quot;:{&quot;noteIndex&quot;:0},&quot;isEdited&quot;:false,&quot;manualOverride&quot;:{&quot;isManuallyOverridden&quot;:false,&quot;citeprocText&quot;:&quot;(Ginting et al., 2024; Kusumaningrum &amp;#38; Iswara, 2022; Muktiadji &amp;#38; Pamungkas, 2022)&quot;,&quot;manualOverrideText&quot;:&quot;&quot;},&quot;citationTag&quot;:&quot;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&quot;,&quot;citationItems&quot;:[{&quot;id&quot;:&quot;a1b80354-bdd9-3ca4-a0a4-887fd1b7ad5e&quot;,&quot;itemData&quot;:{&quot;type&quot;:&quot;article-journal&quot;,&quot;id&quot;:&quot;a1b80354-bdd9-3ca4-a0a4-887fd1b7ad5e&quot;,&quot;title&quot;:&quot;The Effect Of Financial Performance On The Stock Price Of Companies With Earnings Per Share As A Moderating Variety (Case Study On Property And Real Estate Companies Listed On The Idx In 2019-2023)&quot;,&quot;author&quot;:[{&quot;family&quot;:&quot;Ginting&quot;,&quot;given&quot;:&quot;Arya Permana&quot;,&quot;parse-names&quot;:false,&quot;dropping-particle&quot;:&quot;&quot;,&quot;non-dropping-particle&quot;:&quot;&quot;},{&quot;family&quot;:&quot;Ilham&quot;,&quot;given&quot;:&quot;Rico Nur&quot;,&quot;parse-names&quot;:false,&quot;dropping-particle&quot;:&quot;&quot;,&quot;non-dropping-particle&quot;:&quot;&quot;},{&quot;family&quot;:&quot;Syamni&quot;,&quot;given&quot;:&quot;Ghazali&quot;,&quot;parse-names&quot;:false,&quot;dropping-particle&quot;:&quot;&quot;,&quot;non-dropping-particle&quot;:&quot;&quot;},{&quot;family&quot;:&quot;Akhyar&quot;,&quot;given&quot;:&quot;Chairil&quot;,&quot;parse-names&quot;:false,&quot;dropping-particle&quot;:&quot;&quot;,&quot;non-dropping-particle&quot;:&quot;&quot;}],&quot;container-title&quot;:&quot;JARUDA : Journal of Accounting Research Utility Finance And Digital assets&quot;,&quot;DOI&quot;:&quot;https://doi.org/10.54443/jaruda.v3i3.208&quot;,&quot;URL&quot;:&quot;www.idx.co.id&quot;,&quot;issued&quot;:{&quot;date-parts&quot;:[[2024]]},&quot;abstract&quot;:&quot;This research aims to determine the effect of financial performance on company share prices with earnings per share as a moderating variable (case study of property and real estate companies listed on the BEI in 2019-2023. The sample for this research is 52 property and real estate sector companies listed on Indonesia Stock Exchange (BEI) and which submitted consecutive annual financial reports during the 2019-2022 period. The analysis tool used is panel data regression using descriptive statistics, classical assumption tests and hypothesis testing has no effect on share prices in property and real estate sector companies listed on the BEI for the 2019-2023 period, then EPS is unable to influence ROA and DER on share prices in property and real estate sector companies listed on the BEI for the 2019-2023 period.&quot;,&quot;issue&quot;:&quot;3&quot;,&quot;volume&quot;:&quot;3&quot;,&quot;container-title-short&quot;:&quot;&quot;},&quot;isTemporary&quot;:false},{&quot;id&quot;:&quot;d2127a71-8f2d-3ea8-ab98-1faf98c5f73d&quot;,&quot;itemData&quot;:{&quot;type&quot;:&quot;article-journal&quot;,&quot;id&quot;:&quot;d2127a71-8f2d-3ea8-ab98-1faf98c5f73d&quot;,&quot;title&quot;:&quot;Sekolah Tinggi Ilmu Ekonomi Indonesia (STIESIA) Surabaya&quot;,&quot;author&quot;:[{&quot;family&quot;:&quot;Kusumaningrum&quot;,&quot;given&quot;:&quot;Diyah Putri&quot;,&quot;parse-names&quot;:false,&quot;dropping-particle&quot;:&quot;&quot;,&quot;non-dropping-particle&quot;:&quot;&quot;},{&quot;family&quot;:&quot;Iswara&quot;,&quot;given&quot;:&quot;Ulfa Setia&quot;,&quot;parse-names&quot;:false,&quot;dropping-particle&quot;:&quot;&quot;,&quot;non-dropping-particle&quot;:&quot;&quot;}],&quot;container-title&quot;:&quot;Jurnal Ilmiah Akuntansi dan Keauangan&quot;,&quot;DOI&quot;:&quot;10.24034/jiaku.v1i3&quot;,&quot;issued&quot;:{&quot;date-parts&quot;:[[2022]]},&quot;page&quot;:&quot;295-312&quot;,&quot;abstract&quot;:&quot;Issn 2963-671X DOI 10.24034/jiaku.v1i3. 5509 Key word: profitability, leverage, firm size, firm value. Kata kunci: profitabilitas, leverage, ukuran perusahaan, nilai perusahaan. Abstract This research aimed to examine and analyze independent variables consisting of profitability, leverage, and firm size; on the dependent variable namely, firm value. The profitability was measured by Return On Asset (ROA), leverage was measured by Debt to Equity Ratio (DER), and firm size was measured by SIZE. Meanwhile, the firm value was measured by Price Book Value (PBV). The population was Food and Beverage companies that were listed on Indonesia Stock Exchange (IDX) during 2017-2021. The research was quantitative. Furthermore, the data collection technique used purposive sampling. In line with that, there were 14 companies as the sample and 70 data of observations. Additionally, the data analysis technique used multiple linear analysis. The result concluded that (a) profitability had a positive effect on firm value. It meant, that with good profitability, the companies could become a good prospect for investors in the future. Likewise, (b) leverage had a positive effect on firm value. This meant that higher leverage would increase the firm value which the investors liked. However, (c) firm size did not affect firm value since it could not be a profit consideration within companies.&quot;,&quot;issue&quot;:&quot;3&quot;,&quot;volume&quot;:&quot;1&quot;,&quot;container-title-short&quot;:&quot;&quot;},&quot;isTemporary&quot;:false},{&quot;id&quot;:&quot;617e3aea-4d0c-37bb-9e77-30d04d15048c&quot;,&quot;itemData&quot;:{&quot;type&quot;:&quot;article-journal&quot;,&quot;id&quot;:&quot;617e3aea-4d0c-37bb-9e77-30d04d15048c&quot;,&quot;title&quot;:&quot;The Effect of Financial Ratio on Stock Price of Banks Listed on the Indonesia Stock Exchange (IDX)&quot;,&quot;author&quot;:[{&quot;family&quot;:&quot;Muktiadji&quot;,&quot;given&quot;:&quot;Nusa&quot;,&quot;parse-names&quot;:false,&quot;dropping-particle&quot;:&quot;&quot;,&quot;non-dropping-particle&quot;:&quot;&quot;},{&quot;family&quot;:&quot;Pamungkas&quot;,&quot;given&quot;:&quot;Bambang&quot;,&quot;parse-names&quot;:false,&quot;dropping-particle&quot;:&quot;&quot;,&quot;non-dropping-particle&quot;:&quot;&quot;}],&quot;container-title&quot;:&quot;Asian Journal of Economics, Business and Accounting&quot;,&quot;DOI&quot;:&quot;10.9734/ajeba/2022/v22i24910&quot;,&quot;issued&quot;:{&quot;date-parts&quot;:[[2022]]},&quot;page&quot;:&quot;232-240&quot;,&quot;abstract&quot;:&quot;This study aims to analyze the effect of financial ratios on stock prices ­of banks listed on the IDX, how _they influence _return on assets (ROA), debt -equity ratio (DER), price book value (PBV), and net profit margin (NPM)­. This research method uses the descriptive method. The unit of analysis is the banking companies listed on the Indonesia Stock Exchange (IDX). The research sample is 50 bank companies. The analytical method used in this study is multiple linear regression method. The results showed that partially PBV has a positive effect on stock prices, while ROA has no positive effect. DER has no negative effect on stock prices, and NPM has no positive effect on stock prices. Simultaneously ROA, DER, PBV, and NPM affect stock prices at banks listed on the Indonesia Stock Exchange. The limitations of this study are the limitations of the processed data and the variables used. This study ­would be helpful to the equity investment community, as material consideration for investing in companies.&quot;,&quot;publisher&quot;:&quot;Sciencedomain International&quot;,&quot;issue&quot;:&quot;24&quot;,&quot;volume&quot;:&quot;22&quot;,&quot;container-title-short&quot;:&quot;&quot;},&quot;isTemporary&quot;:false}]},{&quot;citationID&quot;:&quot;MENDELEY_CITATION_17b7d750-3143-4ece-82fe-82b5ebdb7c4f&quot;,&quot;properties&quot;:{&quot;noteIndex&quot;:0},&quot;isEdited&quot;:false,&quot;manualOverride&quot;:{&quot;isManuallyOverridden&quot;:true,&quot;citeprocText&quot;:&quot;(Wahyuningrum &amp;#38; Sunarto, 2023)&quot;,&quot;manualOverrideText&quot;:&quot;(Wahyuningrum &amp; Sunarto, 2023),&quot;},&quot;citationTag&quot;:&quot;MENDELEY_CITATION_v3_eyJjaXRhdGlvbklEIjoiTUVOREVMRVlfQ0lUQVRJT05fMTdiN2Q3NTAtMzE0My00ZWNlLTgyZmUtODJiNWViZGI3YzRmIiwicHJvcGVydGllcyI6eyJub3RlSW5kZXgiOjB9LCJpc0VkaXRlZCI6ZmFsc2UsIm1hbnVhbE92ZXJyaWRlIjp7ImlzTWFudWFsbHlPdmVycmlkZGVuIjp0cnVlLCJjaXRlcHJvY1RleHQiOiIoV2FoeXVuaW5ncnVtICYjMzg7IFN1bmFydG8sIDIwMjMpIiwibWFudWFsT3ZlcnJpZGVUZXh0IjoiKFdhaHl1bmluZ3J1bSAmIFN1bmFydG8sIDIwMjMpLC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quot;,&quot;citationItems&quot;:[{&quot;id&quot;:&quot;4954fd65-bda0-3067-baf3-0fdbd63c0a54&quot;,&quot;itemData&quot;:{&quot;type&quot;:&quot;article-journal&quot;,&quot;id&quot;:&quot;4954fd65-bda0-3067-baf3-0fdbd63c0a54&quot;,&quot;title&quot;:&quot;Pengaruh Likuiditas, Profitabilitas, Leverage Dan Ukuran Perusahaan\nTerhadap Nilai Perusahaan&quot;,&quot;author&quot;:[{&quot;family&quot;:&quot;Wahyuningrum&quot;,&quot;given&quot;:&quot;Alfa Dwi&quot;,&quot;parse-names&quot;:false,&quot;dropping-particle&quot;:&quot;&quot;,&quot;non-dropping-particle&quot;:&quot;&quot;},{&quot;family&quot;:&quot;Sunarto&quot;,&quot;given&quot;:&quot;&quot;,&quot;parse-names&quot;:false,&quot;dropping-particle&quot;:&quot;&quot;,&quot;non-dropping-particle&quot;:&quot;&quot;}],&quot;container-title&quot;:&quot;Jurnal Riset Akutansi Politala&quot;,&quot;accessed&quot;:{&quot;date-parts&quot;:[[2025,4,20]]},&quot;URL&quot;:&quot;http://jra.politala.ac.id/index.php/JRA/index&quot;,&quot;issued&quot;:{&quot;date-parts&quot;:[[2023]]},&quot;issue&quot;:&quot;1&quot;,&quot;volume&quot;:&quot;6&quot;,&quot;container-title-short&quot;:&quot;&quot;},&quot;isTemporary&quot;:false}]},{&quot;citationID&quot;:&quot;MENDELEY_CITATION_08f2a5b1-171d-48b0-a9eb-a0317cd1dcee&quot;,&quot;properties&quot;:{&quot;noteIndex&quot;:0},&quot;isEdited&quot;:false,&quot;manualOverride&quot;:{&quot;isManuallyOverridden&quot;:true,&quot;citeprocText&quot;:&quot;(Elieser et al., 2022; Halimah &amp;#38; Nurmasari, 2024; Kardinal &amp;#38; Wijaya, 2024)&quot;,&quot;manualOverrideText&quot;:&quot;(Elieser et al., 2022; Halimah &amp; Nurmasari, 2024; Kardinal &amp; Wijaya, 2024).&quot;},&quot;citationTag&quot;:&quot;MENDELEY_CITATION_v3_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&quot;,&quot;citationItems&quot;:[{&quot;id&quot;:&quot;68d5c0ac-1006-3057-a6c0-4f7a1b3d4d91&quot;,&quot;itemData&quot;:{&quot;type&quot;:&quot;article-journal&quot;,&quot;id&quot;:&quot;68d5c0ac-1006-3057-a6c0-4f7a1b3d4d91&quot;,&quot;title&quot;:&quot;Pengaruh Current Ratio (CR), Debt to Equity Ratio (DER) dan Earning\nPer Share (EPS) terhadap Harga Saham Perusahaan Sektor Manufaktur\nyang Terdaftar di Bursa Efek Indonesia Periode 2019-2022&quot;,&quot;author&quot;:[{&quot;family&quot;:&quot;Kardinal&quot;,&quot;given&quot;:&quot;&quot;,&quot;parse-names&quot;:false,&quot;dropping-particle&quot;:&quot;&quot;,&quot;non-dropping-particle&quot;:&quot;&quot;},{&quot;family&quot;:&quot;Wijaya&quot;,&quot;given&quot;:&quot;Trisnandi&quot;,&quot;parse-names&quot;:false,&quot;dropping-particle&quot;:&quot;&quot;,&quot;non-dropping-particle&quot;:&quot;&quot;}],&quot;container-title&quot;:&quot;Publikasi Riset Mahasiswa Manajemen&quot;,&quot;DOI&quot;:&quot;https://doi.org/10.35957/prmm.v6i1.9445&quot;,&quot;issued&quot;:{&quot;date-parts&quot;:[[2024]]},&quot;issue&quot;:&quot;2&quot;,&quot;volume&quot;:&quot;6&quot;,&quot;container-title-short&quot;:&quot;&quot;},&quot;isTemporary&quot;:false},{&quot;id&quot;:&quot;ff5ddd98-23b9-3f64-9bd7-4c2ef181be4c&quot;,&quot;itemData&quot;:{&quot;type&quot;:&quot;article-journal&quot;,&quot;id&quot;:&quot;ff5ddd98-23b9-3f64-9bd7-4c2ef181be4c&quot;,&quot;title&quot;:&quot;Pengaruh Return on Asset (ROA) dan Debt to Equity Ratio (DER) terhadap Harga Saham pada Pt. Telkom Indonesia Tbk Periode 2011-2023 ARTICLE INFO ABSTRACT&quot;,&quot;author&quot;:[{&quot;family&quot;:&quot;Halimah&quot;,&quot;given&quot;:&quot;Jill&quot;,&quot;parse-names&quot;:false,&quot;dropping-particle&quot;:&quot;&quot;,&quot;non-dropping-particle&quot;:&quot;&quot;},{&quot;family&quot;:&quot;Nurmasari&quot;,&quot;given&quot;:&quot;Ifa&quot;,&quot;parse-names&quot;:false,&quot;dropping-particle&quot;:&quot;&quot;,&quot;non-dropping-particle&quot;:&quot;&quot;}],&quot;container-title&quot;:&quot;Cakrawala: Jurnal Ekonomi, Manajemen dan Bisnis&quot;,&quot;DOI&quot;:&quot;https://doi.org/10.70451/cakrawala.v1i2.108&quot;,&quot;ISSN&quot;:&quot;3046-8884&quot;,&quot;URL&quot;:&quot;https://jurnalamanah.com/index.php/cakrawala/index&quot;,&quot;issued&quot;:{&quot;date-parts&quot;:[[2024]]},&quot;page&quot;:&quot;359-368&quot;,&quot;abstract&quot;:&quot;This research aims to determine the effect of Return on Asset (Roa) and Debt to Equity Ratio (Der) on the share price of Pt. Telkom Indonesia Tbk Period 2011-2023. This research uses a descriptive metH0d with a quantitative approach. The data analysis technique uses the classic assumption test, regression analysis, coefficient of determination analysis, and hypothesis testing using SPSS version 26. The results of this research are the table results in the t test, ROA (X_1) has a significance level of 0.793, which is greater than the significance level of 0, 05, namely 0.793 &gt; 0.05, so it can be concluded that Ha is rejected and Ho is accepted. This means that the ROA variable has no significant effect on the share price variable (Y). Meanwhile, the table results obtained from the t test show that DER (X_2) has a significance level of 0.270, where this value is greater than the significance level of 0.05, namely 0.270 &gt; 0.05, so it can be concluded that Ha is rejected and Ho is accepted. This means that the DER variable has no significant effect on stock prices. For the simultaneous F test, it can be seen from the F_count of 1.824 which is greater than the F_table or 1.824 &lt; 4.84, and the significance value is 0.211 &gt; 0.05. So it can be concluded that together (simultaneously) there is no significant influence between Return on Asset (ROA) and Debt to Equity Ratio (DER) on share prices. And from the results of the coefficient of determination test, the R Square value is 0.267, namely 26.7%. Coefficient analysis sH0ws that Return on Asset (ROA) and Debt to Equity Ratio (DER) influence stock prices by 26.7% while the remaining 73.3% influence on share prices is influenced by other variables outside the research.&quot;,&quot;issue&quot;:&quot;2&quot;,&quot;volume&quot;:&quot;1&quot;,&quot;container-title-short&quot;:&quot;&quot;},&quot;isTemporary&quot;:false},{&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citationID&quot;:&quot;MENDELEY_CITATION_202bcb86-a45a-4433-84d6-2d94e1af8073&quot;,&quot;properties&quot;:{&quot;noteIndex&quot;:0},&quot;isEdited&quot;:false,&quot;manualOverride&quot;:{&quot;isManuallyOverridden&quot;:false,&quot;citeprocText&quot;:&quot;(Emanue &amp;#38; Riwayati, 2024; Kusuma et al., 2024; Suwarno &amp;#38; Muthmainnah, 2024)&quot;,&quot;manualOverrideText&quot;:&quot;&quot;},&quot;citationTag&quot;:&quot;MENDELEY_CITATION_v3_eyJjaXRhdGlvbklEIjoiTUVOREVMRVlfQ0lUQVRJT05fMjAyYmNiODYtYTQ1YS00NDMzLTg0ZDYtMmQ5NGUxYWY4MDczIiwicHJvcGVydGllcyI6eyJub3RlSW5kZXgiOjB9LCJpc0VkaXRlZCI6ZmFsc2UsIm1hbnVhbE92ZXJyaWRlIjp7ImlzTWFudWFsbHlPdmVycmlkZGVuIjpmYWxzZSwiY2l0ZXByb2NUZXh0IjoiKEVtYW51ZSAmIzM4OyBSaXdheWF0aSwgMjAyNDsgS3VzdW1hIGV0IGFsLiwgMjAyNDsgU3V3YXJubyAmIzM4OyBNdXRobWFpbm5haCwgMjAyNCkiLCJtYW51YWxPdmVycmlkZVRleHQiOiI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quot;,&quot;citationItems&quot;:[{&quot;id&quot;:&quot;aeb95b29-1394-338f-b5cc-aef7b24c9a11&quot;,&quot;itemData&quot;:{&quot;type&quot;:&quot;article-journal&quot;,&quot;id&quot;:&quot;aeb95b29-1394-338f-b5cc-aef7b24c9a11&quot;,&quot;title&quot;:&quot;Financial Performance Affecting Stock Prices of Food and Beverage Sub-Sector Companies in Indonesia Article history&quot;,&quot;author&quot;:[{&quot;family&quot;:&quot;Emanue&quot;,&quot;given&quot;:&quot;Magdalena Permatasari&quot;,&quot;parse-names&quot;:false,&quot;dropping-particle&quot;:&quot;&quot;,&quot;non-dropping-particle&quot;:&quot;&quot;},{&quot;family&quot;:&quot;Riwayati&quot;,&quot;given&quot;:&quot;Hedwigis Esti&quot;,&quot;parse-names&quot;:false,&quot;dropping-particle&quot;:&quot;&quot;,&quot;non-dropping-particle&quot;:&quot;&quot;}],&quot;container-title&quot;:&quot;Management Research Studies Journal Vulume&quot;,&quot;DOI&quot;:&quot;https://doi.org/10.56174/mrsj.v5i1.646&quot;,&quot;URL&quot;:&quot;https://journal.perbanas.id/index.php/mrsj&quot;,&quot;issued&quot;:{&quot;date-parts&quot;:[[2024]]},&quot;page&quot;:&quot;2745-6161&quot;,&quot;abstract&quot;:&quot;This research aimed to analyze the effect of return on asset, return on equity, debt to equity ratio and earning per share toward stock price in company food and beverage sub-sector listed on the Indonesia Stock Exchange during the period 2018 to 2022. The population in this research was 118 companies in the consumer non-cyclicals sector. The determination of samples is using purposive sampling method, so that the selected sample is relevant to the research objectives. The company sampled in this research was 16 food and beverage companies. Researchers used data panel regression analysis techniques with data processing using the E-views 10 application to test the research hypothesis. The results shows return on assets and return on equity has no positive effect on stock prices, debt to equity ratio has a negative effect on stock prices and earning per share has a positive effect on the stock price of food and beverage sub-sector companies. These research results are simultaneously shows that the return on asset, return on equity, debt to equity ratio and earning per share variables are capable to explain stock prices on those 16 food and beverages companies listed on the Indonesia Stock Exchange.&quot;,&quot;issue&quot;:&quot;1&quot;,&quot;volume&quot;:&quot;5&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6e02ccd1-668b-3579-a80d-88d3907b02e0&quot;,&quot;itemData&quot;:{&quot;type&quot;:&quot;article-journal&quot;,&quot;id&quot;:&quot;6e02ccd1-668b-3579-a80d-88d3907b02e0&quot;,&quot;title&quot;:&quot;Fundamental Factors on Stock Price with Sustainability Report as Moderating Variable&quot;,&quot;author&quot;:[{&quot;family&quot;:&quot;Suwarno&quot;,&quot;given&quot;:&quot;Try Edi&quot;,&quot;parse-names&quot;:false,&quot;dropping-particle&quot;:&quot;&quot;,&quot;non-dropping-particle&quot;:&quot;&quot;},{&quot;family&quot;:&quot;Muthmainnah&quot;,&quot;given&quot;:&quot;Riyadatul&quot;,&quot;parse-names&quot;:false,&quot;dropping-particle&quot;:&quot;&quot;,&quot;non-dropping-particle&quot;:&quot;&quot;}],&quot;container-title&quot;:&quot;INTERNATIONAL JOURNAL OF SOCIAL SCIENCE AND EDUCATION RESEARCH STUDIES&quot;,&quot;DOI&quot;:&quot;10.55677/ijssers/V04I9Y2024-01&quot;,&quot;ISSN&quot;:&quot;27702782&quot;,&quot;URL&quot;:&quot;https://ijssers.org/single-view/?id=9983&amp;pid=9980&quot;,&quot;issued&quot;:{&quot;date-parts&quot;:[[2024]]},&quot;abstract&quot;:&quot;&lt;p&gt;This study aims to obtain empirical evidence of the effect of Liquidity, Solvency, and Profitability on Stock Prices with Sustainability Report as a Moderating Variable. The population in this study were mining companies on the Indonesia Stock Exchange. Sampling was done using purposive sampling. The secondary data collection method used is financial reports and sustainability reports. The results showed that Liquidity and Profitability had no effect on Stock Price while Solvency had a negative effect on Stock Price, Sustainability Report did not strengthen Liquidity and Profitability on Stock Price while Sustainability Report strengthened the effect of Solvency on Stock Price.&lt;/p&gt;&quot;,&quot;issue&quot;:&quot;09&quot;,&quot;volume&quot;:&quot;04&quot;,&quot;container-title-short&quot;:&quot;&quot;},&quot;isTemporary&quot;:false}]},{&quot;citationID&quot;:&quot;MENDELEY_CITATION_0d58489b-be4d-44d6-bd25-aea69fd4840c&quot;,&quot;properties&quot;:{&quot;noteIndex&quot;:0},&quot;isEdited&quot;:false,&quot;manualOverride&quot;:{&quot;isManuallyOverridden&quot;:false,&quot;citeprocText&quot;:&quot;(Argyanezar &amp;#38; Damayanti, 2024; Purwanto &amp;#38; Perkasa, 2024; Wulansari et al., 2023)&quot;,&quot;manualOverrideText&quot;:&quot;&quot;},&quot;citationTag&quot;:&quot;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&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8c72fc31-633b-3f8b-b6e1-6c620d9e6918&quot;,&quot;itemData&quot;:{&quot;type&quot;:&quot;article-journal&quot;,&quot;id&quot;:&quot;8c72fc31-633b-3f8b-b6e1-6c620d9e6918&quot;,&quot;title&quot;:&quot;Banking Share Prices Analysis: The Influence of Financial Ratios Amidst Digital Transformation&quot;,&quot;author&quot;:[{&quot;family&quot;:&quot;Purwanto&quot;,&quot;given&quot;:&quot;Setiyo&quot;,&quot;parse-names&quot;:false,&quot;dropping-particle&quot;:&quot;&quot;,&quot;non-dropping-particle&quot;:&quot;&quot;},{&quot;family&quot;:&quot;Perkasa&quot;,&quot;given&quot;:&quot;Didin Hikmah&quot;,&quot;parse-names&quot;:false,&quot;dropping-particle&quot;:&quot;&quot;,&quot;non-dropping-particle&quot;:&quot;&quot;}],&quot;container-title&quot;:&quot;Quantitative Economics and Management Studies&quot;,&quot;DOI&quot;:&quot;10.35877/454RI.qems2753&quot;,&quot;ISSN&quot;:&quot;2722-6247&quot;,&quot;URL&quot;:&quot;https://qemsjournal.org/index.php/qems/article/view/2753&quot;,&quot;issued&quot;:{&quot;date-parts&quot;:[[2024]]},&quot;page&quot;:&quot;871-878&quot;,&quot;abstract&quot;:&quot;&lt;p&gt;This research aims to analyze the influence of financial ratios on share prices in the banking sub-sector listed on the Indonesia Stock Exchange. The approach in this research is to use a quantitative approach and based on its objectives, this type of research is causal, namely research that explains the influence of an independent variable on the dependent variable. The independent variables in this research include Current Ratio (CR), Debt to Equity Ratio (DER), and Return On Assets (ROA) and the dependent variable in this research is Stock Price. The population of this research is banking companies listed on the Indonesia Stock Exchange, totaling 46 banking issuers. The sample determination procedure uses a non-probability sampling method, namely in the form of purposive sampling. Purposive sampling is a sampling technique with certain considerations. Based on the selection results, there were 20 banks that met the criteria. Data analysis was carried out using multiple linear regression analysis. The results of the analysis show that the Current Ratio and Debt to Equity Ratio have a negative effect on stock prices, Return On Assets have a positive effect on share prices.&lt;/p&gt;&quot;,&quot;issue&quot;:&quot;4&quot;,&quot;volume&quot;:&quot;5&quot;,&quot;container-title-short&quot;:&quot;&quot;},&quot;isTemporary&quot;:false},{&quot;id&quot;:&quot;ea056536-c621-3e57-834f-5feed38648cf&quot;,&quot;itemData&quot;:{&quot;type&quot;:&quot;article-journal&quot;,&quot;id&quot;:&quot;ea056536-c621-3e57-834f-5feed38648cf&quot;,&quot;title&quot;:&quot;effect of financial ratio on stock price in telecommunications sector companies listed on the Indonesia stock exchange&quot;,&quot;author&quot;:[{&quot;family&quot;:&quot;Wulansari&quot;,&quot;given&quot;:&quot;Tri&quot;,&quot;parse-names&quot;:false,&quot;dropping-particle&quot;:&quot;&quot;,&quot;non-dropping-particle&quot;:&quot;&quot;},{&quot;family&quot;:&quot;Sulastri&quot;,&quot;given&quot;:&quot;Sulastri&quot;,&quot;parse-names&quot;:false,&quot;dropping-particle&quot;:&quot;&quot;,&quot;non-dropping-particle&quot;:&quot;&quot;},{&quot;family&quot;:&quot;Widiyanti&quot;,&quot;given&quot;:&quot;Marlina&quot;,&quot;parse-names&quot;:false,&quot;dropping-particle&quot;:&quot;&quot;,&quot;non-dropping-particle&quot;:&quot;&quot;},{&quot;family&quot;:&quot;Adam&quot;,&quot;given&quot;:&quot;Mohamad&quot;,&quot;parse-names&quot;:false,&quot;dropping-particle&quot;:&quot;&quot;,&quot;non-dropping-particle&quot;:&quot;&quot;}],&quot;container-title&quot;:&quot;International journal of business, economics &amp; management&quot;,&quot;DOI&quot;:&quot;10.21744/ijbem.v6n1.2058&quot;,&quot;issued&quot;:{&quot;date-parts&quot;:[[2023]]},&quot;page&quot;:&quot;1-9&quot;,&quot;abstract&quot;:&quot;This study aims to determine the effect of financial ratios on stock prices in telecommunications sector companies listed on the Indonesia Stock Exchange (IDX) during the 2017-2021 period. The population in this study were all telecommunications sector companies listed on the Indonesia Stock Exchange (IDX) from 2017 to 2021. Using a purposive sampling technique, the research sample consisted of 10 telecommunications sector companies. Data analysis used the panel data regression method, where the selected model was the fixed effect. The results showed that the Current Ratio (CR), Return on Equity (ROE), Return on Assets (ROA), and Earning Per Share (EPS) had a positive and significant effect on stock prices. In contrast, the Debt to Equity Ratio (DER) was negative and significant to stock prices.&quot;,&quot;publisher&quot;:&quot;Scientific and Literature Open Access Publishing&quot;,&quot;issue&quot;:&quot;1&quot;,&quot;volume&quot;:&quot;6&quot;,&quot;container-title-short&quot;:&quot;&quot;},&quot;isTemporary&quot;:false}]},{&quot;citationID&quot;:&quot;MENDELEY_CITATION_d0d5c903-f6b7-4e31-8368-f0968297bbea&quot;,&quot;properties&quot;:{&quot;noteIndex&quot;:0},&quot;isEdited&quot;:false,&quot;manualOverride&quot;:{&quot;isManuallyOverridden&quot;:false,&quot;citeprocText&quot;:&quot;(Kusuma et al., 2024; Nugraha &amp;#38; Artini, 2022; Sa’adah et al., 2024)&quot;,&quot;manualOverrideText&quot;:&quot;&quot;},&quot;citationTag&quot;:&quot;MENDELEY_CITATION_v3_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&quot;,&quot;citationItems&quot;:[{&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fa5ce42f-0f6a-31a3-82ba-9d6274e82118&quot;,&quot;itemData&quot;:{&quot;type&quot;:&quot;article-journal&quot;,&quot;id&quot;:&quot;fa5ce42f-0f6a-31a3-82ba-9d6274e82118&quot;,&quot;title&quot;:&quot;The Effect of Financial Performance on Stock Prices of Automotive and Component Sub Sector Companies in the Indonesia Stock Exchange&quot;,&quot;author&quot;:[{&quot;family&quot;:&quot;Nugraha&quot;,&quot;given&quot;:&quot;Komang Cipta&quot;,&quot;parse-names&quot;:false,&quot;dropping-particle&quot;:&quot;&quot;,&quot;non-dropping-particle&quot;:&quot;&quot;},{&quot;family&quot;:&quot;Artini&quot;,&quot;given&quot;:&quot;Luh Gede Sri&quot;,&quot;parse-names&quot;:false,&quot;dropping-particle&quot;:&quot;&quot;,&quot;non-dropping-particle&quot;:&quot;&quot;}],&quot;container-title&quot;:&quot;European Journal of Business and Management Research&quot;,&quot;DOI&quot;:&quot;10.24018/ejbmr.2022.7.4.1595&quot;,&quot;issued&quot;:{&quot;date-parts&quot;:[[2022]]},&quot;page&quot;:&quot;327-331&quot;,&quot;abstract&quot;:&quot;The tock price is a measure of investor interest in investing in a company. Companies that have good financial performance are generally the main focus of investors. Analysis of a company can be done by analyzing financial ratios. The phenomenon that occurs in the automotive and component sub-sector companies is the occurrence of stock price fluctuations caused by the company's internal and external factors. This study aims to analyze the effect of financial performance on stock prices of companies in the automotive and component sub-sectors on the Indonesia Stock Exchange. The data used in this study is secondary data, namely by looking at the financial statements of the automotive and component sub-sector companies on the Indonesia Stock Exchange which can be accessed through the website www.idx.co.id. This study uses the method of determining the sample using purposive sampling. The sample used is the automotive and component sub-sector companies on the Indonesia Stock Exchange, with 60 data. The analysis technique used is multiple linear regression. The results show that Return on Assets (ROA) has a positive effect on stock prices of companies in the automotive and component sub-sectors on the Indonesian stock exchange. Current Ratio (CR) has a negative effect on stock prices of companies in the automotive and component sub-sectors on the Indonesian stock exchange. Debt to Equity Ratio (DER) has a negative effect on the stock prices of companies in the automotive and component sub-sectors on the Indonesia Stock Exchange.&quot;,&quot;publisher&quot;:&quot;European Open Science Publishing&quot;,&quot;issue&quot;:&quot;4&quot;,&quot;volume&quot;:&quot;7&quot;,&quot;container-title-short&quot;:&quot;&quot;},&quot;isTemporary&quot;:false},{&quot;id&quot;:&quot;d7c7841d-da72-3cb1-a74c-19d5458b2a35&quot;,&quot;itemData&quot;:{&quot;type&quot;:&quot;article-journal&quot;,&quot;id&quot;:&quot;d7c7841d-da72-3cb1-a74c-19d5458b2a35&quot;,&quot;title&quot;:&quot;The Effect Of Current Ratio (CR) and Net Profit Margin (NPM) On Stock Price (Case Study Of Automotive Subsector Manufacturing Companies Listed On The IDX in 2020-2022)&quot;,&quot;author&quot;:[{&quot;family&quot;:&quot;Sa'adah&quot;,&quot;given&quot;:&quot;Naellus&quot;,&quot;parse-names&quot;:false,&quot;dropping-particle&quot;:&quot;&quot;,&quot;non-dropping-particle&quot;:&quot;&quot;},{&quot;family&quot;:&quot;Alayda&quot;,&quot;given&quot;:&quot;Wulan&quot;,&quot;parse-names&quot;:false,&quot;dropping-particle&quot;:&quot;&quot;,&quot;non-dropping-particle&quot;:&quot;&quot;},{&quot;family&quot;:&quot;Komara&quot;,&quot;given&quot;:&quot;Acep&quot;,&quot;parse-names&quot;:false,&quot;dropping-particle&quot;:&quot;&quot;,&quot;non-dropping-particle&quot;:&quot;&quot;}],&quot;container-title&quot;:&quot;Technology, and Business (JETBIS)&quot;,&quot;DOI&quot;:&quot;https://doi.org/10.57185/jetbis.v3i7.114&quot;,&quot;ISSN&quot;:&quot;2962-9330&quot;,&quot;URL&quot;:&quot;https://jetbis.al-makkipublisher.com/index.php/al/index&quot;,&quot;issued&quot;:{&quot;date-parts&quot;:[[2024]]},&quot;issue&quot;:&quot;7&quot;,&quot;volume&quot;:&quot;3&quot;,&quot;container-title-short&quot;:&quot;&quot;},&quot;isTemporary&quot;:false}]},{&quot;citationID&quot;:&quot;MENDELEY_CITATION_6b3e8e2e-1482-42cb-8f0a-9be1103d7f5e&quot;,&quot;properties&quot;:{&quot;noteIndex&quot;:0},&quot;isEdited&quot;:false,&quot;manualOverride&quot;:{&quot;isManuallyOverridden&quot;:true,&quot;citeprocText&quot;:&quot;(Argyanezar &amp;#38; Damayanti, 2024; Nurcholis et al., 2024; Tantorio et al., 2023)&quot;,&quot;manualOverrideText&quot;:&quot;(Argyanezar &amp; Damayanti, 2024; Nurcholis et al., 2024; Tantorio et al., 2023).&quot;},&quot;citationTag&quot;:&quot;MENDELEY_CITATION_v3_eyJjaXRhdGlvbklEIjoiTUVOREVMRVlfQ0lUQVRJT05fNmIzZThlMmUtMTQ4Mi00MmNiLThmMGEtOWJlMTEwM2Q3ZjVl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id&quot;:&quot;fd809ca6-8e5d-3ee9-aca6-0ec23bde4cb1&quot;,&quot;itemData&quot;:{&quot;type&quot;:&quot;article-journal&quot;,&quot;id&quot;:&quot;fd809ca6-8e5d-3ee9-aca6-0ec23bde4cb1&quot;,&quot;title&quot;:&quot;Pengaruh Total Asset Turnover (Tato) dan Net Profit Margin (NPM) terhadap Harga Saham pada PT Matahari Department Store Tbk Periode 2013-2023&quot;,&quot;author&quot;:[{&quot;family&quot;:&quot;Nurcholis&quot;,&quot;given&quot;:&quot;Irfan&quot;,&quot;parse-names&quot;:false,&quot;dropping-particle&quot;:&quot;&quot;,&quot;non-dropping-particle&quot;:&quot;&quot;},{&quot;family&quot;:&quot;Pratama&quot;,&quot;given&quot;:&quot;Aditya&quot;,&quot;parse-names&quot;:false,&quot;dropping-particle&quot;:&quot;&quot;,&quot;non-dropping-particle&quot;:&quot;&quot;},{&quot;family&quot;:&quot;Daeng Matta&quot;,&quot;given&quot;:&quot;Yusran&quot;,&quot;parse-names&quot;:false,&quot;dropping-particle&quot;:&quot;&quot;,&quot;non-dropping-particle&quot;:&quot;&quot;}],&quot;container-title&quot;:&quot;Cakrawala: Jurnal Ekonomi, Manajemen dan Bisnis&quot;,&quot;DOI&quot;:&quot;https://doi.org/10.70451/cakrawala.v1i4.252&quot;,&quot;ISSN&quot;:&quot;3046-8884&quot;,&quot;URL&quot;:&quot;https://jurnalamanah.com/index.php/cakrawala/index&quot;,&quot;issued&quot;:{&quot;date-parts&quot;:[[2024]]},&quot;page&quot;:&quot;1420-1429&quot;,&quot;abstract&quot;:&quot;Article History: This study aims to determinate the effect of the Total Aset Turnover Rasio and Net Profit Margin Rasio on the Stock Price at PT Matahari Department Store Tbk for the period 2013-2023 partially and simultaneously. The research method used is a quantitative approach method. The population used in this study is the Finansial Statements of PT Matahari Department Store Tbk for the year 2013-2023. The sample used were in the form of Balance Sheet and Profit and Loss Statement of PT Matahari Department Store Tbk. the data analysis techniques used are descriptive analysis and statistical analysis through the SPSS calculation stage using IMB SPSS version 21 (clasical assumption test, regression analysis, coefficient test and hypothesis test). The result of this study show that the Total Assets Turnover Rasio has a significant effect on the stock Price, the result of the calculation of the T-tes obtained a calculation value of 2,508 &gt; ttable 2,30600 and a significant value of 0,036 &lt; 0,05. Net Profit Margin has No. effect andi s not significsnt on the Stock Price, the result of the T-test obtained a calculation value of 1,050 &lt; ttable 2.30600 and a significant value of 0,324 &gt; 0,05. The result of the simultaneous study with the F-test showed that the Total Assets Turnover Rasio and the Net Profit Margin Rasio had a significant effect on the Stock Price, this was evidenced by the result of the calculation of the F-test obtained a value of 7,028 &gt; ftable of a 4,46 and a significant value of 0,017 &lt; 0,05.&quot;,&quot;publisher&quot;:&quot;Desember&quot;,&quot;issue&quot;:&quot;4&quot;,&quot;volume&quot;:&quot;1&quot;,&quot;container-title-short&quot;:&quot;&quot;},&quot;isTemporary&quot;:false}]},{&quot;citationID&quot;:&quot;MENDELEY_CITATION_6eaaafa5-0840-45d3-92e4-1402675befe0&quot;,&quot;properties&quot;:{&quot;noteIndex&quot;:0},&quot;isEdited&quot;:false,&quot;manualOverride&quot;:{&quot;isManuallyOverridden&quot;:true,&quot;citeprocText&quot;:&quot;(Elieser et al., 2022; Yulia et al., 2023)&quot;,&quot;manualOverrideText&quot;:&quot;(Aanggraini &amp; Kardinal, 2023; Nurbaiti &amp; Mardiati, 2024; Sihombing &amp; Zakchona, 2024)&quot;},&quot;citationTag&quot;:&quot;MENDELEY_CITATION_v3_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&quot;,&quot;citationItems&quot;:[{&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id&quot;:&quot;8847df8d-0adc-34eb-abf5-fbe991f2c59c&quot;,&quot;itemData&quot;:{&quot;type&quot;:&quot;article-journal&quot;,&quot;id&quot;:&quot;8847df8d-0adc-34eb-abf5-fbe991f2c59c&quot;,&quot;title&quot;:&quot;Pengaruh Return on Equity Dan Price To Book Value Terhadap Harga Saham&quot;,&quot;author&quot;:[{&quot;family&quot;:&quot;Yulia&quot;,&quot;given&quot;:&quot;Iis Anisa&quot;,&quot;parse-names&quot;:false,&quot;dropping-particle&quot;:&quot;&quot;,&quot;non-dropping-particle&quot;:&quot;&quot;},{&quot;family&quot;:&quot;Widjaja&quot;,&quot;given&quot;:&quot;Ichwan Rahmanu&quot;,&quot;parse-names&quot;:false,&quot;dropping-particle&quot;:&quot;&quot;,&quot;non-dropping-particle&quot;:&quot;&quot;},{&quot;family&quot;:&quot;Putra&quot;,&quot;given&quot;:&quot;Mulyana Gustira&quot;,&quot;parse-names&quot;:false,&quot;dropping-particle&quot;:&quot;&quot;,&quot;non-dropping-particle&quot;:&quot;&quot;}],&quot;container-title&quot;:&quot;Jurnal Ilmiah Akuntansi Kesatuan&quot;,&quot;DOI&quot;:&quot;10.37641/jiakes.v11i1.1607&quot;,&quot;ISSN&quot;:&quot;2337-7852&quot;,&quot;issued&quot;:{&quot;date-parts&quot;:[[2023,2,5]]},&quot;abstract&quot;:&quot;The SRI-KEHATI index is one type of index on the Indonesia Stock Exchange. Companies selected and listed on the SRI-KEHATI Index are companies that have concern for the environment and surrounding communities, good corporate governance, participate in the shift to a sustainable economy, and contribute to achieving sustainable development goals both nationally and internationally. The SRI-KEHATI index is an indicator of stock price movements that can be used as a guide for investors who will invest their funds in stocks that have environmental concerns and contribute to a sustainable economy. Based on the SRI-KEHATI index, the stock prices of companies in the consumer goods sector experienced a significant decline for five years from 2017-2021. This decrease can be influenced by several factors such as Return On Equity (ROE) and Price to Book Value (PBV) factors. This study uses fundamental analysis with financial ratio analysis. This study aims to examine the effect of Return On Equity (ROE) and Price to Book Value (PBV) on stock prices of companies in the consumer goods sector. The sampling method used purposive sampling. The sample used was 3 companies during the 2017-2021 period. The total data processed were 15 observations. The data used is secondary data from the company's financial statements published on the Indonesia Stock Exchange (IDX) in the form of panel data. The analysis technique used is multiple linear regression analysis. The results showed that partially and simultaneously Return On Equity (ROE) and Price to Book Value (PBV) had a significant effect on stock prices.\r  \r Keywords: Stock Price; Return On Equity; Price to Book Value&quot;,&quot;publisher&quot;:&quot;Institut Bisnis dan Informatika Kesatuan&quot;,&quot;issue&quot;:&quot;1&quot;,&quot;volume&quot;:&quot;11&quot;,&quot;container-title-short&quot;:&quot;&quot;},&quot;isTemporary&quot;:false}]},{&quot;citationID&quot;:&quot;MENDELEY_CITATION_6e5dbea8-dd42-4a7c-b6d1-c9823fbde5df&quot;,&quot;properties&quot;:{&quot;noteIndex&quot;:0},&quot;isEdited&quot;:false,&quot;manualOverride&quot;:{&quot;isManuallyOverridden&quot;:true,&quot;citeprocText&quot;:&quot;(Connelly et al., 2011)&quot;,&quot;manualOverrideText&quot;:&quot;(Connelly et al., 2011),&quot;},&quot;citationTag&quot;:&quot;MENDELEY_CITATION_v3_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&quot;,&quot;citationItems&quot;:[{&quot;id&quot;:&quot;7f97f927-abb5-34b9-a088-3623d161c265&quot;,&quot;itemData&quot;:{&quot;type&quot;:&quot;article&quot;,&quot;id&quot;:&quot;7f97f927-abb5-34b9-a088-3623d161c265&quot;,&quot;title&quot;:&quot;Signaling theory: A review and assessment&quot;,&quot;author&quot;:[{&quot;family&quot;:&quot;Connelly&quot;,&quot;given&quot;:&quot;Brian L.&quot;,&quot;parse-names&quot;:false,&quot;dropping-particle&quot;:&quot;&quot;,&quot;non-dropping-particle&quot;:&quot;&quot;},{&quot;family&quot;:&quot;Certo&quot;,&quot;given&quot;:&quot;S. Trevis&quot;,&quot;parse-names&quot;:false,&quot;dropping-particle&quot;:&quot;&quot;,&quot;non-dropping-particle&quot;:&quot;&quot;},{&quot;family&quot;:&quot;Ireland&quot;,&quot;given&quot;:&quot;R. Duane&quot;,&quot;parse-names&quot;:false,&quot;dropping-particle&quot;:&quot;&quot;,&quot;non-dropping-particle&quot;:&quot;&quot;},{&quot;family&quot;:&quot;Reutzel&quot;,&quot;given&quot;:&quot;Christopher R.&quot;,&quot;parse-names&quot;:false,&quot;dropping-particle&quot;:&quot;&quot;,&quot;non-dropping-particle&quot;:&quot;&quot;}],&quot;container-title&quot;:&quot;Journal of Management&quot;,&quot;container-title-short&quot;:&quot;J Manage&quot;,&quot;DOI&quot;:&quot;10.1177/0149206310388419&quot;,&quot;ISSN&quot;:&quot;01492063&quot;,&quot;issued&quot;:{&quot;date-parts&quot;:[[2011,1]]},&quot;page&quot;:&quot;39-67&quot;,&quot;abstract&quot;:&quot;Signaling theory is useful for describing behavior when two parties (individuals or organizations) have access to different information. Typically, one party, the sender, must choose whether and how to communicate (or signal) that information, and the other party, the receiver, must choose how to interpret the signal. Accordingly, signaling theory holds a prominent position in a variety of management literatures, including strategic management, entrepreneurship, and human resource management. While the use of signaling theory has gained momentum in recent years, its central tenets have become blurred as it has been applied to organizational concerns. The authors, therefore, provide a concise synthesis of the theory and its key concepts, review its use in the management literature, and put forward directions for future research that will encourage scholars to use signaling theory in new ways and to develop more complex formulations and nuanced variations of the theory. © The Author(s) 2011.&quot;,&quot;issue&quot;:&quot;1&quot;,&quot;volume&quot;:&quot;37&quot;},&quot;isTemporary&quot;:false}]},{&quot;citationID&quot;:&quot;MENDELEY_CITATION_5c4625b8-a416-4f3d-b13e-ade118d0e963&quot;,&quot;properties&quot;:{&quot;noteIndex&quot;:0},&quot;isEdited&quot;:false,&quot;manualOverride&quot;:{&quot;isManuallyOverridden&quot;:true,&quot;citeprocText&quot;:&quot;(Harlan &amp;#38; Wijaya, 2022; Lestari &amp;#38; Yudiantoro, 2023; Wulandari et al., 2022)&quot;,&quot;manualOverrideText&quot;:&quot;(Harlan &amp; Wijaya, 2022; Lestari &amp; Yudiantoro, 2023; Wulandari et al., 2022).&quot;},&quot;citationTag&quot;:&quot;MENDELEY_CITATION_v3_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&quot;,&quot;citationItems&quot;:[{&quot;id&quot;:&quot;336f3925-164b-3922-9ee6-53c1ba6837bd&quot;,&quot;itemData&quot;:{&quot;type&quot;:&quot;article-journal&quot;,&quot;id&quot;:&quot;336f3925-164b-3922-9ee6-53c1ba6837bd&quot;,&quot;title&quot;:&quot;Pengaruh ROA, ROE, EPS, &amp; PBV terhadap Stock Price dan Stock Return&quot;,&quot;author&quot;:[{&quot;family&quot;:&quot;Harlan&quot;,&quot;given&quot;:&quot;Stephen&quot;,&quot;parse-names&quot;:false,&quot;dropping-particle&quot;:&quot;&quot;,&quot;non-dropping-particle&quot;:&quot;&quot;},{&quot;family&quot;:&quot;Wijaya&quot;,&quot;given&quot;:&quot;Henryanto&quot;,&quot;parse-names&quot;:false,&quot;dropping-particle&quot;:&quot;&quot;,&quot;non-dropping-particle&quot;:&quot;&quot;}],&quot;container-title&quot;:&quot;Jurnal Ekonomi&quot;,&quot;DOI&quot;:&quot;https://doi.org/10.24912/je.v27i03.873&quot;,&quot;URL&quot;:&quot;https://idx.co.id/,&quot;,&quot;issued&quot;:{&quot;date-parts&quot;:[[2022]]},&quot;page&quot;:&quot;202-223&quot;,&quot;issue&quot;:&quot;3&quot;,&quot;volume&quot;:&quot;27&quot;,&quot;container-title-short&quot;:&quot;&quot;},&quot;isTemporary&quot;:false},{&quot;id&quot;:&quot;a30233d8-3fd2-3ca2-8a28-f8889fa7d70a&quot;,&quot;itemData&quot;:{&quot;type&quot;:&quot;article-journal&quot;,&quot;id&quot;:&quot;a30233d8-3fd2-3ca2-8a28-f8889fa7d70a&quot;,&quot;title&quot;:&quot;Effect Of PBV, QR, NPM, DER, CR, TATO On Stock Prices In Property &amp; Real Estate Companies&quot;,&quot;author&quot;:[{&quot;family&quot;:&quot;Wulandari&quot;,&quot;given&quot;:&quot;Bayu&quot;,&quot;parse-names&quot;:false,&quot;dropping-particle&quot;:&quot;&quot;,&quot;non-dropping-particle&quot;:&quot;&quot;},{&quot;family&quot;:&quot;Sormin&quot;,&quot;given&quot;:&quot;Debby Sarah&quot;,&quot;parse-names&quot;:false,&quot;dropping-particle&quot;:&quot;&quot;,&quot;non-dropping-particle&quot;:&quot;&quot;},{&quot;family&quot;:&quot;Wigo&quot;,&quot;given&quot;:&quot;Ayuning&quot;,&quot;parse-names&quot;:false,&quot;dropping-particle&quot;:&quot;&quot;,&quot;non-dropping-particle&quot;:&quot;&quot;},{&quot;family&quot;:&quot;Sianturi&quot;,&quot;given&quot;:&quot;Mia Sundari&quot;,&quot;parse-names&quot;:false,&quot;dropping-particle&quot;:&quot;&quot;,&quot;non-dropping-particle&quot;:&quot;&quot;}],&quot;container-title&quot;:&quot;JURNAL IPTEKS TERAPAN Research of Applied Science and Education&quot;,&quot;DOI&quot;:&quot;10.22216/jit.v15i4&quot;,&quot;ISSN&quot;:&quot;2460-5611&quot;,&quot;URL&quot;:&quot;http://publikasi.lldikti10.id/index.php/jitDOI:https://doi.org/10.22216/jit.v15i4PAGE:63-74&quot;,&quot;issued&quot;:{&quot;date-parts&quot;:[[2022]]},&quot;page&quot;:&quot;63-74&quot;,&quot;abstract&quot;:&quot;This study aims to determine the effect of price book value, quicki ratio, net profit ratio, debt to equity ratio, current ratio, and total asset turnover on stock prices. This research was conducted on service companies in the real estate sub-industry from 2018 to 2020. The object of research is 65 (sixty five) companies listed on the Indonesia Stock Exchange. The sampling technique used in this study was purposive sampling, and a total sample of 45 (forty five) companies was obtained. The data used is the financial statements of each sample company published on the website www.idx.co.id. The research method used is quantitative analysis method because the data are in the form of numerical data and empirical data. While the selected variables are in the form of units that can be calculated and measured. The results showed that partially the price book value, quick ratio, net profit margin, debt to equity ratio, current ratio, and total asset turnover had no significant effect on stock prices.&quot;,&quot;issue&quot;:&quot;11&quot;,&quot;volume&quot;:&quot;16&quot;,&quot;container-title-short&quot;:&quot;&quot;},&quot;isTemporary&quot;:false},{&quot;id&quot;:&quot;e6884a0c-564e-33b7-9066-d2f4516e507b&quot;,&quot;itemData&quot;:{&quot;type&quot;:&quot;article-journal&quot;,&quot;id&quot;:&quot;e6884a0c-564e-33b7-9066-d2f4516e507b&quot;,&quot;title&quot;:&quot;Pengaruh Return On Asset, Debt To Asset Ratio, Earning Per Share, Price To Book Value Terhadap Harga Saham Sub Sektor Perbankan Yang Terdaftar Di Bursa Efek Indonesia Periode 2019-2021&quot;,&quot;author&quot;:[{&quot;family&quot;:&quot;Lestari&quot;,&quot;given&quot;:&quot;Sri Iman&quot;,&quot;parse-names&quot;:false,&quot;dropping-particle&quot;:&quot;&quot;,&quot;non-dropping-particle&quot;:&quot;&quot;},{&quot;family&quot;:&quot;Yudiantoro&quot;,&quot;given&quot;:&quot;Deny&quot;,&quot;parse-names&quot;:false,&quot;dropping-particle&quot;:&quot;&quot;,&quot;non-dropping-particle&quot;:&quot;&quot;}],&quot;container-title&quot;:&quot;Jurnal Ekonomika Manajemen, Akuntansi dan Perbankan Syari’ah&quot;,&quot;DOI&quot;:&quot;https://doi.org/10.24903/je.v12i1&quot;,&quot;issued&quot;:{&quot;date-parts&quot;:[[2023]]},&quot;abstract&quot;:&quot;Effects, and the sample is 12 companies using a purposive sampling technique with criteria set by the author. The analysis used is panel data regression analysis method. the partial test results of the independent variable Return On Assets (ROA) on the dependent variable on stock prices have no significant positive effect, the independent variable Debt to Asset Ratio (DAR) on the dependent variable on stock prices has no significant positive effect, the independent variable Earning Per Share (EPS) on the dependent variable stock price has a significant positive effect and the independent variable Price to Book Value (PBV) on the dependent variable stock price has an insignificant positive effect. Based on the simultaneous test results, it was found that the variables Return On Assets (ROA), Debt To Asset Ratio (DAR), Earning Per Share (EPS), and Price Book Value (PBV) simultaneously have a very strong influence on the stock prices of sub-sector companies. Banking listed on the Indonesia Stock Exchange, so that the first hypothesis is proven and the truth is accepted.&quot;,&quot;issue&quot;:&quot;1&quot;,&quot;volume&quot;:&quot;12&quot;,&quot;container-title-short&quot;:&quot;&quot;},&quot;isTemporary&quot;:false}]},{&quot;citationID&quot;:&quot;MENDELEY_CITATION_112ed786-8e10-41c2-a069-27fd46320a97&quot;,&quot;properties&quot;:{&quot;noteIndex&quot;:0},&quot;isEdited&quot;:false,&quot;manualOverride&quot;:{&quot;isManuallyOverridden&quot;:false,&quot;citeprocText&quot;:&quot;(Elieser et al., 2022; Yulia et al., 2023)&quot;,&quot;manualOverrideText&quot;:&quot;&quot;},&quot;citationTag&quot;:&quot;MENDELEY_CITATION_v3_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&quot;,&quot;citationItems&quot;:[{&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id&quot;:&quot;8847df8d-0adc-34eb-abf5-fbe991f2c59c&quot;,&quot;itemData&quot;:{&quot;type&quot;:&quot;article-journal&quot;,&quot;id&quot;:&quot;8847df8d-0adc-34eb-abf5-fbe991f2c59c&quot;,&quot;title&quot;:&quot;Pengaruh Return on Equity Dan Price To Book Value Terhadap Harga Saham&quot;,&quot;author&quot;:[{&quot;family&quot;:&quot;Yulia&quot;,&quot;given&quot;:&quot;Iis Anisa&quot;,&quot;parse-names&quot;:false,&quot;dropping-particle&quot;:&quot;&quot;,&quot;non-dropping-particle&quot;:&quot;&quot;},{&quot;family&quot;:&quot;Widjaja&quot;,&quot;given&quot;:&quot;Ichwan Rahmanu&quot;,&quot;parse-names&quot;:false,&quot;dropping-particle&quot;:&quot;&quot;,&quot;non-dropping-particle&quot;:&quot;&quot;},{&quot;family&quot;:&quot;Putra&quot;,&quot;given&quot;:&quot;Mulyana Gustira&quot;,&quot;parse-names&quot;:false,&quot;dropping-particle&quot;:&quot;&quot;,&quot;non-dropping-particle&quot;:&quot;&quot;}],&quot;container-title&quot;:&quot;Jurnal Ilmiah Akuntansi Kesatuan&quot;,&quot;DOI&quot;:&quot;10.37641/jiakes.v11i1.1607&quot;,&quot;ISSN&quot;:&quot;2337-7852&quot;,&quot;issued&quot;:{&quot;date-parts&quot;:[[2023,2,5]]},&quot;abstract&quot;:&quot;The SRI-KEHATI index is one type of index on the Indonesia Stock Exchange. Companies selected and listed on the SRI-KEHATI Index are companies that have concern for the environment and surrounding communities, good corporate governance, participate in the shift to a sustainable economy, and contribute to achieving sustainable development goals both nationally and internationally. The SRI-KEHATI index is an indicator of stock price movements that can be used as a guide for investors who will invest their funds in stocks that have environmental concerns and contribute to a sustainable economy. Based on the SRI-KEHATI index, the stock prices of companies in the consumer goods sector experienced a significant decline for five years from 2017-2021. This decrease can be influenced by several factors such as Return On Equity (ROE) and Price to Book Value (PBV) factors. This study uses fundamental analysis with financial ratio analysis. This study aims to examine the effect of Return On Equity (ROE) and Price to Book Value (PBV) on stock prices of companies in the consumer goods sector. The sampling method used purposive sampling. The sample used was 3 companies during the 2017-2021 period. The total data processed were 15 observations. The data used is secondary data from the company's financial statements published on the Indonesia Stock Exchange (IDX) in the form of panel data. The analysis technique used is multiple linear regression analysis. The results showed that partially and simultaneously Return On Equity (ROE) and Price to Book Value (PBV) had a significant effect on stock prices.\r  \r Keywords: Stock Price; Return On Equity; Price to Book Value&quot;,&quot;publisher&quot;:&quot;Institut Bisnis dan Informatika Kesatuan&quot;,&quot;issue&quot;:&quot;1&quot;,&quot;volume&quot;:&quot;11&quot;,&quot;container-title-short&quot;:&quot;&quot;},&quot;isTemporary&quot;:false}]},{&quot;citationID&quot;:&quot;MENDELEY_CITATION_e1ba1c60-c16a-4d9c-b7ed-df70ae4199a2&quot;,&quot;properties&quot;:{&quot;noteIndex&quot;:0},&quot;isEdited&quot;:false,&quot;manualOverride&quot;:{&quot;isManuallyOverridden&quot;:true,&quot;citeprocText&quot;:&quot;(Novita &amp;#38; Aminah, 2024; Pertiwi &amp;#38; Sukoco, 2022)&quot;,&quot;manualOverrideText&quot;:&quot;(Novita &amp; Aminah, 2024; Pertiwi &amp; Sukoco, 2022),&quot;},&quot;citationTag&quot;:&quot;MENDELEY_CITATION_v3_eyJjaXRhdGlvbklEIjoiTUVOREVMRVlfQ0lUQVRJT05fZTFiYTFjNjAtYzE2YS00ZDljLWI3ZWQtZGY3MGFlNDE5OWEy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sIn0sImNpdGF0aW9uSXRlbXMiOlt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quot;,&quot;citationItems&quot;:[{&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5149592a-53fe-4b4d-949c-62496c06d6c7&quot;,&quot;properties&quot;:{&quot;noteIndex&quot;:0},&quot;isEdited&quot;:false,&quot;manualOverride&quot;:{&quot;isManuallyOverridden&quot;:true,&quot;citeprocText&quot;:&quot;(Novita &amp;#38; Aminah, 2024; Pertiwi &amp;#38; Sukoco, 2022; Susanto &amp;#38; Suryani, 2024)&quot;,&quot;manualOverrideText&quot;:&quot;(Purba &amp; Mahendra, 2022; Purnomo et al., 2024; Susanto &amp; Suryani, 2024),&quot;},&quot;citationTag&quot;:&quot;MENDELEY_CITATION_v3_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&quot;,&quot;citationItems&quot;:[{&quot;id&quot;:&quot;3874222f-6693-3ad9-966a-1adb2d1970ba&quot;,&quot;itemData&quot;:{&quot;type&quot;:&quot;article-journal&quot;,&quot;id&quot;:&quot;3874222f-6693-3ad9-966a-1adb2d1970ba&quot;,&quot;title&quot;:&quot;Pengaruh Ukuran Perusahaan, Leverage, Dan Profitabilitas\nTerhadap Nilai Perusahaan&quot;,&quot;author&quot;:[{&quot;family&quot;:&quot;Susanto&quot;,&quot;given&quot;:&quot;Eko Edy&quot;,&quot;parse-names&quot;:false,&quot;dropping-particle&quot;:&quot;&quot;,&quot;non-dropping-particle&quot;:&quot;&quot;},{&quot;family&quot;:&quot;Suryani&quot;,&quot;given&quot;:&quot;Zuli&quot;,&quot;parse-names&quot;:false,&quot;dropping-particle&quot;:&quot;&quot;,&quot;non-dropping-particle&quot;:&quot;&quot;}],&quot;container-title&quot;:&quot;Jurnal Cakrawala Ilmiah&quot;,&quot;DOI&quot;:&quot;https://doi.org/10.53625/jcijurnalcakrawalailmiah.v3i9&quot;,&quot;issued&quot;:{&quot;date-parts&quot;:[[2024]]},&quot;issue&quot;:&quot;9&quot;,&quot;volume&quot;:&quot;3&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citationID&quot;:&quot;MENDELEY_CITATION_cdaa51fc-e6da-4222-95ca-6443230d7c88&quot;,&quot;properties&quot;:{&quot;noteIndex&quot;:0},&quot;isEdited&quot;:false,&quot;manualOverride&quot;:{&quot;isManuallyOverridden&quot;:false,&quot;citeprocText&quot;:&quot;(Afanny et al., 2022; Alvian &amp;#38; Munandar, 2022)&quot;,&quot;manualOverrideText&quot;:&quot;&quot;},&quot;citationTag&quot;:&quot;MENDELEY_CITATION_v3_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&quot;,&quot;citationItems&quot;:[{&quot;id&quot;:&quot;e338d6eb-8938-3f6d-af9d-1fc492e38183&quot;,&quot;itemData&quot;:{&quot;type&quot;:&quot;article-journal&quot;,&quot;id&quot;:&quot;e338d6eb-8938-3f6d-af9d-1fc492e38183&quot;,&quot;title&quot;:&quot;The The Effect of Current Ratio and Debt to Equity Ratio on Company Value with Return on Asset as Intervening Variable in Food and Beverage Companies Listed on the Indonesia Stock Exchange for Period 2017-2020&quot;,&quot;author&quot;:[{&quot;family&quot;:&quot;Afanny&quot;,&quot;given&quot;:&quot;Andri&quot;,&quot;parse-names&quot;:false,&quot;dropping-particle&quot;:&quot;&quot;,&quot;non-dropping-particle&quot;:&quot;&quot;},{&quot;family&quot;:&quot;Ginting&quot;,&quot;given&quot;:&quot;Rasinta Ria&quot;,&quot;parse-names&quot;:false,&quot;dropping-particle&quot;:&quot;&quot;,&quot;non-dropping-particle&quot;:&quot;&quot;},{&quot;family&quot;:&quot;Br Tarigan&quot;,&quot;given&quot;:&quot;Aremi Evanta&quot;,&quot;parse-names&quot;:false,&quot;dropping-particle&quot;:&quot;&quot;,&quot;non-dropping-particle&quot;:&quot;&quot;},{&quot;family&quot;:&quot;Hutagalung&quot;,&quot;given&quot;:&quot;Galumbang&quot;,&quot;parse-names&quot;:false,&quot;dropping-particle&quot;:&quot;&quot;,&quot;non-dropping-particle&quot;:&quot;&quot;}],&quot;container-title&quot;:&quot;International Journal of Social Science Research and Review&quot;,&quot;DOI&quot;:&quot;10.47814/ijssrr.v5i10.559&quot;,&quot;issued&quot;:{&quot;date-parts&quot;:[[2022]]},&quot;page&quot;:&quot;1-12&quot;,&quot;abstract&quot;:&quot;The food and beverage sector is a sector that is in great demand by investors, considering that business developments in this sector continue to experience significant growth, which is the main attraction for local and foreign entrepreneurs to invest in this sector. The rapid development of the food and beverage sector will make companies compete with each other in order to maintain and increase company value. This effort is certainly a problem for the company, because it relates to the funds that will be used. The purpose of this study was to examine and analyze the effect of the current ratio and debt to equity ratio on firm value through return on assets. The method used in this research is quantitative research, and the nature of the research is explanatory. The data collection technique used is documentation. The types and sources of data are secondary data in the form of financial statements of companies in the food and beverage sector published by the Indonesia Stock Exchange for the period 2017-2020. The research data was tested using Partial Least Square (Software Smart PLS). the conclusion of this study is that the current ratio and debt to equity ratio have no effect on company value. Return on assets is not able to mediate the effect of the current ratio on company value. Return on assets is able to mediate the effect of debt to equity ratio on company value.&quot;,&quot;publisher&quot;:&quot;International Journal of Social Science Research and Review&quot;,&quot;issue&quot;:&quot;10&quot;,&quot;volume&quot;:&quot;5&quot;,&quot;container-title-short&quot;:&quot;&quot;},&quot;isTemporary&quot;:false},{&quot;id&quot;:&quot;585b3916-b528-3172-8970-4d62d28ca158&quot;,&quot;itemData&quot;:{&quot;type&quot;:&quot;article-journal&quot;,&quot;id&quot;:&quot;585b3916-b528-3172-8970-4d62d28ca158&quot;,&quot;title&quot;:&quot;The influence of debt to equity ratio, net profit margin, and cash ratio on firm value&quot;,&quot;author&quot;:[{&quot;family&quot;:&quot;Alvian&quot;,&quot;given&quot;:&quot;Renal&quot;,&quot;parse-names&quot;:false,&quot;dropping-particle&quot;:&quot;&quot;,&quot;non-dropping-particle&quot;:&quot;&quot;},{&quot;family&quot;:&quot;Munandar&quot;,&quot;given&quot;:&quot;Agus&quot;,&quot;parse-names&quot;:false,&quot;dropping-particle&quot;:&quot;&quot;,&quot;non-dropping-particle&quot;:&quot;&quot;}],&quot;container-title&quot;:&quot;Jurnal Ilmiah Akuntansi dan Keuangan&quot;,&quot;ISSN&quot;:&quot;2622-2205&quot;,&quot;URL&quot;:&quot;https://journal.ikopin.ac.id/index.php/fairvalue&quot;,&quot;issued&quot;:{&quot;date-parts&quot;:[[2022]]},&quot;page&quot;:&quot;2022&quot;,&quot;issue&quot;:&quot;7&quot;,&quot;volume&quot;:&quot;4&quot;,&quot;container-title-short&quot;:&quot;&quot;},&quot;isTemporary&quot;:false}]},{&quot;citationID&quot;:&quot;MENDELEY_CITATION_6d804fa7-6ddc-4cd3-aca3-a53093e5afee&quot;,&quot;properties&quot;:{&quot;noteIndex&quot;:0},&quot;isEdited&quot;:false,&quot;manualOverride&quot;:{&quot;isManuallyOverridden&quot;:false,&quot;citeprocText&quot;:&quot;(Amrulloh et al., 2022; Dzulhijar et al., 2021; Sofiani &amp;#38; Siregar, 2022)&quot;,&quot;manualOverrideText&quot;:&quot;&quot;},&quot;citationTag&quot;:&quot;MENDELEY_CITATION_v3_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&quot;,&quot;citationItems&quot;:[{&quot;id&quot;:&quot;c4c47a48-b0a4-312d-b259-75fb3955655c&quot;,&quot;itemData&quot;:{&quot;type&quot;:&quot;article-journal&quot;,&quot;id&quot;:&quot;c4c47a48-b0a4-312d-b259-75fb3955655c&quot;,&quot;title&quot;:&quot;Pengaruh CR, DER, dan ROA terhadap Nilai Perusahaan pada\nPT Jasa Marga Tbk Tahun 2010-2019&quot;,&quot;author&quot;:[{&quot;family&quot;:&quot;Dzulhijar&quot;,&quot;given&quot;:&quot;Wildan&quot;,&quot;parse-names&quot;:false,&quot;dropping-particle&quot;:&quot;&quot;,&quot;non-dropping-particle&quot;:&quot;&quot;},{&quot;family&quot;:&quot;Nur Pratiwi&quot;,&quot;given&quot;:&quot;Leni&quot;,&quot;parse-names&quot;:false,&quot;dropping-particle&quot;:&quot;&quot;,&quot;non-dropping-particle&quot;:&quot;&quot;},{&quot;family&quot;:&quot;Laksana&quot;,&quot;given&quot;:&quot;Bnter&quot;,&quot;parse-names&quot;:false,&quot;dropping-particle&quot;:&quot;&quot;,&quot;non-dropping-particle&quot;:&quot;&quot;}],&quot;container-title&quot;:&quot;Indonesian Journal of Economics and Management&quot;,&quot;DOI&quot;:&quot;https://doi.org/10.35313/ijem.v1i2.2507&quot;,&quot;ISSN&quot;:&quot;2747-0695&quot;,&quot;issued&quot;:{&quot;date-parts&quot;:[[2021]]},&quot;page&quot;:&quot;401-409&quot;,&quot;abstract&quot;:&quot;This study aims to analyze the effect of current ratio, the ratio of debt to equity, and the ratio of the rate of return on assets to firm value at PT jasa marga (PERSERO) Tbk in 2010-2019. This study uses multiple linear regression statistical methods. The independent variables used in this study are current ratio (CR), debt to Equity (DER), and return on assets (ROA) while the dependent variable is price to book value (PBV) which is a proxy for firm value. The results obtained indicate that simultaneously the current ratio, debt to equity ratio and asset return ratio variables have a significant effect on firm value. Then partially current ratio and assets return ratio variables have no significant effect on firm value while debt to equity ratio has a negative significant effect on firm value.&quot;,&quot;issue&quot;:&quot;2&quot;,&quot;volume&quot;:&quot;1&quot;,&quot;container-title-short&quot;:&quot;&quot;},&quot;isTemporary&quot;:false},{&quot;id&quot;:&quot;b1dcb7ac-0c5d-3a5a-a0df-bd66f6e1789e&quot;,&quot;itemData&quot;:{&quot;type&quot;:&quot;article-journal&quot;,&quot;id&quot;:&quot;b1dcb7ac-0c5d-3a5a-a0df-bd66f6e1789e&quot;,&quot;title&quot;:&quot;Pengaruh Current Ratio, Debt To Equity Ratio, Total Asset Turnover dan Return on Asset Terhadap Nilai Perusahaan (Studi Empiris pada Perusahaan Sub Sektor Logam dan Sejenisnya yang Terdaftar di Bursa Efek Indonesia Periode 2017-2021)&quot;,&quot;author&quot;:[{&quot;family&quot;:&quot;Amrulloh&quot;,&quot;given&quot;:&quot;Amri&quot;,&quot;parse-names&quot;:false,&quot;dropping-particle&quot;:&quot;&quot;,&quot;non-dropping-particle&quot;:&quot;&quot;},{&quot;family&quot;:&quot;Abdullah&quot;,&quot;given&quot;:&quot;La Ode&quot;,&quot;parse-names&quot;:false,&quot;dropping-particle&quot;:&quot;&quot;,&quot;non-dropping-particle&quot;:&quot;&quot;},{&quot;family&quot;:&quot;Ramdan&quot;,&quot;given&quot;:&quot;Amir&quot;,&quot;parse-names&quot;:false,&quot;dropping-particle&quot;:&quot;&quot;,&quot;non-dropping-particle&quot;:&quot;&quot;},{&quot;family&quot;:&quot;Laksmiwati&quot;,&quot;given&quot;:&quot;Mia&quot;,&quot;parse-names&quot;:false,&quot;dropping-particle&quot;:&quot;&quot;,&quot;non-dropping-particle&quot;:&quot;&quot;}],&quot;container-title&quot;:&quot;Jurnal Ekonomika dan Manajemen&quot;,&quot;accessed&quot;:{&quot;date-parts&quot;:[[2025,6,16]]},&quot;DOI&quot;:&quot;DOI:https://doi.org/10.36080/jem.v11i2.2068&quot;,&quot;issued&quot;:{&quot;date-parts&quot;:[[2022]]},&quot;page&quot;:&quot;2252-6226&quot;,&quot;issue&quot;:&quot;2&quot;,&quot;volume&quot;:&quot;11&quot;,&quot;container-title-short&quot;:&quot;&quot;},&quot;isTemporary&quot;:false},{&quot;id&quot;:&quot;1b4bd29e-6ae1-3f4b-bccb-bff4cc129da5&quot;,&quot;itemData&quot;:{&quot;type&quot;:&quot;article-journal&quot;,&quot;id&quot;:&quot;1b4bd29e-6ae1-3f4b-bccb-bff4cc129da5&quot;,&quot;title&quot;:&quot;Analisis Pengaruh ROA, CR dan DAR Terhadap Nilai Perusahaan Sektor Makanan dan Minuman&quot;,&quot;author&quot;:[{&quot;family&quot;:&quot;Sofiani&quot;,&quot;given&quot;:&quot;Liana&quot;,&quot;parse-names&quot;:false,&quot;dropping-particle&quot;:&quot;&quot;,&quot;non-dropping-particle&quot;:&quot;&quot;},{&quot;family&quot;:&quot;Siregar&quot;,&quot;given&quot;:&quot;Enda Mora&quot;,&quot;parse-names&quot;:false,&quot;dropping-particle&quot;:&quot;&quot;,&quot;non-dropping-particle&quot;:&quot;&quot;}],&quot;container-title&quot;:&quot;Jurnal Ilmiah Akuntansi Kesatuan&quot;,&quot;DOI&quot;:&quot;10.37641/jiakes.v10i1.1183&quot;,&quot;ISSN&quot;:&quot;2337-7852&quot;,&quot;issued&quot;:{&quot;date-parts&quot;:[[2022,4,2]]},&quot;page&quot;:&quot;9-16&quot;,&quot;abstract&quot;:&quot;Penelitian ini bertujuan untuk mengetahui apakah ROA, CR dan DAR mempengaruhi nilai perusahaan yang diproksikan dengan PBV.  Penelitian ini merupakan penelitian kuantitatif dengan menggunakan sumber data sekunder yaitu laporan keuangan yang diunduh dari website BEI. Adapun populasi sektor industri makanan dan minuman yang terdaftar di Bursa Efek Indonesia periode 2015-2020 berjumlah 26 perusahaan. Dengan menggunakan teknik purposive sampling maka sampel yang lolos terseleksi berjumlah 11 perusahaan. Hasil pengujiannya secara parsial adalah hanya ROA dan DAR yang memberi pengaruh positif dan signifikan terhadap nilai perusahaan, sedangkan current ratio terbukti tidak memberikan pengaruh yang berarti pada nilai perusahaan. Hasil secara simultannya yaitu ketiga variabel independen ROA, CR dan DAR secara serempak mempengaruhi nilai perusahaan dengan besarnya pengaruh cukup kuat yaitu 75,8%.&quot;,&quot;publisher&quot;:&quot;Institut Bisnis dan Informatika Kesatuan&quot;,&quot;issue&quot;:&quot;1&quot;,&quot;volume&quot;:&quot;10&quot;,&quot;container-title-short&quot;:&quot;&quot;},&quot;isTemporary&quot;:false}]},{&quot;citationID&quot;:&quot;MENDELEY_CITATION_8364a252-fb3c-4c96-9676-1d4d33452025&quot;,&quot;properties&quot;:{&quot;noteIndex&quot;:0},&quot;isEdited&quot;:false,&quot;manualOverride&quot;:{&quot;isManuallyOverridden&quot;:false,&quot;citeprocText&quot;:&quot;(Novita &amp;#38; Aminah, 2024; Pertiwi &amp;#38; Sukoco, 2022)&quot;,&quot;manualOverrideText&quot;:&quot;&quot;},&quot;citationTag&quot;:&quot;MENDELEY_CITATION_v3_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&quot;,&quot;citationItems&quot;:[{&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77e53e14-121a-4cf1-916e-6d6d5d9df515&quot;,&quot;properties&quot;:{&quot;noteIndex&quot;:0},&quot;isEdited&quot;:false,&quot;manualOverride&quot;:{&quot;isManuallyOverridden&quot;:true,&quot;citeprocText&quot;:&quot;(Tantorio et al., 2023)&quot;,&quot;manualOverrideText&quot;:&quot;(Tantorio et al., 2023),&quot;},&quot;citationTag&quot;:&quot;MENDELEY_CITATION_v3_eyJjaXRhdGlvbklEIjoiTUVOREVMRVlfQ0lUQVRJT05fNzdlNTNlMTQtMTIxYS00Y2YxLTkxNmUtNmQ2ZDVkOWRmNTE1IiwicHJvcGVydGllcyI6eyJub3RlSW5kZXgiOjB9LCJpc0VkaXRlZCI6ZmFsc2UsIm1hbnVhbE92ZXJyaWRlIjp7ImlzTWFudWFsbHlPdmVycmlkZGVuIjp0cnVlLCJjaXRlcHJvY1RleHQiOiIoVGFudG9yaW8gZXQgYWwuLCAyMDIzKSIsIm1hbnVhbE92ZXJyaWRlVGV4dCI6IihUYW50b3JpbyBldCBhbC4sIDIwMjMpLC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quot;,&quot;citationItems&quot;:[{&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citationID&quot;:&quot;MENDELEY_CITATION_da1c687d-0be8-4a52-9190-188408cf8ca4&quot;,&quot;properties&quot;:{&quot;noteIndex&quot;:0},&quot;isEdited&quot;:false,&quot;manualOverride&quot;:{&quot;isManuallyOverridden&quot;:false,&quot;citeprocText&quot;:&quot;(Amrulloh et al., 2022; Cahyono &amp;#38; Aryani, 2024; Sahyu &amp;#38; Kristianti Maharani, 2023)&quot;,&quot;manualOverrideText&quot;:&quot;&quot;},&quot;citationTag&quot;:&quot;MENDELEY_CITATION_v3_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&quot;,&quot;citationItems&quot;:[{&quot;id&quot;:&quot;b1dcb7ac-0c5d-3a5a-a0df-bd66f6e1789e&quot;,&quot;itemData&quot;:{&quot;type&quot;:&quot;article-journal&quot;,&quot;id&quot;:&quot;b1dcb7ac-0c5d-3a5a-a0df-bd66f6e1789e&quot;,&quot;title&quot;:&quot;Pengaruh Current Ratio, Debt To Equity Ratio, Total Asset Turnover dan Return on Asset Terhadap Nilai Perusahaan (Studi Empiris pada Perusahaan Sub Sektor Logam dan Sejenisnya yang Terdaftar di Bursa Efek Indonesia Periode 2017-2021)&quot;,&quot;author&quot;:[{&quot;family&quot;:&quot;Amrulloh&quot;,&quot;given&quot;:&quot;Amri&quot;,&quot;parse-names&quot;:false,&quot;dropping-particle&quot;:&quot;&quot;,&quot;non-dropping-particle&quot;:&quot;&quot;},{&quot;family&quot;:&quot;Abdullah&quot;,&quot;given&quot;:&quot;La Ode&quot;,&quot;parse-names&quot;:false,&quot;dropping-particle&quot;:&quot;&quot;,&quot;non-dropping-particle&quot;:&quot;&quot;},{&quot;family&quot;:&quot;Ramdan&quot;,&quot;given&quot;:&quot;Amir&quot;,&quot;parse-names&quot;:false,&quot;dropping-particle&quot;:&quot;&quot;,&quot;non-dropping-particle&quot;:&quot;&quot;},{&quot;family&quot;:&quot;Laksmiwati&quot;,&quot;given&quot;:&quot;Mia&quot;,&quot;parse-names&quot;:false,&quot;dropping-particle&quot;:&quot;&quot;,&quot;non-dropping-particle&quot;:&quot;&quot;}],&quot;container-title&quot;:&quot;Jurnal Ekonomika dan Manajemen&quot;,&quot;accessed&quot;:{&quot;date-parts&quot;:[[2025,6,16]]},&quot;DOI&quot;:&quot;DOI:https://doi.org/10.36080/jem.v11i2.2068&quot;,&quot;issued&quot;:{&quot;date-parts&quot;:[[2022]]},&quot;page&quot;:&quot;2252-6226&quot;,&quot;issue&quot;:&quot;2&quot;,&quot;volume&quot;:&quot;11&quot;,&quot;container-title-short&quot;:&quot;&quot;},&quot;isTemporary&quot;:false},{&quot;id&quot;:&quot;35be6508-c1c0-3f9c-8d58-35c05a16bb3b&quot;,&quot;itemData&quot;:{&quot;type&quot;:&quot;article-journal&quot;,&quot;id&quot;:&quot;35be6508-c1c0-3f9c-8d58-35c05a16bb3b&quot;,&quot;title&quot;:&quot;Pengaruh Profitabilitas, Solvabilitas, Dan Aktivitas Terhadap Nilai Perusahaan&quot;,&quot;author&quot;:[{&quot;family&quot;:&quot;Sahyu&quot;,&quot;given&quot;:&quot;Adian&quot;,&quot;parse-names&quot;:false,&quot;dropping-particle&quot;:&quot;&quot;,&quot;non-dropping-particle&quot;:&quot;&quot;},{&quot;family&quot;:&quot;Kristianti Maharani&quot;,&quot;given&quot;:&quot;Novera&quot;,&quot;parse-names&quot;:false,&quot;dropping-particle&quot;:&quot;&quot;,&quot;non-dropping-particle&quot;:&quot;&quot;}],&quot;container-title&quot;:&quot;KOMITMEN: Jurnal Ilmiah Manajemen&quot;,&quot;DOI&quot;:&quot;https://doi.org/10.15575/jim.v4i1.24479&quot;,&quot;issued&quot;:{&quot;date-parts&quot;:[[2023]]},&quot;issue&quot;:&quot;1&quot;,&quot;volume&quot;:&quot;4&quot;,&quot;container-title-short&quot;:&quot;&quot;},&quot;isTemporary&quot;:false},{&quot;id&quot;:&quot;3a01f2a6-0c05-3104-b488-bee152fa598d&quot;,&quot;itemData&quot;:{&quot;type&quot;:&quot;article-journal&quot;,&quot;id&quot;:&quot;3a01f2a6-0c05-3104-b488-bee152fa598d&quot;,&quot;title&quot;:&quot;Pengaruh Current Ratio, Total Asset Turnover, Dan Kinerja Lingkungan Terhadap Nilai Perusahaan Yang Dimediasi Oleh Return On Asset (Studi Kasus Pada Perusahaan Manufaktur Sub Sektor Makanan Dan Minuman Yang Terdaftar Di BEI Periode 2018-2022)&quot;,&quot;author&quot;:[{&quot;family&quot;:&quot;Cahyono&quot;,&quot;given&quot;:&quot;Yoyon Dwi&quot;,&quot;parse-names&quot;:false,&quot;dropping-particle&quot;:&quot;&quot;,&quot;non-dropping-particle&quot;:&quot;&quot;},{&quot;family&quot;:&quot;Aryani&quot;,&quot;given&quot;:&quot;Dwi Nita&quot;,&quot;parse-names&quot;:false,&quot;dropping-particle&quot;:&quot;&quot;,&quot;non-dropping-particle&quot;:&quot;&quot;}],&quot;container-title&quot;:&quot;JURNAL LENTERA BISNIS&quot;,&quot;DOI&quot;:&quot;10.34127/jrlab.v13i2.1051&quot;,&quot;ISSN&quot;:&quot;2252-9993&quot;,&quot;issued&quot;:{&quot;date-parts&quot;:[[2024]]},&quot;abstract&quot;:&quot;This study was conducted to examine the effect of Current ratio (CR), Total Asset Turn Over (TATO), Enviromental Performance (EP) on Firm Value (PBV) mediated by profitability (ROA). The samples of this study were 19 food and beverage sub-sector manufacturing companies listed on the IDX in the 2018-2022 period. With the total data studied as many as 95 company years. The main data source in this study is the annual report. The data processing application uses Smart PLS. The results showed that Current ratio is able to have a significant effect on profitability, Total asset turnover is unable to have a significant effect on profitability, Environmental performance is able to have a significant effect on profitability, Profitability is able to have a significant effect on firm value, Current ratio is able to have a significant effect on firm value, Total asset turnover is unable to have a significant effect on firm value, Environmental performance is unable to have a significant effect on firm value, and Profitability is unable to significantly mediate the effect of Current ratio, Total asset turnover, and Environmental performance on firm value.\r \r Keywords: Current Ratio, Total Asset Turnover, Environmental Performance, Profitability, Firm Value.&quot;,&quot;publisher&quot;:&quot;Politeknik LP3I Jakarta&quot;,&quot;issue&quot;:&quot;2&quot;,&quot;volume&quot;:&quot;13&quot;,&quot;container-title-short&quot;:&quot;&quot;},&quot;isTemporary&quot;:false}]},{&quot;citationID&quot;:&quot;MENDELEY_CITATION_6ac20ba3-ff5e-44fa-9e9b-4a72ab277ed8&quot;,&quot;properties&quot;:{&quot;noteIndex&quot;:0},&quot;isEdited&quot;:false,&quot;manualOverride&quot;:{&quot;isManuallyOverridden&quot;:false,&quot;citeprocText&quot;:&quot;(Hasangapon et al., 2021; Rachmawati et al., 2022)&quot;,&quot;manualOverrideText&quot;:&quot;&quot;},&quot;citationTag&quot;:&quot;MENDELEY_CITATION_v3_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&quot;,&quot;citationItems&quot;:[{&quot;id&quot;:&quot;e386c40f-c6c7-33d2-b45e-2afa0e2b335d&quot;,&quot;itemData&quot;:{&quot;type&quot;:&quot;report&quot;,&quot;id&quot;:&quot;e386c40f-c6c7-33d2-b45e-2afa0e2b335d&quot;,&quot;title&quot;:&quot;The Effect Of Firm Size And Total Assets Turnover (Tato) On Firm Value Mediated By Profitability In Wholesale And Retail Sector Companies&quot;,&quot;author&quot;:[{&quot;family&quot;:&quot;Hasangapon&quot;,&quot;given&quot;:&quot;Mario&quot;,&quot;parse-names&quot;:false,&quot;dropping-particle&quot;:&quot;&quot;,&quot;non-dropping-particle&quot;:&quot;&quot;},{&quot;family&quot;:&quot;Iskandar&quot;,&quot;given&quot;:&quot;Deni&quot;,&quot;parse-names&quot;:false,&quot;dropping-particle&quot;:&quot;&quot;,&quot;non-dropping-particle&quot;:&quot;&quot;},{&quot;family&quot;:&quot;Desy Purnama&quot;,&quot;given&quot;:&quot;Eka&quot;,&quot;parse-names&quot;:false,&quot;dropping-particle&quot;:&quot;&quot;,&quot;non-dropping-particle&quot;:&quot;&quot;}],&quot;DOI&quot;:&quot;https://doi.org/10.31253/pe.v19i3.635&quot;,&quot;URL&quot;:&quot;https://jurnal.ubd.ac.id/index.php/ds&quot;,&quot;issued&quot;:{&quot;date-parts&quot;:[[2021]]},&quot;abstract&quot;:&quot;The company's management will provide good performance which can be observed from the financial reports. This will give signals to the investors that the company is in good condition so that the investors are willing to invest their funds in that company. The samples from this study is trading companies consisting of 47 wholesale companies and 15 retail companies in which 15 companies are matched with the criteria. The sample selection technique used is purposive sampling to obtain 15 out of 57 companies matched with the criteria to be tested. This study used a multiple linear regression analysis techniques using SPSS 25. The data analysis technique used in this study is the classical assumption test including the normality test, multicollinearity test, heteroscedasticity test, and autocorrelation test. The data analysis used to test the hypothesis is the f test and t test and path analysis to test the mediation of profitability. In the variable of firm size, TATO and profitability on firm value, have a determinant value R2 of .313, on the other hand, the variable firm size and TATO on profitability has a determinant value of R2 of .074. In conclusion, (1) The size of a company has no significant effect on Firm Value with the Sig. result .317 (2) TATO has a significant positive effect on Firm Value with Sig. result .000 (3) Profitability has a positive significant effect on Firm Value with Sig. ROA .007 (4) The firm size has a significant positive effect on probability with value Sig. result .012 (5) TATO has no significant effect on Probability with Sig. result .0480 (6) Profitability is able to mediate firm size on firm value (7) Profitability is unable to mediate TATO on firm value.&quot;,&quot;issue&quot;:&quot;3&quot;,&quot;volume&quot;:&quot;19&quot;,&quot;container-title-short&quot;:&quot;&quot;},&quot;isTemporary&quot;:false},{&quot;id&quot;:&quot;02ce6473-93b3-3b48-8f5a-fd78693d7dde&quot;,&quot;itemData&quot;:{&quot;type&quot;:&quot;article-journal&quot;,&quot;id&quot;:&quot;02ce6473-93b3-3b48-8f5a-fd78693d7dde&quot;,&quot;title&quot;:&quot;Pengaruh TATO, DAR Dan ROA Terhadap PBV\nPerusahaan Yang Terdaftar Di Indeks Lq45\nBei 2018-2020&quot;,&quot;author&quot;:[{&quot;family&quot;:&quot;Rachmawati&quot;,&quot;given&quot;:&quot;Noor Faidzah&quot;,&quot;parse-names&quot;:false,&quot;dropping-particle&quot;:&quot;&quot;,&quot;non-dropping-particle&quot;:&quot;&quot;},{&quot;family&quot;:&quot;Murdiyanto&quot;,&quot;given&quot;:&quot;Edy&quot;,&quot;parse-names&quot;:false,&quot;dropping-particle&quot;:&quot;&quot;,&quot;non-dropping-particle&quot;:&quot;&quot;},{&quot;family&quot;:&quot;Rahmawati&quot;,&quot;given&quot;:&quot;Zulfa&quot;,&quot;parse-names&quot;:false,&quot;dropping-particle&quot;:&quot;&quot;,&quot;non-dropping-particle&quot;:&quot;&quot;}],&quot;container-title&quot;:&quot;OPTIMAL: Jurnal Ekonomi dan Manajemen&quot;,&quot;DOI&quot;:&quot;https://doi.org/10.55606/optimal.v2i2&quot;,&quot;issued&quot;:{&quot;date-parts&quot;:[[2022]]},&quot;issue&quot;:&quot;2&quot;,&quot;volume&quot;:&quot;2&quot;,&quot;container-title-short&quot;:&quot;&quot;},&quot;isTemporary&quot;:false}]},{&quot;citationID&quot;:&quot;MENDELEY_CITATION_8270683e-7790-4aca-bc2b-0bfa634bed6e&quot;,&quot;properties&quot;:{&quot;noteIndex&quot;:0,&quot;mode&quot;:&quot;composite&quot;},&quot;isEdited&quot;:false,&quot;manualOverride&quot;:{&quot;isManuallyOverridden&quot;:true,&quot;citeprocText&quot;:&quot;Baron &amp;#38; Kenny (1986)&quot;,&quot;manualOverrideText&quot;:&quot;Baron &amp; Kenny (1986),&quot;},&quot;citationTag&quot;:&quot;MENDELEY_CITATION_v3_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&quot;,&quot;citationItems&quot;:[{&quot;id&quot;:&quot;66fd1646-0ea9-32b1-8443-3597693885b5&quot;,&quot;itemData&quot;:{&quot;type&quot;:&quot;article-journal&quot;,&quot;id&quot;:&quot;66fd1646-0ea9-32b1-8443-3597693885b5&quot;,&quot;title&quot;:&quot;The Moderator-Mediator Variable Distinction in Social Psychological Research. Conceptual, Strategic, and Statistical Considerations&quot;,&quot;author&quot;:[{&quot;family&quot;:&quot;Baron&quot;,&quot;given&quot;:&quot;Reuben M.&quot;,&quot;parse-names&quot;:false,&quot;dropping-particle&quot;:&quot;&quot;,&quot;non-dropping-particle&quot;:&quot;&quot;},{&quot;family&quot;:&quot;Kenny&quot;,&quot;given&quot;:&quot;David A.&quot;,&quot;parse-names&quot;:false,&quot;dropping-particle&quot;:&quot;&quot;,&quot;non-dropping-particle&quot;:&quot;&quot;}],&quot;container-title&quot;:&quot;Journal of Personality and Social Psychology&quot;,&quot;container-title-short&quot;:&quot;J Pers Soc Psychol&quot;,&quot;DOI&quot;:&quot;10.1037/0022-3514.51.6.1173&quot;,&quot;ISSN&quot;:&quot;00223514&quot;,&quot;PMID&quot;:&quot;3806354&quot;,&quot;issued&quot;:{&quot;date-parts&quot;:[[1986,12]]},&quot;page&quot;:&quot;1173-1182&quot;,&quot;abstract&quot;:&quot;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 1986 American Psychological Association.&quot;,&quot;issue&quot;:&quot;6&quot;,&quot;volume&quot;:&quot;51&quot;},&quot;isTemporary&quot;:false,&quot;displayAs&quot;:&quot;composite&quot;,&quot;suppress-author&quot;:false,&quot;composite&quot;:true,&quot;author-only&quot;:false}]},{&quot;citationID&quot;:&quot;MENDELEY_CITATION_fff4ed74-0e59-43eb-94bf-3f59f94a8b49&quot;,&quot;properties&quot;:{&quot;noteIndex&quot;:0},&quot;isEdited&quot;:false,&quot;manualOverride&quot;:{&quot;isManuallyOverridden&quot;:true,&quot;citeprocText&quot;:&quot;(Connelly et al., 2011)&quot;,&quot;manualOverrideText&quot;:&quot;(Connelly et al., 2011),&quot;},&quot;citationTag&quot;:&quot;MENDELEY_CITATION_v3_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&quot;,&quot;citationItems&quot;:[{&quot;id&quot;:&quot;7f97f927-abb5-34b9-a088-3623d161c265&quot;,&quot;itemData&quot;:{&quot;type&quot;:&quot;article&quot;,&quot;id&quot;:&quot;7f97f927-abb5-34b9-a088-3623d161c265&quot;,&quot;title&quot;:&quot;Signaling theory: A review and assessment&quot;,&quot;author&quot;:[{&quot;family&quot;:&quot;Connelly&quot;,&quot;given&quot;:&quot;Brian L.&quot;,&quot;parse-names&quot;:false,&quot;dropping-particle&quot;:&quot;&quot;,&quot;non-dropping-particle&quot;:&quot;&quot;},{&quot;family&quot;:&quot;Certo&quot;,&quot;given&quot;:&quot;S. Trevis&quot;,&quot;parse-names&quot;:false,&quot;dropping-particle&quot;:&quot;&quot;,&quot;non-dropping-particle&quot;:&quot;&quot;},{&quot;family&quot;:&quot;Ireland&quot;,&quot;given&quot;:&quot;R. Duane&quot;,&quot;parse-names&quot;:false,&quot;dropping-particle&quot;:&quot;&quot;,&quot;non-dropping-particle&quot;:&quot;&quot;},{&quot;family&quot;:&quot;Reutzel&quot;,&quot;given&quot;:&quot;Christopher R.&quot;,&quot;parse-names&quot;:false,&quot;dropping-particle&quot;:&quot;&quot;,&quot;non-dropping-particle&quot;:&quot;&quot;}],&quot;container-title&quot;:&quot;Journal of Management&quot;,&quot;container-title-short&quot;:&quot;J Manage&quot;,&quot;DOI&quot;:&quot;10.1177/0149206310388419&quot;,&quot;ISSN&quot;:&quot;01492063&quot;,&quot;issued&quot;:{&quot;date-parts&quot;:[[2011,1]]},&quot;page&quot;:&quot;39-67&quot;,&quot;abstract&quot;:&quot;Signaling theory is useful for describing behavior when two parties (individuals or organizations) have access to different information. Typically, one party, the sender, must choose whether and how to communicate (or signal) that information, and the other party, the receiver, must choose how to interpret the signal. Accordingly, signaling theory holds a prominent position in a variety of management literatures, including strategic management, entrepreneurship, and human resource management. While the use of signaling theory has gained momentum in recent years, its central tenets have become blurred as it has been applied to organizational concerns. The authors, therefore, provide a concise synthesis of the theory and its key concepts, review its use in the management literature, and put forward directions for future research that will encourage scholars to use signaling theory in new ways and to develop more complex formulations and nuanced variations of the theory. © The Author(s) 2011.&quot;,&quot;issue&quot;:&quot;1&quot;,&quot;volume&quot;:&quot;37&quot;},&quot;isTemporary&quot;:false}]},{&quot;citationID&quot;:&quot;MENDELEY_CITATION_d2f7b64f-06b1-4f0a-bde6-67d07c31b1fa&quot;,&quot;properties&quot;:{&quot;noteIndex&quot;:0},&quot;isEdited&quot;:false,&quot;manualOverride&quot;:{&quot;isManuallyOverridden&quot;:true,&quot;citeprocText&quot;:&quot;(Wu et al., 2025)&quot;,&quot;manualOverrideText&quot;:&quot;(Wu et al., 2025).&quot;},&quot;citationTag&quot;:&quot;MENDELEY_CITATION_v3_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&quot;,&quot;citationItems&quot;:[{&quot;id&quot;:&quot;1a13f851-b808-3132-a63a-b6c3a5e36120&quot;,&quot;itemData&quot;:{&quot;type&quot;:&quot;article-journal&quot;,&quot;id&quot;:&quot;1a13f851-b808-3132-a63a-b6c3a5e36120&quot;,&quot;title&quot;:&quot;Consumer negative opinions on stock returns: evidence from E-commerce reviews in China&quot;,&quot;author&quot;:[{&quot;family&quot;:&quot;Wu&quot;,&quot;given&quot;:&quot;Danni&quot;,&quot;parse-names&quot;:false,&quot;dropping-particle&quot;:&quot;&quot;,&quot;non-dropping-particle&quot;:&quot;&quot;},{&quot;family&quot;:&quot;Zhou&quot;,&quot;given&quot;:&quot;Zhenkun&quot;,&quot;parse-names&quot;:false,&quot;dropping-particle&quot;:&quot;&quot;,&quot;non-dropping-particle&quot;:&quot;&quot;},{&quot;family&quot;:&quot;Su&quot;,&quot;given&quot;:&quot;Zhi&quot;,&quot;parse-names&quot;:false,&quot;dropping-particle&quot;:&quot;&quot;,&quot;non-dropping-particle&quot;:&quot;&quot;}],&quot;container-title&quot;:&quot;Financial Innovation&quot;,&quot;DOI&quot;:&quot;10.1186/s40854-024-00746-9&quot;,&quot;ISSN&quot;:&quot;21994730&quot;,&quot;issued&quot;:{&quot;date-parts&quot;:[[2025,12]]},&quot;abstract&quot;:&quot;This study investigates the significance of e-commerce consumer opinions regarding value in China’s A-share market. By analyzing a large dataset comprising over 18 million online consumer reviews on JD.com, we demonstrate that sentiments expressed in e-commerce reviews can influence stock returns. This indicates that consumer opinions on the e-commerce platform contain valuable information that can impact the stock market. Our findings show that Consumer Negative Sentiment Tendency (CNST) and One-Star Tendency (OST) have a negative effect on expected stock returns, even after controlling for firm characteristics such as market risk, illiquidity, idiosyncratic volatility, and asset growth. Further analysis indicates that CNST demonstrates stronger predictive power within the home appliance industry, under high sentiment conditions, in growth companies, and among firms with lower accounting transparency. We also find that CNST negatively predicts revenue surprises, earnings surprises, and cash flow shocks. These results suggest that consumer opinions and sentiments derived from e-commerce reviews highlight firms’ intrinsic worth and prospects. Future research could explore how firms, including suppliers and logistics companies, can leverage the information conveyed by consumer opinions on e-commerce platforms.&quot;,&quot;publisher&quot;:&quot;Springer Science and Business Media Deutschland GmbH&quot;,&quot;issue&quot;:&quot;1&quot;,&quot;volume&quot;:&quot;11&quot;,&quot;container-title-short&quot;:&quot;&quot;},&quot;isTemporary&quot;:false}]},{&quot;citationID&quot;:&quot;MENDELEY_CITATION_6e54ca67-fbf0-43e8-b41a-5c5a9c6268f5&quot;,&quot;properties&quot;:{&quot;noteIndex&quot;:0},&quot;isEdited&quot;:false,&quot;manualOverride&quot;:{&quot;isManuallyOverridden&quot;:true,&quot;citeprocText&quot;:&quot;(Baron &amp;#38; Kenny, 1986)&quot;,&quot;manualOverrideText&quot;:&quot;(Baron &amp; Kenny, 1986).&quot;},&quot;citationTag&quot;:&quot;MENDELEY_CITATION_v3_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&quot;,&quot;citationItems&quot;:[{&quot;id&quot;:&quot;66fd1646-0ea9-32b1-8443-3597693885b5&quot;,&quot;itemData&quot;:{&quot;type&quot;:&quot;article-journal&quot;,&quot;id&quot;:&quot;66fd1646-0ea9-32b1-8443-3597693885b5&quot;,&quot;title&quot;:&quot;The Moderator-Mediator Variable Distinction in Social Psychological Research. Conceptual, Strategic, and Statistical Considerations&quot;,&quot;author&quot;:[{&quot;family&quot;:&quot;Baron&quot;,&quot;given&quot;:&quot;Reuben M.&quot;,&quot;parse-names&quot;:false,&quot;dropping-particle&quot;:&quot;&quot;,&quot;non-dropping-particle&quot;:&quot;&quot;},{&quot;family&quot;:&quot;Kenny&quot;,&quot;given&quot;:&quot;David A.&quot;,&quot;parse-names&quot;:false,&quot;dropping-particle&quot;:&quot;&quot;,&quot;non-dropping-particle&quot;:&quot;&quot;}],&quot;container-title&quot;:&quot;Journal of Personality and Social Psychology&quot;,&quot;container-title-short&quot;:&quot;J Pers Soc Psychol&quot;,&quot;DOI&quot;:&quot;10.1037/0022-3514.51.6.1173&quot;,&quot;ISSN&quot;:&quot;00223514&quot;,&quot;PMID&quot;:&quot;3806354&quot;,&quot;issued&quot;:{&quot;date-parts&quot;:[[1986,12]]},&quot;page&quot;:&quot;1173-1182&quot;,&quot;abstract&quot;:&quot;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 1986 American Psychological Association.&quot;,&quot;issue&quot;:&quot;6&quot;,&quot;volume&quot;:&quot;5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26BF6-F928-4751-9C61-4AE35FBE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10207</Words>
  <Characters>58185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setia Aziz</dc:creator>
  <cp:lastModifiedBy>SDI CPU 1035</cp:lastModifiedBy>
  <cp:revision>1</cp:revision>
  <dcterms:created xsi:type="dcterms:W3CDTF">2025-07-19T09:57:00Z</dcterms:created>
  <dcterms:modified xsi:type="dcterms:W3CDTF">2025-07-21T05:10:00Z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7EE09A1DD07642FEAA7176291DA80DB1_11</vt:lpwstr>
  </property>
</Properties>
</file>