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93F4" w14:textId="3DE034E9" w:rsidR="002274D8" w:rsidRDefault="007C37B2" w:rsidP="00A32E71">
      <w:pPr>
        <w:jc w:val="center"/>
        <w:rPr>
          <w:rFonts w:ascii="Times New Roman" w:hAnsi="Times New Roman" w:cs="Times New Roman"/>
          <w:b/>
          <w:bCs/>
        </w:rPr>
      </w:pPr>
      <w:r w:rsidRPr="00FA32F2">
        <w:rPr>
          <w:rFonts w:ascii="Times New Roman" w:hAnsi="Times New Roman" w:cs="Times New Roman"/>
          <w:b/>
          <w:bCs/>
        </w:rPr>
        <w:t>Determinants of Self-Management Practices Among Hypertensive Patients at Northern Region Hospital: A Cross-Sectional Study</w:t>
      </w:r>
    </w:p>
    <w:p w14:paraId="1F5D4A6E" w14:textId="77777777" w:rsidR="00FC2165" w:rsidRDefault="00FC2165" w:rsidP="00A32E71">
      <w:pPr>
        <w:jc w:val="center"/>
        <w:rPr>
          <w:rFonts w:ascii="Times New Roman" w:hAnsi="Times New Roman" w:cs="Times New Roman"/>
          <w:b/>
          <w:bCs/>
        </w:rPr>
      </w:pPr>
    </w:p>
    <w:p w14:paraId="06934D46" w14:textId="776E3E5D" w:rsidR="00BF338E" w:rsidRDefault="00D05E6C" w:rsidP="00FA32F2">
      <w:pPr>
        <w:rPr>
          <w:rFonts w:ascii="Times New Roman" w:hAnsi="Times New Roman" w:cs="Times New Roman"/>
          <w:b/>
          <w:bCs/>
        </w:rPr>
      </w:pPr>
      <w:r>
        <w:rPr>
          <w:rFonts w:ascii="Times New Roman" w:hAnsi="Times New Roman" w:cs="Times New Roman"/>
          <w:b/>
          <w:bCs/>
        </w:rPr>
        <w:t>Abstract</w:t>
      </w:r>
    </w:p>
    <w:p w14:paraId="45F34B1B" w14:textId="77777777" w:rsidR="00D05E6C" w:rsidRPr="004E343A" w:rsidRDefault="00D05E6C" w:rsidP="00D05E6C">
      <w:pPr>
        <w:rPr>
          <w:rFonts w:ascii="Times New Roman" w:hAnsi="Times New Roman" w:cs="Times New Roman"/>
        </w:rPr>
      </w:pPr>
      <w:r w:rsidRPr="007F07A1">
        <w:rPr>
          <w:rFonts w:ascii="Times New Roman" w:hAnsi="Times New Roman" w:cs="Times New Roman"/>
          <w:b/>
          <w:bCs/>
        </w:rPr>
        <w:t>Introduction</w:t>
      </w:r>
      <w:r w:rsidRPr="004E343A">
        <w:rPr>
          <w:rFonts w:ascii="Times New Roman" w:hAnsi="Times New Roman" w:cs="Times New Roman"/>
          <w:b/>
          <w:bCs/>
        </w:rPr>
        <w:t>:</w:t>
      </w:r>
      <w:r>
        <w:rPr>
          <w:rFonts w:ascii="Times New Roman" w:hAnsi="Times New Roman" w:cs="Times New Roman"/>
        </w:rPr>
        <w:t xml:space="preserve"> </w:t>
      </w:r>
      <w:r w:rsidRPr="004E343A">
        <w:rPr>
          <w:rFonts w:ascii="Times New Roman" w:hAnsi="Times New Roman" w:cs="Times New Roman"/>
        </w:rPr>
        <w:t>Hypertension remains a leading cause of cardiovascular morbidity and mortality globally, with a growing burden in sub-Saharan Africa. In Ghana, despite policy interventions, blood pressure control rates remain suboptimal. Self-management</w:t>
      </w:r>
      <w:r>
        <w:rPr>
          <w:rFonts w:ascii="Times New Roman" w:hAnsi="Times New Roman" w:cs="Times New Roman"/>
        </w:rPr>
        <w:t>, including</w:t>
      </w:r>
      <w:r w:rsidRPr="004E343A">
        <w:rPr>
          <w:rFonts w:ascii="Times New Roman" w:hAnsi="Times New Roman" w:cs="Times New Roman"/>
        </w:rPr>
        <w:t xml:space="preserve"> medication adherence, dietary changes, physical activity, and home blood pressure monitoring, is critical for long-term control</w:t>
      </w:r>
      <w:r>
        <w:rPr>
          <w:rFonts w:ascii="Times New Roman" w:hAnsi="Times New Roman" w:cs="Times New Roman"/>
        </w:rPr>
        <w:t>. Yet, its</w:t>
      </w:r>
      <w:r w:rsidRPr="004E343A">
        <w:rPr>
          <w:rFonts w:ascii="Times New Roman" w:hAnsi="Times New Roman" w:cs="Times New Roman"/>
        </w:rPr>
        <w:t xml:space="preserve"> practice is not well understood in Northern Ghana.</w:t>
      </w:r>
      <w:r>
        <w:rPr>
          <w:rFonts w:ascii="Times New Roman" w:hAnsi="Times New Roman" w:cs="Times New Roman"/>
        </w:rPr>
        <w:t xml:space="preserve"> The study aims to </w:t>
      </w:r>
      <w:r w:rsidRPr="004E343A">
        <w:rPr>
          <w:rFonts w:ascii="Times New Roman" w:hAnsi="Times New Roman" w:cs="Times New Roman"/>
        </w:rPr>
        <w:t>assess hypertension self-management and identify factors associated with good self-management among patients at Northern Region Hospital.</w:t>
      </w:r>
    </w:p>
    <w:p w14:paraId="21952B9E" w14:textId="77777777" w:rsidR="00D05E6C" w:rsidRPr="004E343A" w:rsidRDefault="00D05E6C" w:rsidP="00D05E6C">
      <w:pPr>
        <w:rPr>
          <w:rFonts w:ascii="Times New Roman" w:hAnsi="Times New Roman" w:cs="Times New Roman"/>
        </w:rPr>
      </w:pPr>
      <w:r w:rsidRPr="004E343A">
        <w:rPr>
          <w:rFonts w:ascii="Times New Roman" w:hAnsi="Times New Roman" w:cs="Times New Roman"/>
          <w:b/>
          <w:bCs/>
        </w:rPr>
        <w:t>Methods:</w:t>
      </w:r>
      <w:r>
        <w:rPr>
          <w:rFonts w:ascii="Times New Roman" w:hAnsi="Times New Roman" w:cs="Times New Roman"/>
        </w:rPr>
        <w:t xml:space="preserve"> </w:t>
      </w:r>
      <w:r w:rsidRPr="004E343A">
        <w:rPr>
          <w:rFonts w:ascii="Times New Roman" w:hAnsi="Times New Roman" w:cs="Times New Roman"/>
        </w:rPr>
        <w:t>A facility-based cross-sectional study was conducted among 285 hypertensive patients aged ≥18 years using a structured interviewer-administered questionnaire adapted from validated tools. Self-management behaviors were evaluated across six domains, and a composite score was used to classify participants as having good or poor self-management. Bivariate and multivariable logistic regression analyses were performed to identify independent predictors of good self-management.</w:t>
      </w:r>
      <w:r>
        <w:rPr>
          <w:rFonts w:ascii="Times New Roman" w:hAnsi="Times New Roman" w:cs="Times New Roman"/>
        </w:rPr>
        <w:t xml:space="preserve"> A p-value less than 0.05 is considered statistically significant. </w:t>
      </w:r>
    </w:p>
    <w:p w14:paraId="72B719F2" w14:textId="77777777" w:rsidR="00D05E6C" w:rsidRDefault="00D05E6C" w:rsidP="00D05E6C">
      <w:pPr>
        <w:rPr>
          <w:rFonts w:ascii="Times New Roman" w:hAnsi="Times New Roman" w:cs="Times New Roman"/>
        </w:rPr>
      </w:pPr>
      <w:r w:rsidRPr="004E343A">
        <w:rPr>
          <w:rFonts w:ascii="Times New Roman" w:hAnsi="Times New Roman" w:cs="Times New Roman"/>
          <w:b/>
          <w:bCs/>
        </w:rPr>
        <w:t>Results:</w:t>
      </w:r>
      <w:r>
        <w:rPr>
          <w:rFonts w:ascii="Times New Roman" w:hAnsi="Times New Roman" w:cs="Times New Roman"/>
        </w:rPr>
        <w:t xml:space="preserve"> </w:t>
      </w:r>
      <w:r w:rsidRPr="004E343A">
        <w:rPr>
          <w:rFonts w:ascii="Times New Roman" w:hAnsi="Times New Roman" w:cs="Times New Roman"/>
        </w:rPr>
        <w:t xml:space="preserve">Only 45.3% of participants demonstrated good overall self-management. While 74.4% adhered to prescribed medications and 78.6% kept clinic appointments, adherence to lifestyle-related behaviors was much lower: 44.6% limited salt intake, 39.3% engaged in physical activity at least three times per week, and only 28.8% monitored their blood pressure at home. Multivariable analysis showed that good self-management was significantly associated with </w:t>
      </w:r>
      <w:r w:rsidRPr="00FA32F2">
        <w:rPr>
          <w:rFonts w:ascii="Times New Roman" w:hAnsi="Times New Roman" w:cs="Times New Roman"/>
        </w:rPr>
        <w:t>being female (AOR = 1.5, 95% CI: 1.01–2.22), having secondary (AOR = 1.9, 95% CI: 1.10–3.29) or tertiary education (AOR = 2.5, 95% CI: 1.45–4.30), possessing good knowledge of hypertension (AOR = 2.9, 95% CI: 1.90–4.40), having family support (AOR = 1.8, 95% CI: 1.20–2.70), and being a non-smoker (AOR = 0.4, 95% CI: 0.18–0.87)</w:t>
      </w:r>
      <w:r>
        <w:rPr>
          <w:rFonts w:ascii="Times New Roman" w:hAnsi="Times New Roman" w:cs="Times New Roman"/>
        </w:rPr>
        <w:t>.</w:t>
      </w:r>
    </w:p>
    <w:p w14:paraId="756B590A" w14:textId="77777777" w:rsidR="00D05E6C" w:rsidRPr="004E343A" w:rsidRDefault="00D05E6C" w:rsidP="00D05E6C">
      <w:pPr>
        <w:rPr>
          <w:rFonts w:ascii="Times New Roman" w:hAnsi="Times New Roman" w:cs="Times New Roman"/>
        </w:rPr>
      </w:pPr>
      <w:r w:rsidRPr="004E343A">
        <w:rPr>
          <w:rFonts w:ascii="Times New Roman" w:hAnsi="Times New Roman" w:cs="Times New Roman"/>
          <w:b/>
          <w:bCs/>
        </w:rPr>
        <w:t>Conclusion:</w:t>
      </w:r>
      <w:r>
        <w:rPr>
          <w:rFonts w:ascii="Times New Roman" w:hAnsi="Times New Roman" w:cs="Times New Roman"/>
        </w:rPr>
        <w:t xml:space="preserve"> </w:t>
      </w:r>
      <w:r w:rsidRPr="004E343A">
        <w:rPr>
          <w:rFonts w:ascii="Times New Roman" w:hAnsi="Times New Roman" w:cs="Times New Roman"/>
        </w:rPr>
        <w:t>Hypertension self-management in Northern Ghana is suboptimal, particularly in relation to lifestyle behaviors. Tailored interventions promoting health education, family involvement, and behavioral support</w:t>
      </w:r>
      <w:r>
        <w:rPr>
          <w:rFonts w:ascii="Times New Roman" w:hAnsi="Times New Roman" w:cs="Times New Roman"/>
        </w:rPr>
        <w:t xml:space="preserve">, </w:t>
      </w:r>
      <w:r w:rsidRPr="004E343A">
        <w:rPr>
          <w:rFonts w:ascii="Times New Roman" w:hAnsi="Times New Roman" w:cs="Times New Roman"/>
        </w:rPr>
        <w:t>especially for men and those with lower education, are urgently needed to improve long-term outcomes.</w:t>
      </w:r>
    </w:p>
    <w:p w14:paraId="3243C5DA" w14:textId="77777777" w:rsidR="00D05E6C" w:rsidRPr="004E343A" w:rsidRDefault="00D05E6C" w:rsidP="00D05E6C">
      <w:pPr>
        <w:rPr>
          <w:rFonts w:ascii="Times New Roman" w:hAnsi="Times New Roman" w:cs="Times New Roman"/>
        </w:rPr>
      </w:pPr>
      <w:r w:rsidRPr="004E343A">
        <w:rPr>
          <w:rFonts w:ascii="Times New Roman" w:hAnsi="Times New Roman" w:cs="Times New Roman"/>
        </w:rPr>
        <w:t>Keywords:</w:t>
      </w:r>
      <w:r>
        <w:rPr>
          <w:rFonts w:ascii="Times New Roman" w:hAnsi="Times New Roman" w:cs="Times New Roman"/>
        </w:rPr>
        <w:t xml:space="preserve"> </w:t>
      </w:r>
      <w:r w:rsidRPr="004E343A">
        <w:rPr>
          <w:rFonts w:ascii="Times New Roman" w:hAnsi="Times New Roman" w:cs="Times New Roman"/>
          <w:i/>
          <w:iCs/>
        </w:rPr>
        <w:t>Hypertension, Self-management, Ghana, Lifestyle modification, Blood pressure control, Patient behavior, Health education, Chronic disease</w:t>
      </w:r>
    </w:p>
    <w:p w14:paraId="562E36A5" w14:textId="77777777" w:rsidR="00D05E6C" w:rsidRPr="00FA32F2" w:rsidRDefault="00D05E6C" w:rsidP="00FA32F2">
      <w:pPr>
        <w:rPr>
          <w:rFonts w:ascii="Times New Roman" w:hAnsi="Times New Roman" w:cs="Times New Roman"/>
          <w:b/>
          <w:bCs/>
        </w:rPr>
      </w:pPr>
    </w:p>
    <w:p w14:paraId="514A3064" w14:textId="77777777" w:rsidR="00870C7C" w:rsidRPr="00FA32F2" w:rsidRDefault="00870C7C" w:rsidP="00FA32F2">
      <w:pPr>
        <w:rPr>
          <w:rFonts w:ascii="Times New Roman" w:hAnsi="Times New Roman" w:cs="Times New Roman"/>
        </w:rPr>
      </w:pPr>
    </w:p>
    <w:p w14:paraId="786DB91C" w14:textId="77777777" w:rsidR="00870C7C" w:rsidRPr="00FA32F2" w:rsidRDefault="00870C7C" w:rsidP="00FA32F2">
      <w:pPr>
        <w:rPr>
          <w:rFonts w:ascii="Times New Roman" w:hAnsi="Times New Roman" w:cs="Times New Roman"/>
          <w:b/>
          <w:bCs/>
        </w:rPr>
      </w:pPr>
      <w:r w:rsidRPr="00FA32F2">
        <w:rPr>
          <w:rFonts w:ascii="Times New Roman" w:hAnsi="Times New Roman" w:cs="Times New Roman"/>
          <w:b/>
          <w:bCs/>
        </w:rPr>
        <w:t>Background</w:t>
      </w:r>
    </w:p>
    <w:p w14:paraId="24636CEC" w14:textId="747A7FA9" w:rsidR="00870C7C" w:rsidRPr="00FA32F2" w:rsidRDefault="00870C7C" w:rsidP="00FA32F2">
      <w:pPr>
        <w:rPr>
          <w:rFonts w:ascii="Times New Roman" w:hAnsi="Times New Roman" w:cs="Times New Roman"/>
        </w:rPr>
      </w:pPr>
      <w:r w:rsidRPr="00FA32F2">
        <w:rPr>
          <w:rFonts w:ascii="Times New Roman" w:hAnsi="Times New Roman" w:cs="Times New Roman"/>
        </w:rPr>
        <w:t>Hypertension, or persistently elevated blood pressure, is a major global public health issue and a leading contributor to cardiovascular disease, kidney failure, stroke, and premature mortality</w:t>
      </w:r>
      <w:r w:rsidR="007F26F7" w:rsidRPr="00FA32F2">
        <w:rPr>
          <w:rFonts w:ascii="Times New Roman" w:hAnsi="Times New Roman" w:cs="Times New Roman"/>
        </w:rPr>
        <w:t>.</w:t>
      </w:r>
      <w:r w:rsidR="007F26F7" w:rsidRPr="00FA32F2">
        <w:rPr>
          <w:rFonts w:ascii="Times New Roman" w:hAnsi="Times New Roman" w:cs="Times New Roman"/>
        </w:rPr>
        <w:fldChar w:fldCharType="begin"/>
      </w:r>
      <w:r w:rsidR="007F26F7" w:rsidRPr="00FA32F2">
        <w:rPr>
          <w:rFonts w:ascii="Times New Roman" w:hAnsi="Times New Roman" w:cs="Times New Roman"/>
        </w:rPr>
        <w:instrText xml:space="preserve"> ADDIN ZOTERO_ITEM CSL_CITATION {"citationID":"RH8G5xMX","properties":{"formattedCitation":"\\super 1,2\\nosupersub{}","plainCitation":"1,2","noteIndex":0},"citationItems":[{"id":5506,"uris":["http://zotero.org/users/15244130/items/UL357DQK"],"itemData":{"id":5506,"type":"article-journal","abstract":"Hypertension is the leading cause of cardiovascular disease and premature death worldwide. Owing to widespread use of antihypertensive medications, global mean blood pressure (BP) has remained constant or decreased slightly over the past four decades. By contrast, the prevalence of hypertension has increased, especially in low and middle-income countries (LMICs). Estimates suggest that in 2010, 31.1% of adults (1.39 billion) worldwide had hypertension. The prevalence of hypertension among adults was higher in LMICs (31.5%, 1.04 billion people) than in high-income countries (HICs; 28.5%, 349 million people). Variations in the levels of risk factors for hypertension, such as high sodium intake, low potassium intake, obesity, alcohol consumption, physical inactivity and unhealthy diet, may explain some of the regional heterogeneity in hypertension prevalence. Despite the increasing prevalence, the proportions of hypertension awareness, treatment and BP control are low, particularly in LMICs, and few comprehensive assessments of the economic impact of hypertension exist. Future studies are warranted to test implementation strategies for hypertension prevention and control, especially in low-income populations, and to accurately assess the prevalence and financial burden of hypertension worldwide.","container-title":"Nature reviews. Nephrology","DOI":"10.1038/s41581-019-0244-2","ISSN":"1759-5061","issue":"4","journalAbbreviation":"Nat Rev Nephrol","note":"PMID: 32024986\nPMCID: PMC7998524","page":"223-237","source":"PubMed Central","title":"The global epidemiology of hypertension","volume":"16","author":[{"family":"Mills","given":"Katherine T"},{"family":"Stefanescu","given":"Andrei"},{"family":"He","given":"Jiang"}],"issued":{"date-parts":[["2020",4]]}}},{"id":5508,"uris":["http://zotero.org/users/15244130/items/TTLEEKHF"],"itemData":{"id":5508,"type":"article-journal","abstract":"Hypertension is the leading modifiable cause of premature death and hence one of the global targets of World Health Organization for prevention. Hypertension also affects the great majority of patients with chronic kidney disease (CKD). Both hypertension and CKD are intrinsically related, as hypertension is a strong determinant of worse renal and cardiovascular outcomes and renal function decline aggravates hypertension. This bidirectional relationship is well documented by the high prevalence of hypertension across CKD stages and the dual benefits of effective antihypertensive treatments on renal and cardiovascular risk reduction. Achieving an optimal blood pressure (BP) target is mandatory and requires several pharmacological and lifestyle measures. However, it also requires a correct diagnosis based on reliable BP measurements (eg, 24-hour ambulatory BP monitoring, home BP), especially for populations like patients with CKD where reduced or reverse dipping patterns or masked and resistant hypertension are frequent and associated with a poor cardiovascular and renal prognosis. Even after achieving BP targets, which remain debated in CKD, the residual cardiovascular risk remains high. Current antihypertensive options have been enriched with novel agents that enable to lower the existing renal and cardiovascular risks, such as SGLT2 (sodium-glucose cotransporter-2) inhibitors and novel nonsteroidal mineralocorticoid receptor antagonists. Although their beneficial effects may be driven mostly from actions beyond BP control, recent evidence underline potential improvements on abnormal 24-hour BP phenotypes such as nondipping. Other promising novelties are still to come for the management of hypertension in CKD. In the present review, we shall discuss the existing evidence of hypertension as a cardiovascular risk factor in CKD, the importance of identifying hypertension phenotypes among patients with CKD, and the traditional and novel aspects of the management of hypertensives with CKD.","container-title":"Circulation Research","DOI":"10.1161/CIRCRESAHA.122.321762","issue":"8","note":"publisher: American Heart Association","page":"1050-1063","source":"ahajournals.org (Atypon)","title":"Hypertension as Cardiovascular Risk Factor in Chronic Kidney Disease","volume":"132","author":[{"family":"Burnier","given":"Michel"},{"family":"Damianaki","given":"Aikaterini"}],"issued":{"date-parts":[["2023",4,14]]}}}],"schema":"https://github.com/citation-style-language/schema/raw/master/csl-citation.json"} </w:instrText>
      </w:r>
      <w:r w:rsidR="007F26F7" w:rsidRPr="00FA32F2">
        <w:rPr>
          <w:rFonts w:ascii="Times New Roman" w:hAnsi="Times New Roman" w:cs="Times New Roman"/>
        </w:rPr>
        <w:fldChar w:fldCharType="separate"/>
      </w:r>
      <w:r w:rsidR="007F26F7" w:rsidRPr="00FA32F2">
        <w:rPr>
          <w:rFonts w:ascii="Times New Roman" w:hAnsi="Times New Roman" w:cs="Times New Roman"/>
          <w:kern w:val="0"/>
          <w:vertAlign w:val="superscript"/>
        </w:rPr>
        <w:t>1,2</w:t>
      </w:r>
      <w:r w:rsidR="007F26F7" w:rsidRPr="00FA32F2">
        <w:rPr>
          <w:rFonts w:ascii="Times New Roman" w:hAnsi="Times New Roman" w:cs="Times New Roman"/>
        </w:rPr>
        <w:fldChar w:fldCharType="end"/>
      </w:r>
      <w:r w:rsidR="000565A6" w:rsidRPr="00FA32F2">
        <w:rPr>
          <w:rFonts w:ascii="Times New Roman" w:hAnsi="Times New Roman" w:cs="Times New Roman"/>
        </w:rPr>
        <w:t xml:space="preserve"> </w:t>
      </w:r>
      <w:r w:rsidRPr="00FA32F2">
        <w:rPr>
          <w:rFonts w:ascii="Times New Roman" w:hAnsi="Times New Roman" w:cs="Times New Roman"/>
        </w:rPr>
        <w:t>The World Health Organization estimates that 1.28 billion adults aged 30–79 years are living with hypertension worldwide, yet nearly half are unaware of their condition, and only about 21% have it under control.</w:t>
      </w:r>
      <w:r w:rsidR="000C2F83" w:rsidRPr="00FA32F2">
        <w:rPr>
          <w:rFonts w:ascii="Times New Roman" w:hAnsi="Times New Roman" w:cs="Times New Roman"/>
        </w:rPr>
        <w:fldChar w:fldCharType="begin"/>
      </w:r>
      <w:r w:rsidR="000C2F83" w:rsidRPr="00FA32F2">
        <w:rPr>
          <w:rFonts w:ascii="Times New Roman" w:hAnsi="Times New Roman" w:cs="Times New Roman"/>
        </w:rPr>
        <w:instrText xml:space="preserve"> ADDIN ZOTERO_ITEM CSL_CITATION {"citationID":"Bq3xgjrH","properties":{"formattedCitation":"\\super 3,4\\nosupersub{}","plainCitation":"3,4","noteIndex":0},"citationItems":[{"id":5504,"uris":["http://zotero.org/users/15244130/items/F7XB8GFQ"],"itemData":{"id":5504,"type":"webpage","abstract":"Hypertension is called a \"silent killer\". Most people with hypertension are unaware of the problem because it may have no warning signs or symptoms. For this reason, it is essential that blood pressure is measured regularly.","language":"en","title":"Hypertension: Key facts","URL":"https://www.who.int/news-room/fact-sheets/detail/hypertension","author":[{"literal":"World Health Organization"}],"accessed":{"date-parts":[["2025",6,18]]},"issued":{"date-parts":[["2023"]]}},"label":"page"},{"id":5510,"uris":["http://zotero.org/users/15244130/items/9VD2494H"],"itemData":{"id":5510,"type":"article-journal","abstract":"Introduction\nHypertension, particularly untreated, leads to serious complications and contributes to high costs incurred by the whole society. The aim of the review was to carry out a social and economic comparison of various categories of hypertension costs from different countries.\n\nMaterial and methods\nThe study was a systematic review. PubMed, Cochrane Library and Google Scholar databases were searched. Hypertension costs were analyzed in 8 cost categories. An attempt was made to determine whether selected economic and social factors (such as HDI or GDP) influenced hypertension costs.\n\nResults\nThe review included data from 15 countries: Brazil, Cambodia, Canada, China, Greece, Indonesia, Italy, Jamaica, Kyrgyzstan, Mexico, Poland, Spain, USA, Vietnam and Zimbabwe. The papers included in the review were heterogeneous with respect to cost categories, which made comparisons difficult. The average total costs of hypertension for all the studied countries, calculated per person, amounted to 630.14 Int$, direct costs – 1,497.36 Int$, and indirect costs – 282.34 Int$. The ranking of countries by costs and by selected economic and social indices points at the possible relationship between these indices and hypertension costs.\n\nConclusions\nThe costs of hypertension calculated per country reached the region of several dozen billion Int$. Other sources usually showed lower costs than those presented in this review. This indicates a growth in costs from year to year and the future increasing burden on society. Globally uniform cost terminology and cost calculation standards need to be developed. That would facilitate making more informed decisions regarding fund allocation in hypertension management schemes.","container-title":"Archives of Medical Science : AMS","DOI":"10.5114/aoms.2020.92689","ISSN":"1734-1922","issue":"5","journalAbbreviation":"Arch Med Sci","note":"PMID: 32863997\nPMCID: PMC7444692","page":"1078-1091","source":"PubMed Central","title":"A global perspective on the costs of hypertension: a systematic review","title-short":"A global perspective on the costs of hypertension","volume":"16","author":[{"family":"Wierzejska","given":"Ewelina"},{"family":"Giernaś","given":"Bogusz"},{"family":"Lipiak","given":"Agnieszka"},{"family":"Karasiewicz","given":"Monika"},{"family":"Cofta","given":"Mateusz"},{"family":"Staszewski","given":"Rafał"}],"issued":{"date-parts":[["2020",1,31]]}},"label":"page"}],"schema":"https://github.com/citation-style-language/schema/raw/master/csl-citation.json"} </w:instrText>
      </w:r>
      <w:r w:rsidR="000C2F83" w:rsidRPr="00FA32F2">
        <w:rPr>
          <w:rFonts w:ascii="Times New Roman" w:hAnsi="Times New Roman" w:cs="Times New Roman"/>
        </w:rPr>
        <w:fldChar w:fldCharType="separate"/>
      </w:r>
      <w:r w:rsidR="000C2F83" w:rsidRPr="00FA32F2">
        <w:rPr>
          <w:rFonts w:ascii="Times New Roman" w:hAnsi="Times New Roman" w:cs="Times New Roman"/>
          <w:kern w:val="0"/>
          <w:vertAlign w:val="superscript"/>
        </w:rPr>
        <w:t>3,4</w:t>
      </w:r>
      <w:r w:rsidR="000C2F83" w:rsidRPr="00FA32F2">
        <w:rPr>
          <w:rFonts w:ascii="Times New Roman" w:hAnsi="Times New Roman" w:cs="Times New Roman"/>
        </w:rPr>
        <w:fldChar w:fldCharType="end"/>
      </w:r>
      <w:r w:rsidRPr="00FA32F2">
        <w:rPr>
          <w:rFonts w:ascii="Times New Roman" w:hAnsi="Times New Roman" w:cs="Times New Roman"/>
        </w:rPr>
        <w:t xml:space="preserve"> The majority of those affected</w:t>
      </w:r>
      <w:r w:rsidR="00D069E0" w:rsidRPr="00FA32F2">
        <w:rPr>
          <w:rFonts w:ascii="Times New Roman" w:hAnsi="Times New Roman" w:cs="Times New Roman"/>
        </w:rPr>
        <w:t xml:space="preserve">, </w:t>
      </w:r>
      <w:r w:rsidRPr="00FA32F2">
        <w:rPr>
          <w:rFonts w:ascii="Times New Roman" w:hAnsi="Times New Roman" w:cs="Times New Roman"/>
        </w:rPr>
        <w:t>approximately two-thirds</w:t>
      </w:r>
      <w:r w:rsidR="00D069E0" w:rsidRPr="00FA32F2">
        <w:rPr>
          <w:rFonts w:ascii="Times New Roman" w:hAnsi="Times New Roman" w:cs="Times New Roman"/>
        </w:rPr>
        <w:t xml:space="preserve">, </w:t>
      </w:r>
      <w:r w:rsidRPr="00FA32F2">
        <w:rPr>
          <w:rFonts w:ascii="Times New Roman" w:hAnsi="Times New Roman" w:cs="Times New Roman"/>
        </w:rPr>
        <w:t>live in low- and middle-income countries (LMICs), where healthcare systems often lack the infrastructure to manage chronic diseases effectively. The global economic burden of hypertension and its complications continues to rise, with significant implications for productivity and healthcare expenditure</w:t>
      </w:r>
      <w:r w:rsidR="009277D2" w:rsidRPr="00FA32F2">
        <w:rPr>
          <w:rFonts w:ascii="Times New Roman" w:hAnsi="Times New Roman" w:cs="Times New Roman"/>
        </w:rPr>
        <w:t>.</w:t>
      </w:r>
      <w:r w:rsidR="008D6C20" w:rsidRPr="00FA32F2">
        <w:rPr>
          <w:rFonts w:ascii="Times New Roman" w:hAnsi="Times New Roman" w:cs="Times New Roman"/>
        </w:rPr>
        <w:fldChar w:fldCharType="begin"/>
      </w:r>
      <w:r w:rsidR="008D6C20" w:rsidRPr="00FA32F2">
        <w:rPr>
          <w:rFonts w:ascii="Times New Roman" w:hAnsi="Times New Roman" w:cs="Times New Roman"/>
        </w:rPr>
        <w:instrText xml:space="preserve"> ADDIN ZOTERO_ITEM CSL_CITATION {"citationID":"A105MWRD","properties":{"formattedCitation":"\\super 4\\nosupersub{}","plainCitation":"4","noteIndex":0},"citationItems":[{"id":5510,"uris":["http://zotero.org/users/15244130/items/9VD2494H"],"itemData":{"id":5510,"type":"article-journal","abstract":"Introduction\nHypertension, particularly untreated, leads to serious complications and contributes to high costs incurred by the whole society. The aim of the review was to carry out a social and economic comparison of various categories of hypertension costs from different countries.\n\nMaterial and methods\nThe study was a systematic review. PubMed, Cochrane Library and Google Scholar databases were searched. Hypertension costs were analyzed in 8 cost categories. An attempt was made to determine whether selected economic and social factors (such as HDI or GDP) influenced hypertension costs.\n\nResults\nThe review included data from 15 countries: Brazil, Cambodia, Canada, China, Greece, Indonesia, Italy, Jamaica, Kyrgyzstan, Mexico, Poland, Spain, USA, Vietnam and Zimbabwe. The papers included in the review were heterogeneous with respect to cost categories, which made comparisons difficult. The average total costs of hypertension for all the studied countries, calculated per person, amounted to 630.14 Int$, direct costs – 1,497.36 Int$, and indirect costs – 282.34 Int$. The ranking of countries by costs and by selected economic and social indices points at the possible relationship between these indices and hypertension costs.\n\nConclusions\nThe costs of hypertension calculated per country reached the region of several dozen billion Int$. Other sources usually showed lower costs than those presented in this review. This indicates a growth in costs from year to year and the future increasing burden on society. Globally uniform cost terminology and cost calculation standards need to be developed. That would facilitate making more informed decisions regarding fund allocation in hypertension management schemes.","container-title":"Archives of Medical Science : AMS","DOI":"10.5114/aoms.2020.92689","ISSN":"1734-1922","issue":"5","journalAbbreviation":"Arch Med Sci","note":"PMID: 32863997\nPMCID: PMC7444692","page":"1078-1091","source":"PubMed Central","title":"A global perspective on the costs of hypertension: a systematic review","title-short":"A global perspective on the costs of hypertension","volume":"16","author":[{"family":"Wierzejska","given":"Ewelina"},{"family":"Giernaś","given":"Bogusz"},{"family":"Lipiak","given":"Agnieszka"},{"family":"Karasiewicz","given":"Monika"},{"family":"Cofta","given":"Mateusz"},{"family":"Staszewski","given":"Rafał"}],"issued":{"date-parts":[["2020",1,31]]}}}],"schema":"https://github.com/citation-style-language/schema/raw/master/csl-citation.json"} </w:instrText>
      </w:r>
      <w:r w:rsidR="008D6C20" w:rsidRPr="00FA32F2">
        <w:rPr>
          <w:rFonts w:ascii="Times New Roman" w:hAnsi="Times New Roman" w:cs="Times New Roman"/>
        </w:rPr>
        <w:fldChar w:fldCharType="separate"/>
      </w:r>
      <w:r w:rsidR="008D6C20" w:rsidRPr="00FA32F2">
        <w:rPr>
          <w:rFonts w:ascii="Times New Roman" w:hAnsi="Times New Roman" w:cs="Times New Roman"/>
          <w:kern w:val="0"/>
          <w:vertAlign w:val="superscript"/>
        </w:rPr>
        <w:t>4</w:t>
      </w:r>
      <w:r w:rsidR="008D6C20" w:rsidRPr="00FA32F2">
        <w:rPr>
          <w:rFonts w:ascii="Times New Roman" w:hAnsi="Times New Roman" w:cs="Times New Roman"/>
        </w:rPr>
        <w:fldChar w:fldCharType="end"/>
      </w:r>
    </w:p>
    <w:p w14:paraId="1556560E" w14:textId="1FF19C3E" w:rsidR="00870C7C" w:rsidRPr="00FA32F2" w:rsidRDefault="00870C7C" w:rsidP="00FA32F2">
      <w:pPr>
        <w:rPr>
          <w:rFonts w:ascii="Times New Roman" w:hAnsi="Times New Roman" w:cs="Times New Roman"/>
        </w:rPr>
      </w:pPr>
      <w:r w:rsidRPr="00FA32F2">
        <w:rPr>
          <w:rFonts w:ascii="Times New Roman" w:hAnsi="Times New Roman" w:cs="Times New Roman"/>
        </w:rPr>
        <w:lastRenderedPageBreak/>
        <w:t>The situation is particularly alarming in sub-Saharan Africa (SSA), where the prevalence of hypertension is rapidly increasing due to demographic shifts, urbanization, changing dietary patterns, and sedentary lifestyles.</w:t>
      </w:r>
      <w:r w:rsidR="00D069E0" w:rsidRPr="00FA32F2">
        <w:rPr>
          <w:rFonts w:ascii="Times New Roman" w:hAnsi="Times New Roman" w:cs="Times New Roman"/>
        </w:rPr>
        <w:fldChar w:fldCharType="begin"/>
      </w:r>
      <w:r w:rsidR="00D069E0" w:rsidRPr="00FA32F2">
        <w:rPr>
          <w:rFonts w:ascii="Times New Roman" w:hAnsi="Times New Roman" w:cs="Times New Roman"/>
        </w:rPr>
        <w:instrText xml:space="preserve"> ADDIN ZOTERO_ITEM CSL_CITATION {"citationID":"ZJBzlibH","properties":{"formattedCitation":"\\super 5,6\\nosupersub{}","plainCitation":"5,6","noteIndex":0},"citationItems":[{"id":5513,"uris":["http://zotero.org/users/15244130/items/99FCRLQI"],"itemData":{"id":5513,"type":"article-journal","abstract":"The prevalence of hypertension in sub-Saharan Africa is high and it is the main driver for cardiovascular diseases in the region. Cardiovascular diseases are associated with high morbidity and mortality worldwide. The high prevalence of hypertension in sub-Saharan Africa (SSA) can be attributed to rural-urban migration, high salt intake, smoking of tobacco and inadequate exercise. Awareness and control of hypertension is generally low with women having better control rates as compared to men. Untreated hypertension is associated with stroke, myocardial infarction and renal failure. The management of hypertension in the sub region is a major challenge due to financial constraints and inadequate resources. Hypertension is struggling to gain priority as a major health threat as infectious diseases like Human Immunodeficiency virus (HIV), tuberculosis (TB) and malaria are the main focus of most public health institutions. Hypertension is largely preventable and can be easily controlled using evidence based practices such as regular exercises, decreasing salt intake, cessation of smoking and alcohol intake and the usage of antihypertensives.Non-communicable diseases such as hypertension are rapidly overtaking communicable diseases in the sub-Saharan region and pose a major health threat. There is a need to prioritize cardiovascular diseases with a focus on pragmatic prevention and control of hypertension in order to decrease the burden of the disease in the region.","container-title":"African Journal of Current Medical Research","DOI":"10.31191/afrijcmr.v1i1.8","ISSN":"2579-0242","issue":"1","journalAbbreviation":"Afri Jour Cur Med Res","license":"https://creativecommons.org/licenses/by-nc-nd/4.0","source":"DOI.org (Crossref)","title":"Review of Hypertension in sub-Saharan Africa","URL":"https://myjournal.afrijcmr.org/index.php/ajcmr/article/view/8","volume":"1","author":[{"family":"Nkyi","given":"Clara Appiagyei"}],"accessed":{"date-parts":[["2025",6,18]]},"issued":{"date-parts":[["2017",7,20]]}}},{"id":5515,"uris":["http://zotero.org/users/15244130/items/EPCUDSH9"],"itemData":{"id":5515,"type":"article-journal","container-title":"Circulation","DOI":"10.1161/CIRCULATIONAHA.118.037367","ISSN":"0009-7322, 1524-4539","issue":"22","journalAbbreviation":"Circulation","language":"en","page":"2449-2451","source":"DOI.org (Crossref)","title":"Tackling the Growing Burden of Cardiovascular Diseases in Sub-Saharan Africa: Need for Dietary Guidelines","title-short":"Tackling the Growing Burden of Cardiovascular Diseases in Sub-Saharan Africa","volume":"138","author":[{"family":"Amegah","given":"A. Kofi"}],"issued":{"date-parts":[["2018",11,27]]}}}],"schema":"https://github.com/citation-style-language/schema/raw/master/csl-citation.json"}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5,6</w:t>
      </w:r>
      <w:r w:rsidR="00D069E0" w:rsidRPr="00FA32F2">
        <w:rPr>
          <w:rFonts w:ascii="Times New Roman" w:hAnsi="Times New Roman" w:cs="Times New Roman"/>
        </w:rPr>
        <w:fldChar w:fldCharType="end"/>
      </w:r>
      <w:r w:rsidRPr="00FA32F2">
        <w:rPr>
          <w:rFonts w:ascii="Times New Roman" w:hAnsi="Times New Roman" w:cs="Times New Roman"/>
        </w:rPr>
        <w:t xml:space="preserve"> Prevalence rates range from 30% to 46% in urban settings and 20% to 25% in rural populations, with estimates suggesting that fewer than 10% of individuals with hypertension achieve adequate blood pressure control.</w:t>
      </w:r>
      <w:r w:rsidR="00D069E0" w:rsidRPr="00FA32F2">
        <w:rPr>
          <w:rFonts w:ascii="Times New Roman" w:hAnsi="Times New Roman" w:cs="Times New Roman"/>
        </w:rPr>
        <w:fldChar w:fldCharType="begin"/>
      </w:r>
      <w:r w:rsidR="00D069E0" w:rsidRPr="00FA32F2">
        <w:rPr>
          <w:rFonts w:ascii="Times New Roman" w:hAnsi="Times New Roman" w:cs="Times New Roman"/>
        </w:rPr>
        <w:instrText xml:space="preserve"> ADDIN ZOTERO_ITEM CSL_CITATION {"citationID":"SLpacMpB","properties":{"formattedCitation":"\\super 7\\nosupersub{}","plainCitation":"7","noteIndex":0},"citationItems":[{"id":5517,"uris":["http://zotero.org/users/15244130/items/5MNJ9LHE"],"itemData":{"id":5517,"type":"article-journal","abstract":"The burden of hypertension in Sub-Saharan Africa has been increasing over the past few decades. However, a large proportion of the population with hypertension remains undiagnosed, untreated, or inadequately treated, contributing to the rising burden of cardiovascular disease in the region. We conducted a systematic review and meta-analysis to assess the recent burden of hypertension in Sub-Saharan Africa, based on studies published between 2000 and 2013. We pooled data from 33 surveys involving over 110 414 participants of mean age 40 years. Hypertension prevalence varied widely across the studies (range 15%-70%), partly because of differences in participant mean ages (31-76 years). The predicted prevalence of hypertension at mean participant ages of 30, 40, 50, and 60 years were 16%, 26%, 35%, and 44%, respectively, with a pooled prevalence of 30% (95% confidence interval, 27%-34%). Of those with hypertension, only between 7% and 56% (pooled prevalence: 27%; 95% confidence interval, 23%-31%) were aware of their hypertensive status before the surveys. Overall, 18% (95% confidence interval, 14%-22%) of individuals with hypertension were receiving treatment across the studies, and only 7% (95% confidence interval, 5%-8%) had controlled blood pressure. This review found a high prevalence of hypertension, as well as low percentage of hypertension awareness, treatment, and control in Sub-Saharan Africa, highlighting the need for implementation of timely and appropriate strategies for diagnosis, control, and prevention.","container-title":"Hypertension (Dallas, Tex.: 1979)","DOI":"10.1161/HYPERTENSIONAHA.114.04394","ISSN":"1524-4563","issue":"2","journalAbbreviation":"Hypertension","language":"eng","note":"PMID: 25385758","page":"291-298","source":"PubMed","title":"Burden of undiagnosed hypertension in sub-saharan Africa: a systematic review and meta-analysis","title-short":"Burden of undiagnosed hypertension in sub-saharan Africa","volume":"65","author":[{"family":"Ataklte","given":"Feven"},{"family":"Erqou","given":"Sebhat"},{"family":"Kaptoge","given":"Stephen"},{"family":"Taye","given":"Betiglu"},{"family":"Echouffo-Tcheugui","given":"Justin B."},{"family":"Kengne","given":"Andre P."}],"issued":{"date-parts":[["2015",2]]}}}],"schema":"https://github.com/citation-style-language/schema/raw/master/csl-citation.json"}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7</w:t>
      </w:r>
      <w:r w:rsidR="00D069E0" w:rsidRPr="00FA32F2">
        <w:rPr>
          <w:rFonts w:ascii="Times New Roman" w:hAnsi="Times New Roman" w:cs="Times New Roman"/>
        </w:rPr>
        <w:fldChar w:fldCharType="end"/>
      </w:r>
      <w:r w:rsidRPr="00FA32F2">
        <w:rPr>
          <w:rFonts w:ascii="Times New Roman" w:hAnsi="Times New Roman" w:cs="Times New Roman"/>
        </w:rPr>
        <w:t xml:space="preserve"> The region also experiences some of the lowest levels of awareness, treatment, and control globally, partly due to underfunded healthcare systems, workforce shortages, and limited integration of non-communicable disease (NCD) services into primary healthcare platforms.</w:t>
      </w:r>
      <w:r w:rsidR="00D069E0" w:rsidRPr="00FA32F2">
        <w:rPr>
          <w:rFonts w:ascii="Times New Roman" w:hAnsi="Times New Roman" w:cs="Times New Roman"/>
        </w:rPr>
        <w:fldChar w:fldCharType="begin"/>
      </w:r>
      <w:r w:rsidR="00D069E0" w:rsidRPr="00FA32F2">
        <w:rPr>
          <w:rFonts w:ascii="Times New Roman" w:hAnsi="Times New Roman" w:cs="Times New Roman"/>
        </w:rPr>
        <w:instrText xml:space="preserve"> ADDIN ZOTERO_ITEM CSL_CITATION {"citationID":"lPfMgcm5","properties":{"formattedCitation":"\\super 8,9\\nosupersub{}","plainCitation":"8,9","noteIndex":0},"citationItems":[{"id":5557,"uris":["http://zotero.org/users/15244130/items/U6TBKW9D"],"itemData":{"id":5557,"type":"article-journal","abstract":"Purpose\nHypertension is becoming a global epidemic in all population groups. For its effective management and control, patients should have enhanced self-management skills and get adequate support from care providers. Although the quality of health care is critical in enhancing self-management behaviors of patients with hypertension, the issue has not been fully explored in the Ethiopian context. Therefore, the purpose of this study was to explore the experience of hypertensive patients on the quality of health care and the self-management practice in a public hospital in North-west Ethiopia.\n\nPatients and Methods\nThis qualitative study involves a phenomenological approach. Participants were hypertension patients who are on treatment follow-up. They were recruited purposively with maximum variation approach. Eleven in-depth interviews and two key informant interviews were undertaken using a semi-structured interview guide with hypertensive patients and nurses respectively. Interviews were audio recorded, transcribed verbatim, translated into English, and then analyzed thematically by the investigators.\n\nResults\nThe analysis identified two main themes and seven sub-themes. The first theme “experience in self-management practice” describes medication adherence, lifestyle modification, and self-monitoring of blood pressure. The second theme “experience in the quality of health care” discusses access to health services, patient-centered care, behavior of health care providers, and time and patient flow management.\n\nConclusion\nThe self-management practice of hypertensive patients is sub-optimal. Although several individual patient issues were identified, facility-level problems are mainly responsible for poor self-management practice. The main facility-level barriers, as reported by participants, include shortage of medicines, high cost of medicines, busyness of doctors due to high patient load, lack of appropriate education and counseling services, poor patient-provider interaction, and long waiting times. Intervention areas should focus on providing appropriate training for health care providers to enhance the patient–provider relationship. Improving the supply of hypertensive medications is also paramount for better medication adherence.","container-title":"Integrated Blood Pressure Control","DOI":"10.2147/IBPC.S303100","ISSN":"1178-7104","journalAbbreviation":"Integr Blood Press Control","note":"PMID: 33948092\nPMCID: PMC8088297","page":"55-68","source":"PubMed Central","title":"The Role of Health Care Quality in Hypertension Self-Management: A Qualitative Study of the Experience of Patients in a Public Hospital, North-West Ethiopia","title-short":"The Role of Health Care Quality in Hypertension Self-Management","volume":"14","author":[{"family":"Hussien","given":"Mohammed"},{"family":"Muhye","given":"Ahmed"},{"family":"Abebe","given":"Fantu"},{"family":"Ambaw","given":"Fentie"}],"issued":{"date-parts":[["2021",4,27]]}}},{"id":5522,"uris":["http://zotero.org/users/15244130/items/WXJD7UFF"],"itemData":{"id":5522,"type":"article-journal","abstract":"Nepal is currently facing a double burden of non-communicable diseases (NCDs) and communicable diseases, with rising trends of NCDs. This situation will add great pressure to already fragile health systems and pose a major challenge to the country’s development unless urgent action is taken. While the primary health care approach offers a common platform to effectively address NCDs through preventive and curative interventions, yet its potential is not fully tapped in Nepal. In line with the Alma Ata and Astana Declarations, we propose an integrated approach for Nepal, and other low-and middle-income countries, including six key reforms to enhance the primary care response to the increasing burdens of NCDs.","container-title":"Global Health Action","DOI":"10.1080/16549716.2020.1788262","ISSN":"1654-9716","issue":"1","journalAbbreviation":"Glob Health Action","note":"PMID: 32696724\nPMCID: PMC7480568","page":"1788262","source":"PubMed Central","title":"Building Strong Primary Health Care to Tackle the Growing Burden of Non-Communicable Diseases in Nepal","volume":"13","author":[{"family":"Gyawali","given":"Bishal"},{"family":"Khanal","given":"Pratik"},{"family":"Mishra","given":"Shiva Raj"},{"family":"Teijlingen","given":"Edwin","non-dropping-particle":"van"},{"family":"Wolf Meyrowitsch","given":"Dan"}]}}],"schema":"https://github.com/citation-style-language/schema/raw/master/csl-citation.json"}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8,9</w:t>
      </w:r>
      <w:r w:rsidR="00D069E0" w:rsidRPr="00FA32F2">
        <w:rPr>
          <w:rFonts w:ascii="Times New Roman" w:hAnsi="Times New Roman" w:cs="Times New Roman"/>
        </w:rPr>
        <w:fldChar w:fldCharType="end"/>
      </w:r>
    </w:p>
    <w:p w14:paraId="2C301308" w14:textId="0A6C84BD" w:rsidR="00870C7C" w:rsidRPr="00FA32F2" w:rsidRDefault="00870C7C" w:rsidP="00FA32F2">
      <w:pPr>
        <w:rPr>
          <w:rFonts w:ascii="Times New Roman" w:hAnsi="Times New Roman" w:cs="Times New Roman"/>
        </w:rPr>
      </w:pPr>
      <w:r w:rsidRPr="00FA32F2">
        <w:rPr>
          <w:rFonts w:ascii="Times New Roman" w:hAnsi="Times New Roman" w:cs="Times New Roman"/>
        </w:rPr>
        <w:t>In Ghana, hypertension affects roughly one in four adults, with increasing prevalence in both urban and rural areas.</w:t>
      </w:r>
      <w:r w:rsidR="009A5103" w:rsidRPr="00FA32F2">
        <w:rPr>
          <w:rFonts w:ascii="Times New Roman" w:hAnsi="Times New Roman" w:cs="Times New Roman"/>
        </w:rPr>
        <w:fldChar w:fldCharType="begin"/>
      </w:r>
      <w:r w:rsidR="009A5103" w:rsidRPr="00FA32F2">
        <w:rPr>
          <w:rFonts w:ascii="Times New Roman" w:hAnsi="Times New Roman" w:cs="Times New Roman"/>
        </w:rPr>
        <w:instrText xml:space="preserve"> ADDIN ZOTERO_ITEM CSL_CITATION {"citationID":"ruWkC5ZN","properties":{"formattedCitation":"\\super 10\\nosupersub{}","plainCitation":"10","noteIndex":0},"citationItems":[{"id":5525,"uris":["http://zotero.org/users/15244130/items/AGYHZCDS"],"itemData":{"id":5525,"type":"article-journal","abstract":"Background\nHypertension is a major health problem in Ghana, being a leading cause of admissions and deaths in the country. In the context of a changing food and health policy environment, we undertook a systematic review (PROSPERO registration number: CRD42020177174) and a meta-analysis of the prevalence of adult hypertension, and its awareness and control in Ghana.\n\nMethods\nWe searched major databases including PubMed, Embase as well as Google Scholar and online digital collections of public universities of Ghana to locate relevant published and unpublished community-based articles up till April 2020.\n\nFindings\nEighty-five articles involving 82,045 apparently-healthy subjects aged 15–100 years were analyzed. In individual studies, the prevalence of hypertension, defined in most cases as blood pressure ≥ 140/90 mmHg, ranged from 2.8% to 67.5%. The pooled prevalence from the meta-analysis was 27.0% (95% CI 24.0%-30.0%), being twice as high in the coastal (28%, 95% CI: 24.0%-31.0%) and middle geo-ecological belts (29%, 95% CI: 25.0%-33.0%) as in the northern belt (13%, 95% CI: 7.0%-21.0%). The prevalence was similar by sex, urban-rural residence or peer-review status of the included studies. It did not appear to vary over the study year period 1976–2019. Of the subjects with hypertension, only 35% (95% CI: 29.0%-41.0%) were aware of it, 22% (95% CI: 16.0%-29.0%) were on treatment and 6.0% (95% CI: 3.0%-10.0%) had their blood pressure controlled. Sensitivity analyses corroborated the robust estimates. There was, however, high heterogeneity (I2 = 98.7%) across the studies which was partly explained by prevalent obesity in the subjects.\n\nConclusion\nMore than one in four adults in Ghana have hypertension. This high prevalence has persisted for decades and is similar in rural and urban populations. With the low awareness and poor control of hypertension, greater investments in cardiovascular health are required if Ghana is to meet the global target for hypertension.","container-title":"PLoS ONE","DOI":"10.1371/journal.pone.0248137","ISSN":"1932-6203","issue":"3","journalAbbreviation":"PLoS One","note":"PMID: 33667277\nPMCID: PMC7935309","page":"e0248137","source":"PubMed Central","title":"Prevalence, awareness and control of hypertension in Ghana: A systematic review and meta-analysis","title-short":"Prevalence, awareness and control of hypertension in Ghana","volume":"16","author":[{"family":"Bosu","given":"William Kofi"},{"family":"Bosu","given":"Dary Kojo"}],"issued":{"date-parts":[["2021",3,5]]}}}],"schema":"https://github.com/citation-style-language/schema/raw/master/csl-citation.json"} </w:instrText>
      </w:r>
      <w:r w:rsidR="009A5103" w:rsidRPr="00FA32F2">
        <w:rPr>
          <w:rFonts w:ascii="Times New Roman" w:hAnsi="Times New Roman" w:cs="Times New Roman"/>
        </w:rPr>
        <w:fldChar w:fldCharType="separate"/>
      </w:r>
      <w:r w:rsidR="009A5103" w:rsidRPr="00FA32F2">
        <w:rPr>
          <w:rFonts w:ascii="Times New Roman" w:hAnsi="Times New Roman" w:cs="Times New Roman"/>
          <w:kern w:val="0"/>
          <w:vertAlign w:val="superscript"/>
        </w:rPr>
        <w:t>10</w:t>
      </w:r>
      <w:r w:rsidR="009A5103" w:rsidRPr="00FA32F2">
        <w:rPr>
          <w:rFonts w:ascii="Times New Roman" w:hAnsi="Times New Roman" w:cs="Times New Roman"/>
        </w:rPr>
        <w:fldChar w:fldCharType="end"/>
      </w:r>
      <w:r w:rsidRPr="00FA32F2">
        <w:rPr>
          <w:rFonts w:ascii="Times New Roman" w:hAnsi="Times New Roman" w:cs="Times New Roman"/>
        </w:rPr>
        <w:t xml:space="preserve"> Urbanization, income changes, and shifts in cultural and dietary practices have contributed to this rise.</w:t>
      </w:r>
      <w:r w:rsidR="00CB2CDF" w:rsidRPr="00FA32F2">
        <w:rPr>
          <w:rFonts w:ascii="Times New Roman" w:hAnsi="Times New Roman" w:cs="Times New Roman"/>
        </w:rPr>
        <w:fldChar w:fldCharType="begin"/>
      </w:r>
      <w:r w:rsidR="00CB2CDF" w:rsidRPr="00FA32F2">
        <w:rPr>
          <w:rFonts w:ascii="Times New Roman" w:hAnsi="Times New Roman" w:cs="Times New Roman"/>
        </w:rPr>
        <w:instrText xml:space="preserve"> ADDIN ZOTERO_ITEM CSL_CITATION {"citationID":"IcmlXOuq","properties":{"formattedCitation":"\\super 11\\nosupersub{}","plainCitation":"11","noteIndex":0},"citationItems":[{"id":5528,"uris":["http://zotero.org/users/15244130/items/42Q4ZC6Z"],"itemData":{"id":5528,"type":"article-journal","abstract":"Introduction\nGhana like other African countries is facing multiple health threats due to expansion of urban populations. Globally, the urbanization phenomenon has received considerable attention and modest steps have been undertaken to address it. Ghana is stalling on implementation of policies and interventions targeted at alleviating the menace.\n\nObjectives\nThis review examined research evidence, interventions, and policies relating to urbanization and threats to health and well-being of people living in Ghana. The review focused on three areas including urbanization threats to health and well-being, health risks associated with urbanization, and interventions and policies.\n\nMaterials and Methods\nThe search spanned from year 2000 to February 2022 covering documents related to urbanization, health, and well-being. Databases used for the search include African Journals Online, Annual Reviews (Biomedical, Life &amp; Physical sciences, Social Sciences), BioMedCentral, BioOne, BLDS digital library, Cambridge University Press, ClinicalKey, CINAHL, University of Ghana Digital Collections/UGSpace, JSTOR, Medline and Wiley Online Library.\n\nResults\nEnvironmental risk factors, urban planning, water-related, behavior-related, and socioeconomic factors were important urbanization threats to health and well-being. Health risks identified include airborne diseases, waterborne diseases, malaria, and non-communicable diseases such as hypertension and lung cancer. Additionally, there is evidence of non-implementation and/or non-enforcement of existing interventions and policies.\n\nConclusion and Recommendation\nEvidence from this rapid review shows that urbanization impacts on health and well-being of people in Ghana. Urbanization threats that expose populations to health risks could be reduced through commitment to implementation, surveillance and monitoring of policies and interventions. Communities and individuals must be equipped to take control of their health and well-being.","container-title":"Frontiers in Public Health","DOI":"10.3389/fpubh.2022.877920","ISSN":"2296-2565","journalAbbreviation":"Front Public Health","note":"PMID: 35836994\nPMCID: PMC9273841","page":"877920","source":"PubMed Central","title":"Impact of Urbanization on Health and Well-Being in Ghana. Status of Research, Intervention Strategies and Future Directions: A Rapid Review","title-short":"Impact of Urbanization on Health and Well-Being in Ghana. Status of Research, Intervention Strategies and Future Directions","volume":"10","author":[{"family":"Tay","given":"Doris Akosua"},{"family":"Ocansey","given":"Reginald T. A."}],"issued":{"date-parts":[["2022",6,28]]}}}],"schema":"https://github.com/citation-style-language/schema/raw/master/csl-citation.json"} </w:instrText>
      </w:r>
      <w:r w:rsidR="00CB2CDF" w:rsidRPr="00FA32F2">
        <w:rPr>
          <w:rFonts w:ascii="Times New Roman" w:hAnsi="Times New Roman" w:cs="Times New Roman"/>
        </w:rPr>
        <w:fldChar w:fldCharType="separate"/>
      </w:r>
      <w:r w:rsidR="00CB2CDF" w:rsidRPr="00FA32F2">
        <w:rPr>
          <w:rFonts w:ascii="Times New Roman" w:hAnsi="Times New Roman" w:cs="Times New Roman"/>
          <w:kern w:val="0"/>
          <w:vertAlign w:val="superscript"/>
        </w:rPr>
        <w:t>11</w:t>
      </w:r>
      <w:r w:rsidR="00CB2CDF" w:rsidRPr="00FA32F2">
        <w:rPr>
          <w:rFonts w:ascii="Times New Roman" w:hAnsi="Times New Roman" w:cs="Times New Roman"/>
        </w:rPr>
        <w:fldChar w:fldCharType="end"/>
      </w:r>
      <w:r w:rsidRPr="00FA32F2">
        <w:rPr>
          <w:rFonts w:ascii="Times New Roman" w:hAnsi="Times New Roman" w:cs="Times New Roman"/>
        </w:rPr>
        <w:t xml:space="preserve"> Despite national policy efforts to improve screening and access to antihypertensive medication, the rates of blood pressure control remain low. A nationwide study by </w:t>
      </w:r>
      <w:r w:rsidR="00BA2DCF" w:rsidRPr="00FA32F2">
        <w:rPr>
          <w:rFonts w:ascii="Times New Roman" w:hAnsi="Times New Roman" w:cs="Times New Roman"/>
        </w:rPr>
        <w:t>Sarkodie</w:t>
      </w:r>
      <w:r w:rsidRPr="00FA32F2">
        <w:rPr>
          <w:rFonts w:ascii="Times New Roman" w:hAnsi="Times New Roman" w:cs="Times New Roman"/>
        </w:rPr>
        <w:t xml:space="preserve"> et al.</w:t>
      </w:r>
      <w:r w:rsidR="009122F9" w:rsidRPr="00FA32F2">
        <w:rPr>
          <w:rFonts w:ascii="Times New Roman" w:hAnsi="Times New Roman" w:cs="Times New Roman"/>
        </w:rPr>
        <w:fldChar w:fldCharType="begin"/>
      </w:r>
      <w:r w:rsidR="009122F9" w:rsidRPr="00FA32F2">
        <w:rPr>
          <w:rFonts w:ascii="Times New Roman" w:hAnsi="Times New Roman" w:cs="Times New Roman"/>
        </w:rPr>
        <w:instrText xml:space="preserve"> ADDIN ZOTERO_ITEM CSL_CITATION {"citationID":"uzspxomL","properties":{"formattedCitation":"\\super 12\\nosupersub{}","plainCitation":"12","noteIndex":0},"citationItems":[{"id":5533,"uris":["http://zotero.org/users/15244130/items/U9JKURFY"],"itemData":{"id":5533,"type":"article-journal","abstract":"BACKGROUND: A major drawback to the management of hypertension among patients is poor adherence to pharmacotherapy. Factors that influence non-adherence to antihypertensive drugs could vary, depending on the prevailing condition of patient and setting. Knowledge of adherence patterns and behavior of hypertensive patients to pharmacotherapy could improve health-directed policies towards hypertension management.\nOBJECTIVE: The objective of this study was to determine factors that influence adherence to oral antihypertensive drugs among patients attending two district hospitals in the Volta Region of Ghana.\nMETHODS: The study was cross-sectional. Respondents were hypertensive patients attending Krachi West District (n=187) and Hohoe Municipal (n=183) hospitals between March 2016 to May 2016. Data was collected using a structured questionnaire and Morisky 8 Item Measurement of adherence scale.\nRESULTS: Adherence to oral antihypertensive drugs was 89.2%. However, more than half of these respondents appeared to have uncontrolled blood pressure; and this may be due to self-response bias, blood pressure being measured only on the day of the interview or use of fake drugs (which was not assessed in this study). The strongest predictors of adherence were; knowledge on hypertension, perception of severity of condition and the amount of alcohol consumed in a day by respondents.\nCONCLUSION: Good adherence to oral antihypertensive drugs was observed in this population despite uncontrolled hypertension in a number of the respondents. The three independent predictors of adherence to antihypertensive medications in this study were respondent's knowledge about hypertension, perception of severity of their condition and the amount of alcohol consumed in a day. Regular patient education and counseling by medical practitioners should be encouraged in these settings to improve patient adherence.","container-title":"African Health Sciences","DOI":"10.4314/ahs.v20i3.42","ISSN":"1729-0503","issue":"3","journalAbbreviation":"Afr Health Sci","language":"eng","note":"PMID: 33402985\nPMCID: PMC7751545","page":"1355-1367","source":"PubMed","title":"Adherence to drug therapy among hypertensive patients attending two district hospitals in Ghana","volume":"20","author":[{"family":"Sarkodie","given":"Emmanuel"},{"family":"Afriyie","given":"Daniel Kwame"},{"family":"Hutton-Nyameaye","given":"Araba"},{"family":"Amponsah","given":"Seth Kwabena"}],"issued":{"date-parts":[["2020",9]]}}}],"schema":"https://github.com/citation-style-language/schema/raw/master/csl-citation.json"} </w:instrText>
      </w:r>
      <w:r w:rsidR="009122F9" w:rsidRPr="00FA32F2">
        <w:rPr>
          <w:rFonts w:ascii="Times New Roman" w:hAnsi="Times New Roman" w:cs="Times New Roman"/>
        </w:rPr>
        <w:fldChar w:fldCharType="separate"/>
      </w:r>
      <w:r w:rsidR="009122F9" w:rsidRPr="00FA32F2">
        <w:rPr>
          <w:rFonts w:ascii="Times New Roman" w:hAnsi="Times New Roman" w:cs="Times New Roman"/>
          <w:kern w:val="0"/>
          <w:vertAlign w:val="superscript"/>
        </w:rPr>
        <w:t>12</w:t>
      </w:r>
      <w:r w:rsidR="009122F9" w:rsidRPr="00FA32F2">
        <w:rPr>
          <w:rFonts w:ascii="Times New Roman" w:hAnsi="Times New Roman" w:cs="Times New Roman"/>
        </w:rPr>
        <w:fldChar w:fldCharType="end"/>
      </w:r>
      <w:r w:rsidR="009122F9" w:rsidRPr="00FA32F2">
        <w:rPr>
          <w:rFonts w:ascii="Times New Roman" w:hAnsi="Times New Roman" w:cs="Times New Roman"/>
        </w:rPr>
        <w:t xml:space="preserve"> </w:t>
      </w:r>
      <w:r w:rsidRPr="00FA32F2">
        <w:rPr>
          <w:rFonts w:ascii="Times New Roman" w:hAnsi="Times New Roman" w:cs="Times New Roman"/>
        </w:rPr>
        <w:t>reported that while a majority of hypertensive patients were on treatment, less than 20% had controlled blood pressure. Although medication adherence tends to be higher</w:t>
      </w:r>
      <w:r w:rsidR="009122F9" w:rsidRPr="00FA32F2">
        <w:rPr>
          <w:rFonts w:ascii="Times New Roman" w:hAnsi="Times New Roman" w:cs="Times New Roman"/>
        </w:rPr>
        <w:t xml:space="preserve">, </w:t>
      </w:r>
      <w:r w:rsidRPr="00FA32F2">
        <w:rPr>
          <w:rFonts w:ascii="Times New Roman" w:hAnsi="Times New Roman" w:cs="Times New Roman"/>
        </w:rPr>
        <w:t>especially among those covered by Ghana’s National Health Insurance Scheme</w:t>
      </w:r>
      <w:r w:rsidR="009122F9" w:rsidRPr="00FA32F2">
        <w:rPr>
          <w:rFonts w:ascii="Times New Roman" w:hAnsi="Times New Roman" w:cs="Times New Roman"/>
        </w:rPr>
        <w:t xml:space="preserve">, </w:t>
      </w:r>
      <w:r w:rsidRPr="00FA32F2">
        <w:rPr>
          <w:rFonts w:ascii="Times New Roman" w:hAnsi="Times New Roman" w:cs="Times New Roman"/>
        </w:rPr>
        <w:t>engagement in lifestyle modification practices, such as reducing salt intake, increasing physical activity, and monitoring blood pressure at home, remains inadequate</w:t>
      </w:r>
      <w:r w:rsidR="00B1129C" w:rsidRPr="00FA32F2">
        <w:rPr>
          <w:rFonts w:ascii="Times New Roman" w:hAnsi="Times New Roman" w:cs="Times New Roman"/>
        </w:rPr>
        <w:t xml:space="preserve">. </w:t>
      </w:r>
      <w:r w:rsidR="00B1129C" w:rsidRPr="00FA32F2">
        <w:rPr>
          <w:rFonts w:ascii="Times New Roman" w:hAnsi="Times New Roman" w:cs="Times New Roman"/>
        </w:rPr>
        <w:fldChar w:fldCharType="begin"/>
      </w:r>
      <w:r w:rsidR="00B1129C" w:rsidRPr="00FA32F2">
        <w:rPr>
          <w:rFonts w:ascii="Times New Roman" w:hAnsi="Times New Roman" w:cs="Times New Roman"/>
        </w:rPr>
        <w:instrText xml:space="preserve"> ADDIN ZOTERO_ITEM CSL_CITATION {"citationID":"nuoEcxLR","properties":{"formattedCitation":"\\super 13,14\\nosupersub{}","plainCitation":"13,14","noteIndex":0},"citationItems":[{"id":5539,"uris":["http://zotero.org/users/15244130/items/H22CNJNN"],"itemData":{"id":5539,"type":"article-journal","abstract":"Background\nPatients with chronic conditions like hypertension may experience many negative emotions which increase their risk for the development of mental health disorders particularly anxiety and depression. For Ghanaian patients with hypertension, the interaction between hypertension and symptoms of anxiety, depression and stress remains largely unexplored. To fill this knowledge gap, the study sought to ascertain the prevalence and role of these negative emotions on anti-hypertensive medication adherence while taking into account patients’ belief systems.\n\nMethods\nThe hospital-based cross-sectional study involving 400 hypertensive patients was conducted in two tertiary hospitals in Ghana. Data were gathered on patient’s socio-demographic characteristics, anxiety, depression and stress symptoms, spiritual beliefs, and medication adherence.\n\nResults\nHypertensive patients experienced symptoms of anxiety (56%), stress (20%) and depression (4%). As a coping mechanism, a significant relation was observed between spiritual beliefs and anxiety (x2 = 13.352, p = 0.010), depression (x2 = 6.205, p = 0.045) and stress (x2 = 14.833, p = 0.001). Stress among patients increased their likelihood of medication non-adherence [odds ratio (OR) = 2.42 (95% CI 1.06 – 5.5), p = 0.035].\n\nConclusion\nThe study has demonstrated the need for clinicians to pay attention to negative emotions and their role in medication non-adherence. The recommendation is that attention should be directed toward the use of spirituality as a possible mechanism by which negative emotions could be managed among hypertensive patients.","container-title":"International Journal of Mental Health Systems","DOI":"10.1186/1752-4458-8-25","ISSN":"1752-4458","journalAbbreviation":"Int J Ment Health Syst","note":"PMID: 24987456\nPMCID: PMC4077111","page":"25","source":"PubMed Central","title":"Mental health in hypertension: assessing symptoms of anxiety, depression and stress on anti-hypertensive medication adherence","title-short":"Mental health in hypertension","volume":"8","author":[{"family":"Kretchy","given":"Irene A"},{"family":"Owusu-Daaku","given":"Frances T"},{"family":"Danquah","given":"Samuel A"}],"issued":{"date-parts":[["2014",6,21]]}}},{"id":5537,"uris":["http://zotero.org/users/15244130/items/7U9Z3UTL"],"itemData":{"id":5537,"type":"article-journal","abstract":"BACKGROUND: Hypertension is a major public health problem in many sub-Saharan African countries including Ghana, but data on urban poor communities are limited. The aim of this study was therefore to assess the prevalence, awareness, management and control of hypertension among a young adult population in their reproductive ages living in urban poor communities in Accra.\nMETHODS: Cross-sectional, population-based survey of 714 young adults in their reproductive ages (women aged 15-49 years, men aged 15-59 years) living in three urban poor suburbs of Accra, Ghana.\nRESULTS: The overall prevalence of hypertension in all three communities was 28.3% (women 25.6% and men 31.0%). Among respondents who had hypertension, 7.4% were aware of their condition; 4% were on antihypertensive medication while only 3.5% of hypertensive individuals had adequate blood pressure (BP) control (BP &lt;140/90  mmHg). The level of awareness and treatment was lower in men than in women (3.1 and 1.3% for men and 11.9 and 6.5% for women, respectively). Among individuals with hypertension, the rate of control was higher among women than among men (5.0 and 2.1%, respectively).\nCONCLUSION: Although about a quarter of the young adult population in these low-income communities of Accra have hypertension, the levels of awareness, treatment and control are abysmally low. We recommend community-specific primary and secondary prevention interventions that draw on existing resources, specifically implementing cardiovascular disease (CVD) interventions in faith-based organizations and task-shifting CVD care through the national Community-based Health Planning and Services (CHPS) programme.","container-title":"Journal of Hypertension","DOI":"10.1097/HJH.0000000000000165","ISSN":"1473-5598","issue":"6","journalAbbreviation":"J Hypertens","language":"eng","note":"PMID: 24721931","page":"1203-1210","source":"PubMed","title":"Prevalence, awareness, treatment and control of hypertension in urban poor communities in Accra, Ghana","volume":"32","author":[{"family":"Awuah","given":"Raphael B."},{"family":"Anarfi","given":"John K."},{"family":"Agyemang","given":"Charles"},{"family":"Ogedegbe","given":"Gbenga"},{"family":"Aikins","given":"Ama","dropping-particle":"de-Graft"}],"issued":{"date-parts":[["2014",6]]}}}],"schema":"https://github.com/citation-style-language/schema/raw/master/csl-citation.json"} </w:instrText>
      </w:r>
      <w:r w:rsidR="00B1129C" w:rsidRPr="00FA32F2">
        <w:rPr>
          <w:rFonts w:ascii="Times New Roman" w:hAnsi="Times New Roman" w:cs="Times New Roman"/>
        </w:rPr>
        <w:fldChar w:fldCharType="separate"/>
      </w:r>
      <w:r w:rsidR="00B1129C" w:rsidRPr="00FA32F2">
        <w:rPr>
          <w:rFonts w:ascii="Times New Roman" w:hAnsi="Times New Roman" w:cs="Times New Roman"/>
          <w:kern w:val="0"/>
          <w:vertAlign w:val="superscript"/>
        </w:rPr>
        <w:t>13,14</w:t>
      </w:r>
      <w:r w:rsidR="00B1129C" w:rsidRPr="00FA32F2">
        <w:rPr>
          <w:rFonts w:ascii="Times New Roman" w:hAnsi="Times New Roman" w:cs="Times New Roman"/>
        </w:rPr>
        <w:fldChar w:fldCharType="end"/>
      </w:r>
    </w:p>
    <w:p w14:paraId="4B56D95F" w14:textId="48B61888" w:rsidR="00870C7C" w:rsidRPr="00FA32F2" w:rsidRDefault="00870C7C" w:rsidP="00FA32F2">
      <w:pPr>
        <w:rPr>
          <w:rFonts w:ascii="Times New Roman" w:hAnsi="Times New Roman" w:cs="Times New Roman"/>
        </w:rPr>
      </w:pPr>
      <w:r w:rsidRPr="00FA32F2">
        <w:rPr>
          <w:rFonts w:ascii="Times New Roman" w:hAnsi="Times New Roman" w:cs="Times New Roman"/>
        </w:rPr>
        <w:t>Northern Ghana faces additional contextual challenges that impede effective hypertension control. The region is characterized by high poverty rates, limited access to healthcare facilities, low literacy levels, and sociocultural beliefs that may discourage adherence to biomedical care.</w:t>
      </w:r>
      <w:r w:rsidR="00B1129C" w:rsidRPr="00FA32F2">
        <w:rPr>
          <w:rFonts w:ascii="Times New Roman" w:hAnsi="Times New Roman" w:cs="Times New Roman"/>
        </w:rPr>
        <w:fldChar w:fldCharType="begin"/>
      </w:r>
      <w:r w:rsidR="00B1129C" w:rsidRPr="00FA32F2">
        <w:rPr>
          <w:rFonts w:ascii="Times New Roman" w:hAnsi="Times New Roman" w:cs="Times New Roman"/>
        </w:rPr>
        <w:instrText xml:space="preserve"> ADDIN ZOTERO_ITEM CSL_CITATION {"citationID":"8gi3Cazm","properties":{"formattedCitation":"\\super 15\\nosupersub{}","plainCitation":"15","noteIndex":0},"citationItems":[{"id":5548,"uris":["http://zotero.org/users/15244130/items/H6I8QSB7"],"itemData":{"id":5548,"type":"article-journal","container-title":"Public Health","DOI":"10.1016/j.puhe.2019.11.007","ISSN":"00333506","journalAbbreviation":"Public Health","language":"en","page":"16-23","source":"DOI.org (Crossref)","title":"Factors hindering hypertension control: perspectives of front-line health professionals in rural Ghana","title-short":"Factors hindering hypertension control","volume":"181","author":[{"family":"Nyaaba","given":"G.N."},{"family":"Masana","given":"L."},{"family":"Aikins","given":"A.","non-dropping-particle":"de-Graft"},{"family":"Beune","given":"E."},{"family":"Agyemang","given":"C."}],"issued":{"date-parts":[["2020",4]]}}}],"schema":"https://github.com/citation-style-language/schema/raw/master/csl-citation.json"} </w:instrText>
      </w:r>
      <w:r w:rsidR="00B1129C" w:rsidRPr="00FA32F2">
        <w:rPr>
          <w:rFonts w:ascii="Times New Roman" w:hAnsi="Times New Roman" w:cs="Times New Roman"/>
        </w:rPr>
        <w:fldChar w:fldCharType="separate"/>
      </w:r>
      <w:r w:rsidR="00B1129C" w:rsidRPr="00FA32F2">
        <w:rPr>
          <w:rFonts w:ascii="Times New Roman" w:hAnsi="Times New Roman" w:cs="Times New Roman"/>
          <w:kern w:val="0"/>
          <w:vertAlign w:val="superscript"/>
        </w:rPr>
        <w:t>15</w:t>
      </w:r>
      <w:r w:rsidR="00B1129C" w:rsidRPr="00FA32F2">
        <w:rPr>
          <w:rFonts w:ascii="Times New Roman" w:hAnsi="Times New Roman" w:cs="Times New Roman"/>
        </w:rPr>
        <w:fldChar w:fldCharType="end"/>
      </w:r>
      <w:r w:rsidRPr="00FA32F2">
        <w:rPr>
          <w:rFonts w:ascii="Times New Roman" w:hAnsi="Times New Roman" w:cs="Times New Roman"/>
        </w:rPr>
        <w:t xml:space="preserve"> </w:t>
      </w:r>
      <w:r w:rsidR="00B329D9" w:rsidRPr="00FA32F2">
        <w:rPr>
          <w:rFonts w:ascii="Times New Roman" w:hAnsi="Times New Roman" w:cs="Times New Roman"/>
        </w:rPr>
        <w:t xml:space="preserve"> Studies have shown </w:t>
      </w:r>
      <w:r w:rsidRPr="00FA32F2">
        <w:rPr>
          <w:rFonts w:ascii="Times New Roman" w:hAnsi="Times New Roman" w:cs="Times New Roman"/>
        </w:rPr>
        <w:t xml:space="preserve">that hypertensive patients in </w:t>
      </w:r>
      <w:r w:rsidR="00B329D9" w:rsidRPr="00FA32F2">
        <w:rPr>
          <w:rFonts w:ascii="Times New Roman" w:hAnsi="Times New Roman" w:cs="Times New Roman"/>
        </w:rPr>
        <w:t xml:space="preserve">many </w:t>
      </w:r>
      <w:r w:rsidR="00BF67B7" w:rsidRPr="00FA32F2">
        <w:rPr>
          <w:rFonts w:ascii="Times New Roman" w:hAnsi="Times New Roman" w:cs="Times New Roman"/>
        </w:rPr>
        <w:t>parts of Ghana often lack information about their condition, are poorly supported in implementing lifestyle changes, and face economic barriers to regular clinic visits and medication refills</w:t>
      </w:r>
      <w:r w:rsidRPr="00FA32F2">
        <w:rPr>
          <w:rFonts w:ascii="Times New Roman" w:hAnsi="Times New Roman" w:cs="Times New Roman"/>
        </w:rPr>
        <w:t>.</w:t>
      </w:r>
      <w:r w:rsidR="005D78FE" w:rsidRPr="00FA32F2">
        <w:rPr>
          <w:rFonts w:ascii="Times New Roman" w:hAnsi="Times New Roman" w:cs="Times New Roman"/>
        </w:rPr>
        <w:fldChar w:fldCharType="begin"/>
      </w:r>
      <w:r w:rsidR="005D78FE" w:rsidRPr="00FA32F2">
        <w:rPr>
          <w:rFonts w:ascii="Times New Roman" w:hAnsi="Times New Roman" w:cs="Times New Roman"/>
        </w:rPr>
        <w:instrText xml:space="preserve"> ADDIN ZOTERO_ITEM CSL_CITATION {"citationID":"xplskFBg","properties":{"formattedCitation":"\\super 15\\uc0\\u8211{}18\\nosupersub{}","plainCitation":"15–18","noteIndex":0},"citationItems":[{"id":5548,"uris":["http://zotero.org/users/15244130/items/H6I8QSB7"],"itemData":{"id":5548,"type":"article-journal","container-title":"Public Health","DOI":"10.1016/j.puhe.2019.11.007","ISSN":"00333506","journalAbbreviation":"Public Health","language":"en","page":"16-23","source":"DOI.org (Crossref)","title":"Factors hindering hypertension control: perspectives of front-line health professionals in rural Ghana","title-short":"Factors hindering hypertension control","volume":"181","author":[{"family":"Nyaaba","given":"G.N."},{"family":"Masana","given":"L."},{"family":"Aikins","given":"A.","non-dropping-particle":"de-Graft"},{"family":"Beune","given":"E."},{"family":"Agyemang","given":"C."}],"issued":{"date-parts":[["2020",4]]}}},{"id":5542,"uris":["http://zotero.org/users/15244130/items/8LKV2UCY"],"itemData":{"id":5542,"type":"article-journal","abstract":"Background\n              Hypertension (HPT) is an essential public health problem affecting both lower and middle-income countries disproportionately. Evidence suggests that HPT is the leading risk factor for cardiovascular diseases and chronic kidney disease. Yet, challenges faced by patients with HPT in Ghana are not sufficiently explored. This study, documents the challenges patients with HPT face in Ghana.\n            \n            \n              Methods\n              We used an explorative descriptive qualitative design. Face-to-face in-depth interviews were conducted with 15 patients with HPT. Interviews were recorded and transcribed verbatim. A thematic content analysis procedure was followed to analyse the data.\n            \n            \n              Results\n              Four main themes emerged from interviews; three of which pertained to dimensions of challenges and a fourth which pertained to coping strategies. These include: [1] impairment in physical activities and mobility constraints [2]. Psychological challenges such as suicidal ideations, sadness, fear, anxiety, and reduced sexual affection [3]. Socio-economic challenges identified include loss of friends and social network, difficulty in job demands, and financial burden, and [4] coping strategies such as health system support, social support, and religiosity were identified.\n            \n            \n              Conclusion\n              Patients with HPT experience an array of challenges. We suggest that health care facilities incorporate post HPT diagnosis counseling sessions for HPT patients in the study area. Also, the National Health Insurance Authority (NHIA) should re-examine their scope of services; thus, drugs, laboratory services, and electrocardiogram services to avoid the issue of co-payment. Collaboration between healthcare professionals and family relations of patients with HPT ought to also be strengthened to ensure optimal care.","container-title":"PLOS ONE","DOI":"10.1371/journal.pone.0250355","ISSN":"1932-6203","issue":"5","journalAbbreviation":"PLoS ONE","language":"en","page":"e0250355","source":"DOI.org (Crossref)","title":"Challenges experienced by patients with hypertension in Ghana: A qualitative inquiry","title-short":"Challenges experienced by patients with hypertension in Ghana","volume":"16","author":[{"family":"Atibila","given":"Fidelis"},{"family":"Ten Hoor","given":"Gill"},{"family":"Donkoh","given":"Emmanuel Timmy"},{"family":"Kok","given":"Gerjo"}],"editor":[{"family":"Rowe","given":"Richard"}],"issued":{"date-parts":[["2021",5,6]]}}},{"id":5544,"uris":["http://zotero.org/users/15244130/items/XA6EKCTB"],"itemData":{"id":5544,"type":"article-journal","abstract":"Abstract\n            Ghana has signed on to the United Nations Sustainable Development Goal to achieve universal health coverage (UHC), ensuring that all individuals receive the health care they require without financial hardship. Achieving that goal is a difficult task in any setting. The challenges are further exacerbated by a changing disease landscape, as the burden of non-communicable diseases (NCDs) is increasing and creating a dual burden along with infectious diseases. This study explores the existing health system for delivering hypertension care and the challenges of delivering UHC for hypertension in Ghana. Document analysis of national health reports, policies and legislations along with a review of research articles was conducted to explore the challenges of delivering UHC for NCDs in Ghana, and hypertension in particular. The main themes and indicators related to the challenges of delivering UHC for hypertension were mapped and analysed. The main challenges to delivering UHC for hypertension can be grouped into population and patient, on the one hand, and health system factors, on the other. Population and patient factors include (1) unhealthy lifestyles overburdening the health system, (2) poor health-seeking behaviour and (3) poor adherence to medication, which has led to uncontrolled cases and poor clinical outcomes even among treated patients with hypertension. Health system factors include (1) inadequate health system capacity for early diagnosis due to an increasing number of patients, (2) inequitable distribution of health care facilities affecting access, (3) financial sustainability of the National Health Insurance Scheme and delays in reimbursement of claims to facilities that affect the health system’s ability to provide timely management of hypertension and (4) health care facilities and practitioners’ use of non-standardized and uncalibrated blood pressure measuring equipment. Ghana therefore will need to make important decisions to overcome operational and financial challenges on its path to UHC.","container-title":"Health Policy and Planning","DOI":"10.1093/heapol/czab088","ISSN":"1460-2237","issue":"9","language":"en","license":"https://academic.oup.com/journals/pages/open_access/funder_policies/chorus/standard_publication_model","page":"1451-1458","source":"DOI.org (Crossref)","title":"Health systems, population and patient challenges for achieving universal health coverage for hypertension in Ghana","volume":"36","author":[{"family":"Koduah","given":"Augustina"},{"family":"Nonvignon","given":"Justice"},{"family":"Colson","given":"Abigail"},{"family":"Kurdi","given":"Amanj"},{"family":"Morton","given":"Alec"},{"family":"Van Der Meer","given":"Robert"},{"family":"Aryeetey","given":"Genevieve"},{"family":"Megiddo","given":"Itamar"}],"issued":{"date-parts":[["2021",10,12]]}}},{"id":5546,"uris":["http://zotero.org/users/15244130/items/MTZ8DNQS"],"itemData":{"id":5546,"type":"article-journal","abstract":"Abstract\n            \n              Background\n              Hypertension, itself a cardiovascular condition, is a significant risk factor for other cardiovascular diseases. Hypertension is recognized as a major public health challenge in Ghana. Beginning in 2014, a collaborative team launched the community-based hypertension improvement program (ComHIP) in one health district in Ghana. The ComHIP project, a public-private partnership, tests a community-based model that engages the private sector and utilizes information and communication technology (ICT) to control hypertension. This paper, focuses on the various challenges associated with managing hypertension in Ghana, as reported by ComHIP stakeholders.\n            \n            \n              Methods\n              A total of 55 informants – comprising patients, health care professionals, licensed chemical sellers (LCS), national and sub-national policymakers – were purposively selected for interview and focus group discussions (FGDs). Interviews were audio-recorded and transcribed verbatim. Where applicable, transcriptions were translated directly from local language to English. The data were then analysed using two-step thematic analysis. The protocol was approved by the two ethics review committees based in Ghana and the third, based in the United Kingdom. All participants were interviewed after giving informed consent.\n            \n            \n              Results\n              Our data have implications for the on-going implementation of ComHIP, especially the importance of policy maker buy-in, and the benefits, as well as drawbacks, of the program to different stakeholders. While our data show that the ComHIP initiative is acceptable to patients and healthcare providers – increasing providers’ knowledge on hypertension and patients’ awareness of same- there were implementation challenges identified by both patients and providers. Policy level challenges relate to task-sharing bottlenecks, which precluded nurses from prescribing or dispensing antihypertensives, and LCS from stocking same. Medication adherence and the phenomenon of medical pluralism in Ghana were identified challenges. The perspectives from the national level stakeholders enable elucidation of whole of health system challenges to ComHIP and similarly designed programmes.\n            \n            \n              Conclusions\n              This paper sheds important light on the patient/individual, and system level challenges to hypertension and related non-communicable disease prevention and treatment in Ghana. The data show that although the ComHIP initiative is acceptable to patients and healthcare providers, policy level task-sharing bottlenecks preclude optimal implementation of ComHIP.","container-title":"BMC Health Services Research","DOI":"10.1186/s12913-019-4571-6","ISSN":"1472-6963","issue":"1","journalAbbreviation":"BMC Health Serv Res","language":"en","page":"693","source":"DOI.org (Crossref)","title":"Health system challenges to hypertension and related non-communicable diseases prevention and treatment: perspectives from Ghanaian stakeholders","title-short":"Health system challenges to hypertension and related non-communicable diseases prevention and treatment","volume":"19","author":[{"family":"Laar","given":"Amos K."},{"family":"Adler","given":"Alma J."},{"family":"Kotoh","given":"Agnes M."},{"family":"Legido-Quigley","given":"Helena"},{"family":"Lange","given":"Isabelle L."},{"family":"Perel","given":"Pablo"},{"family":"Lamptey","given":"Peter"}],"issued":{"date-parts":[["2019",12]]}}}],"schema":"https://github.com/citation-style-language/schema/raw/master/csl-citation.json"} </w:instrText>
      </w:r>
      <w:r w:rsidR="005D78FE" w:rsidRPr="00FA32F2">
        <w:rPr>
          <w:rFonts w:ascii="Times New Roman" w:hAnsi="Times New Roman" w:cs="Times New Roman"/>
        </w:rPr>
        <w:fldChar w:fldCharType="separate"/>
      </w:r>
      <w:r w:rsidR="005D78FE" w:rsidRPr="00FA32F2">
        <w:rPr>
          <w:rFonts w:ascii="Times New Roman" w:hAnsi="Times New Roman" w:cs="Times New Roman"/>
          <w:kern w:val="0"/>
          <w:vertAlign w:val="superscript"/>
        </w:rPr>
        <w:t>15–18</w:t>
      </w:r>
      <w:r w:rsidR="005D78FE" w:rsidRPr="00FA32F2">
        <w:rPr>
          <w:rFonts w:ascii="Times New Roman" w:hAnsi="Times New Roman" w:cs="Times New Roman"/>
        </w:rPr>
        <w:fldChar w:fldCharType="end"/>
      </w:r>
      <w:r w:rsidRPr="00FA32F2">
        <w:rPr>
          <w:rFonts w:ascii="Times New Roman" w:hAnsi="Times New Roman" w:cs="Times New Roman"/>
        </w:rPr>
        <w:t xml:space="preserve"> These systemic and social determinants of health influence both treatment outcomes and the extent to which patients can engage in long-term self-management.</w:t>
      </w:r>
    </w:p>
    <w:p w14:paraId="5DDDE594" w14:textId="52BEEF04" w:rsidR="00870C7C" w:rsidRPr="00FA32F2" w:rsidRDefault="00870C7C" w:rsidP="00FA32F2">
      <w:pPr>
        <w:rPr>
          <w:rFonts w:ascii="Times New Roman" w:hAnsi="Times New Roman" w:cs="Times New Roman"/>
        </w:rPr>
      </w:pPr>
      <w:commentRangeStart w:id="0"/>
      <w:r w:rsidRPr="00FA32F2">
        <w:rPr>
          <w:rFonts w:ascii="Times New Roman" w:hAnsi="Times New Roman" w:cs="Times New Roman"/>
        </w:rPr>
        <w:t>Self-management</w:t>
      </w:r>
      <w:r w:rsidR="00406B17" w:rsidRPr="00FA32F2">
        <w:rPr>
          <w:rFonts w:ascii="Times New Roman" w:hAnsi="Times New Roman" w:cs="Times New Roman"/>
        </w:rPr>
        <w:t xml:space="preserve"> </w:t>
      </w:r>
      <w:r w:rsidRPr="00FA32F2">
        <w:rPr>
          <w:rFonts w:ascii="Times New Roman" w:hAnsi="Times New Roman" w:cs="Times New Roman"/>
        </w:rPr>
        <w:t>the daily activities individuals undertake to control or reduce the impact of chronic illness</w:t>
      </w:r>
      <w:r w:rsidR="00406B17" w:rsidRPr="00FA32F2">
        <w:rPr>
          <w:rFonts w:ascii="Times New Roman" w:hAnsi="Times New Roman" w:cs="Times New Roman"/>
        </w:rPr>
        <w:t xml:space="preserve"> </w:t>
      </w:r>
      <w:r w:rsidRPr="00FA32F2">
        <w:rPr>
          <w:rFonts w:ascii="Times New Roman" w:hAnsi="Times New Roman" w:cs="Times New Roman"/>
        </w:rPr>
        <w:t xml:space="preserve">plays a critical role in the successful management of </w:t>
      </w:r>
      <w:r w:rsidR="00BF67B7" w:rsidRPr="00FA32F2">
        <w:rPr>
          <w:rFonts w:ascii="Times New Roman" w:hAnsi="Times New Roman" w:cs="Times New Roman"/>
        </w:rPr>
        <w:t>hypertension</w:t>
      </w:r>
      <w:r w:rsidRPr="00FA32F2">
        <w:rPr>
          <w:rFonts w:ascii="Times New Roman" w:hAnsi="Times New Roman" w:cs="Times New Roman"/>
        </w:rPr>
        <w:t>.</w:t>
      </w:r>
      <w:r w:rsidR="00406B17" w:rsidRPr="00FA32F2">
        <w:rPr>
          <w:rFonts w:ascii="Times New Roman" w:hAnsi="Times New Roman" w:cs="Times New Roman"/>
        </w:rPr>
        <w:fldChar w:fldCharType="begin"/>
      </w:r>
      <w:r w:rsidR="00406B17" w:rsidRPr="00FA32F2">
        <w:rPr>
          <w:rFonts w:ascii="Times New Roman" w:hAnsi="Times New Roman" w:cs="Times New Roman"/>
        </w:rPr>
        <w:instrText xml:space="preserve"> ADDIN ZOTERO_ITEM CSL_CITATION {"citationID":"WgGpjxLl","properties":{"formattedCitation":"\\super 19\\nosupersub{}","plainCitation":"19","noteIndex":0},"citationItems":[{"id":5549,"uris":["http://zotero.org/users/15244130/items/AZUTQXKD"],"itemData":{"id":5549,"type":"article-journal","abstract":"For both clinical and economic reasons, the increasing number of persons living with chronic conditions represents a public health issue of growing importance. Emphasizing patient responsibility, and acting in concert with the provider community, self-management represents a promising strategy for treating chronic conditions—moving beyond education to teaching individuals to actively identify challenges and solve problems associated with their illness. Self-management also shows potential as an effective paradigm across the prevention spectrum (primary, secondary, and tertiary) by establishing a pattern for health early in life and providing strategies for mitigating illness and managing it in later life. We suggest ways to advance research methods and practical applications of self-management as steps in its future development and implementation.","container-title":"American Journal of Public Health","DOI":"10.2105/AJPH.2014.302041","ISSN":"0090-0036","issue":"8","journalAbbreviation":"Am J Public Health","note":"PMID: 24922170\nPMCID: PMC4103232","page":"e25-e31","source":"PubMed Central","title":"Self-Management: A Comprehensive Approach to Management of Chronic Conditions","title-short":"Self-Management","volume":"104","author":[{"family":"Grady","given":"Patricia A."},{"family":"Gough","given":"Lisa Lucio"}],"issued":{"date-parts":[["2014",8]]}}}],"schema":"https://github.com/citation-style-language/schema/raw/master/csl-citation.json"} </w:instrText>
      </w:r>
      <w:r w:rsidR="00406B17" w:rsidRPr="00FA32F2">
        <w:rPr>
          <w:rFonts w:ascii="Times New Roman" w:hAnsi="Times New Roman" w:cs="Times New Roman"/>
        </w:rPr>
        <w:fldChar w:fldCharType="separate"/>
      </w:r>
      <w:r w:rsidR="00406B17" w:rsidRPr="00FA32F2">
        <w:rPr>
          <w:rFonts w:ascii="Times New Roman" w:hAnsi="Times New Roman" w:cs="Times New Roman"/>
          <w:kern w:val="0"/>
          <w:vertAlign w:val="superscript"/>
        </w:rPr>
        <w:t>19</w:t>
      </w:r>
      <w:r w:rsidR="00406B17" w:rsidRPr="00FA32F2">
        <w:rPr>
          <w:rFonts w:ascii="Times New Roman" w:hAnsi="Times New Roman" w:cs="Times New Roman"/>
        </w:rPr>
        <w:fldChar w:fldCharType="end"/>
      </w:r>
      <w:r w:rsidRPr="00FA32F2">
        <w:rPr>
          <w:rFonts w:ascii="Times New Roman" w:hAnsi="Times New Roman" w:cs="Times New Roman"/>
        </w:rPr>
        <w:t xml:space="preserve"> This includes medication adherence, diet modification, physical activity, home blood pressure monitoring, attending follow-up appointments, and behavioral changes such as reducing stress, quitting smoking, and limiting alcohol.</w:t>
      </w:r>
      <w:r w:rsidR="00047AC0" w:rsidRPr="00FA32F2">
        <w:rPr>
          <w:rFonts w:ascii="Times New Roman" w:hAnsi="Times New Roman" w:cs="Times New Roman"/>
        </w:rPr>
        <w:fldChar w:fldCharType="begin"/>
      </w:r>
      <w:r w:rsidR="003A5BFC" w:rsidRPr="00FA32F2">
        <w:rPr>
          <w:rFonts w:ascii="Times New Roman" w:hAnsi="Times New Roman" w:cs="Times New Roman"/>
        </w:rPr>
        <w:instrText xml:space="preserve"> ADDIN ZOTERO_ITEM CSL_CITATION {"citationID":"ytsrIQRv","properties":{"formattedCitation":"\\super 20,21\\nosupersub{}","plainCitation":"20,21","noteIndex":0},"citationItems":[{"id":5555,"uris":["http://zotero.org/users/15244130/items/DESIH8WU"],"itemData":{"id":5555,"type":"article-journal","abstract":"Hypertension is a prevalent chronic condition that requires effective self-management strategies for optimal control and complications prevention. Self-management interventions have become a crucial component in the management of hypertension. Therefore, this review aimed to determine effective self-management strategies for hypertensive patients. Articles were searched from four databases, namely Science Direct, Ebsco (MEDLINE), Proquest, Pubmed and Sage Journals based on PRISMA guidelines. The search included articles published in English between 2013 and 2022. A key term search strategy was adopted using “self-management interventions”, “nursing interventions”, “experimental study” and “hypertensive patients” to identify relevant studies. The results showed that self-management interventions have been proven to have positive effects on various aspects of hypertension self-management, including blood pressure monitoring, disease knowledge, medication adherence, and lifestyle modifications. These interventions can be delivered through technology- based platforms. Moreover, there are different types of self-management interventions for hypertensive patients, including individual and group approaches, the use of technology, nursing theory, and interventions based on the cultural aspects of patients. To conclude, as professionals, nurses should be able to determine which self-management strategies are suitable for the conditions and requirements of patients.","container-title":"Healthcare in Low-resource Settings","DOI":"10.4081/hls.2024.13034","ISSN":"2281-7824","issue":"s1","language":"en","license":"Copyright (c) 2024 the Author(s)","note":"number: s1","source":"www.pagepressjournals.org","title":"Importance of self-management interventions in hypertension patients: a scoping review","title-short":"Importance of self-management interventions in hypertension patients","URL":"https://www.pagepressjournals.org/hls/article/view/13034","volume":"12","author":[{"family":"Hany","given":"Alfrina"},{"family":"Putra","given":"Kuswantoro Rusca"},{"family":"Vatmasari","given":"Ratih Arum"},{"family":"Nafis","given":"Anisa Nadya"},{"family":"Amalia","given":"Aura Tasya"},{"family":"Khamdani","given":"Edy"}],"accessed":{"date-parts":[["2025",6,18]]},"issued":{"date-parts":[["2024",9,9]]}}},{"id":2468,"uris":["http://zotero.org/users/15244130/items/UZ7D6S58"],"itemData":{"id":2468,"type":"article-journal","container-title":"Iranian Journal of Public Health","issue":"6","note":"publisher: Tehran University of Medical Sciences","page":"1266","title":"Prevalence and predictors of pre-existing hypertension among prenatal women: a cross-sectional study in Ghana","volume":"50","author":[{"family":"Hussein","given":"Hawawu"},{"family":"Shamsipour","given":"Mansour"},{"family":"Yunesian","given":"Masud"},{"family":"Hassanvand","given":"Mohammad Sadegh"},{"family":"Assan","given":"Abraham"},{"family":"Fotouhi","given":"Akbar"}],"issued":{"date-parts":[["2021"]]}}}],"schema":"https://github.com/citation-style-language/schema/raw/master/csl-citation.json"} </w:instrText>
      </w:r>
      <w:r w:rsidR="00047AC0" w:rsidRPr="00FA32F2">
        <w:rPr>
          <w:rFonts w:ascii="Times New Roman" w:hAnsi="Times New Roman" w:cs="Times New Roman"/>
        </w:rPr>
        <w:fldChar w:fldCharType="separate"/>
      </w:r>
      <w:r w:rsidR="003A5BFC" w:rsidRPr="00FA32F2">
        <w:rPr>
          <w:rFonts w:ascii="Times New Roman" w:hAnsi="Times New Roman" w:cs="Times New Roman"/>
          <w:kern w:val="0"/>
          <w:vertAlign w:val="superscript"/>
        </w:rPr>
        <w:t>20,21</w:t>
      </w:r>
      <w:r w:rsidR="00047AC0" w:rsidRPr="00FA32F2">
        <w:rPr>
          <w:rFonts w:ascii="Times New Roman" w:hAnsi="Times New Roman" w:cs="Times New Roman"/>
        </w:rPr>
        <w:fldChar w:fldCharType="end"/>
      </w:r>
      <w:r w:rsidRPr="00FA32F2">
        <w:rPr>
          <w:rFonts w:ascii="Times New Roman" w:hAnsi="Times New Roman" w:cs="Times New Roman"/>
        </w:rPr>
        <w:t xml:space="preserve"> Research shows that patients who actively manage their condition experience better blood pressure control, fewer complications, and improved quality of life.</w:t>
      </w:r>
      <w:r w:rsidR="00A04784" w:rsidRPr="00FA32F2">
        <w:rPr>
          <w:rFonts w:ascii="Times New Roman" w:hAnsi="Times New Roman" w:cs="Times New Roman"/>
        </w:rPr>
        <w:fldChar w:fldCharType="begin"/>
      </w:r>
      <w:r w:rsidR="00A04784" w:rsidRPr="00FA32F2">
        <w:rPr>
          <w:rFonts w:ascii="Times New Roman" w:hAnsi="Times New Roman" w:cs="Times New Roman"/>
        </w:rPr>
        <w:instrText xml:space="preserve"> ADDIN ZOTERO_ITEM CSL_CITATION {"citationID":"0yEZDtE5","properties":{"formattedCitation":"\\super 21\\nosupersub{}","plainCitation":"21","noteIndex":0},"citationItems":[{"id":2468,"uris":["http://zotero.org/users/15244130/items/UZ7D6S58"],"itemData":{"id":2468,"type":"article-journal","container-title":"Iranian Journal of Public Health","issue":"6","note":"publisher: Tehran University of Medical Sciences","page":"1266","title":"Prevalence and predictors of pre-existing hypertension among prenatal women: a cross-sectional study in Ghana","volume":"50","author":[{"family":"Hussein","given":"Hawawu"},{"family":"Shamsipour","given":"Mansour"},{"family":"Yunesian","given":"Masud"},{"family":"Hassanvand","given":"Mohammad Sadegh"},{"family":"Assan","given":"Abraham"},{"family":"Fotouhi","given":"Akbar"}],"issued":{"date-parts":[["2021"]]}}}],"schema":"https://github.com/citation-style-language/schema/raw/master/csl-citation.json"} </w:instrText>
      </w:r>
      <w:r w:rsidR="00A04784" w:rsidRPr="00FA32F2">
        <w:rPr>
          <w:rFonts w:ascii="Times New Roman" w:hAnsi="Times New Roman" w:cs="Times New Roman"/>
        </w:rPr>
        <w:fldChar w:fldCharType="separate"/>
      </w:r>
      <w:r w:rsidR="00A04784" w:rsidRPr="00FA32F2">
        <w:rPr>
          <w:rFonts w:ascii="Times New Roman" w:hAnsi="Times New Roman" w:cs="Times New Roman"/>
          <w:kern w:val="0"/>
          <w:vertAlign w:val="superscript"/>
        </w:rPr>
        <w:t>21</w:t>
      </w:r>
      <w:r w:rsidR="00A04784" w:rsidRPr="00FA32F2">
        <w:rPr>
          <w:rFonts w:ascii="Times New Roman" w:hAnsi="Times New Roman" w:cs="Times New Roman"/>
        </w:rPr>
        <w:fldChar w:fldCharType="end"/>
      </w:r>
      <w:r w:rsidRPr="00FA32F2">
        <w:rPr>
          <w:rFonts w:ascii="Times New Roman" w:hAnsi="Times New Roman" w:cs="Times New Roman"/>
        </w:rPr>
        <w:t xml:space="preserve"> However, in many LMIC contexts, including Ghana, self-management practices are often poorly understood and inconsistently practiced due to a combination of knowledge gaps, resource constraints, and inadequate health system support.</w:t>
      </w:r>
      <w:r w:rsidR="00A04784" w:rsidRPr="00FA32F2">
        <w:rPr>
          <w:rFonts w:ascii="Times New Roman" w:hAnsi="Times New Roman" w:cs="Times New Roman"/>
        </w:rPr>
        <w:fldChar w:fldCharType="begin"/>
      </w:r>
      <w:r w:rsidR="00A04784" w:rsidRPr="00FA32F2">
        <w:rPr>
          <w:rFonts w:ascii="Times New Roman" w:hAnsi="Times New Roman" w:cs="Times New Roman"/>
        </w:rPr>
        <w:instrText xml:space="preserve"> ADDIN ZOTERO_ITEM CSL_CITATION {"citationID":"tJeLICb9","properties":{"formattedCitation":"\\super 18,22,23\\nosupersub{}","plainCitation":"18,22,23","noteIndex":0},"citationItems":[{"id":5546,"uris":["http://zotero.org/users/15244130/items/MTZ8DNQS"],"itemData":{"id":5546,"type":"article-journal","abstract":"Abstract\n            \n              Background\n              Hypertension, itself a cardiovascular condition, is a significant risk factor for other cardiovascular diseases. Hypertension is recognized as a major public health challenge in Ghana. Beginning in 2014, a collaborative team launched the community-based hypertension improvement program (ComHIP) in one health district in Ghana. The ComHIP project, a public-private partnership, tests a community-based model that engages the private sector and utilizes information and communication technology (ICT) to control hypertension. This paper, focuses on the various challenges associated with managing hypertension in Ghana, as reported by ComHIP stakeholders.\n            \n            \n              Methods\n              A total of 55 informants – comprising patients, health care professionals, licensed chemical sellers (LCS), national and sub-national policymakers – were purposively selected for interview and focus group discussions (FGDs). Interviews were audio-recorded and transcribed verbatim. Where applicable, transcriptions were translated directly from local language to English. The data were then analysed using two-step thematic analysis. The protocol was approved by the two ethics review committees based in Ghana and the third, based in the United Kingdom. All participants were interviewed after giving informed consent.\n            \n            \n              Results\n              Our data have implications for the on-going implementation of ComHIP, especially the importance of policy maker buy-in, and the benefits, as well as drawbacks, of the program to different stakeholders. While our data show that the ComHIP initiative is acceptable to patients and healthcare providers – increasing providers’ knowledge on hypertension and patients’ awareness of same- there were implementation challenges identified by both patients and providers. Policy level challenges relate to task-sharing bottlenecks, which precluded nurses from prescribing or dispensing antihypertensives, and LCS from stocking same. Medication adherence and the phenomenon of medical pluralism in Ghana were identified challenges. The perspectives from the national level stakeholders enable elucidation of whole of health system challenges to ComHIP and similarly designed programmes.\n            \n            \n              Conclusions\n              This paper sheds important light on the patient/individual, and system level challenges to hypertension and related non-communicable disease prevention and treatment in Ghana. The data show that although the ComHIP initiative is acceptable to patients and healthcare providers, policy level task-sharing bottlenecks preclude optimal implementation of ComHIP.","container-title":"BMC Health Services Research","DOI":"10.1186/s12913-019-4571-6","ISSN":"1472-6963","issue":"1","journalAbbreviation":"BMC Health Serv Res","language":"en","page":"693","source":"DOI.org (Crossref)","title":"Health system challenges to hypertension and related non-communicable diseases prevention and treatment: perspectives from Ghanaian stakeholders","title-short":"Health system challenges to hypertension and related non-communicable diseases prevention and treatment","volume":"19","author":[{"family":"Laar","given":"Amos K."},{"family":"Adler","given":"Alma J."},{"family":"Kotoh","given":"Agnes M."},{"family":"Legido-Quigley","given":"Helena"},{"family":"Lange","given":"Isabelle L."},{"family":"Perel","given":"Pablo"},{"family":"Lamptey","given":"Peter"}],"issued":{"date-parts":[["2019",12]]}}},{"id":5560,"uris":["http://zotero.org/users/15244130/items/8UQWA8DH"],"itemData":{"id":5560,"type":"article-journal","abstract":"Background: Hypertension remains a significant public health challenge in Ghana. Understanding the experiences of hypertensive patients can inform strategies to improve their management. This study explored the perceived enablers and barriers to hypertension management among patients in the Ashanti region, Ghana, using the Chronic Care Model as a framework. Methods: In-depth interviews were conducted with 20 hypertensive patients receiving care at Komfo Anokye Teaching Hospital. Inductive thematic analysis was employed to identify key themes and subthemes. Results: Several barriers to hypertension management emerged, including economic constraints, environmental and lifestyle factors, knowledge and awareness deficits, medication-related issues, and policy and provider-level barriers. Conversely, enablers such as patient empowerment, education, healthcare access, and policy and provider support and relationships were identified. Conclusions: Effective hypertension management requires addressing a complex interplay of barriers and enablers. Interventions targeting economic factors, lifestyle modifications, knowledge dissemination, medication adherence, and systemic improvements are crucial. Additionally, empowering patients, enhancing education, improving healthcare access, and fostering strong provider–patient relationships can significantly contribute to better outcomes. Future research should investigate the impact of a multi-level intervention on hypertension management in Ghana.","container-title":"Healthcare","DOI":"10.3390/healthcare13050479","ISSN":"2227-9032","issue":"5","journalAbbreviation":"Healthcare (Basel)","note":"PMID: 40077041\nPMCID: PMC11898504","page":"479","source":"PubMed Central","title":"A Qualitative Study on the Barriers and Enablers to Effective Hypertension Management in Ghana","volume":"13","author":[{"family":"Sambah","given":"Francis"},{"family":"McBain-Rigg","given":"Kristin"},{"family":"Seidu","given":"Abdul-Aziz"},{"family":"Emeto","given":"Theophilus I."}],"issued":{"date-parts":[["2025",2,22]]}}},{"id":5565,"uris":["http://zotero.org/users/15244130/items/A6GGZMC8"],"itemData":{"id":5565,"type":"article-journal","abstract":"Background: Hypertension continues to pose a significant burden on the health systems in Sub-Saharan Africa (SSA). Multiple challenges at the health systems level could impact patients&amp;rsquo; blood pressure outcomes. There is a need to understand the gaps in health systems to improve their readiness to manage the rising burden of hypertension Objective: To explore health system barriers and opportunities for improved management of hypertension in Ghana, West Africa. Methods: We conducted 5 focus group discussions involving 9 health facility leaders and 24 clinicians involved in hypertension treatment at 15 primary-level health facilities in Kumasi, Ghana. We held discussions remotely over Zoom and used thematic analysis methods. Results: Four themes emerged from the focus group discussions: (1) financial and geographic inaccessibility of hypertension services; (2) facilities&amp;rsquo; struggle to maintain the supply of antihypertensive medications and providers&amp;rsquo; perceptions of suboptimal quality of insured medications; (3) shortage of healthcare providers, especially physicians; and (4) patients&amp;rsquo; negative self-management practices. Facilitators identified included presence of wellness and hypertension clinics for screening and management of hypertension at some health facilities, nurses&amp;rsquo; request for additional roles in hypertension management, and the rising positive practice of patient home blood pressure monitoring. Conclusion: Our findings highlight critical barriers to hypertension service delivery and providers&amp;rsquo; abilities to provide quality services. Health facilities should build on ongoing innovations in hypertension screening, task-shifting strategies, and patient self-management to improve hypertension control. In Ghana and other countries, policies to equip healthcare systems with the resources needed for hypertension management could lead to a high improvement in hypertension outcomes among patients.","container-title":"Annals of Global Health","DOI":"10.5334/aogh.4246","ISSN":"2214-9996","issue":"1","language":"en-US","source":"annalsofglobalhealth.org","title":"Healthcare system barriers and facilitators to hypertension management in Ghana","URL":"https://annalsofglobalhealth.org/articles/10.5334/aogh.4246","volume":"90","author":[{"family":"Byiringiro","given":"Samuel"},{"family":"Hinneh","given":"Thomas"},{"family":"Chepkorir","given":"Joylline"},{"family":"Tomiwa","given":"Tosin"},{"family":"Commodore-Mensah","given":"Yvonne"},{"family":"Marsteller","given":"Jill"},{"family":"Sarfo","given":"Fred S."},{"family":"Saylor","given":"Martha A."},{"family":"Assibey","given":"Shadrack"},{"family":"Himmelfarb","given":"Cheryl R."}],"accessed":{"date-parts":[["2025",6,18]]},"issued":{"date-parts":[["2024",7,4]]}}}],"schema":"https://github.com/citation-style-language/schema/raw/master/csl-citation.json"} </w:instrText>
      </w:r>
      <w:r w:rsidR="00A04784" w:rsidRPr="00FA32F2">
        <w:rPr>
          <w:rFonts w:ascii="Times New Roman" w:hAnsi="Times New Roman" w:cs="Times New Roman"/>
        </w:rPr>
        <w:fldChar w:fldCharType="separate"/>
      </w:r>
      <w:r w:rsidR="00A04784" w:rsidRPr="00FA32F2">
        <w:rPr>
          <w:rFonts w:ascii="Times New Roman" w:hAnsi="Times New Roman" w:cs="Times New Roman"/>
          <w:kern w:val="0"/>
          <w:vertAlign w:val="superscript"/>
        </w:rPr>
        <w:t>18,22,23</w:t>
      </w:r>
      <w:r w:rsidR="00A04784" w:rsidRPr="00FA32F2">
        <w:rPr>
          <w:rFonts w:ascii="Times New Roman" w:hAnsi="Times New Roman" w:cs="Times New Roman"/>
        </w:rPr>
        <w:fldChar w:fldCharType="end"/>
      </w:r>
      <w:commentRangeEnd w:id="0"/>
      <w:r w:rsidR="000B6338">
        <w:rPr>
          <w:rStyle w:val="CommentReference"/>
        </w:rPr>
        <w:commentReference w:id="0"/>
      </w:r>
    </w:p>
    <w:p w14:paraId="24BD5754" w14:textId="5681D1F9" w:rsidR="00870C7C" w:rsidRPr="00FA32F2" w:rsidRDefault="00870C7C" w:rsidP="00FA32F2">
      <w:pPr>
        <w:rPr>
          <w:rFonts w:ascii="Times New Roman" w:hAnsi="Times New Roman" w:cs="Times New Roman"/>
        </w:rPr>
      </w:pPr>
      <w:r w:rsidRPr="00FA32F2">
        <w:rPr>
          <w:rFonts w:ascii="Times New Roman" w:hAnsi="Times New Roman" w:cs="Times New Roman"/>
        </w:rPr>
        <w:t xml:space="preserve">Despite the importance of self-management, there is a paucity of data from northern Ghana assessing the extent of self-management behaviors among hypertensive patients and the factors influencing these behaviors. Without such data, it is difficult to tailor interventions or inform health </w:t>
      </w:r>
      <w:r w:rsidR="00A37176" w:rsidRPr="00FA32F2">
        <w:rPr>
          <w:rFonts w:ascii="Times New Roman" w:hAnsi="Times New Roman" w:cs="Times New Roman"/>
        </w:rPr>
        <w:t>policies</w:t>
      </w:r>
      <w:r w:rsidRPr="00FA32F2">
        <w:rPr>
          <w:rFonts w:ascii="Times New Roman" w:hAnsi="Times New Roman" w:cs="Times New Roman"/>
        </w:rPr>
        <w:t>. This study therefore aims to assess the self-management practices of hypertensive patients at Northern Region Hospital and to identify the sociodemographic, behavioral, and clinical determinants associated with good self-management. These insights are critical for informing culturally appropriate, community-based interventions and strengthening chronic disease management within primary care systems in northern Ghana and similar settings.</w:t>
      </w:r>
    </w:p>
    <w:p w14:paraId="7D0C10CC" w14:textId="77777777" w:rsidR="00870C7C" w:rsidRPr="00FA32F2" w:rsidRDefault="00870C7C" w:rsidP="00FA32F2">
      <w:pPr>
        <w:rPr>
          <w:rFonts w:ascii="Times New Roman" w:hAnsi="Times New Roman" w:cs="Times New Roman"/>
        </w:rPr>
      </w:pPr>
    </w:p>
    <w:p w14:paraId="7B3AA07D" w14:textId="7A1017EE" w:rsidR="007C37B2" w:rsidRPr="00FA32F2" w:rsidRDefault="00870C7C" w:rsidP="00FA32F2">
      <w:pPr>
        <w:rPr>
          <w:rFonts w:ascii="Times New Roman" w:hAnsi="Times New Roman" w:cs="Times New Roman"/>
          <w:b/>
          <w:bCs/>
        </w:rPr>
      </w:pPr>
      <w:r w:rsidRPr="00FA32F2">
        <w:rPr>
          <w:rFonts w:ascii="Times New Roman" w:hAnsi="Times New Roman" w:cs="Times New Roman"/>
          <w:b/>
          <w:bCs/>
        </w:rPr>
        <w:t>Methods</w:t>
      </w:r>
    </w:p>
    <w:p w14:paraId="16C11018" w14:textId="6303AA7A" w:rsidR="00870C7C" w:rsidRPr="00FA32F2" w:rsidRDefault="00870C7C" w:rsidP="00FA32F2">
      <w:pPr>
        <w:rPr>
          <w:rFonts w:ascii="Times New Roman" w:hAnsi="Times New Roman" w:cs="Times New Roman"/>
        </w:rPr>
      </w:pPr>
      <w:r w:rsidRPr="00FA32F2">
        <w:rPr>
          <w:rFonts w:ascii="Times New Roman" w:hAnsi="Times New Roman" w:cs="Times New Roman"/>
        </w:rPr>
        <w:t xml:space="preserve">Study </w:t>
      </w:r>
      <w:r w:rsidR="00590CC3" w:rsidRPr="00FA32F2">
        <w:rPr>
          <w:rFonts w:ascii="Times New Roman" w:hAnsi="Times New Roman" w:cs="Times New Roman"/>
        </w:rPr>
        <w:t>setting</w:t>
      </w:r>
    </w:p>
    <w:p w14:paraId="066026B6" w14:textId="0AEDBD0C" w:rsidR="00986B0A" w:rsidRPr="00FA32F2" w:rsidRDefault="00986B0A" w:rsidP="00FA32F2">
      <w:pPr>
        <w:rPr>
          <w:rFonts w:ascii="Times New Roman" w:hAnsi="Times New Roman" w:cs="Times New Roman"/>
        </w:rPr>
      </w:pPr>
      <w:r w:rsidRPr="00FA32F2">
        <w:rPr>
          <w:rFonts w:ascii="Times New Roman" w:hAnsi="Times New Roman" w:cs="Times New Roman"/>
        </w:rPr>
        <w:lastRenderedPageBreak/>
        <w:t>The study was conducted at the Northern Regional Hospital in Tamale, a key healthcare facility in the Central Business District of the Tamale Metropolis, established in July 1929. The hospital has 186 beds across 8 wards and operates 24/7, offering services such as outpatient care, pharmacy, antenatal care, laboratory, surgical, ENT, psychiatric, and specialized care. It serves as a major referral center, admitting approximately 46,331 patients annually, with a daily average of 100 visits and an average patient stay of 2 days.</w:t>
      </w:r>
    </w:p>
    <w:p w14:paraId="61E4101C" w14:textId="7D5137F7" w:rsidR="00590CC3" w:rsidRPr="00FA32F2" w:rsidRDefault="00590CC3" w:rsidP="00FA32F2">
      <w:pPr>
        <w:rPr>
          <w:rFonts w:ascii="Times New Roman" w:hAnsi="Times New Roman" w:cs="Times New Roman"/>
        </w:rPr>
      </w:pPr>
      <w:r w:rsidRPr="00FA32F2">
        <w:rPr>
          <w:rFonts w:ascii="Times New Roman" w:hAnsi="Times New Roman" w:cs="Times New Roman"/>
        </w:rPr>
        <w:t>Study design</w:t>
      </w:r>
    </w:p>
    <w:p w14:paraId="5BE9179D" w14:textId="749B1B5A" w:rsidR="00590CC3" w:rsidRPr="00FA32F2" w:rsidRDefault="00227900" w:rsidP="00FA32F2">
      <w:pPr>
        <w:rPr>
          <w:rFonts w:ascii="Times New Roman" w:hAnsi="Times New Roman" w:cs="Times New Roman"/>
        </w:rPr>
      </w:pPr>
      <w:r w:rsidRPr="00FA32F2">
        <w:rPr>
          <w:rFonts w:ascii="Times New Roman" w:hAnsi="Times New Roman" w:cs="Times New Roman"/>
        </w:rPr>
        <w:t>This study employed a cross-sectional analytical design to assess the self-management practices of hypertensive patients attending Northern Region Hospital and to identify factors associated with good self-management. This design is well-suited for evaluating patterns and determinants of health behaviors within a defined population</w:t>
      </w:r>
      <w:r w:rsidR="00851031" w:rsidRPr="00FA32F2">
        <w:rPr>
          <w:rFonts w:ascii="Times New Roman" w:hAnsi="Times New Roman" w:cs="Times New Roman"/>
        </w:rPr>
        <w:t>. It is</w:t>
      </w:r>
      <w:r w:rsidRPr="00FA32F2">
        <w:rPr>
          <w:rFonts w:ascii="Times New Roman" w:hAnsi="Times New Roman" w:cs="Times New Roman"/>
        </w:rPr>
        <w:t xml:space="preserve"> particularly advantageous in resource-limited settings due to its efficiency, cost-effectiveness, and practicality. </w:t>
      </w:r>
      <w:r w:rsidR="00851031" w:rsidRPr="00FA32F2">
        <w:rPr>
          <w:rFonts w:ascii="Times New Roman" w:hAnsi="Times New Roman" w:cs="Times New Roman"/>
        </w:rPr>
        <w:t>Using this approach, the study provided a snapshot of current hypertension self-management practices and highlighted</w:t>
      </w:r>
      <w:r w:rsidRPr="00FA32F2">
        <w:rPr>
          <w:rFonts w:ascii="Times New Roman" w:hAnsi="Times New Roman" w:cs="Times New Roman"/>
        </w:rPr>
        <w:t xml:space="preserve"> key areas for intervention.</w:t>
      </w:r>
    </w:p>
    <w:p w14:paraId="0FDF731B" w14:textId="331A90AA" w:rsidR="00851031" w:rsidRPr="00FA32F2" w:rsidRDefault="00851031" w:rsidP="00FA32F2">
      <w:pPr>
        <w:rPr>
          <w:rFonts w:ascii="Times New Roman" w:hAnsi="Times New Roman" w:cs="Times New Roman"/>
        </w:rPr>
      </w:pPr>
      <w:r w:rsidRPr="00FA32F2">
        <w:rPr>
          <w:rFonts w:ascii="Times New Roman" w:hAnsi="Times New Roman" w:cs="Times New Roman"/>
        </w:rPr>
        <w:t>Study population</w:t>
      </w:r>
    </w:p>
    <w:p w14:paraId="510C332C" w14:textId="1AA18AAE" w:rsidR="00636431" w:rsidRPr="00FA32F2" w:rsidRDefault="00636431" w:rsidP="00FA32F2">
      <w:pPr>
        <w:rPr>
          <w:rFonts w:ascii="Times New Roman" w:hAnsi="Times New Roman" w:cs="Times New Roman"/>
        </w:rPr>
      </w:pPr>
      <w:r w:rsidRPr="00FA32F2">
        <w:rPr>
          <w:rFonts w:ascii="Times New Roman" w:hAnsi="Times New Roman" w:cs="Times New Roman"/>
        </w:rPr>
        <w:t>The study population comprised adult hypertensive patients aged 18 years and above who were receiving care at Northern Region Hospital in the Tamale Metropolis.</w:t>
      </w:r>
    </w:p>
    <w:p w14:paraId="50D860EE" w14:textId="1B7ADED1" w:rsidR="00851031" w:rsidRPr="00FA32F2" w:rsidRDefault="00D469F8" w:rsidP="00FA32F2">
      <w:pPr>
        <w:rPr>
          <w:rFonts w:ascii="Times New Roman" w:hAnsi="Times New Roman" w:cs="Times New Roman"/>
        </w:rPr>
      </w:pPr>
      <w:r w:rsidRPr="00FA32F2">
        <w:rPr>
          <w:rFonts w:ascii="Times New Roman" w:hAnsi="Times New Roman" w:cs="Times New Roman"/>
        </w:rPr>
        <w:t>Inclusion and exclusion criteria</w:t>
      </w:r>
    </w:p>
    <w:p w14:paraId="5FBADD75" w14:textId="15302B64" w:rsidR="00D469F8" w:rsidRPr="00FA32F2" w:rsidRDefault="00D469F8" w:rsidP="00FA32F2">
      <w:pPr>
        <w:rPr>
          <w:rFonts w:ascii="Times New Roman" w:hAnsi="Times New Roman" w:cs="Times New Roman"/>
        </w:rPr>
      </w:pPr>
      <w:r w:rsidRPr="00FA32F2">
        <w:rPr>
          <w:rFonts w:ascii="Times New Roman" w:hAnsi="Times New Roman" w:cs="Times New Roman"/>
        </w:rPr>
        <w:t>Participants were eligible if they were 18 years or older, had been clinically diagnosed with hypertension for at least six months, were receiving follow-up care at Northern Region Hospital, and provided informed consent to participate.</w:t>
      </w:r>
    </w:p>
    <w:p w14:paraId="1ECEC9C4" w14:textId="73FD5731" w:rsidR="00D469F8" w:rsidRPr="00FA32F2" w:rsidRDefault="00D469F8" w:rsidP="00FA32F2">
      <w:pPr>
        <w:rPr>
          <w:rFonts w:ascii="Times New Roman" w:hAnsi="Times New Roman" w:cs="Times New Roman"/>
        </w:rPr>
      </w:pPr>
      <w:r w:rsidRPr="00FA32F2">
        <w:rPr>
          <w:rFonts w:ascii="Times New Roman" w:hAnsi="Times New Roman" w:cs="Times New Roman"/>
        </w:rPr>
        <w:t>Patients were excluded if they had cognitive impairments or severe medical conditions that could hinder effective communication or reliable self-reporting, or if they were critically ill at the time of data collection.</w:t>
      </w:r>
    </w:p>
    <w:p w14:paraId="756BF4DE" w14:textId="002CEF93" w:rsidR="00F71754" w:rsidRPr="00FA32F2" w:rsidRDefault="00DF24DE" w:rsidP="00FA32F2">
      <w:pPr>
        <w:rPr>
          <w:rFonts w:ascii="Times New Roman" w:hAnsi="Times New Roman" w:cs="Times New Roman"/>
          <w:b/>
          <w:bCs/>
        </w:rPr>
      </w:pPr>
      <w:r w:rsidRPr="00FA32F2">
        <w:rPr>
          <w:rFonts w:ascii="Times New Roman" w:hAnsi="Times New Roman" w:cs="Times New Roman"/>
          <w:b/>
          <w:bCs/>
        </w:rPr>
        <w:t>Sampling size</w:t>
      </w:r>
    </w:p>
    <w:p w14:paraId="36C9359D" w14:textId="3EC3B7B8" w:rsidR="00F71754" w:rsidRPr="00FA32F2" w:rsidRDefault="00F71754" w:rsidP="00FA32F2">
      <w:pPr>
        <w:rPr>
          <w:rFonts w:ascii="Times New Roman" w:hAnsi="Times New Roman" w:cs="Times New Roman"/>
        </w:rPr>
      </w:pPr>
      <w:commentRangeStart w:id="1"/>
      <w:commentRangeStart w:id="2"/>
      <m:oMathPara>
        <m:oMathParaPr>
          <m:jc m:val="left"/>
        </m:oMathParaPr>
        <m:oMath>
          <m:r>
            <w:rPr>
              <w:rFonts w:ascii="Cambria Math" w:hAnsi="Cambria Math" w:cs="Times New Roman"/>
            </w:rPr>
            <m:t>n=</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w:rPr>
                  <w:rFonts w:ascii="Cambria Math" w:hAnsi="Cambria Math" w:cs="Times New Roman"/>
                </w:rPr>
                <m:t>σ</m:t>
              </m:r>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w:commentRangeEnd w:id="1"/>
          <m:r>
            <m:rPr>
              <m:sty m:val="p"/>
            </m:rPr>
            <w:rPr>
              <w:rStyle w:val="CommentReference"/>
            </w:rPr>
            <w:commentReference w:id="1"/>
          </m:r>
          <w:commentRangeEnd w:id="2"/>
          <m:r>
            <m:rPr>
              <m:sty m:val="p"/>
            </m:rPr>
            <w:rPr>
              <w:rStyle w:val="CommentReference"/>
            </w:rPr>
            <w:commentReference w:id="2"/>
          </m:r>
        </m:oMath>
      </m:oMathPara>
    </w:p>
    <w:p w14:paraId="5A0595FB" w14:textId="690B47FE" w:rsidR="00887DE6" w:rsidRPr="00FA32F2" w:rsidRDefault="00887DE6" w:rsidP="00FA32F2">
      <w:pPr>
        <w:rPr>
          <w:rFonts w:ascii="Times New Roman" w:hAnsi="Times New Roman" w:cs="Times New Roman"/>
        </w:rPr>
      </w:pPr>
      <w:r w:rsidRPr="00FA32F2">
        <w:rPr>
          <w:rFonts w:ascii="Times New Roman" w:hAnsi="Times New Roman" w:cs="Times New Roman"/>
        </w:rPr>
        <w:t>Sample size (n) =?</w:t>
      </w:r>
    </w:p>
    <w:p w14:paraId="2357AE94" w14:textId="70D5CAD7" w:rsidR="00887DE6" w:rsidRPr="00FA32F2" w:rsidRDefault="00887DE6" w:rsidP="00FA32F2">
      <w:pPr>
        <w:rPr>
          <w:rFonts w:ascii="Times New Roman" w:hAnsi="Times New Roman" w:cs="Times New Roman"/>
        </w:rPr>
      </w:pPr>
      <w:commentRangeStart w:id="3"/>
      <w:r w:rsidRPr="00FA32F2">
        <w:rPr>
          <w:rFonts w:ascii="Times New Roman" w:hAnsi="Times New Roman" w:cs="Times New Roman"/>
        </w:rPr>
        <w:t>Variance (σ) = P (1-P)</w:t>
      </w:r>
      <w:commentRangeEnd w:id="3"/>
      <w:r w:rsidR="009E2E87">
        <w:rPr>
          <w:rStyle w:val="CommentReference"/>
        </w:rPr>
        <w:commentReference w:id="3"/>
      </w:r>
    </w:p>
    <w:p w14:paraId="75D128EC" w14:textId="3BD58851" w:rsidR="00887DE6" w:rsidRPr="00FA32F2" w:rsidRDefault="00F71754" w:rsidP="00FA32F2">
      <w:pPr>
        <w:rPr>
          <w:rFonts w:ascii="Times New Roman" w:hAnsi="Times New Roman" w:cs="Times New Roman"/>
        </w:rPr>
      </w:pPr>
      <w:r w:rsidRPr="00FA32F2">
        <w:rPr>
          <w:rFonts w:ascii="Times New Roman" w:hAnsi="Times New Roman" w:cs="Times New Roman"/>
        </w:rPr>
        <w:t xml:space="preserve">The </w:t>
      </w:r>
      <w:commentRangeStart w:id="4"/>
      <w:r w:rsidRPr="00FA32F2">
        <w:rPr>
          <w:rFonts w:ascii="Times New Roman" w:hAnsi="Times New Roman" w:cs="Times New Roman"/>
        </w:rPr>
        <w:t>prevalence of northern Ghana is estimated as 22.9%</w:t>
      </w:r>
      <w:r w:rsidR="00887DE6" w:rsidRPr="00FA32F2">
        <w:rPr>
          <w:rFonts w:ascii="Times New Roman" w:hAnsi="Times New Roman" w:cs="Times New Roman"/>
        </w:rPr>
        <w:t>.</w:t>
      </w:r>
      <w:r w:rsidR="00DD7822" w:rsidRPr="00FA32F2">
        <w:rPr>
          <w:rFonts w:ascii="Times New Roman" w:hAnsi="Times New Roman" w:cs="Times New Roman"/>
        </w:rPr>
        <w:fldChar w:fldCharType="begin"/>
      </w:r>
      <w:r w:rsidR="00DD7822" w:rsidRPr="00FA32F2">
        <w:rPr>
          <w:rFonts w:ascii="Times New Roman" w:hAnsi="Times New Roman" w:cs="Times New Roman"/>
        </w:rPr>
        <w:instrText xml:space="preserve"> ADDIN ZOTERO_ITEM CSL_CITATION {"citationID":"JX3G4R0B","properties":{"formattedCitation":"\\super 24\\nosupersub{}","plainCitation":"24","noteIndex":0},"citationItems":[{"id":5904,"uris":["http://zotero.org/users/15244130/items/QQ2JGT9Z"],"itemData":{"id":5904,"type":"article-journal","abstract":"Hypertension has become an important public health concern in the developing world owing to rising prevalence and its adverse impact on ailing health systems. Despite being a modifiable risk factor for cardiovascular disease, hypertension has not received the needed attention in Ghana as a result of various competing interests for scarce health resources. This systematic review and meta-analysis provides a comprehensive and updated summary of the literature on the prevalence of hypertension in Ghana.","container-title":"Systematic Reviews","DOI":"10.1186/s13643-021-01770-x","ISSN":"2046-4053","issue":"1","journalAbbreviation":"Systematic Reviews","page":"220","source":"BioMed Central","title":"Prevalence of hypertension in Ghanaian society: a systematic review, meta-analysis, and GRADE assessment","title-short":"Prevalence of hypertension in Ghanaian society","volume":"10","author":[{"family":"Atibila","given":"Fidelis"},{"family":"Hoor","given":"Gill","dropping-particle":"ten"},{"family":"Donkoh","given":"Emmanuel Timmy"},{"family":"Wahab","given":"Abdul Iddrisu"},{"family":"Kok","given":"Gerjo"}],"issued":{"date-parts":[["2021",8,7]]}}}],"schema":"https://github.com/citation-style-language/schema/raw/master/csl-citation.json"} </w:instrText>
      </w:r>
      <w:r w:rsidR="00DD7822" w:rsidRPr="00FA32F2">
        <w:rPr>
          <w:rFonts w:ascii="Times New Roman" w:hAnsi="Times New Roman" w:cs="Times New Roman"/>
        </w:rPr>
        <w:fldChar w:fldCharType="separate"/>
      </w:r>
      <w:r w:rsidR="00DD7822" w:rsidRPr="00FA32F2">
        <w:rPr>
          <w:rFonts w:ascii="Times New Roman" w:hAnsi="Times New Roman" w:cs="Times New Roman"/>
          <w:kern w:val="0"/>
          <w:vertAlign w:val="superscript"/>
        </w:rPr>
        <w:t>24</w:t>
      </w:r>
      <w:r w:rsidR="00DD7822" w:rsidRPr="00FA32F2">
        <w:rPr>
          <w:rFonts w:ascii="Times New Roman" w:hAnsi="Times New Roman" w:cs="Times New Roman"/>
        </w:rPr>
        <w:fldChar w:fldCharType="end"/>
      </w:r>
      <w:r w:rsidR="00887DE6" w:rsidRPr="00FA32F2">
        <w:rPr>
          <w:rFonts w:ascii="Times New Roman" w:hAnsi="Times New Roman" w:cs="Times New Roman"/>
        </w:rPr>
        <w:t xml:space="preserve"> Thus, p =</w:t>
      </w:r>
      <w:r w:rsidR="006B3E19" w:rsidRPr="00FA32F2">
        <w:rPr>
          <w:rFonts w:ascii="Times New Roman" w:hAnsi="Times New Roman" w:cs="Times New Roman"/>
        </w:rPr>
        <w:t>22.9</w:t>
      </w:r>
      <w:r w:rsidR="00887DE6" w:rsidRPr="00FA32F2">
        <w:rPr>
          <w:rFonts w:ascii="Times New Roman" w:hAnsi="Times New Roman" w:cs="Times New Roman"/>
        </w:rPr>
        <w:t>% (0.</w:t>
      </w:r>
      <w:r w:rsidR="006B3E19" w:rsidRPr="00FA32F2">
        <w:rPr>
          <w:rFonts w:ascii="Times New Roman" w:hAnsi="Times New Roman" w:cs="Times New Roman"/>
        </w:rPr>
        <w:t>229</w:t>
      </w:r>
      <w:r w:rsidR="00887DE6" w:rsidRPr="00FA32F2">
        <w:rPr>
          <w:rFonts w:ascii="Times New Roman" w:hAnsi="Times New Roman" w:cs="Times New Roman"/>
        </w:rPr>
        <w:t>)</w:t>
      </w:r>
      <w:commentRangeEnd w:id="4"/>
      <w:r w:rsidR="0017776A">
        <w:rPr>
          <w:rStyle w:val="CommentReference"/>
        </w:rPr>
        <w:commentReference w:id="4"/>
      </w:r>
    </w:p>
    <w:p w14:paraId="741BD8AC" w14:textId="77777777" w:rsidR="00887DE6" w:rsidRPr="00FA32F2" w:rsidRDefault="00887DE6" w:rsidP="00FA32F2">
      <w:pPr>
        <w:rPr>
          <w:rFonts w:ascii="Times New Roman" w:hAnsi="Times New Roman" w:cs="Times New Roman"/>
        </w:rPr>
      </w:pPr>
      <w:r w:rsidRPr="00FA32F2">
        <w:rPr>
          <w:rFonts w:ascii="Times New Roman" w:hAnsi="Times New Roman" w:cs="Times New Roman"/>
        </w:rPr>
        <w:t>Thus, Variance (σ) = P (1-P)</w:t>
      </w:r>
    </w:p>
    <w:p w14:paraId="6B5430E6" w14:textId="1F6FA2EF" w:rsidR="00887DE6" w:rsidRPr="00FA32F2" w:rsidRDefault="00887DE6" w:rsidP="00FA32F2">
      <w:pPr>
        <w:rPr>
          <w:rFonts w:ascii="Times New Roman" w:hAnsi="Times New Roman" w:cs="Times New Roman"/>
        </w:rPr>
      </w:pPr>
      <w:r w:rsidRPr="00FA32F2">
        <w:rPr>
          <w:rFonts w:ascii="Times New Roman" w:hAnsi="Times New Roman" w:cs="Times New Roman"/>
        </w:rPr>
        <w:t>Variance (</w:t>
      </w:r>
      <w:bookmarkStart w:id="5" w:name="_Hlk201935567"/>
      <w:r w:rsidRPr="00FA32F2">
        <w:rPr>
          <w:rFonts w:ascii="Times New Roman" w:hAnsi="Times New Roman" w:cs="Times New Roman"/>
        </w:rPr>
        <w:t>σ</w:t>
      </w:r>
      <w:bookmarkEnd w:id="5"/>
      <w:r w:rsidRPr="00FA32F2">
        <w:rPr>
          <w:rFonts w:ascii="Times New Roman" w:hAnsi="Times New Roman" w:cs="Times New Roman"/>
        </w:rPr>
        <w:t>) = 0.</w:t>
      </w:r>
      <w:r w:rsidR="00F11606" w:rsidRPr="00FA32F2">
        <w:rPr>
          <w:rFonts w:ascii="Times New Roman" w:hAnsi="Times New Roman" w:cs="Times New Roman"/>
        </w:rPr>
        <w:t>229</w:t>
      </w:r>
      <w:r w:rsidRPr="00FA32F2">
        <w:rPr>
          <w:rFonts w:ascii="Times New Roman" w:hAnsi="Times New Roman" w:cs="Times New Roman"/>
        </w:rPr>
        <w:t>(1-0.</w:t>
      </w:r>
      <w:r w:rsidR="00F11606" w:rsidRPr="00FA32F2">
        <w:rPr>
          <w:rFonts w:ascii="Times New Roman" w:hAnsi="Times New Roman" w:cs="Times New Roman"/>
        </w:rPr>
        <w:t>229</w:t>
      </w:r>
      <w:r w:rsidRPr="00FA32F2">
        <w:rPr>
          <w:rFonts w:ascii="Times New Roman" w:hAnsi="Times New Roman" w:cs="Times New Roman"/>
        </w:rPr>
        <w:t>)</w:t>
      </w:r>
    </w:p>
    <w:p w14:paraId="17E4CF7C" w14:textId="4286431D" w:rsidR="00887DE6" w:rsidRPr="00FA32F2" w:rsidRDefault="00887DE6" w:rsidP="00FA32F2">
      <w:pPr>
        <w:rPr>
          <w:rFonts w:ascii="Times New Roman" w:hAnsi="Times New Roman" w:cs="Times New Roman"/>
        </w:rPr>
      </w:pPr>
      <w:r w:rsidRPr="00FA32F2">
        <w:rPr>
          <w:rFonts w:ascii="Times New Roman" w:hAnsi="Times New Roman" w:cs="Times New Roman"/>
        </w:rPr>
        <w:t>σ = 0.</w:t>
      </w:r>
      <w:r w:rsidR="00E66DE8" w:rsidRPr="00FA32F2">
        <w:rPr>
          <w:rFonts w:ascii="Times New Roman" w:hAnsi="Times New Roman" w:cs="Times New Roman"/>
        </w:rPr>
        <w:t>1766</w:t>
      </w:r>
    </w:p>
    <w:p w14:paraId="3FF87920" w14:textId="0D1BE2FA" w:rsidR="00887DE6" w:rsidRPr="00FA32F2" w:rsidRDefault="00887DE6" w:rsidP="00FA32F2">
      <w:pPr>
        <w:rPr>
          <w:rFonts w:ascii="Times New Roman" w:hAnsi="Times New Roman" w:cs="Times New Roman"/>
        </w:rPr>
      </w:pPr>
      <w:r w:rsidRPr="00FA32F2">
        <w:rPr>
          <w:rFonts w:ascii="Times New Roman" w:hAnsi="Times New Roman" w:cs="Times New Roman"/>
        </w:rPr>
        <w:t>Margin of error (E)=0.05</w:t>
      </w:r>
    </w:p>
    <w:p w14:paraId="42D4A530" w14:textId="6107725F" w:rsidR="00095082" w:rsidRPr="00FA32F2" w:rsidRDefault="00887DE6" w:rsidP="00FA32F2">
      <w:pPr>
        <w:rPr>
          <w:rFonts w:ascii="Times New Roman" w:hAnsi="Times New Roman" w:cs="Times New Roman"/>
        </w:rPr>
      </w:pPr>
      <w:r w:rsidRPr="00FA32F2">
        <w:rPr>
          <w:rFonts w:ascii="Times New Roman" w:hAnsi="Times New Roman" w:cs="Times New Roman"/>
        </w:rPr>
        <w:t>The critical value (Z) at 95% Confidence Interval = 1.96</w:t>
      </w:r>
    </w:p>
    <w:p w14:paraId="1CD0AD9A" w14:textId="3B4F8AF1" w:rsidR="00DF24DE" w:rsidRPr="00FA32F2" w:rsidRDefault="00E5617C" w:rsidP="00FA32F2">
      <w:pPr>
        <w:rPr>
          <w:rFonts w:ascii="Times New Roman" w:hAnsi="Times New Roman" w:cs="Times New Roman"/>
        </w:rPr>
      </w:pPr>
      <w:r w:rsidRPr="00FA32F2">
        <w:rPr>
          <w:rFonts w:ascii="Times New Roman" w:hAnsi="Times New Roman" w:cs="Times New Roman"/>
        </w:rPr>
        <w:t>A 5.0% of the estimated sample size was added to account for noncompliance and response rate</w:t>
      </w:r>
      <w:r w:rsidR="00887DE6" w:rsidRPr="00FA32F2">
        <w:rPr>
          <w:rFonts w:ascii="Times New Roman" w:hAnsi="Times New Roman" w:cs="Times New Roman"/>
        </w:rPr>
        <w:t xml:space="preserve">. Thus, the sample size for this study was </w:t>
      </w:r>
      <w:r w:rsidR="00095082" w:rsidRPr="00FA32F2">
        <w:rPr>
          <w:rFonts w:ascii="Times New Roman" w:hAnsi="Times New Roman" w:cs="Times New Roman"/>
        </w:rPr>
        <w:t>285</w:t>
      </w:r>
      <w:r w:rsidR="00887DE6" w:rsidRPr="00FA32F2">
        <w:rPr>
          <w:rFonts w:ascii="Times New Roman" w:hAnsi="Times New Roman" w:cs="Times New Roman"/>
        </w:rPr>
        <w:t>.</w:t>
      </w:r>
    </w:p>
    <w:p w14:paraId="0B1FCAED" w14:textId="3739A868" w:rsidR="00DF24DE" w:rsidRPr="00FA32F2" w:rsidRDefault="00DF24DE" w:rsidP="00FA32F2">
      <w:pPr>
        <w:rPr>
          <w:rFonts w:ascii="Times New Roman" w:hAnsi="Times New Roman" w:cs="Times New Roman"/>
          <w:b/>
          <w:bCs/>
        </w:rPr>
      </w:pPr>
      <w:r w:rsidRPr="00FA32F2">
        <w:rPr>
          <w:rFonts w:ascii="Times New Roman" w:hAnsi="Times New Roman" w:cs="Times New Roman"/>
          <w:b/>
          <w:bCs/>
        </w:rPr>
        <w:lastRenderedPageBreak/>
        <w:t>Sa</w:t>
      </w:r>
      <w:r w:rsidR="00445CBC" w:rsidRPr="00FA32F2">
        <w:rPr>
          <w:rFonts w:ascii="Times New Roman" w:hAnsi="Times New Roman" w:cs="Times New Roman"/>
          <w:b/>
          <w:bCs/>
        </w:rPr>
        <w:t>mpling techniques</w:t>
      </w:r>
    </w:p>
    <w:p w14:paraId="51B7860B" w14:textId="76EEE29D" w:rsidR="008F650B" w:rsidRPr="00FA32F2" w:rsidRDefault="002100BE" w:rsidP="00FA32F2">
      <w:pPr>
        <w:rPr>
          <w:rFonts w:ascii="Times New Roman" w:hAnsi="Times New Roman" w:cs="Times New Roman"/>
        </w:rPr>
      </w:pPr>
      <w:r w:rsidRPr="00FA32F2">
        <w:rPr>
          <w:rFonts w:ascii="Times New Roman" w:hAnsi="Times New Roman" w:cs="Times New Roman"/>
        </w:rPr>
        <w:t>The study employed a simple random sampling technique to select participants from the population of hypertensive patients attending follow-up clinics at Northern Region Hospital. A sampling frame was created using the clinic's registry of hypertensive patients scheduled during the data collection period. Each eligible patient was assigned a unique number, and participants were then randomly selected using a computer-generated list of random numbers. This method ensured that every patient had an equal chance of being selected, thereby minimizing selection bias and enhancing the representativeness of the sample.</w:t>
      </w:r>
    </w:p>
    <w:p w14:paraId="79F93231" w14:textId="77777777" w:rsidR="00BF0D26" w:rsidRPr="00541B24" w:rsidRDefault="00BF0D26" w:rsidP="00FA32F2">
      <w:pPr>
        <w:rPr>
          <w:rFonts w:ascii="Times New Roman" w:hAnsi="Times New Roman" w:cs="Times New Roman"/>
          <w:b/>
          <w:bCs/>
          <w:rPrChange w:id="6" w:author="HP" w:date="2025-06-27T22:27:00Z" w16du:dateUtc="2025-06-27T20:27:00Z">
            <w:rPr>
              <w:rFonts w:ascii="Times New Roman" w:hAnsi="Times New Roman" w:cs="Times New Roman"/>
            </w:rPr>
          </w:rPrChange>
        </w:rPr>
      </w:pPr>
      <w:r w:rsidRPr="00541B24">
        <w:rPr>
          <w:rFonts w:ascii="Times New Roman" w:hAnsi="Times New Roman" w:cs="Times New Roman"/>
          <w:b/>
          <w:bCs/>
          <w:rPrChange w:id="7" w:author="HP" w:date="2025-06-27T22:27:00Z" w16du:dateUtc="2025-06-27T20:27:00Z">
            <w:rPr>
              <w:rFonts w:ascii="Times New Roman" w:hAnsi="Times New Roman" w:cs="Times New Roman"/>
            </w:rPr>
          </w:rPrChange>
        </w:rPr>
        <w:t>Data Collection Tools and Techniques</w:t>
      </w:r>
    </w:p>
    <w:p w14:paraId="6807726A" w14:textId="5BF0B91A" w:rsidR="00BF0D26" w:rsidRPr="00FA32F2" w:rsidRDefault="00BF0D26" w:rsidP="00FA32F2">
      <w:pPr>
        <w:rPr>
          <w:rFonts w:ascii="Times New Roman" w:hAnsi="Times New Roman" w:cs="Times New Roman"/>
        </w:rPr>
      </w:pPr>
      <w:r w:rsidRPr="00FA32F2">
        <w:rPr>
          <w:rFonts w:ascii="Times New Roman" w:hAnsi="Times New Roman" w:cs="Times New Roman"/>
        </w:rPr>
        <w:t xml:space="preserve">Data for this study were collected using a structured interviewer-administered questionnaire specifically designed to assess hypertension self-management practices, knowledge levels, and associated sociodemographic and clinical factors. The tool was adapted from validated instruments such as the </w:t>
      </w:r>
      <w:r w:rsidRPr="00FA32F2">
        <w:rPr>
          <w:rFonts w:ascii="Times New Roman" w:hAnsi="Times New Roman" w:cs="Times New Roman"/>
          <w:i/>
          <w:iCs/>
        </w:rPr>
        <w:t>Hypertension Self-Care Activity Level Effects (H-SCALE)</w:t>
      </w:r>
      <w:r w:rsidR="00D33D08" w:rsidRPr="00FA32F2">
        <w:rPr>
          <w:rFonts w:ascii="Times New Roman" w:hAnsi="Times New Roman" w:cs="Times New Roman"/>
          <w:i/>
          <w:iCs/>
        </w:rPr>
        <w:fldChar w:fldCharType="begin"/>
      </w:r>
      <w:r w:rsidR="00D33D08" w:rsidRPr="00FA32F2">
        <w:rPr>
          <w:rFonts w:ascii="Times New Roman" w:hAnsi="Times New Roman" w:cs="Times New Roman"/>
          <w:i/>
          <w:iCs/>
        </w:rPr>
        <w:instrText xml:space="preserve"> ADDIN ZOTERO_ITEM CSL_CITATION {"citationID":"vpZQIMuD","properties":{"formattedCitation":"\\super 25\\nosupersub{}","plainCitation":"25","noteIndex":0},"citationItems":[{"id":5568,"uris":["http://zotero.org/users/15244130/items/W534CXVA"],"itemData":{"id":5568,"type":"article-journal","container-title":"Journal of the National Medical Association","DOI":"10.1016/S0027-9684(15)30365-5","ISSN":"00279684","issue":"6","journalAbbreviation":"Journal of the National Medical Association","language":"en","license":"https://www.elsevier.com/tdm/userlicense/1.0/","page":"503-512","source":"DOI.org (Crossref)","title":"Prevalence Rates of Hypertension Self-care Activities Among African Americans","volume":"103","author":[{"family":"Warren-Findlow","given":"Jan"},{"family":"Seymour","given":"Rachel B."}],"issued":{"date-parts":[["2011",6]]}}}],"schema":"https://github.com/citation-style-language/schema/raw/master/csl-citation.json"} </w:instrText>
      </w:r>
      <w:r w:rsidR="00D33D08" w:rsidRPr="00FA32F2">
        <w:rPr>
          <w:rFonts w:ascii="Times New Roman" w:hAnsi="Times New Roman" w:cs="Times New Roman"/>
          <w:i/>
          <w:iCs/>
        </w:rPr>
        <w:fldChar w:fldCharType="separate"/>
      </w:r>
      <w:r w:rsidR="00D33D08" w:rsidRPr="00FA32F2">
        <w:rPr>
          <w:rFonts w:ascii="Times New Roman" w:hAnsi="Times New Roman" w:cs="Times New Roman"/>
          <w:kern w:val="0"/>
          <w:vertAlign w:val="superscript"/>
        </w:rPr>
        <w:t>25</w:t>
      </w:r>
      <w:r w:rsidR="00D33D08" w:rsidRPr="00FA32F2">
        <w:rPr>
          <w:rFonts w:ascii="Times New Roman" w:hAnsi="Times New Roman" w:cs="Times New Roman"/>
          <w:i/>
          <w:iCs/>
        </w:rPr>
        <w:fldChar w:fldCharType="end"/>
      </w:r>
      <w:r w:rsidRPr="00FA32F2">
        <w:rPr>
          <w:rFonts w:ascii="Times New Roman" w:hAnsi="Times New Roman" w:cs="Times New Roman"/>
        </w:rPr>
        <w:t xml:space="preserve"> and guidelines from the World Health Organization (WHO)</w:t>
      </w:r>
      <w:r w:rsidR="00D33D08" w:rsidRPr="00FA32F2">
        <w:rPr>
          <w:rFonts w:ascii="Times New Roman" w:hAnsi="Times New Roman" w:cs="Times New Roman"/>
        </w:rPr>
        <w:fldChar w:fldCharType="begin"/>
      </w:r>
      <w:r w:rsidR="00D33D08" w:rsidRPr="00FA32F2">
        <w:rPr>
          <w:rFonts w:ascii="Times New Roman" w:hAnsi="Times New Roman" w:cs="Times New Roman"/>
        </w:rPr>
        <w:instrText xml:space="preserve"> ADDIN ZOTERO_ITEM CSL_CITATION {"citationID":"ByoCAWZS","properties":{"formattedCitation":"\\super 26\\nosupersub{}","plainCitation":"26","noteIndex":0},"citationItems":[{"id":5570,"uris":["http://zotero.org/users/15244130/items/B6LG8KPB"],"itemData":{"id":5570,"type":"webpage","language":"en","title":"STEPwise approach to NCD risk factor surveillance (STEPS)","URL":"https://www.who.int/teams/noncommunicable-diseases/surveillance/systems-tools/steps","author":[{"literal":"World Health Organization"}],"accessed":{"date-parts":[["2025",6,18]]},"issued":{"date-parts":[["2024"]]}}}],"schema":"https://github.com/citation-style-language/schema/raw/master/csl-citation.json"} </w:instrText>
      </w:r>
      <w:r w:rsidR="00D33D08" w:rsidRPr="00FA32F2">
        <w:rPr>
          <w:rFonts w:ascii="Times New Roman" w:hAnsi="Times New Roman" w:cs="Times New Roman"/>
        </w:rPr>
        <w:fldChar w:fldCharType="separate"/>
      </w:r>
      <w:r w:rsidR="00D33D08" w:rsidRPr="00FA32F2">
        <w:rPr>
          <w:rFonts w:ascii="Times New Roman" w:hAnsi="Times New Roman" w:cs="Times New Roman"/>
          <w:kern w:val="0"/>
          <w:vertAlign w:val="superscript"/>
        </w:rPr>
        <w:t>26</w:t>
      </w:r>
      <w:r w:rsidR="00D33D08" w:rsidRPr="00FA32F2">
        <w:rPr>
          <w:rFonts w:ascii="Times New Roman" w:hAnsi="Times New Roman" w:cs="Times New Roman"/>
        </w:rPr>
        <w:fldChar w:fldCharType="end"/>
      </w:r>
      <w:r w:rsidRPr="00FA32F2">
        <w:rPr>
          <w:rFonts w:ascii="Times New Roman" w:hAnsi="Times New Roman" w:cs="Times New Roman"/>
        </w:rPr>
        <w:t xml:space="preserve"> on non-communicable disease (NCD) surveillance. It was divided into several sections covering:</w:t>
      </w:r>
    </w:p>
    <w:p w14:paraId="00BD4D04" w14:textId="77777777"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Sociodemographic information – including age, sex, marital status, education, employment, and income.</w:t>
      </w:r>
    </w:p>
    <w:p w14:paraId="79403345" w14:textId="77777777"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Clinical characteristics – such as duration of hypertension, presence of comorbidities, smoking and alcohol use, and medication history.</w:t>
      </w:r>
    </w:p>
    <w:p w14:paraId="2EFBCD56" w14:textId="77777777"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 xml:space="preserve">Self-management behaviors – comprising 19 items measuring frequency of medication adherence, physical activity, dietary behaviors, stress reduction, alcohol/smoking avoidance, and home blood pressure monitoring. Each item was assessed on a 5-point Likert scale (Always, Often, Sometimes, Rarely, </w:t>
      </w:r>
      <w:proofErr w:type="gramStart"/>
      <w:r w:rsidRPr="00FA32F2">
        <w:rPr>
          <w:rFonts w:ascii="Times New Roman" w:hAnsi="Times New Roman" w:cs="Times New Roman"/>
        </w:rPr>
        <w:t>Not</w:t>
      </w:r>
      <w:proofErr w:type="gramEnd"/>
      <w:r w:rsidRPr="00FA32F2">
        <w:rPr>
          <w:rFonts w:ascii="Times New Roman" w:hAnsi="Times New Roman" w:cs="Times New Roman"/>
        </w:rPr>
        <w:t xml:space="preserve"> at all), later dichotomized into adherent vs non-adherent responses for analysis.</w:t>
      </w:r>
    </w:p>
    <w:p w14:paraId="0D013795" w14:textId="740955D9"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 xml:space="preserve">Hypertension knowledge – evaluated using </w:t>
      </w:r>
      <w:r w:rsidR="00A1205F" w:rsidRPr="00FA32F2">
        <w:rPr>
          <w:rFonts w:ascii="Times New Roman" w:hAnsi="Times New Roman" w:cs="Times New Roman"/>
        </w:rPr>
        <w:t xml:space="preserve">multiple-choice and true/false questions focused on understanding </w:t>
      </w:r>
      <w:r w:rsidRPr="00FA32F2">
        <w:rPr>
          <w:rFonts w:ascii="Times New Roman" w:hAnsi="Times New Roman" w:cs="Times New Roman"/>
        </w:rPr>
        <w:t>blood pressure targets, complications, treatment goals, and lifestyle modifications.</w:t>
      </w:r>
    </w:p>
    <w:p w14:paraId="02BE12B8" w14:textId="6FF16BD5"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Family/social support – assessed through questions on the availability and influence of family or community support in managing hypertension</w:t>
      </w:r>
      <w:r w:rsidR="001C19EF" w:rsidRPr="00FA32F2">
        <w:rPr>
          <w:rFonts w:ascii="Times New Roman" w:hAnsi="Times New Roman" w:cs="Times New Roman"/>
        </w:rPr>
        <w:t>.</w:t>
      </w:r>
      <w:r w:rsidR="001C19EF" w:rsidRPr="00FA32F2">
        <w:rPr>
          <w:rFonts w:ascii="Times New Roman" w:hAnsi="Times New Roman" w:cs="Times New Roman"/>
        </w:rPr>
        <w:fldChar w:fldCharType="begin"/>
      </w:r>
      <w:r w:rsidR="001C19EF" w:rsidRPr="00FA32F2">
        <w:rPr>
          <w:rFonts w:ascii="Times New Roman" w:hAnsi="Times New Roman" w:cs="Times New Roman"/>
        </w:rPr>
        <w:instrText xml:space="preserve"> ADDIN ZOTERO_ITEM CSL_CITATION {"citationID":"tVffaKZH","properties":{"formattedCitation":"\\super 27\\nosupersub{}","plainCitation":"27","noteIndex":0},"citationItems":[{"id":5576,"uris":["http://zotero.org/users/15244130/items/JGAHL95F"],"itemData":{"id":5576,"type":"article-journal","container-title":"Social Science &amp; Medicine","DOI":"10.1016/0277-9536(91)90150-B","ISSN":"02779536","issue":"6","journalAbbreviation":"Social Science &amp; Medicine","language":"en","license":"https://www.elsevier.com/tdm/userlicense/1.0/","page":"705-714","source":"DOI.org (Crossref)","title":"The MOS social support survey","volume":"32","author":[{"family":"Sherbourne","given":"Cathy Donald"},{"family":"Stewart","given":"Anita L."}],"issued":{"date-parts":[["1991",1]]}}}],"schema":"https://github.com/citation-style-language/schema/raw/master/csl-citation.json"} </w:instrText>
      </w:r>
      <w:r w:rsidR="001C19EF" w:rsidRPr="00FA32F2">
        <w:rPr>
          <w:rFonts w:ascii="Times New Roman" w:hAnsi="Times New Roman" w:cs="Times New Roman"/>
        </w:rPr>
        <w:fldChar w:fldCharType="separate"/>
      </w:r>
      <w:r w:rsidR="001C19EF" w:rsidRPr="00FA32F2">
        <w:rPr>
          <w:rFonts w:ascii="Times New Roman" w:hAnsi="Times New Roman" w:cs="Times New Roman"/>
          <w:kern w:val="0"/>
          <w:vertAlign w:val="superscript"/>
        </w:rPr>
        <w:t>27</w:t>
      </w:r>
      <w:r w:rsidR="001C19EF" w:rsidRPr="00FA32F2">
        <w:rPr>
          <w:rFonts w:ascii="Times New Roman" w:hAnsi="Times New Roman" w:cs="Times New Roman"/>
        </w:rPr>
        <w:fldChar w:fldCharType="end"/>
      </w:r>
    </w:p>
    <w:p w14:paraId="50E0CA2D" w14:textId="59FEA48A" w:rsidR="00BF0D26" w:rsidRPr="00FA32F2" w:rsidRDefault="003812A2" w:rsidP="00FA32F2">
      <w:pPr>
        <w:rPr>
          <w:rFonts w:ascii="Times New Roman" w:hAnsi="Times New Roman" w:cs="Times New Roman"/>
        </w:rPr>
      </w:pPr>
      <w:r w:rsidRPr="00FA32F2">
        <w:rPr>
          <w:rFonts w:ascii="Times New Roman" w:hAnsi="Times New Roman" w:cs="Times New Roman"/>
          <w:b/>
          <w:bCs/>
        </w:rPr>
        <w:t xml:space="preserve">Data </w:t>
      </w:r>
      <w:r w:rsidR="00A1205F" w:rsidRPr="00FA32F2">
        <w:rPr>
          <w:rFonts w:ascii="Times New Roman" w:hAnsi="Times New Roman" w:cs="Times New Roman"/>
          <w:b/>
          <w:bCs/>
        </w:rPr>
        <w:t>Collection</w:t>
      </w:r>
      <w:r w:rsidRPr="00FA32F2">
        <w:rPr>
          <w:rFonts w:ascii="Times New Roman" w:hAnsi="Times New Roman" w:cs="Times New Roman"/>
          <w:b/>
          <w:bCs/>
        </w:rPr>
        <w:t xml:space="preserve"> </w:t>
      </w:r>
      <w:r w:rsidR="00BF0D26" w:rsidRPr="00FA32F2">
        <w:rPr>
          <w:rFonts w:ascii="Times New Roman" w:hAnsi="Times New Roman" w:cs="Times New Roman"/>
          <w:b/>
          <w:bCs/>
        </w:rPr>
        <w:t>Technique and Process</w:t>
      </w:r>
      <w:r w:rsidR="00BF0D26" w:rsidRPr="00FA32F2">
        <w:rPr>
          <w:rFonts w:ascii="Times New Roman" w:hAnsi="Times New Roman" w:cs="Times New Roman"/>
        </w:rPr>
        <w:br/>
        <w:t xml:space="preserve">Data were collected over </w:t>
      </w:r>
      <w:r w:rsidR="00A1205F" w:rsidRPr="00FA32F2">
        <w:rPr>
          <w:rFonts w:ascii="Times New Roman" w:hAnsi="Times New Roman" w:cs="Times New Roman"/>
        </w:rPr>
        <w:t>four weeks</w:t>
      </w:r>
      <w:r w:rsidR="00BF0D26" w:rsidRPr="00FA32F2">
        <w:rPr>
          <w:rFonts w:ascii="Times New Roman" w:hAnsi="Times New Roman" w:cs="Times New Roman"/>
        </w:rPr>
        <w:t xml:space="preserve"> in outpatient clinics using face-to-face interviews </w:t>
      </w:r>
      <w:r w:rsidR="00A1205F" w:rsidRPr="00FA32F2">
        <w:rPr>
          <w:rFonts w:ascii="Times New Roman" w:hAnsi="Times New Roman" w:cs="Times New Roman"/>
        </w:rPr>
        <w:t>in</w:t>
      </w:r>
      <w:r w:rsidR="00BF0D26" w:rsidRPr="00FA32F2">
        <w:rPr>
          <w:rFonts w:ascii="Times New Roman" w:hAnsi="Times New Roman" w:cs="Times New Roman"/>
        </w:rPr>
        <w:t xml:space="preserve"> English or the local language (Dagbani), depending on participant preference. Trained research assistants, fluent in both languages, conducted the interviews after undergoing a two-day training workshop on research ethics, standardized interviewing procedures, and questionnaire content. The tool was pre-tested on 20 hypertensive patients at a nearby district hospital to ensure clarity, cultural appropriateness, and reliability. Necessary adjustments were made to improve comprehension and flow.</w:t>
      </w:r>
    </w:p>
    <w:p w14:paraId="5AB8F611" w14:textId="56EF949F" w:rsidR="00BF0D26" w:rsidRPr="00FA32F2" w:rsidRDefault="00BF0D26" w:rsidP="00FA32F2">
      <w:pPr>
        <w:rPr>
          <w:rFonts w:ascii="Times New Roman" w:hAnsi="Times New Roman" w:cs="Times New Roman"/>
        </w:rPr>
      </w:pPr>
      <w:r w:rsidRPr="00FA32F2">
        <w:rPr>
          <w:rFonts w:ascii="Times New Roman" w:hAnsi="Times New Roman" w:cs="Times New Roman"/>
        </w:rPr>
        <w:t xml:space="preserve">All interviews were conducted </w:t>
      </w:r>
      <w:r w:rsidR="00A1205F" w:rsidRPr="00FA32F2">
        <w:rPr>
          <w:rFonts w:ascii="Times New Roman" w:hAnsi="Times New Roman" w:cs="Times New Roman"/>
        </w:rPr>
        <w:t>privately</w:t>
      </w:r>
      <w:r w:rsidRPr="00FA32F2">
        <w:rPr>
          <w:rFonts w:ascii="Times New Roman" w:hAnsi="Times New Roman" w:cs="Times New Roman"/>
        </w:rPr>
        <w:t xml:space="preserve"> within the clinic premises to ensure confidentiality and minimize bias. On average, each interview lasted between 30 and 40 minutes.</w:t>
      </w:r>
    </w:p>
    <w:p w14:paraId="44EE3D7C" w14:textId="77777777" w:rsidR="00F84AA0" w:rsidRPr="00FA32F2" w:rsidRDefault="00F84AA0" w:rsidP="00FA32F2">
      <w:pPr>
        <w:rPr>
          <w:rFonts w:ascii="Times New Roman" w:hAnsi="Times New Roman" w:cs="Times New Roman"/>
        </w:rPr>
      </w:pPr>
    </w:p>
    <w:p w14:paraId="78CF307A" w14:textId="7A79969A" w:rsidR="00F84AA0" w:rsidRPr="00541B24" w:rsidRDefault="00F84AA0" w:rsidP="00FA32F2">
      <w:pPr>
        <w:rPr>
          <w:rFonts w:ascii="Times New Roman" w:hAnsi="Times New Roman" w:cs="Times New Roman"/>
          <w:b/>
          <w:bCs/>
          <w:rPrChange w:id="8" w:author="HP" w:date="2025-06-27T22:30:00Z" w16du:dateUtc="2025-06-27T20:30:00Z">
            <w:rPr>
              <w:rFonts w:ascii="Times New Roman" w:hAnsi="Times New Roman" w:cs="Times New Roman"/>
            </w:rPr>
          </w:rPrChange>
        </w:rPr>
      </w:pPr>
      <w:r w:rsidRPr="00541B24">
        <w:rPr>
          <w:rFonts w:ascii="Times New Roman" w:hAnsi="Times New Roman" w:cs="Times New Roman"/>
          <w:b/>
          <w:bCs/>
          <w:rPrChange w:id="9" w:author="HP" w:date="2025-06-27T22:30:00Z" w16du:dateUtc="2025-06-27T20:30:00Z">
            <w:rPr>
              <w:rFonts w:ascii="Times New Roman" w:hAnsi="Times New Roman" w:cs="Times New Roman"/>
            </w:rPr>
          </w:rPrChange>
        </w:rPr>
        <w:t>Data management and analysis</w:t>
      </w:r>
    </w:p>
    <w:p w14:paraId="087131FB" w14:textId="58C7CB5F" w:rsidR="00F86A3B" w:rsidRPr="00FA32F2" w:rsidRDefault="007F6779" w:rsidP="00FA32F2">
      <w:pPr>
        <w:rPr>
          <w:rFonts w:ascii="Times New Roman" w:hAnsi="Times New Roman" w:cs="Times New Roman"/>
        </w:rPr>
      </w:pPr>
      <w:r w:rsidRPr="00FA32F2">
        <w:rPr>
          <w:rFonts w:ascii="Times New Roman" w:hAnsi="Times New Roman" w:cs="Times New Roman"/>
        </w:rPr>
        <w:lastRenderedPageBreak/>
        <w:t>Supervisors reviewed Data from the structured questionnaires daily</w:t>
      </w:r>
      <w:r w:rsidR="00F86A3B" w:rsidRPr="00FA32F2">
        <w:rPr>
          <w:rFonts w:ascii="Times New Roman" w:hAnsi="Times New Roman" w:cs="Times New Roman"/>
        </w:rPr>
        <w:t xml:space="preserve"> to check for completeness, consistency, and accuracy before entry into Microsoft Excel. The data were then imported into IBM SPSS Statistics version 26 for cleaning and statistical analysis.</w:t>
      </w:r>
    </w:p>
    <w:p w14:paraId="79971FFB" w14:textId="29DE94F0" w:rsidR="00F86A3B" w:rsidRPr="00FA32F2" w:rsidRDefault="00F86A3B" w:rsidP="00FA32F2">
      <w:pPr>
        <w:rPr>
          <w:rFonts w:ascii="Times New Roman" w:hAnsi="Times New Roman" w:cs="Times New Roman"/>
        </w:rPr>
      </w:pPr>
      <w:r w:rsidRPr="00FA32F2">
        <w:rPr>
          <w:rFonts w:ascii="Times New Roman" w:hAnsi="Times New Roman" w:cs="Times New Roman"/>
        </w:rPr>
        <w:t xml:space="preserve">Descriptive statistics, including frequencies, percentages, means, and standard deviations, were used to summarize participants’ sociodemographic and clinical characteristics, as well as the distribution of self-management behaviors. To assess overall self-management status, responses across six key </w:t>
      </w:r>
      <w:r w:rsidR="007F6779" w:rsidRPr="00FA32F2">
        <w:rPr>
          <w:rFonts w:ascii="Times New Roman" w:hAnsi="Times New Roman" w:cs="Times New Roman"/>
        </w:rPr>
        <w:t xml:space="preserve">domain </w:t>
      </w:r>
      <w:r w:rsidRPr="00FA32F2">
        <w:rPr>
          <w:rFonts w:ascii="Times New Roman" w:hAnsi="Times New Roman" w:cs="Times New Roman"/>
        </w:rPr>
        <w:t>medication adherence, dietary practices (salt intake and label reading), physical activity, home blood pressure (BP) monitoring, smoking, alcohol consumption, stress control, and weight management—were scored using adapted items from the Hypertension Self-Care Activity Level Effects (H-SCALE) and similar validated tools.</w:t>
      </w:r>
    </w:p>
    <w:p w14:paraId="35B2CA0F" w14:textId="77777777" w:rsidR="00F86A3B" w:rsidRPr="00FA32F2" w:rsidRDefault="00F86A3B" w:rsidP="00FA32F2">
      <w:pPr>
        <w:rPr>
          <w:rFonts w:ascii="Times New Roman" w:hAnsi="Times New Roman" w:cs="Times New Roman"/>
        </w:rPr>
      </w:pPr>
      <w:r w:rsidRPr="00FA32F2">
        <w:rPr>
          <w:rFonts w:ascii="Times New Roman" w:hAnsi="Times New Roman" w:cs="Times New Roman"/>
        </w:rPr>
        <w:t>Each domain had specific scoring criteria based on the number of days the recommended behavior was practiced in the past 7 days or binary yes/no responses where applicable. A participant received a point for each behavior meeting the recommended standard (e.g., taking medication all 7 days, abstaining from smoking and alcohol, engaging in at least 30 minutes of physical activity on ≥5 days per week, etc.). The maximum possible score was determined by the total number of self-care domains assessed.</w:t>
      </w:r>
    </w:p>
    <w:p w14:paraId="26FE6E41" w14:textId="5213E1DE" w:rsidR="00F86A3B" w:rsidRPr="00FA32F2" w:rsidRDefault="00F86A3B" w:rsidP="00FA32F2">
      <w:pPr>
        <w:rPr>
          <w:rFonts w:ascii="Times New Roman" w:hAnsi="Times New Roman" w:cs="Times New Roman"/>
        </w:rPr>
      </w:pPr>
      <w:r w:rsidRPr="00FA32F2">
        <w:rPr>
          <w:rFonts w:ascii="Times New Roman" w:hAnsi="Times New Roman" w:cs="Times New Roman"/>
        </w:rPr>
        <w:t>To categorize overall self-management status, a composite self-management score was generated for each respondent. Participants with total scores at or above the median were classified as having good self-management, while those scoring below the median were considered to have poor self-management. This method is consistent with previous studies in Ghana and other low-resource settings,</w:t>
      </w:r>
      <w:r w:rsidR="00630B32" w:rsidRPr="00FA32F2">
        <w:rPr>
          <w:rFonts w:ascii="Times New Roman" w:hAnsi="Times New Roman" w:cs="Times New Roman"/>
        </w:rPr>
        <w:fldChar w:fldCharType="begin"/>
      </w:r>
      <w:r w:rsidR="001C19EF" w:rsidRPr="00FA32F2">
        <w:rPr>
          <w:rFonts w:ascii="Times New Roman" w:hAnsi="Times New Roman" w:cs="Times New Roman"/>
        </w:rPr>
        <w:instrText xml:space="preserve"> ADDIN ZOTERO_ITEM CSL_CITATION {"citationID":"7dTFu4M6","properties":{"formattedCitation":"\\super 28\\uc0\\u8211{}30\\nosupersub{}","plainCitation":"28–30","noteIndex":0},"citationItems":[{"id":5599,"uris":["http://zotero.org/users/15244130/items/YDSB3QAB"],"itemData":{"id":5599,"type":"article-journal","abstract":"Food choices are influenced by knowledge, attitudes, and behaviors (KABs); therefore, determining KABs regarding salt is a key point for salt reduction, which is a primary public health problem in Turkey. This study aimed to assess salt-related KABs in Turkey. This cross-sectional study was conducted on 415 adults in a hospital in Turkey. A structured questionnaire assessing salt-related KABs was administered, and blood pressure was measured. The majority of participants were aware of the health risks associated with high salt intake. Higher overall attitude scores increased the odds of performing most behaviors to reduce salt, except for checking food labels, using spices instead of salt, and purchasing foods labeled as low-sodium, by almost three-fold. These results suggest that both normotensive and hypertensive adults need to improve their knowledge of the health effects and dietary sources of salt, and how to reduce it. Salt-related KABs were not found to be aligned with all positive attitudes toward salt consumption; this indicates the need for regulations that operate independently of public perceptions, such as policies for reducing salt in the food industry and making reduced-salt products more affordable to encourage healthier food choices.","container-title":"Foods","DOI":"10.3390/foods14010141","ISSN":"2304-8158","issue":"1","language":"en","license":"http://creativecommons.org/licenses/by/3.0/","note":"number: 1\npublisher: Multidisciplinary Digital Publishing Institute","page":"141","source":"www.mdpi.com","title":"Dietary Salt-Related Knowledge, Attitudes and Behaviors in Healthy and Hypertensive Turkish Adults from Food Choice Perspective","volume":"14","author":[{"family":"Aksoy Canyolu","given":"Burcu"},{"family":"Özben Sadıç","given":"Beste"}],"issued":{"date-parts":[["2025",1]]}},"label":"page"},{"id":5601,"uris":["http://zotero.org/users/15244130/items/WMKA6JE8"],"itemData":{"id":5601,"type":"webpage","abstract":"Your access to the latest cardiovascular news, science, tools and resources.","title":"Salt and hypertension: current views","title-short":"Salt and hypertension","URL":"https://www.escardio.org/Journals/E-Journal-of-Cardiology-Practice/Volume-22/salt-and-hypertension-current-views","author":[{"family":"Youssef'","given":"'Ghada Sayed"}],"accessed":{"date-parts":[["2025",6,20]]}},"label":"page"},{"id":5596,"uris":["http://zotero.org/users/15244130/items/7KUNQC3C"],"itemData":{"id":5596,"type":"article-journal","abstract":"Background/Objectives: People of African Descent (PoAD) in the United Kingdom (UK) are at an increased risk of hypertension and cardiovascular disease (CVD), partly due to dietary habits such as high salt intake. This study sought to understand the dietary salt-related knowledge, attitudes, and practises (KAP) of PoAD in the UK, to inform the development of culturally tailored interventions to reduce dietary salt intake in this population. Methods: We collected data on KAP from 21 PoAD across various regions in the UK through online semi-structured interviews and analysed them using reflexive thematic analysis (TA). Results: The age of the participants ranged from 20 to 70 years (43 ± 11). Six overarching themes were identified: (i) the multifaceted roles of salt in culinary practises, (ii) the increased awareness of health risks associated with high salt intake, (iii) the existence of knowledge gaps regarding recommended daily salt intake, (iv) the cultural influences on salt consumption levels, (v) the lack of engagement with food labels, and (vi) a limited awareness of salt reduction initiatives. Conclusions: Our findings highlight the significance of salt in the culture and culinary practises of PoAD. Despite general awareness of the health risks of excessive salt consumption, there was a notable deficiency in knowledge about the recommended salt intake levels as well as minimal engagement with nutritional labelling. These findings underline a need for culturally sensitive health interventions that integrate culinary practises, beliefs, and preferences of PoAD, aiming to effectively reduce salt intake and mitigate associated health risks.","container-title":"Healthcare","DOI":"10.3390/healthcare12191969","ISSN":"2227-9032","issue":"19","journalAbbreviation":"Healthcare (Basel)","note":"PMID: 39408149\nPMCID: PMC11477407","page":"1969","source":"PubMed Central","title":"Exploring Dietary Salt Knowledge, Attitude, and Practices among People of African Descent in the United Kingdom: A Qualitative Study","title-short":"Exploring Dietary Salt Knowledge, Attitude, and Practices among People of African Descent in the United Kingdom","volume":"12","author":[{"family":"Usman","given":"Jesse Enebi"},{"family":"Morley","given":"Alexandra"},{"family":"Childs","given":"Charmaine"},{"family":"Rogerson","given":"David"},{"family":"Klonizakis","given":"Markos"}],"issued":{"date-parts":[["2024",10,2]]}},"label":"page"}],"schema":"https://github.com/citation-style-language/schema/raw/master/csl-citation.json"} </w:instrText>
      </w:r>
      <w:r w:rsidR="00630B32" w:rsidRPr="00FA32F2">
        <w:rPr>
          <w:rFonts w:ascii="Times New Roman" w:hAnsi="Times New Roman" w:cs="Times New Roman"/>
        </w:rPr>
        <w:fldChar w:fldCharType="separate"/>
      </w:r>
      <w:r w:rsidR="001C19EF" w:rsidRPr="00FA32F2">
        <w:rPr>
          <w:rFonts w:ascii="Times New Roman" w:hAnsi="Times New Roman" w:cs="Times New Roman"/>
          <w:kern w:val="0"/>
          <w:vertAlign w:val="superscript"/>
        </w:rPr>
        <w:t>28–30</w:t>
      </w:r>
      <w:r w:rsidR="00630B32" w:rsidRPr="00FA32F2">
        <w:rPr>
          <w:rFonts w:ascii="Times New Roman" w:hAnsi="Times New Roman" w:cs="Times New Roman"/>
        </w:rPr>
        <w:fldChar w:fldCharType="end"/>
      </w:r>
      <w:r w:rsidRPr="00FA32F2">
        <w:rPr>
          <w:rFonts w:ascii="Times New Roman" w:hAnsi="Times New Roman" w:cs="Times New Roman"/>
        </w:rPr>
        <w:t xml:space="preserve"> allowing for context-appropriate differentiation between higher and lower self-care engagement.</w:t>
      </w:r>
    </w:p>
    <w:p w14:paraId="09D86E10" w14:textId="402576C6" w:rsidR="00F86A3B" w:rsidRPr="00FA32F2" w:rsidRDefault="00F86A3B" w:rsidP="00FA32F2">
      <w:pPr>
        <w:rPr>
          <w:rFonts w:ascii="Times New Roman" w:hAnsi="Times New Roman" w:cs="Times New Roman"/>
        </w:rPr>
      </w:pPr>
      <w:r w:rsidRPr="00FA32F2">
        <w:rPr>
          <w:rFonts w:ascii="Times New Roman" w:hAnsi="Times New Roman" w:cs="Times New Roman"/>
        </w:rPr>
        <w:t>Inferential statistics included bivariate logistic regression to explore associations between independent variables and good self-management. Variables with a p-value ≤ 0.20 in the bivariate analysis were entered into a multivariable logistic regression model to identify independent predictors. Adjusted odds ratios (AORs), 95% confidence intervals (CIs), and p-values were reported.</w:t>
      </w:r>
    </w:p>
    <w:p w14:paraId="71F674E4" w14:textId="77777777" w:rsidR="00D469F8" w:rsidRPr="00FA32F2" w:rsidRDefault="00D469F8" w:rsidP="00FA32F2">
      <w:pPr>
        <w:rPr>
          <w:rFonts w:ascii="Times New Roman" w:hAnsi="Times New Roman" w:cs="Times New Roman"/>
        </w:rPr>
      </w:pPr>
    </w:p>
    <w:p w14:paraId="1591DC67" w14:textId="07173424" w:rsidR="007C37B2" w:rsidRPr="00FA32F2" w:rsidRDefault="007C37B2" w:rsidP="00FA32F2">
      <w:pPr>
        <w:rPr>
          <w:rFonts w:ascii="Times New Roman" w:hAnsi="Times New Roman" w:cs="Times New Roman"/>
          <w:b/>
          <w:bCs/>
        </w:rPr>
      </w:pPr>
      <w:r w:rsidRPr="00FA32F2">
        <w:rPr>
          <w:rFonts w:ascii="Times New Roman" w:hAnsi="Times New Roman" w:cs="Times New Roman"/>
          <w:b/>
          <w:bCs/>
        </w:rPr>
        <w:t>Results</w:t>
      </w:r>
    </w:p>
    <w:p w14:paraId="202B3663" w14:textId="784A5814" w:rsidR="007C37B2" w:rsidRPr="00FA32F2" w:rsidRDefault="007C37B2" w:rsidP="00FA32F2">
      <w:pPr>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Sociodemographic Characteristics of Respondents</w:t>
      </w:r>
    </w:p>
    <w:p w14:paraId="4E0F66E6" w14:textId="16EEE194" w:rsidR="007C37B2" w:rsidRPr="00FA32F2" w:rsidRDefault="00B04D14" w:rsidP="00FA32F2">
      <w:pPr>
        <w:rPr>
          <w:rFonts w:ascii="Times New Roman" w:hAnsi="Times New Roman" w:cs="Times New Roman"/>
        </w:rPr>
      </w:pPr>
      <w:r w:rsidRPr="00FA32F2">
        <w:rPr>
          <w:rFonts w:ascii="Times New Roman" w:hAnsi="Times New Roman" w:cs="Times New Roman"/>
        </w:rPr>
        <w:t xml:space="preserve">The study </w:t>
      </w:r>
      <w:r w:rsidR="001A291F" w:rsidRPr="00FA32F2">
        <w:rPr>
          <w:rFonts w:ascii="Times New Roman" w:hAnsi="Times New Roman" w:cs="Times New Roman"/>
        </w:rPr>
        <w:t xml:space="preserve">recruited </w:t>
      </w:r>
      <w:r w:rsidRPr="00FA32F2">
        <w:rPr>
          <w:rFonts w:ascii="Times New Roman" w:hAnsi="Times New Roman" w:cs="Times New Roman"/>
        </w:rPr>
        <w:t>285 hypertensive patients with a mean age of 56.4 years (SD = 13.8). The majority were female (60%) and married (57.9%). A significant portion had limited formal education, with 33.3% having no formal schooling and only 14.4% attaining tertiary education. Most respondents were employed in the informal sector (44.2%), while 27% were unemployed. Monthly income was generally low, with nearly 78% earning ₵1,000 or less. A substantial majority resided in rural areas (70.5%), and 81.1% were enrolled in the National Health Insurance Scheme (NHIS), while 13.3% had no health insurance (Table 1).</w:t>
      </w:r>
    </w:p>
    <w:tbl>
      <w:tblPr>
        <w:tblW w:w="8420" w:type="dxa"/>
        <w:tblBorders>
          <w:bottom w:val="single" w:sz="4" w:space="0" w:color="auto"/>
        </w:tblBorders>
        <w:tblLook w:val="04A0" w:firstRow="1" w:lastRow="0" w:firstColumn="1" w:lastColumn="0" w:noHBand="0" w:noVBand="1"/>
      </w:tblPr>
      <w:tblGrid>
        <w:gridCol w:w="2424"/>
        <w:gridCol w:w="2442"/>
        <w:gridCol w:w="1714"/>
        <w:gridCol w:w="1840"/>
      </w:tblGrid>
      <w:tr w:rsidR="007C37B2" w:rsidRPr="00FA32F2" w14:paraId="63EC813F" w14:textId="77777777" w:rsidTr="007C37B2">
        <w:trPr>
          <w:trHeight w:val="350"/>
        </w:trPr>
        <w:tc>
          <w:tcPr>
            <w:tcW w:w="8420" w:type="dxa"/>
            <w:gridSpan w:val="4"/>
            <w:tcBorders>
              <w:bottom w:val="single" w:sz="4" w:space="0" w:color="auto"/>
            </w:tcBorders>
            <w:shd w:val="clear" w:color="auto" w:fill="auto"/>
            <w:noWrap/>
            <w:vAlign w:val="center"/>
            <w:hideMark/>
          </w:tcPr>
          <w:p w14:paraId="4C25DF18" w14:textId="2AC61688"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1: Sociodemographic Characteristics of Respondents (N = 285)</w:t>
            </w:r>
          </w:p>
        </w:tc>
      </w:tr>
      <w:tr w:rsidR="007C37B2" w:rsidRPr="00FA32F2" w14:paraId="5D8F0C17" w14:textId="77777777" w:rsidTr="007C37B2">
        <w:trPr>
          <w:trHeight w:val="290"/>
        </w:trPr>
        <w:tc>
          <w:tcPr>
            <w:tcW w:w="2424" w:type="dxa"/>
            <w:tcBorders>
              <w:top w:val="single" w:sz="4" w:space="0" w:color="auto"/>
              <w:bottom w:val="single" w:sz="4" w:space="0" w:color="auto"/>
            </w:tcBorders>
            <w:shd w:val="clear" w:color="auto" w:fill="auto"/>
            <w:noWrap/>
            <w:vAlign w:val="center"/>
            <w:hideMark/>
          </w:tcPr>
          <w:p w14:paraId="03272C7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442" w:type="dxa"/>
            <w:tcBorders>
              <w:top w:val="single" w:sz="4" w:space="0" w:color="auto"/>
              <w:bottom w:val="single" w:sz="4" w:space="0" w:color="auto"/>
            </w:tcBorders>
            <w:shd w:val="clear" w:color="auto" w:fill="auto"/>
            <w:noWrap/>
            <w:vAlign w:val="center"/>
            <w:hideMark/>
          </w:tcPr>
          <w:p w14:paraId="10E0F41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Category</w:t>
            </w:r>
          </w:p>
        </w:tc>
        <w:tc>
          <w:tcPr>
            <w:tcW w:w="1714" w:type="dxa"/>
            <w:tcBorders>
              <w:top w:val="single" w:sz="4" w:space="0" w:color="auto"/>
              <w:bottom w:val="single" w:sz="4" w:space="0" w:color="auto"/>
            </w:tcBorders>
            <w:shd w:val="clear" w:color="auto" w:fill="auto"/>
            <w:noWrap/>
            <w:vAlign w:val="center"/>
            <w:hideMark/>
          </w:tcPr>
          <w:p w14:paraId="21011F07"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Frequency (n)</w:t>
            </w:r>
          </w:p>
        </w:tc>
        <w:tc>
          <w:tcPr>
            <w:tcW w:w="1840" w:type="dxa"/>
            <w:tcBorders>
              <w:top w:val="single" w:sz="4" w:space="0" w:color="auto"/>
              <w:bottom w:val="single" w:sz="4" w:space="0" w:color="auto"/>
            </w:tcBorders>
            <w:shd w:val="clear" w:color="auto" w:fill="auto"/>
            <w:noWrap/>
            <w:vAlign w:val="center"/>
            <w:hideMark/>
          </w:tcPr>
          <w:p w14:paraId="4310260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Percentage (%)</w:t>
            </w:r>
          </w:p>
        </w:tc>
      </w:tr>
      <w:tr w:rsidR="007C37B2" w:rsidRPr="00FA32F2" w14:paraId="1A5879F2" w14:textId="77777777" w:rsidTr="007C37B2">
        <w:trPr>
          <w:trHeight w:val="290"/>
        </w:trPr>
        <w:tc>
          <w:tcPr>
            <w:tcW w:w="2424" w:type="dxa"/>
            <w:tcBorders>
              <w:top w:val="single" w:sz="4" w:space="0" w:color="auto"/>
            </w:tcBorders>
            <w:shd w:val="clear" w:color="auto" w:fill="auto"/>
            <w:noWrap/>
            <w:vAlign w:val="center"/>
            <w:hideMark/>
          </w:tcPr>
          <w:p w14:paraId="53CFC7B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Age (years)</w:t>
            </w:r>
          </w:p>
        </w:tc>
        <w:tc>
          <w:tcPr>
            <w:tcW w:w="2442" w:type="dxa"/>
            <w:tcBorders>
              <w:top w:val="single" w:sz="4" w:space="0" w:color="auto"/>
            </w:tcBorders>
            <w:shd w:val="clear" w:color="auto" w:fill="auto"/>
            <w:noWrap/>
            <w:vAlign w:val="bottom"/>
            <w:hideMark/>
          </w:tcPr>
          <w:p w14:paraId="652E816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3554" w:type="dxa"/>
            <w:gridSpan w:val="2"/>
            <w:tcBorders>
              <w:top w:val="single" w:sz="4" w:space="0" w:color="auto"/>
            </w:tcBorders>
            <w:shd w:val="clear" w:color="auto" w:fill="auto"/>
            <w:noWrap/>
            <w:vAlign w:val="center"/>
            <w:hideMark/>
          </w:tcPr>
          <w:p w14:paraId="4426AA1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Mean = 56.4, SD = 13.8</w:t>
            </w:r>
          </w:p>
        </w:tc>
      </w:tr>
      <w:tr w:rsidR="007C37B2" w:rsidRPr="00FA32F2" w14:paraId="71B5A4C1" w14:textId="77777777" w:rsidTr="007C37B2">
        <w:trPr>
          <w:trHeight w:val="290"/>
        </w:trPr>
        <w:tc>
          <w:tcPr>
            <w:tcW w:w="2424" w:type="dxa"/>
            <w:shd w:val="clear" w:color="auto" w:fill="auto"/>
            <w:noWrap/>
            <w:vAlign w:val="center"/>
            <w:hideMark/>
          </w:tcPr>
          <w:p w14:paraId="4F4AEBD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Sex</w:t>
            </w:r>
          </w:p>
        </w:tc>
        <w:tc>
          <w:tcPr>
            <w:tcW w:w="2442" w:type="dxa"/>
            <w:shd w:val="clear" w:color="auto" w:fill="auto"/>
            <w:noWrap/>
            <w:vAlign w:val="center"/>
            <w:hideMark/>
          </w:tcPr>
          <w:p w14:paraId="08476AE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36DD1628"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5AA7C822"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21AA9A1F" w14:textId="77777777" w:rsidTr="007C37B2">
        <w:trPr>
          <w:trHeight w:val="290"/>
        </w:trPr>
        <w:tc>
          <w:tcPr>
            <w:tcW w:w="2424" w:type="dxa"/>
            <w:shd w:val="clear" w:color="auto" w:fill="auto"/>
            <w:noWrap/>
            <w:vAlign w:val="bottom"/>
            <w:hideMark/>
          </w:tcPr>
          <w:p w14:paraId="607E693C"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6C981D0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Male</w:t>
            </w:r>
          </w:p>
        </w:tc>
        <w:tc>
          <w:tcPr>
            <w:tcW w:w="1714" w:type="dxa"/>
            <w:shd w:val="clear" w:color="auto" w:fill="auto"/>
            <w:noWrap/>
            <w:vAlign w:val="center"/>
            <w:hideMark/>
          </w:tcPr>
          <w:p w14:paraId="229D930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114</w:t>
            </w:r>
          </w:p>
        </w:tc>
        <w:tc>
          <w:tcPr>
            <w:tcW w:w="1840" w:type="dxa"/>
            <w:shd w:val="clear" w:color="auto" w:fill="auto"/>
            <w:noWrap/>
            <w:vAlign w:val="center"/>
            <w:hideMark/>
          </w:tcPr>
          <w:p w14:paraId="121DF0C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40.00%</w:t>
            </w:r>
          </w:p>
        </w:tc>
      </w:tr>
      <w:tr w:rsidR="007C37B2" w:rsidRPr="00FA32F2" w14:paraId="1B6277E9" w14:textId="77777777" w:rsidTr="007C37B2">
        <w:trPr>
          <w:trHeight w:val="290"/>
        </w:trPr>
        <w:tc>
          <w:tcPr>
            <w:tcW w:w="2424" w:type="dxa"/>
            <w:shd w:val="clear" w:color="auto" w:fill="auto"/>
            <w:noWrap/>
            <w:vAlign w:val="center"/>
            <w:hideMark/>
          </w:tcPr>
          <w:p w14:paraId="28E767F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08C13E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Female</w:t>
            </w:r>
          </w:p>
        </w:tc>
        <w:tc>
          <w:tcPr>
            <w:tcW w:w="1714" w:type="dxa"/>
            <w:shd w:val="clear" w:color="auto" w:fill="auto"/>
            <w:noWrap/>
            <w:vAlign w:val="center"/>
            <w:hideMark/>
          </w:tcPr>
          <w:p w14:paraId="28E415A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171</w:t>
            </w:r>
          </w:p>
        </w:tc>
        <w:tc>
          <w:tcPr>
            <w:tcW w:w="1840" w:type="dxa"/>
            <w:shd w:val="clear" w:color="auto" w:fill="auto"/>
            <w:noWrap/>
            <w:vAlign w:val="center"/>
            <w:hideMark/>
          </w:tcPr>
          <w:p w14:paraId="511E885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60.00%</w:t>
            </w:r>
          </w:p>
        </w:tc>
      </w:tr>
      <w:tr w:rsidR="007C37B2" w:rsidRPr="00FA32F2" w14:paraId="75268C5E" w14:textId="77777777" w:rsidTr="007C37B2">
        <w:trPr>
          <w:trHeight w:val="290"/>
        </w:trPr>
        <w:tc>
          <w:tcPr>
            <w:tcW w:w="2424" w:type="dxa"/>
            <w:shd w:val="clear" w:color="auto" w:fill="auto"/>
            <w:noWrap/>
            <w:vAlign w:val="center"/>
            <w:hideMark/>
          </w:tcPr>
          <w:p w14:paraId="2B9EDF7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Marital Status</w:t>
            </w:r>
          </w:p>
        </w:tc>
        <w:tc>
          <w:tcPr>
            <w:tcW w:w="2442" w:type="dxa"/>
            <w:shd w:val="clear" w:color="auto" w:fill="auto"/>
            <w:noWrap/>
            <w:vAlign w:val="center"/>
            <w:hideMark/>
          </w:tcPr>
          <w:p w14:paraId="08F0A0F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125B11EC"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4ACB5271"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4974F56D" w14:textId="77777777" w:rsidTr="007C37B2">
        <w:trPr>
          <w:trHeight w:val="290"/>
        </w:trPr>
        <w:tc>
          <w:tcPr>
            <w:tcW w:w="2424" w:type="dxa"/>
            <w:shd w:val="clear" w:color="auto" w:fill="auto"/>
            <w:noWrap/>
            <w:vAlign w:val="bottom"/>
            <w:hideMark/>
          </w:tcPr>
          <w:p w14:paraId="62E3F1C0"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5DBE397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Single</w:t>
            </w:r>
          </w:p>
        </w:tc>
        <w:tc>
          <w:tcPr>
            <w:tcW w:w="1714" w:type="dxa"/>
            <w:shd w:val="clear" w:color="auto" w:fill="auto"/>
            <w:noWrap/>
            <w:vAlign w:val="center"/>
            <w:hideMark/>
          </w:tcPr>
          <w:p w14:paraId="65AFD84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w:t>
            </w:r>
          </w:p>
        </w:tc>
        <w:tc>
          <w:tcPr>
            <w:tcW w:w="1840" w:type="dxa"/>
            <w:shd w:val="clear" w:color="auto" w:fill="auto"/>
            <w:noWrap/>
            <w:vAlign w:val="center"/>
            <w:hideMark/>
          </w:tcPr>
          <w:p w14:paraId="26092FA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21.40%</w:t>
            </w:r>
          </w:p>
        </w:tc>
      </w:tr>
      <w:tr w:rsidR="007C37B2" w:rsidRPr="00FA32F2" w14:paraId="002D9C9F" w14:textId="77777777" w:rsidTr="007C37B2">
        <w:trPr>
          <w:trHeight w:val="290"/>
        </w:trPr>
        <w:tc>
          <w:tcPr>
            <w:tcW w:w="2424" w:type="dxa"/>
            <w:shd w:val="clear" w:color="auto" w:fill="auto"/>
            <w:noWrap/>
            <w:vAlign w:val="center"/>
            <w:hideMark/>
          </w:tcPr>
          <w:p w14:paraId="26F82A7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98114B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Married</w:t>
            </w:r>
          </w:p>
        </w:tc>
        <w:tc>
          <w:tcPr>
            <w:tcW w:w="1714" w:type="dxa"/>
            <w:shd w:val="clear" w:color="auto" w:fill="auto"/>
            <w:noWrap/>
            <w:vAlign w:val="center"/>
            <w:hideMark/>
          </w:tcPr>
          <w:p w14:paraId="08042D9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165</w:t>
            </w:r>
          </w:p>
        </w:tc>
        <w:tc>
          <w:tcPr>
            <w:tcW w:w="1840" w:type="dxa"/>
            <w:shd w:val="clear" w:color="auto" w:fill="auto"/>
            <w:noWrap/>
            <w:vAlign w:val="center"/>
            <w:hideMark/>
          </w:tcPr>
          <w:p w14:paraId="23549D9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57.90%</w:t>
            </w:r>
          </w:p>
        </w:tc>
      </w:tr>
      <w:tr w:rsidR="007C37B2" w:rsidRPr="00FA32F2" w14:paraId="59466A3A" w14:textId="77777777" w:rsidTr="007C37B2">
        <w:trPr>
          <w:trHeight w:val="290"/>
        </w:trPr>
        <w:tc>
          <w:tcPr>
            <w:tcW w:w="2424" w:type="dxa"/>
            <w:shd w:val="clear" w:color="auto" w:fill="auto"/>
            <w:noWrap/>
            <w:vAlign w:val="center"/>
            <w:hideMark/>
          </w:tcPr>
          <w:p w14:paraId="70DE242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51EB6D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Divorced</w:t>
            </w:r>
          </w:p>
        </w:tc>
        <w:tc>
          <w:tcPr>
            <w:tcW w:w="1714" w:type="dxa"/>
            <w:shd w:val="clear" w:color="auto" w:fill="auto"/>
            <w:noWrap/>
            <w:vAlign w:val="center"/>
            <w:hideMark/>
          </w:tcPr>
          <w:p w14:paraId="5658BB3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w:t>
            </w:r>
          </w:p>
        </w:tc>
        <w:tc>
          <w:tcPr>
            <w:tcW w:w="1840" w:type="dxa"/>
            <w:shd w:val="clear" w:color="auto" w:fill="auto"/>
            <w:noWrap/>
            <w:vAlign w:val="center"/>
            <w:hideMark/>
          </w:tcPr>
          <w:p w14:paraId="2512B21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10.20%</w:t>
            </w:r>
          </w:p>
        </w:tc>
      </w:tr>
      <w:tr w:rsidR="007C37B2" w:rsidRPr="00FA32F2" w14:paraId="4CECCDF4" w14:textId="77777777" w:rsidTr="007C37B2">
        <w:trPr>
          <w:trHeight w:val="290"/>
        </w:trPr>
        <w:tc>
          <w:tcPr>
            <w:tcW w:w="2424" w:type="dxa"/>
            <w:shd w:val="clear" w:color="auto" w:fill="auto"/>
            <w:noWrap/>
            <w:vAlign w:val="center"/>
            <w:hideMark/>
          </w:tcPr>
          <w:p w14:paraId="7D661F6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1D0185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Widowed</w:t>
            </w:r>
          </w:p>
        </w:tc>
        <w:tc>
          <w:tcPr>
            <w:tcW w:w="1714" w:type="dxa"/>
            <w:shd w:val="clear" w:color="auto" w:fill="auto"/>
            <w:noWrap/>
            <w:vAlign w:val="center"/>
            <w:hideMark/>
          </w:tcPr>
          <w:p w14:paraId="3743DFE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30</w:t>
            </w:r>
          </w:p>
        </w:tc>
        <w:tc>
          <w:tcPr>
            <w:tcW w:w="1840" w:type="dxa"/>
            <w:shd w:val="clear" w:color="auto" w:fill="auto"/>
            <w:noWrap/>
            <w:vAlign w:val="center"/>
            <w:hideMark/>
          </w:tcPr>
          <w:p w14:paraId="41F0C61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10.50%</w:t>
            </w:r>
          </w:p>
        </w:tc>
      </w:tr>
      <w:tr w:rsidR="007C37B2" w:rsidRPr="00FA32F2" w14:paraId="0281F0CD" w14:textId="77777777" w:rsidTr="007C37B2">
        <w:trPr>
          <w:trHeight w:val="290"/>
        </w:trPr>
        <w:tc>
          <w:tcPr>
            <w:tcW w:w="2424" w:type="dxa"/>
            <w:shd w:val="clear" w:color="auto" w:fill="auto"/>
            <w:noWrap/>
            <w:vAlign w:val="center"/>
            <w:hideMark/>
          </w:tcPr>
          <w:p w14:paraId="33A5E2C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Education Level</w:t>
            </w:r>
          </w:p>
        </w:tc>
        <w:tc>
          <w:tcPr>
            <w:tcW w:w="2442" w:type="dxa"/>
            <w:shd w:val="clear" w:color="auto" w:fill="auto"/>
            <w:noWrap/>
            <w:vAlign w:val="center"/>
            <w:hideMark/>
          </w:tcPr>
          <w:p w14:paraId="7DFAD88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1B513E6F"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16D4F32E"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266F3BE4" w14:textId="77777777" w:rsidTr="007C37B2">
        <w:trPr>
          <w:trHeight w:val="290"/>
        </w:trPr>
        <w:tc>
          <w:tcPr>
            <w:tcW w:w="2424" w:type="dxa"/>
            <w:shd w:val="clear" w:color="auto" w:fill="auto"/>
            <w:noWrap/>
            <w:vAlign w:val="bottom"/>
            <w:hideMark/>
          </w:tcPr>
          <w:p w14:paraId="4DFF87B8"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5F066DD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 formal education</w:t>
            </w:r>
          </w:p>
        </w:tc>
        <w:tc>
          <w:tcPr>
            <w:tcW w:w="1714" w:type="dxa"/>
            <w:shd w:val="clear" w:color="auto" w:fill="auto"/>
            <w:noWrap/>
            <w:vAlign w:val="center"/>
            <w:hideMark/>
          </w:tcPr>
          <w:p w14:paraId="14B1CE3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w:t>
            </w:r>
          </w:p>
        </w:tc>
        <w:tc>
          <w:tcPr>
            <w:tcW w:w="1840" w:type="dxa"/>
            <w:shd w:val="clear" w:color="auto" w:fill="auto"/>
            <w:noWrap/>
            <w:vAlign w:val="center"/>
            <w:hideMark/>
          </w:tcPr>
          <w:p w14:paraId="044000E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33.30%</w:t>
            </w:r>
          </w:p>
        </w:tc>
      </w:tr>
      <w:tr w:rsidR="007C37B2" w:rsidRPr="00FA32F2" w14:paraId="7F31795B" w14:textId="77777777" w:rsidTr="007C37B2">
        <w:trPr>
          <w:trHeight w:val="290"/>
        </w:trPr>
        <w:tc>
          <w:tcPr>
            <w:tcW w:w="2424" w:type="dxa"/>
            <w:shd w:val="clear" w:color="auto" w:fill="auto"/>
            <w:noWrap/>
            <w:vAlign w:val="center"/>
            <w:hideMark/>
          </w:tcPr>
          <w:p w14:paraId="1459667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BD4F8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Primary</w:t>
            </w:r>
          </w:p>
        </w:tc>
        <w:tc>
          <w:tcPr>
            <w:tcW w:w="1714" w:type="dxa"/>
            <w:shd w:val="clear" w:color="auto" w:fill="auto"/>
            <w:noWrap/>
            <w:vAlign w:val="center"/>
            <w:hideMark/>
          </w:tcPr>
          <w:p w14:paraId="2DA1D06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w:t>
            </w:r>
          </w:p>
        </w:tc>
        <w:tc>
          <w:tcPr>
            <w:tcW w:w="1840" w:type="dxa"/>
            <w:shd w:val="clear" w:color="auto" w:fill="auto"/>
            <w:noWrap/>
            <w:vAlign w:val="center"/>
            <w:hideMark/>
          </w:tcPr>
          <w:p w14:paraId="33C3F24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29.50%</w:t>
            </w:r>
          </w:p>
        </w:tc>
      </w:tr>
      <w:tr w:rsidR="007C37B2" w:rsidRPr="00FA32F2" w14:paraId="658E63E7" w14:textId="77777777" w:rsidTr="007C37B2">
        <w:trPr>
          <w:trHeight w:val="290"/>
        </w:trPr>
        <w:tc>
          <w:tcPr>
            <w:tcW w:w="2424" w:type="dxa"/>
            <w:shd w:val="clear" w:color="auto" w:fill="auto"/>
            <w:noWrap/>
            <w:vAlign w:val="center"/>
            <w:hideMark/>
          </w:tcPr>
          <w:p w14:paraId="28099EC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41D28E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Secondary</w:t>
            </w:r>
          </w:p>
        </w:tc>
        <w:tc>
          <w:tcPr>
            <w:tcW w:w="1714" w:type="dxa"/>
            <w:shd w:val="clear" w:color="auto" w:fill="auto"/>
            <w:noWrap/>
            <w:vAlign w:val="center"/>
            <w:hideMark/>
          </w:tcPr>
          <w:p w14:paraId="3DB74CB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65</w:t>
            </w:r>
          </w:p>
        </w:tc>
        <w:tc>
          <w:tcPr>
            <w:tcW w:w="1840" w:type="dxa"/>
            <w:shd w:val="clear" w:color="auto" w:fill="auto"/>
            <w:noWrap/>
            <w:vAlign w:val="center"/>
            <w:hideMark/>
          </w:tcPr>
          <w:p w14:paraId="3C06A25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22.80%</w:t>
            </w:r>
          </w:p>
        </w:tc>
      </w:tr>
      <w:tr w:rsidR="007C37B2" w:rsidRPr="00FA32F2" w14:paraId="75C2BE58" w14:textId="77777777" w:rsidTr="007C37B2">
        <w:trPr>
          <w:trHeight w:val="290"/>
        </w:trPr>
        <w:tc>
          <w:tcPr>
            <w:tcW w:w="2424" w:type="dxa"/>
            <w:shd w:val="clear" w:color="auto" w:fill="auto"/>
            <w:noWrap/>
            <w:vAlign w:val="center"/>
            <w:hideMark/>
          </w:tcPr>
          <w:p w14:paraId="229B8AA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222A0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Tertiary</w:t>
            </w:r>
          </w:p>
        </w:tc>
        <w:tc>
          <w:tcPr>
            <w:tcW w:w="1714" w:type="dxa"/>
            <w:shd w:val="clear" w:color="auto" w:fill="auto"/>
            <w:noWrap/>
            <w:vAlign w:val="center"/>
            <w:hideMark/>
          </w:tcPr>
          <w:p w14:paraId="6DB39C8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41</w:t>
            </w:r>
          </w:p>
        </w:tc>
        <w:tc>
          <w:tcPr>
            <w:tcW w:w="1840" w:type="dxa"/>
            <w:shd w:val="clear" w:color="auto" w:fill="auto"/>
            <w:noWrap/>
            <w:vAlign w:val="center"/>
            <w:hideMark/>
          </w:tcPr>
          <w:p w14:paraId="1E8880D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14.40%</w:t>
            </w:r>
          </w:p>
        </w:tc>
      </w:tr>
      <w:tr w:rsidR="007C37B2" w:rsidRPr="00FA32F2" w14:paraId="059A5AAA" w14:textId="77777777" w:rsidTr="007C37B2">
        <w:trPr>
          <w:trHeight w:val="290"/>
        </w:trPr>
        <w:tc>
          <w:tcPr>
            <w:tcW w:w="2424" w:type="dxa"/>
            <w:shd w:val="clear" w:color="auto" w:fill="auto"/>
            <w:noWrap/>
            <w:vAlign w:val="center"/>
            <w:hideMark/>
          </w:tcPr>
          <w:p w14:paraId="4B0D2FC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Employment Status</w:t>
            </w:r>
          </w:p>
        </w:tc>
        <w:tc>
          <w:tcPr>
            <w:tcW w:w="2442" w:type="dxa"/>
            <w:shd w:val="clear" w:color="auto" w:fill="auto"/>
            <w:noWrap/>
            <w:vAlign w:val="center"/>
            <w:hideMark/>
          </w:tcPr>
          <w:p w14:paraId="53EFB2C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2DAB2875"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1A3BDD02"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355ECF59" w14:textId="77777777" w:rsidTr="007C37B2">
        <w:trPr>
          <w:trHeight w:val="290"/>
        </w:trPr>
        <w:tc>
          <w:tcPr>
            <w:tcW w:w="2424" w:type="dxa"/>
            <w:shd w:val="clear" w:color="auto" w:fill="auto"/>
            <w:noWrap/>
            <w:vAlign w:val="bottom"/>
            <w:hideMark/>
          </w:tcPr>
          <w:p w14:paraId="0D94E36F"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23E5CB3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Informal sector</w:t>
            </w:r>
          </w:p>
        </w:tc>
        <w:tc>
          <w:tcPr>
            <w:tcW w:w="1714" w:type="dxa"/>
            <w:shd w:val="clear" w:color="auto" w:fill="auto"/>
            <w:noWrap/>
            <w:vAlign w:val="center"/>
            <w:hideMark/>
          </w:tcPr>
          <w:p w14:paraId="41B248D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126</w:t>
            </w:r>
          </w:p>
        </w:tc>
        <w:tc>
          <w:tcPr>
            <w:tcW w:w="1840" w:type="dxa"/>
            <w:shd w:val="clear" w:color="auto" w:fill="auto"/>
            <w:noWrap/>
            <w:vAlign w:val="center"/>
            <w:hideMark/>
          </w:tcPr>
          <w:p w14:paraId="6FA2032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44.20%</w:t>
            </w:r>
          </w:p>
        </w:tc>
      </w:tr>
      <w:tr w:rsidR="007C37B2" w:rsidRPr="00FA32F2" w14:paraId="73A486F6" w14:textId="77777777" w:rsidTr="007C37B2">
        <w:trPr>
          <w:trHeight w:val="290"/>
        </w:trPr>
        <w:tc>
          <w:tcPr>
            <w:tcW w:w="2424" w:type="dxa"/>
            <w:shd w:val="clear" w:color="auto" w:fill="auto"/>
            <w:noWrap/>
            <w:vAlign w:val="center"/>
            <w:hideMark/>
          </w:tcPr>
          <w:p w14:paraId="1145526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B767DA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Public sector</w:t>
            </w:r>
          </w:p>
        </w:tc>
        <w:tc>
          <w:tcPr>
            <w:tcW w:w="1714" w:type="dxa"/>
            <w:shd w:val="clear" w:color="auto" w:fill="auto"/>
            <w:noWrap/>
            <w:vAlign w:val="center"/>
            <w:hideMark/>
          </w:tcPr>
          <w:p w14:paraId="7BBE3EE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55</w:t>
            </w:r>
          </w:p>
        </w:tc>
        <w:tc>
          <w:tcPr>
            <w:tcW w:w="1840" w:type="dxa"/>
            <w:shd w:val="clear" w:color="auto" w:fill="auto"/>
            <w:noWrap/>
            <w:vAlign w:val="center"/>
            <w:hideMark/>
          </w:tcPr>
          <w:p w14:paraId="4C805E0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19.30%</w:t>
            </w:r>
          </w:p>
        </w:tc>
      </w:tr>
      <w:tr w:rsidR="007C37B2" w:rsidRPr="00FA32F2" w14:paraId="660B9712" w14:textId="77777777" w:rsidTr="007C37B2">
        <w:trPr>
          <w:trHeight w:val="290"/>
        </w:trPr>
        <w:tc>
          <w:tcPr>
            <w:tcW w:w="2424" w:type="dxa"/>
            <w:shd w:val="clear" w:color="auto" w:fill="auto"/>
            <w:noWrap/>
            <w:vAlign w:val="center"/>
            <w:hideMark/>
          </w:tcPr>
          <w:p w14:paraId="09DA89B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FE1551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Private sector</w:t>
            </w:r>
          </w:p>
        </w:tc>
        <w:tc>
          <w:tcPr>
            <w:tcW w:w="1714" w:type="dxa"/>
            <w:shd w:val="clear" w:color="auto" w:fill="auto"/>
            <w:noWrap/>
            <w:vAlign w:val="center"/>
            <w:hideMark/>
          </w:tcPr>
          <w:p w14:paraId="228A54F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w:t>
            </w:r>
          </w:p>
        </w:tc>
        <w:tc>
          <w:tcPr>
            <w:tcW w:w="1840" w:type="dxa"/>
            <w:shd w:val="clear" w:color="auto" w:fill="auto"/>
            <w:noWrap/>
            <w:vAlign w:val="center"/>
            <w:hideMark/>
          </w:tcPr>
          <w:p w14:paraId="2FEB042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9.50%</w:t>
            </w:r>
          </w:p>
        </w:tc>
      </w:tr>
      <w:tr w:rsidR="007C37B2" w:rsidRPr="00FA32F2" w14:paraId="1FBBFEAD" w14:textId="77777777" w:rsidTr="007C37B2">
        <w:trPr>
          <w:trHeight w:val="290"/>
        </w:trPr>
        <w:tc>
          <w:tcPr>
            <w:tcW w:w="2424" w:type="dxa"/>
            <w:shd w:val="clear" w:color="auto" w:fill="auto"/>
            <w:noWrap/>
            <w:vAlign w:val="center"/>
            <w:hideMark/>
          </w:tcPr>
          <w:p w14:paraId="65AF893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A310B7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Unemployed</w:t>
            </w:r>
          </w:p>
        </w:tc>
        <w:tc>
          <w:tcPr>
            <w:tcW w:w="1714" w:type="dxa"/>
            <w:shd w:val="clear" w:color="auto" w:fill="auto"/>
            <w:noWrap/>
            <w:vAlign w:val="center"/>
            <w:hideMark/>
          </w:tcPr>
          <w:p w14:paraId="66914B9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77</w:t>
            </w:r>
          </w:p>
        </w:tc>
        <w:tc>
          <w:tcPr>
            <w:tcW w:w="1840" w:type="dxa"/>
            <w:shd w:val="clear" w:color="auto" w:fill="auto"/>
            <w:noWrap/>
            <w:vAlign w:val="center"/>
            <w:hideMark/>
          </w:tcPr>
          <w:p w14:paraId="6F0EA42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27.00%</w:t>
            </w:r>
          </w:p>
        </w:tc>
      </w:tr>
      <w:tr w:rsidR="007C37B2" w:rsidRPr="00FA32F2" w14:paraId="63C9252A" w14:textId="77777777" w:rsidTr="007C37B2">
        <w:trPr>
          <w:trHeight w:val="290"/>
        </w:trPr>
        <w:tc>
          <w:tcPr>
            <w:tcW w:w="2424" w:type="dxa"/>
            <w:shd w:val="clear" w:color="auto" w:fill="auto"/>
            <w:noWrap/>
            <w:vAlign w:val="center"/>
            <w:hideMark/>
          </w:tcPr>
          <w:p w14:paraId="0A26079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Monthly Income</w:t>
            </w:r>
          </w:p>
        </w:tc>
        <w:tc>
          <w:tcPr>
            <w:tcW w:w="2442" w:type="dxa"/>
            <w:shd w:val="clear" w:color="auto" w:fill="auto"/>
            <w:noWrap/>
            <w:vAlign w:val="center"/>
            <w:hideMark/>
          </w:tcPr>
          <w:p w14:paraId="6FFE1667"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01AE5280"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179FAD54"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615FBCB8" w14:textId="77777777" w:rsidTr="007C37B2">
        <w:trPr>
          <w:trHeight w:val="290"/>
        </w:trPr>
        <w:tc>
          <w:tcPr>
            <w:tcW w:w="2424" w:type="dxa"/>
            <w:shd w:val="clear" w:color="auto" w:fill="auto"/>
            <w:noWrap/>
            <w:vAlign w:val="bottom"/>
            <w:hideMark/>
          </w:tcPr>
          <w:p w14:paraId="36A3AF33"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4085036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&lt; ₵500</w:t>
            </w:r>
          </w:p>
        </w:tc>
        <w:tc>
          <w:tcPr>
            <w:tcW w:w="1714" w:type="dxa"/>
            <w:shd w:val="clear" w:color="auto" w:fill="auto"/>
            <w:noWrap/>
            <w:vAlign w:val="center"/>
            <w:hideMark/>
          </w:tcPr>
          <w:p w14:paraId="49E16CE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110</w:t>
            </w:r>
          </w:p>
        </w:tc>
        <w:tc>
          <w:tcPr>
            <w:tcW w:w="1840" w:type="dxa"/>
            <w:shd w:val="clear" w:color="auto" w:fill="auto"/>
            <w:noWrap/>
            <w:vAlign w:val="center"/>
            <w:hideMark/>
          </w:tcPr>
          <w:p w14:paraId="681AA60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38.60%</w:t>
            </w:r>
          </w:p>
        </w:tc>
      </w:tr>
      <w:tr w:rsidR="007C37B2" w:rsidRPr="00FA32F2" w14:paraId="00910A26" w14:textId="77777777" w:rsidTr="007C37B2">
        <w:trPr>
          <w:trHeight w:val="290"/>
        </w:trPr>
        <w:tc>
          <w:tcPr>
            <w:tcW w:w="2424" w:type="dxa"/>
            <w:shd w:val="clear" w:color="auto" w:fill="auto"/>
            <w:noWrap/>
            <w:vAlign w:val="center"/>
            <w:hideMark/>
          </w:tcPr>
          <w:p w14:paraId="30D7D3C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62E5746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₵500–₵1000</w:t>
            </w:r>
          </w:p>
        </w:tc>
        <w:tc>
          <w:tcPr>
            <w:tcW w:w="1714" w:type="dxa"/>
            <w:shd w:val="clear" w:color="auto" w:fill="auto"/>
            <w:noWrap/>
            <w:vAlign w:val="center"/>
            <w:hideMark/>
          </w:tcPr>
          <w:p w14:paraId="17B07DB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112</w:t>
            </w:r>
          </w:p>
        </w:tc>
        <w:tc>
          <w:tcPr>
            <w:tcW w:w="1840" w:type="dxa"/>
            <w:shd w:val="clear" w:color="auto" w:fill="auto"/>
            <w:noWrap/>
            <w:vAlign w:val="center"/>
            <w:hideMark/>
          </w:tcPr>
          <w:p w14:paraId="68D2F86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39.30%</w:t>
            </w:r>
          </w:p>
        </w:tc>
      </w:tr>
      <w:tr w:rsidR="007C37B2" w:rsidRPr="00FA32F2" w14:paraId="23C4D7A6" w14:textId="77777777" w:rsidTr="007C37B2">
        <w:trPr>
          <w:trHeight w:val="290"/>
        </w:trPr>
        <w:tc>
          <w:tcPr>
            <w:tcW w:w="2424" w:type="dxa"/>
            <w:shd w:val="clear" w:color="auto" w:fill="auto"/>
            <w:noWrap/>
            <w:vAlign w:val="center"/>
            <w:hideMark/>
          </w:tcPr>
          <w:p w14:paraId="573F0F2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934F94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₵1001–₵2000</w:t>
            </w:r>
          </w:p>
        </w:tc>
        <w:tc>
          <w:tcPr>
            <w:tcW w:w="1714" w:type="dxa"/>
            <w:shd w:val="clear" w:color="auto" w:fill="auto"/>
            <w:noWrap/>
            <w:vAlign w:val="center"/>
            <w:hideMark/>
          </w:tcPr>
          <w:p w14:paraId="704AE66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w:t>
            </w:r>
          </w:p>
        </w:tc>
        <w:tc>
          <w:tcPr>
            <w:tcW w:w="1840" w:type="dxa"/>
            <w:shd w:val="clear" w:color="auto" w:fill="auto"/>
            <w:noWrap/>
            <w:vAlign w:val="center"/>
            <w:hideMark/>
          </w:tcPr>
          <w:p w14:paraId="0475518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16.10%</w:t>
            </w:r>
          </w:p>
        </w:tc>
      </w:tr>
      <w:tr w:rsidR="007C37B2" w:rsidRPr="00FA32F2" w14:paraId="24A15FCD" w14:textId="77777777" w:rsidTr="007C37B2">
        <w:trPr>
          <w:trHeight w:val="290"/>
        </w:trPr>
        <w:tc>
          <w:tcPr>
            <w:tcW w:w="2424" w:type="dxa"/>
            <w:shd w:val="clear" w:color="auto" w:fill="auto"/>
            <w:noWrap/>
            <w:vAlign w:val="center"/>
            <w:hideMark/>
          </w:tcPr>
          <w:p w14:paraId="5191B29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D7D99B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&gt; ₵2000</w:t>
            </w:r>
          </w:p>
        </w:tc>
        <w:tc>
          <w:tcPr>
            <w:tcW w:w="1714" w:type="dxa"/>
            <w:shd w:val="clear" w:color="auto" w:fill="auto"/>
            <w:noWrap/>
            <w:vAlign w:val="center"/>
            <w:hideMark/>
          </w:tcPr>
          <w:p w14:paraId="367F885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w:t>
            </w:r>
          </w:p>
        </w:tc>
        <w:tc>
          <w:tcPr>
            <w:tcW w:w="1840" w:type="dxa"/>
            <w:shd w:val="clear" w:color="auto" w:fill="auto"/>
            <w:noWrap/>
            <w:vAlign w:val="center"/>
            <w:hideMark/>
          </w:tcPr>
          <w:p w14:paraId="559DDFD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w:t>
            </w:r>
          </w:p>
        </w:tc>
      </w:tr>
      <w:tr w:rsidR="007C37B2" w:rsidRPr="00FA32F2" w14:paraId="47692894" w14:textId="77777777" w:rsidTr="007C37B2">
        <w:trPr>
          <w:trHeight w:val="290"/>
        </w:trPr>
        <w:tc>
          <w:tcPr>
            <w:tcW w:w="2424" w:type="dxa"/>
            <w:shd w:val="clear" w:color="auto" w:fill="auto"/>
            <w:noWrap/>
            <w:vAlign w:val="center"/>
            <w:hideMark/>
          </w:tcPr>
          <w:p w14:paraId="5DE4F86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Residence</w:t>
            </w:r>
          </w:p>
        </w:tc>
        <w:tc>
          <w:tcPr>
            <w:tcW w:w="2442" w:type="dxa"/>
            <w:shd w:val="clear" w:color="auto" w:fill="auto"/>
            <w:noWrap/>
            <w:vAlign w:val="center"/>
            <w:hideMark/>
          </w:tcPr>
          <w:p w14:paraId="3419E1A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5FF2AEE4"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C2C37E4"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3747C4C0" w14:textId="77777777" w:rsidTr="007C37B2">
        <w:trPr>
          <w:trHeight w:val="290"/>
        </w:trPr>
        <w:tc>
          <w:tcPr>
            <w:tcW w:w="2424" w:type="dxa"/>
            <w:shd w:val="clear" w:color="auto" w:fill="auto"/>
            <w:noWrap/>
            <w:vAlign w:val="bottom"/>
            <w:hideMark/>
          </w:tcPr>
          <w:p w14:paraId="28468E42"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35CC414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Urban</w:t>
            </w:r>
          </w:p>
        </w:tc>
        <w:tc>
          <w:tcPr>
            <w:tcW w:w="1714" w:type="dxa"/>
            <w:shd w:val="clear" w:color="auto" w:fill="auto"/>
            <w:noWrap/>
            <w:vAlign w:val="center"/>
            <w:hideMark/>
          </w:tcPr>
          <w:p w14:paraId="77F24A8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w:t>
            </w:r>
          </w:p>
        </w:tc>
        <w:tc>
          <w:tcPr>
            <w:tcW w:w="1840" w:type="dxa"/>
            <w:shd w:val="clear" w:color="auto" w:fill="auto"/>
            <w:noWrap/>
            <w:vAlign w:val="center"/>
            <w:hideMark/>
          </w:tcPr>
          <w:p w14:paraId="25227DF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29.50%</w:t>
            </w:r>
          </w:p>
        </w:tc>
      </w:tr>
      <w:tr w:rsidR="007C37B2" w:rsidRPr="00FA32F2" w14:paraId="2C17A09E" w14:textId="77777777" w:rsidTr="007C37B2">
        <w:trPr>
          <w:trHeight w:val="290"/>
        </w:trPr>
        <w:tc>
          <w:tcPr>
            <w:tcW w:w="2424" w:type="dxa"/>
            <w:shd w:val="clear" w:color="auto" w:fill="auto"/>
            <w:noWrap/>
            <w:vAlign w:val="center"/>
            <w:hideMark/>
          </w:tcPr>
          <w:p w14:paraId="5753C6E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034F6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Rural</w:t>
            </w:r>
          </w:p>
        </w:tc>
        <w:tc>
          <w:tcPr>
            <w:tcW w:w="1714" w:type="dxa"/>
            <w:shd w:val="clear" w:color="auto" w:fill="auto"/>
            <w:noWrap/>
            <w:vAlign w:val="center"/>
            <w:hideMark/>
          </w:tcPr>
          <w:p w14:paraId="4E0941E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201</w:t>
            </w:r>
          </w:p>
        </w:tc>
        <w:tc>
          <w:tcPr>
            <w:tcW w:w="1840" w:type="dxa"/>
            <w:shd w:val="clear" w:color="auto" w:fill="auto"/>
            <w:noWrap/>
            <w:vAlign w:val="center"/>
            <w:hideMark/>
          </w:tcPr>
          <w:p w14:paraId="5432634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70.50%</w:t>
            </w:r>
          </w:p>
        </w:tc>
      </w:tr>
      <w:tr w:rsidR="007C37B2" w:rsidRPr="00FA32F2" w14:paraId="53515110" w14:textId="77777777" w:rsidTr="007C37B2">
        <w:trPr>
          <w:trHeight w:val="290"/>
        </w:trPr>
        <w:tc>
          <w:tcPr>
            <w:tcW w:w="2424" w:type="dxa"/>
            <w:shd w:val="clear" w:color="auto" w:fill="auto"/>
            <w:noWrap/>
            <w:vAlign w:val="center"/>
            <w:hideMark/>
          </w:tcPr>
          <w:p w14:paraId="2179909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Health Insurance</w:t>
            </w:r>
          </w:p>
        </w:tc>
        <w:tc>
          <w:tcPr>
            <w:tcW w:w="2442" w:type="dxa"/>
            <w:shd w:val="clear" w:color="auto" w:fill="auto"/>
            <w:noWrap/>
            <w:vAlign w:val="center"/>
            <w:hideMark/>
          </w:tcPr>
          <w:p w14:paraId="4FAD87E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4F42F9CA"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57758A8E"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152B67EE" w14:textId="77777777" w:rsidTr="007C37B2">
        <w:trPr>
          <w:trHeight w:val="290"/>
        </w:trPr>
        <w:tc>
          <w:tcPr>
            <w:tcW w:w="2424" w:type="dxa"/>
            <w:shd w:val="clear" w:color="auto" w:fill="auto"/>
            <w:noWrap/>
            <w:vAlign w:val="bottom"/>
            <w:hideMark/>
          </w:tcPr>
          <w:p w14:paraId="719FA6BB"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14CC3E8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NHIS</w:t>
            </w:r>
          </w:p>
        </w:tc>
        <w:tc>
          <w:tcPr>
            <w:tcW w:w="1714" w:type="dxa"/>
            <w:shd w:val="clear" w:color="auto" w:fill="auto"/>
            <w:noWrap/>
            <w:vAlign w:val="center"/>
            <w:hideMark/>
          </w:tcPr>
          <w:p w14:paraId="7A88B9B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231</w:t>
            </w:r>
          </w:p>
        </w:tc>
        <w:tc>
          <w:tcPr>
            <w:tcW w:w="1840" w:type="dxa"/>
            <w:shd w:val="clear" w:color="auto" w:fill="auto"/>
            <w:noWrap/>
            <w:vAlign w:val="center"/>
            <w:hideMark/>
          </w:tcPr>
          <w:p w14:paraId="6A4932B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81.10%</w:t>
            </w:r>
          </w:p>
        </w:tc>
      </w:tr>
      <w:tr w:rsidR="007C37B2" w:rsidRPr="00FA32F2" w14:paraId="5A0DE365" w14:textId="77777777" w:rsidTr="007C37B2">
        <w:trPr>
          <w:trHeight w:val="290"/>
        </w:trPr>
        <w:tc>
          <w:tcPr>
            <w:tcW w:w="2424" w:type="dxa"/>
            <w:shd w:val="clear" w:color="auto" w:fill="auto"/>
            <w:noWrap/>
            <w:vAlign w:val="center"/>
            <w:hideMark/>
          </w:tcPr>
          <w:p w14:paraId="3D3ED9F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F3BF38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Private</w:t>
            </w:r>
          </w:p>
        </w:tc>
        <w:tc>
          <w:tcPr>
            <w:tcW w:w="1714" w:type="dxa"/>
            <w:shd w:val="clear" w:color="auto" w:fill="auto"/>
            <w:noWrap/>
            <w:vAlign w:val="center"/>
            <w:hideMark/>
          </w:tcPr>
          <w:p w14:paraId="29F9667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w:t>
            </w:r>
          </w:p>
        </w:tc>
        <w:tc>
          <w:tcPr>
            <w:tcW w:w="1840" w:type="dxa"/>
            <w:shd w:val="clear" w:color="auto" w:fill="auto"/>
            <w:noWrap/>
            <w:vAlign w:val="center"/>
            <w:hideMark/>
          </w:tcPr>
          <w:p w14:paraId="5FDDC65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5.60%</w:t>
            </w:r>
          </w:p>
        </w:tc>
      </w:tr>
      <w:tr w:rsidR="007C37B2" w:rsidRPr="00FA32F2" w14:paraId="6F4E21A6" w14:textId="77777777" w:rsidTr="007C37B2">
        <w:trPr>
          <w:trHeight w:val="290"/>
        </w:trPr>
        <w:tc>
          <w:tcPr>
            <w:tcW w:w="2424" w:type="dxa"/>
            <w:shd w:val="clear" w:color="auto" w:fill="auto"/>
            <w:noWrap/>
            <w:vAlign w:val="center"/>
            <w:hideMark/>
          </w:tcPr>
          <w:p w14:paraId="61D98EF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724E0AB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None</w:t>
            </w:r>
          </w:p>
        </w:tc>
        <w:tc>
          <w:tcPr>
            <w:tcW w:w="1714" w:type="dxa"/>
            <w:shd w:val="clear" w:color="auto" w:fill="auto"/>
            <w:noWrap/>
            <w:vAlign w:val="center"/>
            <w:hideMark/>
          </w:tcPr>
          <w:p w14:paraId="36FF0EA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w:t>
            </w:r>
          </w:p>
        </w:tc>
        <w:tc>
          <w:tcPr>
            <w:tcW w:w="1840" w:type="dxa"/>
            <w:shd w:val="clear" w:color="auto" w:fill="auto"/>
            <w:noWrap/>
            <w:vAlign w:val="center"/>
            <w:hideMark/>
          </w:tcPr>
          <w:p w14:paraId="71E1678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13.30%</w:t>
            </w:r>
          </w:p>
        </w:tc>
      </w:tr>
    </w:tbl>
    <w:p w14:paraId="00E621B2" w14:textId="77777777" w:rsidR="007C37B2" w:rsidRPr="00FA32F2" w:rsidRDefault="007C37B2" w:rsidP="00FA32F2">
      <w:pPr>
        <w:rPr>
          <w:rFonts w:ascii="Times New Roman" w:hAnsi="Times New Roman" w:cs="Times New Roman"/>
        </w:rPr>
      </w:pPr>
    </w:p>
    <w:p w14:paraId="04CD7D4E" w14:textId="77777777" w:rsidR="00B04D14" w:rsidRPr="00FA32F2" w:rsidRDefault="00B04D14" w:rsidP="00FA32F2">
      <w:pPr>
        <w:rPr>
          <w:rFonts w:ascii="Times New Roman" w:hAnsi="Times New Roman" w:cs="Times New Roman"/>
        </w:rPr>
      </w:pPr>
    </w:p>
    <w:p w14:paraId="51DB1C65" w14:textId="5721E269" w:rsidR="00B04D14" w:rsidRPr="00FA32F2" w:rsidRDefault="00B04D14" w:rsidP="00FA32F2">
      <w:pPr>
        <w:rPr>
          <w:rFonts w:ascii="Times New Roman" w:hAnsi="Times New Roman" w:cs="Times New Roman"/>
          <w:b/>
          <w:bCs/>
        </w:rPr>
      </w:pPr>
      <w:r w:rsidRPr="00FA32F2">
        <w:rPr>
          <w:rFonts w:ascii="Times New Roman" w:eastAsia="Times New Roman" w:hAnsi="Times New Roman" w:cs="Times New Roman"/>
          <w:b/>
          <w:bCs/>
          <w:color w:val="000000"/>
          <w:kern w:val="0"/>
          <w14:ligatures w14:val="none"/>
        </w:rPr>
        <w:t>Clinical and Behavioral Characteristics of Respondents</w:t>
      </w:r>
    </w:p>
    <w:p w14:paraId="089998E2" w14:textId="361314D9" w:rsidR="00B04D14" w:rsidRPr="00FA32F2" w:rsidRDefault="001A291F" w:rsidP="00FA32F2">
      <w:pPr>
        <w:rPr>
          <w:rFonts w:ascii="Times New Roman" w:hAnsi="Times New Roman" w:cs="Times New Roman"/>
        </w:rPr>
      </w:pPr>
      <w:r w:rsidRPr="00FA32F2">
        <w:rPr>
          <w:rFonts w:ascii="Times New Roman" w:hAnsi="Times New Roman" w:cs="Times New Roman"/>
        </w:rPr>
        <w:t>Most had been diagnosed with hypertension for 1–5 years (46%), while 13.3% had lived with the condition for over a decade. Nearly half (46.3%) reported no comorbidities, but diabetes was common (30.2%), followed by kidney disease (8.4%) and stroke (6%). Medication adherence was relatively high, with 58.9% consistently taking their medications as prescribed, though a third (33.3%) also reported using herbal remedies. Only 37.9% engaged in regular physical activity (≥3 times/week), and 85.3% had never smoked. Alcohol use in the past month was reported by 26.7% of participants. In terms of diet, over half (54.7%) used moderate amounts of salt, while just 29.8% practiced salt restriction. Notably, 72.3% did not monitor their blood pressure at home, and only 43.2% correctly identified the target blood pressure level (Table 2).</w:t>
      </w:r>
    </w:p>
    <w:tbl>
      <w:tblPr>
        <w:tblW w:w="9261" w:type="dxa"/>
        <w:tblInd w:w="108" w:type="dxa"/>
        <w:tblBorders>
          <w:bottom w:val="single" w:sz="4" w:space="0" w:color="auto"/>
        </w:tblBorders>
        <w:tblLook w:val="04A0" w:firstRow="1" w:lastRow="0" w:firstColumn="1" w:lastColumn="0" w:noHBand="0" w:noVBand="1"/>
      </w:tblPr>
      <w:tblGrid>
        <w:gridCol w:w="3062"/>
        <w:gridCol w:w="2878"/>
        <w:gridCol w:w="1481"/>
        <w:gridCol w:w="1840"/>
      </w:tblGrid>
      <w:tr w:rsidR="00B04D14" w:rsidRPr="00FA32F2" w14:paraId="021CC59B" w14:textId="77777777" w:rsidTr="00B04D14">
        <w:trPr>
          <w:trHeight w:val="350"/>
        </w:trPr>
        <w:tc>
          <w:tcPr>
            <w:tcW w:w="9261" w:type="dxa"/>
            <w:gridSpan w:val="4"/>
            <w:tcBorders>
              <w:bottom w:val="single" w:sz="4" w:space="0" w:color="auto"/>
            </w:tcBorders>
            <w:shd w:val="clear" w:color="auto" w:fill="auto"/>
            <w:noWrap/>
            <w:vAlign w:val="center"/>
            <w:hideMark/>
          </w:tcPr>
          <w:p w14:paraId="59D2ABFC" w14:textId="2E74A831"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2: Clinical and Behavioral Characteristics of Respondents (N = 285)</w:t>
            </w:r>
          </w:p>
        </w:tc>
      </w:tr>
      <w:tr w:rsidR="00B04D14" w:rsidRPr="00FA32F2" w14:paraId="222C3296" w14:textId="77777777" w:rsidTr="00B04D14">
        <w:trPr>
          <w:trHeight w:val="290"/>
        </w:trPr>
        <w:tc>
          <w:tcPr>
            <w:tcW w:w="3062" w:type="dxa"/>
            <w:tcBorders>
              <w:top w:val="single" w:sz="4" w:space="0" w:color="auto"/>
              <w:bottom w:val="single" w:sz="4" w:space="0" w:color="auto"/>
            </w:tcBorders>
            <w:shd w:val="clear" w:color="auto" w:fill="auto"/>
            <w:noWrap/>
            <w:vAlign w:val="center"/>
            <w:hideMark/>
          </w:tcPr>
          <w:p w14:paraId="24D583B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878" w:type="dxa"/>
            <w:tcBorders>
              <w:top w:val="single" w:sz="4" w:space="0" w:color="auto"/>
              <w:bottom w:val="single" w:sz="4" w:space="0" w:color="auto"/>
            </w:tcBorders>
            <w:shd w:val="clear" w:color="auto" w:fill="auto"/>
            <w:noWrap/>
            <w:vAlign w:val="center"/>
            <w:hideMark/>
          </w:tcPr>
          <w:p w14:paraId="2E2B6E2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Category</w:t>
            </w:r>
          </w:p>
        </w:tc>
        <w:tc>
          <w:tcPr>
            <w:tcW w:w="1481" w:type="dxa"/>
            <w:tcBorders>
              <w:top w:val="single" w:sz="4" w:space="0" w:color="auto"/>
              <w:bottom w:val="single" w:sz="4" w:space="0" w:color="auto"/>
            </w:tcBorders>
            <w:shd w:val="clear" w:color="auto" w:fill="auto"/>
            <w:noWrap/>
            <w:vAlign w:val="center"/>
            <w:hideMark/>
          </w:tcPr>
          <w:p w14:paraId="532DE17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Frequency (n)</w:t>
            </w:r>
          </w:p>
        </w:tc>
        <w:tc>
          <w:tcPr>
            <w:tcW w:w="1840" w:type="dxa"/>
            <w:tcBorders>
              <w:top w:val="single" w:sz="4" w:space="0" w:color="auto"/>
              <w:bottom w:val="single" w:sz="4" w:space="0" w:color="auto"/>
            </w:tcBorders>
            <w:shd w:val="clear" w:color="auto" w:fill="auto"/>
            <w:noWrap/>
            <w:vAlign w:val="center"/>
            <w:hideMark/>
          </w:tcPr>
          <w:p w14:paraId="222FE33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Percentage (%)</w:t>
            </w:r>
          </w:p>
        </w:tc>
      </w:tr>
      <w:tr w:rsidR="00B04D14" w:rsidRPr="00FA32F2" w14:paraId="7A818B75" w14:textId="77777777" w:rsidTr="00B04D14">
        <w:trPr>
          <w:trHeight w:val="290"/>
        </w:trPr>
        <w:tc>
          <w:tcPr>
            <w:tcW w:w="3062" w:type="dxa"/>
            <w:tcBorders>
              <w:top w:val="single" w:sz="4" w:space="0" w:color="auto"/>
            </w:tcBorders>
            <w:shd w:val="clear" w:color="auto" w:fill="auto"/>
            <w:noWrap/>
            <w:vAlign w:val="center"/>
            <w:hideMark/>
          </w:tcPr>
          <w:p w14:paraId="149D5F2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Duration of Hypertension</w:t>
            </w:r>
          </w:p>
        </w:tc>
        <w:tc>
          <w:tcPr>
            <w:tcW w:w="2878" w:type="dxa"/>
            <w:tcBorders>
              <w:top w:val="single" w:sz="4" w:space="0" w:color="auto"/>
            </w:tcBorders>
            <w:shd w:val="clear" w:color="auto" w:fill="auto"/>
            <w:noWrap/>
            <w:vAlign w:val="center"/>
            <w:hideMark/>
          </w:tcPr>
          <w:p w14:paraId="74588A5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tcBorders>
              <w:top w:val="single" w:sz="4" w:space="0" w:color="auto"/>
            </w:tcBorders>
            <w:shd w:val="clear" w:color="auto" w:fill="auto"/>
            <w:noWrap/>
            <w:vAlign w:val="center"/>
            <w:hideMark/>
          </w:tcPr>
          <w:p w14:paraId="03C06C1A"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tcBorders>
              <w:top w:val="single" w:sz="4" w:space="0" w:color="auto"/>
            </w:tcBorders>
            <w:shd w:val="clear" w:color="auto" w:fill="auto"/>
            <w:noWrap/>
            <w:vAlign w:val="center"/>
            <w:hideMark/>
          </w:tcPr>
          <w:p w14:paraId="07FFC6FD"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15A346D8" w14:textId="77777777" w:rsidTr="00B04D14">
        <w:trPr>
          <w:trHeight w:val="290"/>
        </w:trPr>
        <w:tc>
          <w:tcPr>
            <w:tcW w:w="3062" w:type="dxa"/>
            <w:shd w:val="clear" w:color="auto" w:fill="auto"/>
            <w:noWrap/>
            <w:vAlign w:val="bottom"/>
            <w:hideMark/>
          </w:tcPr>
          <w:p w14:paraId="56D00682"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05967E9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&lt; 1 year</w:t>
            </w:r>
          </w:p>
        </w:tc>
        <w:tc>
          <w:tcPr>
            <w:tcW w:w="1481" w:type="dxa"/>
            <w:shd w:val="clear" w:color="auto" w:fill="auto"/>
            <w:noWrap/>
            <w:vAlign w:val="center"/>
            <w:hideMark/>
          </w:tcPr>
          <w:p w14:paraId="79827C9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39</w:t>
            </w:r>
          </w:p>
        </w:tc>
        <w:tc>
          <w:tcPr>
            <w:tcW w:w="1840" w:type="dxa"/>
            <w:shd w:val="clear" w:color="auto" w:fill="auto"/>
            <w:noWrap/>
            <w:vAlign w:val="center"/>
            <w:hideMark/>
          </w:tcPr>
          <w:p w14:paraId="1DF330C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13.70%</w:t>
            </w:r>
          </w:p>
        </w:tc>
      </w:tr>
      <w:tr w:rsidR="00B04D14" w:rsidRPr="00FA32F2" w14:paraId="22D8B0E5" w14:textId="77777777" w:rsidTr="00B04D14">
        <w:trPr>
          <w:trHeight w:val="290"/>
        </w:trPr>
        <w:tc>
          <w:tcPr>
            <w:tcW w:w="3062" w:type="dxa"/>
            <w:shd w:val="clear" w:color="auto" w:fill="auto"/>
            <w:noWrap/>
            <w:vAlign w:val="center"/>
            <w:hideMark/>
          </w:tcPr>
          <w:p w14:paraId="33E18C4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6ED0833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 years</w:t>
            </w:r>
          </w:p>
        </w:tc>
        <w:tc>
          <w:tcPr>
            <w:tcW w:w="1481" w:type="dxa"/>
            <w:shd w:val="clear" w:color="auto" w:fill="auto"/>
            <w:noWrap/>
            <w:vAlign w:val="center"/>
            <w:hideMark/>
          </w:tcPr>
          <w:p w14:paraId="5047EBD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131</w:t>
            </w:r>
          </w:p>
        </w:tc>
        <w:tc>
          <w:tcPr>
            <w:tcW w:w="1840" w:type="dxa"/>
            <w:shd w:val="clear" w:color="auto" w:fill="auto"/>
            <w:noWrap/>
            <w:vAlign w:val="center"/>
            <w:hideMark/>
          </w:tcPr>
          <w:p w14:paraId="722F7CE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46.00%</w:t>
            </w:r>
          </w:p>
        </w:tc>
      </w:tr>
      <w:tr w:rsidR="00B04D14" w:rsidRPr="00FA32F2" w14:paraId="3ABA4B1D" w14:textId="77777777" w:rsidTr="00B04D14">
        <w:trPr>
          <w:trHeight w:val="290"/>
        </w:trPr>
        <w:tc>
          <w:tcPr>
            <w:tcW w:w="3062" w:type="dxa"/>
            <w:shd w:val="clear" w:color="auto" w:fill="auto"/>
            <w:noWrap/>
            <w:vAlign w:val="center"/>
            <w:hideMark/>
          </w:tcPr>
          <w:p w14:paraId="6E07138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085608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6–10 years</w:t>
            </w:r>
          </w:p>
        </w:tc>
        <w:tc>
          <w:tcPr>
            <w:tcW w:w="1481" w:type="dxa"/>
            <w:shd w:val="clear" w:color="auto" w:fill="auto"/>
            <w:noWrap/>
            <w:vAlign w:val="center"/>
            <w:hideMark/>
          </w:tcPr>
          <w:p w14:paraId="37D4513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77</w:t>
            </w:r>
          </w:p>
        </w:tc>
        <w:tc>
          <w:tcPr>
            <w:tcW w:w="1840" w:type="dxa"/>
            <w:shd w:val="clear" w:color="auto" w:fill="auto"/>
            <w:noWrap/>
            <w:vAlign w:val="center"/>
            <w:hideMark/>
          </w:tcPr>
          <w:p w14:paraId="673D6E3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27.00%</w:t>
            </w:r>
          </w:p>
        </w:tc>
      </w:tr>
      <w:tr w:rsidR="00B04D14" w:rsidRPr="00FA32F2" w14:paraId="6B3EC1E3" w14:textId="77777777" w:rsidTr="00B04D14">
        <w:trPr>
          <w:trHeight w:val="290"/>
        </w:trPr>
        <w:tc>
          <w:tcPr>
            <w:tcW w:w="3062" w:type="dxa"/>
            <w:shd w:val="clear" w:color="auto" w:fill="auto"/>
            <w:noWrap/>
            <w:vAlign w:val="center"/>
            <w:hideMark/>
          </w:tcPr>
          <w:p w14:paraId="17E0592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4C9CB5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&gt; 10 years</w:t>
            </w:r>
          </w:p>
        </w:tc>
        <w:tc>
          <w:tcPr>
            <w:tcW w:w="1481" w:type="dxa"/>
            <w:shd w:val="clear" w:color="auto" w:fill="auto"/>
            <w:noWrap/>
            <w:vAlign w:val="center"/>
            <w:hideMark/>
          </w:tcPr>
          <w:p w14:paraId="1C89D69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w:t>
            </w:r>
          </w:p>
        </w:tc>
        <w:tc>
          <w:tcPr>
            <w:tcW w:w="1840" w:type="dxa"/>
            <w:shd w:val="clear" w:color="auto" w:fill="auto"/>
            <w:noWrap/>
            <w:vAlign w:val="center"/>
            <w:hideMark/>
          </w:tcPr>
          <w:p w14:paraId="6EF940F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13.30%</w:t>
            </w:r>
          </w:p>
        </w:tc>
      </w:tr>
      <w:tr w:rsidR="00B04D14" w:rsidRPr="00FA32F2" w14:paraId="2625C304" w14:textId="77777777" w:rsidTr="00B04D14">
        <w:trPr>
          <w:trHeight w:val="290"/>
        </w:trPr>
        <w:tc>
          <w:tcPr>
            <w:tcW w:w="3062" w:type="dxa"/>
            <w:shd w:val="clear" w:color="auto" w:fill="auto"/>
            <w:noWrap/>
            <w:vAlign w:val="center"/>
            <w:hideMark/>
          </w:tcPr>
          <w:p w14:paraId="61A1001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Comorbidities</w:t>
            </w:r>
          </w:p>
        </w:tc>
        <w:tc>
          <w:tcPr>
            <w:tcW w:w="2878" w:type="dxa"/>
            <w:shd w:val="clear" w:color="auto" w:fill="auto"/>
            <w:noWrap/>
            <w:vAlign w:val="center"/>
            <w:hideMark/>
          </w:tcPr>
          <w:p w14:paraId="788DA8C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6D91CBFD"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0D4B8B2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61A92146" w14:textId="77777777" w:rsidTr="00B04D14">
        <w:trPr>
          <w:trHeight w:val="290"/>
        </w:trPr>
        <w:tc>
          <w:tcPr>
            <w:tcW w:w="3062" w:type="dxa"/>
            <w:shd w:val="clear" w:color="auto" w:fill="auto"/>
            <w:noWrap/>
            <w:vAlign w:val="bottom"/>
            <w:hideMark/>
          </w:tcPr>
          <w:p w14:paraId="11B72940"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3AB649F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None</w:t>
            </w:r>
          </w:p>
        </w:tc>
        <w:tc>
          <w:tcPr>
            <w:tcW w:w="1481" w:type="dxa"/>
            <w:shd w:val="clear" w:color="auto" w:fill="auto"/>
            <w:noWrap/>
            <w:vAlign w:val="center"/>
            <w:hideMark/>
          </w:tcPr>
          <w:p w14:paraId="7E3FD6F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132</w:t>
            </w:r>
          </w:p>
        </w:tc>
        <w:tc>
          <w:tcPr>
            <w:tcW w:w="1840" w:type="dxa"/>
            <w:shd w:val="clear" w:color="auto" w:fill="auto"/>
            <w:noWrap/>
            <w:vAlign w:val="center"/>
            <w:hideMark/>
          </w:tcPr>
          <w:p w14:paraId="72271DA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46.30%</w:t>
            </w:r>
          </w:p>
        </w:tc>
      </w:tr>
      <w:tr w:rsidR="00B04D14" w:rsidRPr="00FA32F2" w14:paraId="4E96FFEA" w14:textId="77777777" w:rsidTr="00B04D14">
        <w:trPr>
          <w:trHeight w:val="290"/>
        </w:trPr>
        <w:tc>
          <w:tcPr>
            <w:tcW w:w="3062" w:type="dxa"/>
            <w:shd w:val="clear" w:color="auto" w:fill="auto"/>
            <w:noWrap/>
            <w:vAlign w:val="center"/>
            <w:hideMark/>
          </w:tcPr>
          <w:p w14:paraId="306E6EA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7977F3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Diabetes</w:t>
            </w:r>
          </w:p>
        </w:tc>
        <w:tc>
          <w:tcPr>
            <w:tcW w:w="1481" w:type="dxa"/>
            <w:shd w:val="clear" w:color="auto" w:fill="auto"/>
            <w:noWrap/>
            <w:vAlign w:val="center"/>
            <w:hideMark/>
          </w:tcPr>
          <w:p w14:paraId="29F8419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86</w:t>
            </w:r>
          </w:p>
        </w:tc>
        <w:tc>
          <w:tcPr>
            <w:tcW w:w="1840" w:type="dxa"/>
            <w:shd w:val="clear" w:color="auto" w:fill="auto"/>
            <w:noWrap/>
            <w:vAlign w:val="center"/>
            <w:hideMark/>
          </w:tcPr>
          <w:p w14:paraId="33F8105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30.20%</w:t>
            </w:r>
          </w:p>
        </w:tc>
      </w:tr>
      <w:tr w:rsidR="00B04D14" w:rsidRPr="00FA32F2" w14:paraId="53F699B6" w14:textId="77777777" w:rsidTr="00B04D14">
        <w:trPr>
          <w:trHeight w:val="290"/>
        </w:trPr>
        <w:tc>
          <w:tcPr>
            <w:tcW w:w="3062" w:type="dxa"/>
            <w:shd w:val="clear" w:color="auto" w:fill="auto"/>
            <w:noWrap/>
            <w:vAlign w:val="center"/>
            <w:hideMark/>
          </w:tcPr>
          <w:p w14:paraId="11E4A3F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0B72895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Kidney Disease</w:t>
            </w:r>
          </w:p>
        </w:tc>
        <w:tc>
          <w:tcPr>
            <w:tcW w:w="1481" w:type="dxa"/>
            <w:shd w:val="clear" w:color="auto" w:fill="auto"/>
            <w:noWrap/>
            <w:vAlign w:val="center"/>
            <w:hideMark/>
          </w:tcPr>
          <w:p w14:paraId="440C270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w:t>
            </w:r>
          </w:p>
        </w:tc>
        <w:tc>
          <w:tcPr>
            <w:tcW w:w="1840" w:type="dxa"/>
            <w:shd w:val="clear" w:color="auto" w:fill="auto"/>
            <w:noWrap/>
            <w:vAlign w:val="center"/>
            <w:hideMark/>
          </w:tcPr>
          <w:p w14:paraId="2140F4A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8.40%</w:t>
            </w:r>
          </w:p>
        </w:tc>
      </w:tr>
      <w:tr w:rsidR="00B04D14" w:rsidRPr="00FA32F2" w14:paraId="3D4C0FE1" w14:textId="77777777" w:rsidTr="00B04D14">
        <w:trPr>
          <w:trHeight w:val="290"/>
        </w:trPr>
        <w:tc>
          <w:tcPr>
            <w:tcW w:w="3062" w:type="dxa"/>
            <w:shd w:val="clear" w:color="auto" w:fill="auto"/>
            <w:noWrap/>
            <w:vAlign w:val="center"/>
            <w:hideMark/>
          </w:tcPr>
          <w:p w14:paraId="3673BC4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10BA00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Stroke</w:t>
            </w:r>
          </w:p>
        </w:tc>
        <w:tc>
          <w:tcPr>
            <w:tcW w:w="1481" w:type="dxa"/>
            <w:shd w:val="clear" w:color="auto" w:fill="auto"/>
            <w:noWrap/>
            <w:vAlign w:val="center"/>
            <w:hideMark/>
          </w:tcPr>
          <w:p w14:paraId="06060B8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w:t>
            </w:r>
          </w:p>
        </w:tc>
        <w:tc>
          <w:tcPr>
            <w:tcW w:w="1840" w:type="dxa"/>
            <w:shd w:val="clear" w:color="auto" w:fill="auto"/>
            <w:noWrap/>
            <w:vAlign w:val="center"/>
            <w:hideMark/>
          </w:tcPr>
          <w:p w14:paraId="30F4E04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w:t>
            </w:r>
          </w:p>
        </w:tc>
      </w:tr>
      <w:tr w:rsidR="00B04D14" w:rsidRPr="00FA32F2" w14:paraId="3D7A6EF8" w14:textId="77777777" w:rsidTr="00B04D14">
        <w:trPr>
          <w:trHeight w:val="290"/>
        </w:trPr>
        <w:tc>
          <w:tcPr>
            <w:tcW w:w="3062" w:type="dxa"/>
            <w:shd w:val="clear" w:color="auto" w:fill="auto"/>
            <w:noWrap/>
            <w:vAlign w:val="center"/>
            <w:hideMark/>
          </w:tcPr>
          <w:p w14:paraId="2A0A04A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D61534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Other (e.g., arthritis, ulcers)</w:t>
            </w:r>
          </w:p>
        </w:tc>
        <w:tc>
          <w:tcPr>
            <w:tcW w:w="1481" w:type="dxa"/>
            <w:shd w:val="clear" w:color="auto" w:fill="auto"/>
            <w:noWrap/>
            <w:vAlign w:val="center"/>
            <w:hideMark/>
          </w:tcPr>
          <w:p w14:paraId="79C5D2F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26</w:t>
            </w:r>
          </w:p>
        </w:tc>
        <w:tc>
          <w:tcPr>
            <w:tcW w:w="1840" w:type="dxa"/>
            <w:shd w:val="clear" w:color="auto" w:fill="auto"/>
            <w:noWrap/>
            <w:vAlign w:val="center"/>
            <w:hideMark/>
          </w:tcPr>
          <w:p w14:paraId="353B42B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9.10%</w:t>
            </w:r>
          </w:p>
        </w:tc>
      </w:tr>
      <w:tr w:rsidR="00B04D14" w:rsidRPr="00FA32F2" w14:paraId="29588053" w14:textId="77777777" w:rsidTr="00B04D14">
        <w:trPr>
          <w:trHeight w:val="290"/>
        </w:trPr>
        <w:tc>
          <w:tcPr>
            <w:tcW w:w="3062" w:type="dxa"/>
            <w:shd w:val="clear" w:color="auto" w:fill="auto"/>
            <w:noWrap/>
            <w:vAlign w:val="center"/>
            <w:hideMark/>
          </w:tcPr>
          <w:p w14:paraId="1D0004C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Medication Adherence</w:t>
            </w:r>
          </w:p>
        </w:tc>
        <w:tc>
          <w:tcPr>
            <w:tcW w:w="2878" w:type="dxa"/>
            <w:shd w:val="clear" w:color="auto" w:fill="auto"/>
            <w:noWrap/>
            <w:vAlign w:val="center"/>
            <w:hideMark/>
          </w:tcPr>
          <w:p w14:paraId="24C4E4B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308836AC"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4A642AB"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0A87F742" w14:textId="77777777" w:rsidTr="00B04D14">
        <w:trPr>
          <w:trHeight w:val="290"/>
        </w:trPr>
        <w:tc>
          <w:tcPr>
            <w:tcW w:w="3062" w:type="dxa"/>
            <w:shd w:val="clear" w:color="auto" w:fill="auto"/>
            <w:noWrap/>
            <w:vAlign w:val="bottom"/>
            <w:hideMark/>
          </w:tcPr>
          <w:p w14:paraId="433FC0B3"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7FD076F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Always (≥80% of prescribed doses)</w:t>
            </w:r>
          </w:p>
        </w:tc>
        <w:tc>
          <w:tcPr>
            <w:tcW w:w="1481" w:type="dxa"/>
            <w:shd w:val="clear" w:color="auto" w:fill="auto"/>
            <w:noWrap/>
            <w:vAlign w:val="center"/>
            <w:hideMark/>
          </w:tcPr>
          <w:p w14:paraId="7B7160DC"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168</w:t>
            </w:r>
          </w:p>
        </w:tc>
        <w:tc>
          <w:tcPr>
            <w:tcW w:w="1840" w:type="dxa"/>
            <w:shd w:val="clear" w:color="auto" w:fill="auto"/>
            <w:noWrap/>
            <w:vAlign w:val="center"/>
            <w:hideMark/>
          </w:tcPr>
          <w:p w14:paraId="479DC47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58.90%</w:t>
            </w:r>
          </w:p>
        </w:tc>
      </w:tr>
      <w:tr w:rsidR="00B04D14" w:rsidRPr="00FA32F2" w14:paraId="03A0BDD0" w14:textId="77777777" w:rsidTr="00B04D14">
        <w:trPr>
          <w:trHeight w:val="290"/>
        </w:trPr>
        <w:tc>
          <w:tcPr>
            <w:tcW w:w="3062" w:type="dxa"/>
            <w:shd w:val="clear" w:color="auto" w:fill="auto"/>
            <w:noWrap/>
            <w:vAlign w:val="center"/>
            <w:hideMark/>
          </w:tcPr>
          <w:p w14:paraId="1D255E8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3DA7C8F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Sometimes (50–79%)</w:t>
            </w:r>
          </w:p>
        </w:tc>
        <w:tc>
          <w:tcPr>
            <w:tcW w:w="1481" w:type="dxa"/>
            <w:shd w:val="clear" w:color="auto" w:fill="auto"/>
            <w:noWrap/>
            <w:vAlign w:val="center"/>
            <w:hideMark/>
          </w:tcPr>
          <w:p w14:paraId="68D6865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83</w:t>
            </w:r>
          </w:p>
        </w:tc>
        <w:tc>
          <w:tcPr>
            <w:tcW w:w="1840" w:type="dxa"/>
            <w:shd w:val="clear" w:color="auto" w:fill="auto"/>
            <w:noWrap/>
            <w:vAlign w:val="center"/>
            <w:hideMark/>
          </w:tcPr>
          <w:p w14:paraId="08ECE88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29.10%</w:t>
            </w:r>
          </w:p>
        </w:tc>
      </w:tr>
      <w:tr w:rsidR="00B04D14" w:rsidRPr="00FA32F2" w14:paraId="55840FDB" w14:textId="77777777" w:rsidTr="00B04D14">
        <w:trPr>
          <w:trHeight w:val="290"/>
        </w:trPr>
        <w:tc>
          <w:tcPr>
            <w:tcW w:w="3062" w:type="dxa"/>
            <w:shd w:val="clear" w:color="auto" w:fill="auto"/>
            <w:noWrap/>
            <w:vAlign w:val="center"/>
            <w:hideMark/>
          </w:tcPr>
          <w:p w14:paraId="489E8E5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05C72E7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Rarely (&lt;50%)</w:t>
            </w:r>
          </w:p>
        </w:tc>
        <w:tc>
          <w:tcPr>
            <w:tcW w:w="1481" w:type="dxa"/>
            <w:shd w:val="clear" w:color="auto" w:fill="auto"/>
            <w:noWrap/>
            <w:vAlign w:val="center"/>
            <w:hideMark/>
          </w:tcPr>
          <w:p w14:paraId="454D7D8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34</w:t>
            </w:r>
          </w:p>
        </w:tc>
        <w:tc>
          <w:tcPr>
            <w:tcW w:w="1840" w:type="dxa"/>
            <w:shd w:val="clear" w:color="auto" w:fill="auto"/>
            <w:noWrap/>
            <w:vAlign w:val="center"/>
            <w:hideMark/>
          </w:tcPr>
          <w:p w14:paraId="48D604D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11.90%</w:t>
            </w:r>
          </w:p>
        </w:tc>
      </w:tr>
      <w:tr w:rsidR="00B04D14" w:rsidRPr="00FA32F2" w14:paraId="2259C992" w14:textId="77777777" w:rsidTr="00B04D14">
        <w:trPr>
          <w:trHeight w:val="290"/>
        </w:trPr>
        <w:tc>
          <w:tcPr>
            <w:tcW w:w="3062" w:type="dxa"/>
            <w:shd w:val="clear" w:color="auto" w:fill="auto"/>
            <w:noWrap/>
            <w:vAlign w:val="center"/>
            <w:hideMark/>
          </w:tcPr>
          <w:p w14:paraId="4661326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Use of Herbal Remedies</w:t>
            </w:r>
          </w:p>
        </w:tc>
        <w:tc>
          <w:tcPr>
            <w:tcW w:w="2878" w:type="dxa"/>
            <w:shd w:val="clear" w:color="auto" w:fill="auto"/>
            <w:noWrap/>
            <w:vAlign w:val="center"/>
            <w:hideMark/>
          </w:tcPr>
          <w:p w14:paraId="19D77E3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7B1129C3"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5C7C29BB"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351D4266" w14:textId="77777777" w:rsidTr="00B04D14">
        <w:trPr>
          <w:trHeight w:val="290"/>
        </w:trPr>
        <w:tc>
          <w:tcPr>
            <w:tcW w:w="3062" w:type="dxa"/>
            <w:shd w:val="clear" w:color="auto" w:fill="auto"/>
            <w:noWrap/>
            <w:vAlign w:val="bottom"/>
            <w:hideMark/>
          </w:tcPr>
          <w:p w14:paraId="6996A953"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53EAB35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6DEED07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w:t>
            </w:r>
          </w:p>
        </w:tc>
        <w:tc>
          <w:tcPr>
            <w:tcW w:w="1840" w:type="dxa"/>
            <w:shd w:val="clear" w:color="auto" w:fill="auto"/>
            <w:noWrap/>
            <w:vAlign w:val="center"/>
            <w:hideMark/>
          </w:tcPr>
          <w:p w14:paraId="7DBF75F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33.30%</w:t>
            </w:r>
          </w:p>
        </w:tc>
      </w:tr>
      <w:tr w:rsidR="00B04D14" w:rsidRPr="00FA32F2" w14:paraId="24AA4CB8" w14:textId="77777777" w:rsidTr="00B04D14">
        <w:trPr>
          <w:trHeight w:val="290"/>
        </w:trPr>
        <w:tc>
          <w:tcPr>
            <w:tcW w:w="3062" w:type="dxa"/>
            <w:shd w:val="clear" w:color="auto" w:fill="auto"/>
            <w:noWrap/>
            <w:vAlign w:val="center"/>
            <w:hideMark/>
          </w:tcPr>
          <w:p w14:paraId="3E89096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A3AF07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3228C21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190</w:t>
            </w:r>
          </w:p>
        </w:tc>
        <w:tc>
          <w:tcPr>
            <w:tcW w:w="1840" w:type="dxa"/>
            <w:shd w:val="clear" w:color="auto" w:fill="auto"/>
            <w:noWrap/>
            <w:vAlign w:val="center"/>
            <w:hideMark/>
          </w:tcPr>
          <w:p w14:paraId="60AB3F5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66.70%</w:t>
            </w:r>
          </w:p>
        </w:tc>
      </w:tr>
      <w:tr w:rsidR="00B04D14" w:rsidRPr="00FA32F2" w14:paraId="1B94BCE3" w14:textId="77777777" w:rsidTr="00B04D14">
        <w:trPr>
          <w:trHeight w:val="290"/>
        </w:trPr>
        <w:tc>
          <w:tcPr>
            <w:tcW w:w="3062" w:type="dxa"/>
            <w:shd w:val="clear" w:color="auto" w:fill="auto"/>
            <w:noWrap/>
            <w:vAlign w:val="center"/>
            <w:hideMark/>
          </w:tcPr>
          <w:p w14:paraId="344DED5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Physical Activity (≥3x/week)</w:t>
            </w:r>
          </w:p>
        </w:tc>
        <w:tc>
          <w:tcPr>
            <w:tcW w:w="2878" w:type="dxa"/>
            <w:shd w:val="clear" w:color="auto" w:fill="auto"/>
            <w:noWrap/>
            <w:vAlign w:val="center"/>
            <w:hideMark/>
          </w:tcPr>
          <w:p w14:paraId="2C96C27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EAE972F"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AEAC501"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54049F56" w14:textId="77777777" w:rsidTr="00B04D14">
        <w:trPr>
          <w:trHeight w:val="290"/>
        </w:trPr>
        <w:tc>
          <w:tcPr>
            <w:tcW w:w="3062" w:type="dxa"/>
            <w:shd w:val="clear" w:color="auto" w:fill="auto"/>
            <w:noWrap/>
            <w:vAlign w:val="bottom"/>
            <w:hideMark/>
          </w:tcPr>
          <w:p w14:paraId="341F1E51"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28DAD8B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6EB82B9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108</w:t>
            </w:r>
          </w:p>
        </w:tc>
        <w:tc>
          <w:tcPr>
            <w:tcW w:w="1840" w:type="dxa"/>
            <w:shd w:val="clear" w:color="auto" w:fill="auto"/>
            <w:noWrap/>
            <w:vAlign w:val="center"/>
            <w:hideMark/>
          </w:tcPr>
          <w:p w14:paraId="2A6DDEA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37.90%</w:t>
            </w:r>
          </w:p>
        </w:tc>
      </w:tr>
      <w:tr w:rsidR="00B04D14" w:rsidRPr="00FA32F2" w14:paraId="22EE80C6" w14:textId="77777777" w:rsidTr="00B04D14">
        <w:trPr>
          <w:trHeight w:val="290"/>
        </w:trPr>
        <w:tc>
          <w:tcPr>
            <w:tcW w:w="3062" w:type="dxa"/>
            <w:shd w:val="clear" w:color="auto" w:fill="auto"/>
            <w:noWrap/>
            <w:vAlign w:val="center"/>
            <w:hideMark/>
          </w:tcPr>
          <w:p w14:paraId="5061962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4ACB712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9C0A41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177</w:t>
            </w:r>
          </w:p>
        </w:tc>
        <w:tc>
          <w:tcPr>
            <w:tcW w:w="1840" w:type="dxa"/>
            <w:shd w:val="clear" w:color="auto" w:fill="auto"/>
            <w:noWrap/>
            <w:vAlign w:val="center"/>
            <w:hideMark/>
          </w:tcPr>
          <w:p w14:paraId="6E648FD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62.10%</w:t>
            </w:r>
          </w:p>
        </w:tc>
      </w:tr>
      <w:tr w:rsidR="00B04D14" w:rsidRPr="00FA32F2" w14:paraId="30BD1174" w14:textId="77777777" w:rsidTr="00B04D14">
        <w:trPr>
          <w:trHeight w:val="290"/>
        </w:trPr>
        <w:tc>
          <w:tcPr>
            <w:tcW w:w="3062" w:type="dxa"/>
            <w:shd w:val="clear" w:color="auto" w:fill="auto"/>
            <w:noWrap/>
            <w:vAlign w:val="center"/>
            <w:hideMark/>
          </w:tcPr>
          <w:p w14:paraId="32CEEDC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Smoking History</w:t>
            </w:r>
          </w:p>
        </w:tc>
        <w:tc>
          <w:tcPr>
            <w:tcW w:w="2878" w:type="dxa"/>
            <w:shd w:val="clear" w:color="auto" w:fill="auto"/>
            <w:noWrap/>
            <w:vAlign w:val="center"/>
            <w:hideMark/>
          </w:tcPr>
          <w:p w14:paraId="4785519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60992889"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6EB4FF8F"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0CBC3D0E" w14:textId="77777777" w:rsidTr="00B04D14">
        <w:trPr>
          <w:trHeight w:val="290"/>
        </w:trPr>
        <w:tc>
          <w:tcPr>
            <w:tcW w:w="3062" w:type="dxa"/>
            <w:shd w:val="clear" w:color="auto" w:fill="auto"/>
            <w:noWrap/>
            <w:vAlign w:val="bottom"/>
            <w:hideMark/>
          </w:tcPr>
          <w:p w14:paraId="6053566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782656E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Current smoker</w:t>
            </w:r>
          </w:p>
        </w:tc>
        <w:tc>
          <w:tcPr>
            <w:tcW w:w="1481" w:type="dxa"/>
            <w:shd w:val="clear" w:color="auto" w:fill="auto"/>
            <w:noWrap/>
            <w:vAlign w:val="center"/>
            <w:hideMark/>
          </w:tcPr>
          <w:p w14:paraId="71E1B41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23</w:t>
            </w:r>
          </w:p>
        </w:tc>
        <w:tc>
          <w:tcPr>
            <w:tcW w:w="1840" w:type="dxa"/>
            <w:shd w:val="clear" w:color="auto" w:fill="auto"/>
            <w:noWrap/>
            <w:vAlign w:val="center"/>
            <w:hideMark/>
          </w:tcPr>
          <w:p w14:paraId="7AC5AE4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8.10%</w:t>
            </w:r>
          </w:p>
        </w:tc>
      </w:tr>
      <w:tr w:rsidR="00B04D14" w:rsidRPr="00FA32F2" w14:paraId="6C6463E9" w14:textId="77777777" w:rsidTr="00B04D14">
        <w:trPr>
          <w:trHeight w:val="290"/>
        </w:trPr>
        <w:tc>
          <w:tcPr>
            <w:tcW w:w="3062" w:type="dxa"/>
            <w:shd w:val="clear" w:color="auto" w:fill="auto"/>
            <w:noWrap/>
            <w:vAlign w:val="center"/>
            <w:hideMark/>
          </w:tcPr>
          <w:p w14:paraId="2C7EF26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D26AC6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Former smoker</w:t>
            </w:r>
          </w:p>
        </w:tc>
        <w:tc>
          <w:tcPr>
            <w:tcW w:w="1481" w:type="dxa"/>
            <w:shd w:val="clear" w:color="auto" w:fill="auto"/>
            <w:noWrap/>
            <w:vAlign w:val="center"/>
            <w:hideMark/>
          </w:tcPr>
          <w:p w14:paraId="6FB14B8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w:t>
            </w:r>
          </w:p>
        </w:tc>
        <w:tc>
          <w:tcPr>
            <w:tcW w:w="1840" w:type="dxa"/>
            <w:shd w:val="clear" w:color="auto" w:fill="auto"/>
            <w:noWrap/>
            <w:vAlign w:val="center"/>
            <w:hideMark/>
          </w:tcPr>
          <w:p w14:paraId="7FAB5EE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6.70%</w:t>
            </w:r>
          </w:p>
        </w:tc>
      </w:tr>
      <w:tr w:rsidR="00B04D14" w:rsidRPr="00FA32F2" w14:paraId="4BC3DD68" w14:textId="77777777" w:rsidTr="00B04D14">
        <w:trPr>
          <w:trHeight w:val="290"/>
        </w:trPr>
        <w:tc>
          <w:tcPr>
            <w:tcW w:w="3062" w:type="dxa"/>
            <w:shd w:val="clear" w:color="auto" w:fill="auto"/>
            <w:noWrap/>
            <w:vAlign w:val="center"/>
            <w:hideMark/>
          </w:tcPr>
          <w:p w14:paraId="6259D11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AB6308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Never smoked</w:t>
            </w:r>
          </w:p>
        </w:tc>
        <w:tc>
          <w:tcPr>
            <w:tcW w:w="1481" w:type="dxa"/>
            <w:shd w:val="clear" w:color="auto" w:fill="auto"/>
            <w:noWrap/>
            <w:vAlign w:val="center"/>
            <w:hideMark/>
          </w:tcPr>
          <w:p w14:paraId="2A714D9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243</w:t>
            </w:r>
          </w:p>
        </w:tc>
        <w:tc>
          <w:tcPr>
            <w:tcW w:w="1840" w:type="dxa"/>
            <w:shd w:val="clear" w:color="auto" w:fill="auto"/>
            <w:noWrap/>
            <w:vAlign w:val="center"/>
            <w:hideMark/>
          </w:tcPr>
          <w:p w14:paraId="57BB694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85.30%</w:t>
            </w:r>
          </w:p>
        </w:tc>
      </w:tr>
      <w:tr w:rsidR="00B04D14" w:rsidRPr="00FA32F2" w14:paraId="32376EF1" w14:textId="77777777" w:rsidTr="00B04D14">
        <w:trPr>
          <w:trHeight w:val="290"/>
        </w:trPr>
        <w:tc>
          <w:tcPr>
            <w:tcW w:w="3062" w:type="dxa"/>
            <w:shd w:val="clear" w:color="auto" w:fill="auto"/>
            <w:noWrap/>
            <w:vAlign w:val="center"/>
            <w:hideMark/>
          </w:tcPr>
          <w:p w14:paraId="3411B33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Alcohol Use (past 30 days)</w:t>
            </w:r>
          </w:p>
        </w:tc>
        <w:tc>
          <w:tcPr>
            <w:tcW w:w="2878" w:type="dxa"/>
            <w:shd w:val="clear" w:color="auto" w:fill="auto"/>
            <w:noWrap/>
            <w:vAlign w:val="center"/>
            <w:hideMark/>
          </w:tcPr>
          <w:p w14:paraId="261586B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2DF1C97"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6458801B"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57A76015" w14:textId="77777777" w:rsidTr="00B04D14">
        <w:trPr>
          <w:trHeight w:val="290"/>
        </w:trPr>
        <w:tc>
          <w:tcPr>
            <w:tcW w:w="3062" w:type="dxa"/>
            <w:shd w:val="clear" w:color="auto" w:fill="auto"/>
            <w:noWrap/>
            <w:vAlign w:val="bottom"/>
            <w:hideMark/>
          </w:tcPr>
          <w:p w14:paraId="13A7D2F1"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285434A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4174C0FC"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76</w:t>
            </w:r>
          </w:p>
        </w:tc>
        <w:tc>
          <w:tcPr>
            <w:tcW w:w="1840" w:type="dxa"/>
            <w:shd w:val="clear" w:color="auto" w:fill="auto"/>
            <w:noWrap/>
            <w:vAlign w:val="center"/>
            <w:hideMark/>
          </w:tcPr>
          <w:p w14:paraId="371C66F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26.70%</w:t>
            </w:r>
          </w:p>
        </w:tc>
      </w:tr>
      <w:tr w:rsidR="00B04D14" w:rsidRPr="00FA32F2" w14:paraId="0C47AAD6" w14:textId="77777777" w:rsidTr="00B04D14">
        <w:trPr>
          <w:trHeight w:val="290"/>
        </w:trPr>
        <w:tc>
          <w:tcPr>
            <w:tcW w:w="3062" w:type="dxa"/>
            <w:shd w:val="clear" w:color="auto" w:fill="auto"/>
            <w:noWrap/>
            <w:vAlign w:val="center"/>
            <w:hideMark/>
          </w:tcPr>
          <w:p w14:paraId="4B1DE89C"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571807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E5B10C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209</w:t>
            </w:r>
          </w:p>
        </w:tc>
        <w:tc>
          <w:tcPr>
            <w:tcW w:w="1840" w:type="dxa"/>
            <w:shd w:val="clear" w:color="auto" w:fill="auto"/>
            <w:noWrap/>
            <w:vAlign w:val="center"/>
            <w:hideMark/>
          </w:tcPr>
          <w:p w14:paraId="069E91A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73.30%</w:t>
            </w:r>
          </w:p>
        </w:tc>
      </w:tr>
      <w:tr w:rsidR="00B04D14" w:rsidRPr="00FA32F2" w14:paraId="2C17AA29" w14:textId="77777777" w:rsidTr="00B04D14">
        <w:trPr>
          <w:trHeight w:val="290"/>
        </w:trPr>
        <w:tc>
          <w:tcPr>
            <w:tcW w:w="3062" w:type="dxa"/>
            <w:shd w:val="clear" w:color="auto" w:fill="auto"/>
            <w:noWrap/>
            <w:vAlign w:val="center"/>
            <w:hideMark/>
          </w:tcPr>
          <w:p w14:paraId="3471996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Dietary Salt Intake</w:t>
            </w:r>
          </w:p>
        </w:tc>
        <w:tc>
          <w:tcPr>
            <w:tcW w:w="2878" w:type="dxa"/>
            <w:shd w:val="clear" w:color="auto" w:fill="auto"/>
            <w:noWrap/>
            <w:vAlign w:val="center"/>
            <w:hideMark/>
          </w:tcPr>
          <w:p w14:paraId="0517C19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7B6A934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42A0C0F7"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3547F574" w14:textId="77777777" w:rsidTr="00B04D14">
        <w:trPr>
          <w:trHeight w:val="290"/>
        </w:trPr>
        <w:tc>
          <w:tcPr>
            <w:tcW w:w="3062" w:type="dxa"/>
            <w:shd w:val="clear" w:color="auto" w:fill="auto"/>
            <w:noWrap/>
            <w:vAlign w:val="bottom"/>
            <w:hideMark/>
          </w:tcPr>
          <w:p w14:paraId="22E7A5FC"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2BD78C2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Always use excess salt</w:t>
            </w:r>
          </w:p>
        </w:tc>
        <w:tc>
          <w:tcPr>
            <w:tcW w:w="1481" w:type="dxa"/>
            <w:shd w:val="clear" w:color="auto" w:fill="auto"/>
            <w:noWrap/>
            <w:vAlign w:val="center"/>
            <w:hideMark/>
          </w:tcPr>
          <w:p w14:paraId="0728018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44</w:t>
            </w:r>
          </w:p>
        </w:tc>
        <w:tc>
          <w:tcPr>
            <w:tcW w:w="1840" w:type="dxa"/>
            <w:shd w:val="clear" w:color="auto" w:fill="auto"/>
            <w:noWrap/>
            <w:vAlign w:val="center"/>
            <w:hideMark/>
          </w:tcPr>
          <w:p w14:paraId="24CF06E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15.40%</w:t>
            </w:r>
          </w:p>
        </w:tc>
      </w:tr>
      <w:tr w:rsidR="00B04D14" w:rsidRPr="00FA32F2" w14:paraId="0346EAC1" w14:textId="77777777" w:rsidTr="00B04D14">
        <w:trPr>
          <w:trHeight w:val="290"/>
        </w:trPr>
        <w:tc>
          <w:tcPr>
            <w:tcW w:w="3062" w:type="dxa"/>
            <w:shd w:val="clear" w:color="auto" w:fill="auto"/>
            <w:noWrap/>
            <w:vAlign w:val="center"/>
            <w:hideMark/>
          </w:tcPr>
          <w:p w14:paraId="24A0257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EC9A37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Moderate salt use</w:t>
            </w:r>
          </w:p>
        </w:tc>
        <w:tc>
          <w:tcPr>
            <w:tcW w:w="1481" w:type="dxa"/>
            <w:shd w:val="clear" w:color="auto" w:fill="auto"/>
            <w:noWrap/>
            <w:vAlign w:val="center"/>
            <w:hideMark/>
          </w:tcPr>
          <w:p w14:paraId="0890DB4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156</w:t>
            </w:r>
          </w:p>
        </w:tc>
        <w:tc>
          <w:tcPr>
            <w:tcW w:w="1840" w:type="dxa"/>
            <w:shd w:val="clear" w:color="auto" w:fill="auto"/>
            <w:noWrap/>
            <w:vAlign w:val="center"/>
            <w:hideMark/>
          </w:tcPr>
          <w:p w14:paraId="383924D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54.70%</w:t>
            </w:r>
          </w:p>
        </w:tc>
      </w:tr>
      <w:tr w:rsidR="00B04D14" w:rsidRPr="00FA32F2" w14:paraId="35725264" w14:textId="77777777" w:rsidTr="00B04D14">
        <w:trPr>
          <w:trHeight w:val="290"/>
        </w:trPr>
        <w:tc>
          <w:tcPr>
            <w:tcW w:w="3062" w:type="dxa"/>
            <w:shd w:val="clear" w:color="auto" w:fill="auto"/>
            <w:noWrap/>
            <w:vAlign w:val="center"/>
            <w:hideMark/>
          </w:tcPr>
          <w:p w14:paraId="52A8ACC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BF83C4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Salt restriction</w:t>
            </w:r>
          </w:p>
        </w:tc>
        <w:tc>
          <w:tcPr>
            <w:tcW w:w="1481" w:type="dxa"/>
            <w:shd w:val="clear" w:color="auto" w:fill="auto"/>
            <w:noWrap/>
            <w:vAlign w:val="center"/>
            <w:hideMark/>
          </w:tcPr>
          <w:p w14:paraId="6D2CA02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85</w:t>
            </w:r>
          </w:p>
        </w:tc>
        <w:tc>
          <w:tcPr>
            <w:tcW w:w="1840" w:type="dxa"/>
            <w:shd w:val="clear" w:color="auto" w:fill="auto"/>
            <w:noWrap/>
            <w:vAlign w:val="center"/>
            <w:hideMark/>
          </w:tcPr>
          <w:p w14:paraId="6408820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29.80%</w:t>
            </w:r>
          </w:p>
        </w:tc>
      </w:tr>
      <w:tr w:rsidR="00B04D14" w:rsidRPr="00FA32F2" w14:paraId="3D24AF87" w14:textId="77777777" w:rsidTr="00B04D14">
        <w:trPr>
          <w:trHeight w:val="290"/>
        </w:trPr>
        <w:tc>
          <w:tcPr>
            <w:tcW w:w="3062" w:type="dxa"/>
            <w:shd w:val="clear" w:color="auto" w:fill="auto"/>
            <w:noWrap/>
            <w:vAlign w:val="center"/>
            <w:hideMark/>
          </w:tcPr>
          <w:p w14:paraId="7DCF911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Regular BP Monitoring at Home</w:t>
            </w:r>
          </w:p>
        </w:tc>
        <w:tc>
          <w:tcPr>
            <w:tcW w:w="2878" w:type="dxa"/>
            <w:shd w:val="clear" w:color="auto" w:fill="auto"/>
            <w:noWrap/>
            <w:vAlign w:val="center"/>
            <w:hideMark/>
          </w:tcPr>
          <w:p w14:paraId="1EFE9D4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8E4E9B0"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0E5DB8D"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22CF0A69" w14:textId="77777777" w:rsidTr="00B04D14">
        <w:trPr>
          <w:trHeight w:val="290"/>
        </w:trPr>
        <w:tc>
          <w:tcPr>
            <w:tcW w:w="3062" w:type="dxa"/>
            <w:shd w:val="clear" w:color="auto" w:fill="auto"/>
            <w:noWrap/>
            <w:vAlign w:val="bottom"/>
            <w:hideMark/>
          </w:tcPr>
          <w:p w14:paraId="436E98E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04EC74A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7E437D2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79</w:t>
            </w:r>
          </w:p>
        </w:tc>
        <w:tc>
          <w:tcPr>
            <w:tcW w:w="1840" w:type="dxa"/>
            <w:shd w:val="clear" w:color="auto" w:fill="auto"/>
            <w:noWrap/>
            <w:vAlign w:val="center"/>
            <w:hideMark/>
          </w:tcPr>
          <w:p w14:paraId="7E266A7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27.70%</w:t>
            </w:r>
          </w:p>
        </w:tc>
      </w:tr>
      <w:tr w:rsidR="00B04D14" w:rsidRPr="00FA32F2" w14:paraId="20806A3F" w14:textId="77777777" w:rsidTr="00B04D14">
        <w:trPr>
          <w:trHeight w:val="290"/>
        </w:trPr>
        <w:tc>
          <w:tcPr>
            <w:tcW w:w="3062" w:type="dxa"/>
            <w:shd w:val="clear" w:color="auto" w:fill="auto"/>
            <w:noWrap/>
            <w:vAlign w:val="center"/>
            <w:hideMark/>
          </w:tcPr>
          <w:p w14:paraId="7BCF140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23FCE4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4DA025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206</w:t>
            </w:r>
          </w:p>
        </w:tc>
        <w:tc>
          <w:tcPr>
            <w:tcW w:w="1840" w:type="dxa"/>
            <w:shd w:val="clear" w:color="auto" w:fill="auto"/>
            <w:noWrap/>
            <w:vAlign w:val="center"/>
            <w:hideMark/>
          </w:tcPr>
          <w:p w14:paraId="6A9991E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72.30%</w:t>
            </w:r>
          </w:p>
        </w:tc>
      </w:tr>
      <w:tr w:rsidR="00B04D14" w:rsidRPr="00FA32F2" w14:paraId="05713014" w14:textId="77777777" w:rsidTr="00B04D14">
        <w:trPr>
          <w:trHeight w:val="290"/>
        </w:trPr>
        <w:tc>
          <w:tcPr>
            <w:tcW w:w="3062" w:type="dxa"/>
            <w:shd w:val="clear" w:color="auto" w:fill="auto"/>
            <w:noWrap/>
            <w:vAlign w:val="center"/>
            <w:hideMark/>
          </w:tcPr>
          <w:p w14:paraId="7978C65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Knowledge of Target BP (&lt;140/90)</w:t>
            </w:r>
          </w:p>
        </w:tc>
        <w:tc>
          <w:tcPr>
            <w:tcW w:w="2878" w:type="dxa"/>
            <w:shd w:val="clear" w:color="auto" w:fill="auto"/>
            <w:noWrap/>
            <w:vAlign w:val="center"/>
            <w:hideMark/>
          </w:tcPr>
          <w:p w14:paraId="295E783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8377449"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274C9DE"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62DF3B3F" w14:textId="77777777" w:rsidTr="00B04D14">
        <w:trPr>
          <w:trHeight w:val="290"/>
        </w:trPr>
        <w:tc>
          <w:tcPr>
            <w:tcW w:w="3062" w:type="dxa"/>
            <w:shd w:val="clear" w:color="auto" w:fill="auto"/>
            <w:noWrap/>
            <w:vAlign w:val="bottom"/>
            <w:hideMark/>
          </w:tcPr>
          <w:p w14:paraId="624E2E6E"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6C58108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Correct</w:t>
            </w:r>
          </w:p>
        </w:tc>
        <w:tc>
          <w:tcPr>
            <w:tcW w:w="1481" w:type="dxa"/>
            <w:shd w:val="clear" w:color="auto" w:fill="auto"/>
            <w:noWrap/>
            <w:vAlign w:val="center"/>
            <w:hideMark/>
          </w:tcPr>
          <w:p w14:paraId="097EA10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123</w:t>
            </w:r>
          </w:p>
        </w:tc>
        <w:tc>
          <w:tcPr>
            <w:tcW w:w="1840" w:type="dxa"/>
            <w:shd w:val="clear" w:color="auto" w:fill="auto"/>
            <w:noWrap/>
            <w:vAlign w:val="center"/>
            <w:hideMark/>
          </w:tcPr>
          <w:p w14:paraId="59F3390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43.20%</w:t>
            </w:r>
          </w:p>
        </w:tc>
      </w:tr>
      <w:tr w:rsidR="00B04D14" w:rsidRPr="00FA32F2" w14:paraId="429575C5" w14:textId="77777777" w:rsidTr="00B04D14">
        <w:trPr>
          <w:trHeight w:val="290"/>
        </w:trPr>
        <w:tc>
          <w:tcPr>
            <w:tcW w:w="3062" w:type="dxa"/>
            <w:shd w:val="clear" w:color="auto" w:fill="auto"/>
            <w:noWrap/>
            <w:vAlign w:val="center"/>
            <w:hideMark/>
          </w:tcPr>
          <w:p w14:paraId="28F0D63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3A56351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Incorrect or Don’t Know</w:t>
            </w:r>
          </w:p>
        </w:tc>
        <w:tc>
          <w:tcPr>
            <w:tcW w:w="1481" w:type="dxa"/>
            <w:shd w:val="clear" w:color="auto" w:fill="auto"/>
            <w:noWrap/>
            <w:vAlign w:val="center"/>
            <w:hideMark/>
          </w:tcPr>
          <w:p w14:paraId="183FE05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162</w:t>
            </w:r>
          </w:p>
        </w:tc>
        <w:tc>
          <w:tcPr>
            <w:tcW w:w="1840" w:type="dxa"/>
            <w:shd w:val="clear" w:color="auto" w:fill="auto"/>
            <w:noWrap/>
            <w:vAlign w:val="center"/>
            <w:hideMark/>
          </w:tcPr>
          <w:p w14:paraId="658F394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56.80%</w:t>
            </w:r>
          </w:p>
        </w:tc>
      </w:tr>
    </w:tbl>
    <w:p w14:paraId="1018CC53" w14:textId="77777777" w:rsidR="00B04D14" w:rsidRPr="00FA32F2" w:rsidRDefault="00B04D14" w:rsidP="00FA32F2">
      <w:pPr>
        <w:rPr>
          <w:rFonts w:ascii="Times New Roman" w:hAnsi="Times New Roman" w:cs="Times New Roman"/>
        </w:rPr>
      </w:pPr>
    </w:p>
    <w:p w14:paraId="061000BA" w14:textId="49F7CCC1" w:rsidR="00BB6F27" w:rsidRPr="00FA32F2" w:rsidRDefault="00BB6F27" w:rsidP="00FA32F2">
      <w:pPr>
        <w:rPr>
          <w:rFonts w:ascii="Times New Roman" w:hAnsi="Times New Roman" w:cs="Times New Roman"/>
          <w:b/>
          <w:bCs/>
        </w:rPr>
      </w:pPr>
      <w:r w:rsidRPr="00FA32F2">
        <w:rPr>
          <w:rFonts w:ascii="Times New Roman" w:eastAsia="Times New Roman" w:hAnsi="Times New Roman" w:cs="Times New Roman"/>
          <w:b/>
          <w:bCs/>
          <w:color w:val="000000"/>
          <w:kern w:val="0"/>
          <w14:ligatures w14:val="none"/>
        </w:rPr>
        <w:t>Hypertension Self-Management Behavior</w:t>
      </w:r>
    </w:p>
    <w:p w14:paraId="0F033DFF" w14:textId="6410FC07" w:rsidR="00BB6F27" w:rsidRPr="00FA32F2" w:rsidRDefault="006D4422" w:rsidP="00FA32F2">
      <w:pPr>
        <w:rPr>
          <w:rFonts w:ascii="Times New Roman" w:hAnsi="Times New Roman" w:cs="Times New Roman"/>
        </w:rPr>
      </w:pPr>
      <w:r w:rsidRPr="00FA32F2">
        <w:rPr>
          <w:rFonts w:ascii="Times New Roman" w:hAnsi="Times New Roman" w:cs="Times New Roman"/>
        </w:rPr>
        <w:t xml:space="preserve">While the majority adhered to medication routines (74.4%) and kept medical appointments (78.6%), adherence was lower for lifestyle-related behaviors. Only 44.6% limited salt intake, and just 33.7% checked food labels for sodium. Physical activity (39.3%), home blood pressure monitoring (28.8%), and </w:t>
      </w:r>
      <w:r w:rsidRPr="00FA32F2">
        <w:rPr>
          <w:rFonts w:ascii="Times New Roman" w:hAnsi="Times New Roman" w:cs="Times New Roman"/>
        </w:rPr>
        <w:lastRenderedPageBreak/>
        <w:t>following a heart-healthy diet (36.5%) were also notably low. On the other hand, most respondents avoided smoking (85.3%) and limited alcohol intake (72.6%). Adherence to stress reduction (53.7%), maintaining healthy weight (48.8%), and informing doctors of medication side effects (46.0%) showed moderate uptake (Table 3)</w:t>
      </w:r>
    </w:p>
    <w:tbl>
      <w:tblPr>
        <w:tblW w:w="10440" w:type="dxa"/>
        <w:tblInd w:w="108" w:type="dxa"/>
        <w:tblBorders>
          <w:bottom w:val="single" w:sz="4" w:space="0" w:color="auto"/>
        </w:tblBorders>
        <w:tblLook w:val="04A0" w:firstRow="1" w:lastRow="0" w:firstColumn="1" w:lastColumn="0" w:noHBand="0" w:noVBand="1"/>
      </w:tblPr>
      <w:tblGrid>
        <w:gridCol w:w="5850"/>
        <w:gridCol w:w="2132"/>
        <w:gridCol w:w="2458"/>
      </w:tblGrid>
      <w:tr w:rsidR="002E1572" w:rsidRPr="00FA32F2" w14:paraId="5B10F6D6" w14:textId="77777777" w:rsidTr="006D4422">
        <w:trPr>
          <w:trHeight w:val="350"/>
        </w:trPr>
        <w:tc>
          <w:tcPr>
            <w:tcW w:w="10440" w:type="dxa"/>
            <w:gridSpan w:val="3"/>
            <w:tcBorders>
              <w:bottom w:val="single" w:sz="4" w:space="0" w:color="auto"/>
            </w:tcBorders>
            <w:shd w:val="clear" w:color="auto" w:fill="auto"/>
            <w:noWrap/>
            <w:vAlign w:val="center"/>
            <w:hideMark/>
          </w:tcPr>
          <w:p w14:paraId="6A5BB3E3" w14:textId="1DC5144C" w:rsidR="002E1572" w:rsidRPr="00FA32F2" w:rsidRDefault="002E157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3: Hypertension Self-Management Behavior Scores (N = 285)</w:t>
            </w:r>
          </w:p>
        </w:tc>
      </w:tr>
      <w:tr w:rsidR="006D4422" w:rsidRPr="00FA32F2" w14:paraId="7526C1B8" w14:textId="77777777" w:rsidTr="006D4422">
        <w:trPr>
          <w:trHeight w:val="290"/>
        </w:trPr>
        <w:tc>
          <w:tcPr>
            <w:tcW w:w="5850" w:type="dxa"/>
            <w:tcBorders>
              <w:top w:val="single" w:sz="4" w:space="0" w:color="auto"/>
              <w:bottom w:val="single" w:sz="4" w:space="0" w:color="auto"/>
            </w:tcBorders>
            <w:shd w:val="clear" w:color="auto" w:fill="auto"/>
            <w:noWrap/>
            <w:vAlign w:val="center"/>
            <w:hideMark/>
          </w:tcPr>
          <w:p w14:paraId="34DA54B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Behavior Item</w:t>
            </w:r>
          </w:p>
        </w:tc>
        <w:tc>
          <w:tcPr>
            <w:tcW w:w="2132" w:type="dxa"/>
            <w:tcBorders>
              <w:top w:val="single" w:sz="4" w:space="0" w:color="auto"/>
              <w:bottom w:val="single" w:sz="4" w:space="0" w:color="auto"/>
            </w:tcBorders>
            <w:shd w:val="clear" w:color="auto" w:fill="auto"/>
            <w:noWrap/>
            <w:vAlign w:val="center"/>
            <w:hideMark/>
          </w:tcPr>
          <w:p w14:paraId="36F1F788"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Adherent (Often/Always) n (%)</w:t>
            </w:r>
          </w:p>
        </w:tc>
        <w:tc>
          <w:tcPr>
            <w:tcW w:w="2458" w:type="dxa"/>
            <w:tcBorders>
              <w:top w:val="single" w:sz="4" w:space="0" w:color="auto"/>
              <w:bottom w:val="single" w:sz="4" w:space="0" w:color="auto"/>
            </w:tcBorders>
            <w:shd w:val="clear" w:color="auto" w:fill="auto"/>
            <w:noWrap/>
            <w:vAlign w:val="center"/>
            <w:hideMark/>
          </w:tcPr>
          <w:p w14:paraId="7BB1F59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Non-Adherent (Not at all/Sometimes) n (%)</w:t>
            </w:r>
          </w:p>
        </w:tc>
      </w:tr>
      <w:tr w:rsidR="006D4422" w:rsidRPr="00FA32F2" w14:paraId="55C27122" w14:textId="77777777" w:rsidTr="006D4422">
        <w:trPr>
          <w:trHeight w:val="290"/>
        </w:trPr>
        <w:tc>
          <w:tcPr>
            <w:tcW w:w="5850" w:type="dxa"/>
            <w:tcBorders>
              <w:top w:val="single" w:sz="4" w:space="0" w:color="auto"/>
            </w:tcBorders>
            <w:shd w:val="clear" w:color="auto" w:fill="auto"/>
            <w:noWrap/>
            <w:vAlign w:val="center"/>
            <w:hideMark/>
          </w:tcPr>
          <w:p w14:paraId="6AE2AE65"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Take my blood pressure medicine as prescribed</w:t>
            </w:r>
          </w:p>
        </w:tc>
        <w:tc>
          <w:tcPr>
            <w:tcW w:w="2132" w:type="dxa"/>
            <w:tcBorders>
              <w:top w:val="single" w:sz="4" w:space="0" w:color="auto"/>
            </w:tcBorders>
            <w:shd w:val="clear" w:color="auto" w:fill="auto"/>
            <w:noWrap/>
            <w:vAlign w:val="center"/>
            <w:hideMark/>
          </w:tcPr>
          <w:p w14:paraId="154950F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212 (74.4%)</w:t>
            </w:r>
          </w:p>
        </w:tc>
        <w:tc>
          <w:tcPr>
            <w:tcW w:w="2458" w:type="dxa"/>
            <w:tcBorders>
              <w:top w:val="single" w:sz="4" w:space="0" w:color="auto"/>
            </w:tcBorders>
            <w:shd w:val="clear" w:color="auto" w:fill="auto"/>
            <w:noWrap/>
            <w:vAlign w:val="center"/>
            <w:hideMark/>
          </w:tcPr>
          <w:p w14:paraId="38B368A6"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73 (25.6%)</w:t>
            </w:r>
          </w:p>
        </w:tc>
      </w:tr>
      <w:tr w:rsidR="006D4422" w:rsidRPr="00FA32F2" w14:paraId="54FE7924" w14:textId="77777777" w:rsidTr="006D4422">
        <w:trPr>
          <w:trHeight w:val="290"/>
        </w:trPr>
        <w:tc>
          <w:tcPr>
            <w:tcW w:w="5850" w:type="dxa"/>
            <w:shd w:val="clear" w:color="auto" w:fill="auto"/>
            <w:noWrap/>
            <w:vAlign w:val="center"/>
            <w:hideMark/>
          </w:tcPr>
          <w:p w14:paraId="1F7B147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Keep my medical appointments</w:t>
            </w:r>
          </w:p>
        </w:tc>
        <w:tc>
          <w:tcPr>
            <w:tcW w:w="2132" w:type="dxa"/>
            <w:shd w:val="clear" w:color="auto" w:fill="auto"/>
            <w:noWrap/>
            <w:vAlign w:val="center"/>
            <w:hideMark/>
          </w:tcPr>
          <w:p w14:paraId="4FCD27BE"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224 (78.6%)</w:t>
            </w:r>
          </w:p>
        </w:tc>
        <w:tc>
          <w:tcPr>
            <w:tcW w:w="2458" w:type="dxa"/>
            <w:shd w:val="clear" w:color="auto" w:fill="auto"/>
            <w:noWrap/>
            <w:vAlign w:val="center"/>
            <w:hideMark/>
          </w:tcPr>
          <w:p w14:paraId="0C7A904C"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 (21.4%)</w:t>
            </w:r>
          </w:p>
        </w:tc>
      </w:tr>
      <w:tr w:rsidR="006D4422" w:rsidRPr="00FA32F2" w14:paraId="1AAB1197" w14:textId="77777777" w:rsidTr="006D4422">
        <w:trPr>
          <w:trHeight w:val="290"/>
        </w:trPr>
        <w:tc>
          <w:tcPr>
            <w:tcW w:w="5850" w:type="dxa"/>
            <w:shd w:val="clear" w:color="auto" w:fill="auto"/>
            <w:noWrap/>
            <w:vAlign w:val="center"/>
            <w:hideMark/>
          </w:tcPr>
          <w:p w14:paraId="417A497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Limit the amount of salt in my diet</w:t>
            </w:r>
          </w:p>
        </w:tc>
        <w:tc>
          <w:tcPr>
            <w:tcW w:w="2132" w:type="dxa"/>
            <w:shd w:val="clear" w:color="auto" w:fill="auto"/>
            <w:noWrap/>
            <w:vAlign w:val="center"/>
            <w:hideMark/>
          </w:tcPr>
          <w:p w14:paraId="0B626ACD"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127 (44.6%)</w:t>
            </w:r>
          </w:p>
        </w:tc>
        <w:tc>
          <w:tcPr>
            <w:tcW w:w="2458" w:type="dxa"/>
            <w:shd w:val="clear" w:color="auto" w:fill="auto"/>
            <w:noWrap/>
            <w:vAlign w:val="center"/>
            <w:hideMark/>
          </w:tcPr>
          <w:p w14:paraId="59A7EFE5"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158 (55.4%)</w:t>
            </w:r>
          </w:p>
        </w:tc>
      </w:tr>
      <w:tr w:rsidR="006D4422" w:rsidRPr="00FA32F2" w14:paraId="791E7E89" w14:textId="77777777" w:rsidTr="006D4422">
        <w:trPr>
          <w:trHeight w:val="290"/>
        </w:trPr>
        <w:tc>
          <w:tcPr>
            <w:tcW w:w="5850" w:type="dxa"/>
            <w:shd w:val="clear" w:color="auto" w:fill="auto"/>
            <w:noWrap/>
            <w:vAlign w:val="center"/>
            <w:hideMark/>
          </w:tcPr>
          <w:p w14:paraId="2FCE88D3"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Check food labels for sodium content</w:t>
            </w:r>
          </w:p>
        </w:tc>
        <w:tc>
          <w:tcPr>
            <w:tcW w:w="2132" w:type="dxa"/>
            <w:shd w:val="clear" w:color="auto" w:fill="auto"/>
            <w:noWrap/>
            <w:vAlign w:val="center"/>
            <w:hideMark/>
          </w:tcPr>
          <w:p w14:paraId="2163DE9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96 (33.7%)</w:t>
            </w:r>
          </w:p>
        </w:tc>
        <w:tc>
          <w:tcPr>
            <w:tcW w:w="2458" w:type="dxa"/>
            <w:shd w:val="clear" w:color="auto" w:fill="auto"/>
            <w:noWrap/>
            <w:vAlign w:val="center"/>
            <w:hideMark/>
          </w:tcPr>
          <w:p w14:paraId="0F6036A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189 (66.3%)</w:t>
            </w:r>
          </w:p>
        </w:tc>
      </w:tr>
      <w:tr w:rsidR="006D4422" w:rsidRPr="00FA32F2" w14:paraId="07AFFA95" w14:textId="77777777" w:rsidTr="006D4422">
        <w:trPr>
          <w:trHeight w:val="290"/>
        </w:trPr>
        <w:tc>
          <w:tcPr>
            <w:tcW w:w="5850" w:type="dxa"/>
            <w:shd w:val="clear" w:color="auto" w:fill="auto"/>
            <w:noWrap/>
            <w:vAlign w:val="center"/>
            <w:hideMark/>
          </w:tcPr>
          <w:p w14:paraId="21E938FE"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Maintain a healthy weight</w:t>
            </w:r>
          </w:p>
        </w:tc>
        <w:tc>
          <w:tcPr>
            <w:tcW w:w="2132" w:type="dxa"/>
            <w:shd w:val="clear" w:color="auto" w:fill="auto"/>
            <w:noWrap/>
            <w:vAlign w:val="center"/>
            <w:hideMark/>
          </w:tcPr>
          <w:p w14:paraId="0B3C3F6B"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139 (48.8%)</w:t>
            </w:r>
          </w:p>
        </w:tc>
        <w:tc>
          <w:tcPr>
            <w:tcW w:w="2458" w:type="dxa"/>
            <w:shd w:val="clear" w:color="auto" w:fill="auto"/>
            <w:noWrap/>
            <w:vAlign w:val="center"/>
            <w:hideMark/>
          </w:tcPr>
          <w:p w14:paraId="2159A8DD"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146 (51.2%)</w:t>
            </w:r>
          </w:p>
        </w:tc>
      </w:tr>
      <w:tr w:rsidR="006D4422" w:rsidRPr="00FA32F2" w14:paraId="60930784" w14:textId="77777777" w:rsidTr="006D4422">
        <w:trPr>
          <w:trHeight w:val="290"/>
        </w:trPr>
        <w:tc>
          <w:tcPr>
            <w:tcW w:w="5850" w:type="dxa"/>
            <w:shd w:val="clear" w:color="auto" w:fill="auto"/>
            <w:noWrap/>
            <w:vAlign w:val="center"/>
            <w:hideMark/>
          </w:tcPr>
          <w:p w14:paraId="052CE6D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Engage in physical activity at least 3 times per week</w:t>
            </w:r>
          </w:p>
        </w:tc>
        <w:tc>
          <w:tcPr>
            <w:tcW w:w="2132" w:type="dxa"/>
            <w:shd w:val="clear" w:color="auto" w:fill="auto"/>
            <w:noWrap/>
            <w:vAlign w:val="center"/>
            <w:hideMark/>
          </w:tcPr>
          <w:p w14:paraId="26A1AA1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112 (39.3%)</w:t>
            </w:r>
          </w:p>
        </w:tc>
        <w:tc>
          <w:tcPr>
            <w:tcW w:w="2458" w:type="dxa"/>
            <w:shd w:val="clear" w:color="auto" w:fill="auto"/>
            <w:noWrap/>
            <w:vAlign w:val="center"/>
            <w:hideMark/>
          </w:tcPr>
          <w:p w14:paraId="23070D3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173 (60.7%)</w:t>
            </w:r>
          </w:p>
        </w:tc>
      </w:tr>
      <w:tr w:rsidR="006D4422" w:rsidRPr="00FA32F2" w14:paraId="241B6B83" w14:textId="77777777" w:rsidTr="006D4422">
        <w:trPr>
          <w:trHeight w:val="290"/>
        </w:trPr>
        <w:tc>
          <w:tcPr>
            <w:tcW w:w="5850" w:type="dxa"/>
            <w:shd w:val="clear" w:color="auto" w:fill="auto"/>
            <w:noWrap/>
            <w:vAlign w:val="center"/>
            <w:hideMark/>
          </w:tcPr>
          <w:p w14:paraId="03943B8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smoking</w:t>
            </w:r>
          </w:p>
        </w:tc>
        <w:tc>
          <w:tcPr>
            <w:tcW w:w="2132" w:type="dxa"/>
            <w:shd w:val="clear" w:color="auto" w:fill="auto"/>
            <w:noWrap/>
            <w:vAlign w:val="center"/>
            <w:hideMark/>
          </w:tcPr>
          <w:p w14:paraId="68BD7FF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243 (85.3%)</w:t>
            </w:r>
          </w:p>
        </w:tc>
        <w:tc>
          <w:tcPr>
            <w:tcW w:w="2458" w:type="dxa"/>
            <w:shd w:val="clear" w:color="auto" w:fill="auto"/>
            <w:noWrap/>
            <w:vAlign w:val="center"/>
            <w:hideMark/>
          </w:tcPr>
          <w:p w14:paraId="48E213B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42 (14.7%)</w:t>
            </w:r>
          </w:p>
        </w:tc>
      </w:tr>
      <w:tr w:rsidR="006D4422" w:rsidRPr="00FA32F2" w14:paraId="0A7A90EA" w14:textId="77777777" w:rsidTr="006D4422">
        <w:trPr>
          <w:trHeight w:val="290"/>
        </w:trPr>
        <w:tc>
          <w:tcPr>
            <w:tcW w:w="5850" w:type="dxa"/>
            <w:shd w:val="clear" w:color="auto" w:fill="auto"/>
            <w:noWrap/>
            <w:vAlign w:val="center"/>
            <w:hideMark/>
          </w:tcPr>
          <w:p w14:paraId="4AF8491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Limit alcohol intake</w:t>
            </w:r>
          </w:p>
        </w:tc>
        <w:tc>
          <w:tcPr>
            <w:tcW w:w="2132" w:type="dxa"/>
            <w:shd w:val="clear" w:color="auto" w:fill="auto"/>
            <w:noWrap/>
            <w:vAlign w:val="center"/>
            <w:hideMark/>
          </w:tcPr>
          <w:p w14:paraId="3219FD8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207 (72.6%)</w:t>
            </w:r>
          </w:p>
        </w:tc>
        <w:tc>
          <w:tcPr>
            <w:tcW w:w="2458" w:type="dxa"/>
            <w:shd w:val="clear" w:color="auto" w:fill="auto"/>
            <w:noWrap/>
            <w:vAlign w:val="center"/>
            <w:hideMark/>
          </w:tcPr>
          <w:p w14:paraId="2A1F368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78 (27.4%)</w:t>
            </w:r>
          </w:p>
        </w:tc>
      </w:tr>
      <w:tr w:rsidR="006D4422" w:rsidRPr="00FA32F2" w14:paraId="3E128131" w14:textId="77777777" w:rsidTr="006D4422">
        <w:trPr>
          <w:trHeight w:val="290"/>
        </w:trPr>
        <w:tc>
          <w:tcPr>
            <w:tcW w:w="5850" w:type="dxa"/>
            <w:shd w:val="clear" w:color="auto" w:fill="auto"/>
            <w:noWrap/>
            <w:vAlign w:val="center"/>
            <w:hideMark/>
          </w:tcPr>
          <w:p w14:paraId="1B160E4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Reduce stress or practice relaxation techniques</w:t>
            </w:r>
          </w:p>
        </w:tc>
        <w:tc>
          <w:tcPr>
            <w:tcW w:w="2132" w:type="dxa"/>
            <w:shd w:val="clear" w:color="auto" w:fill="auto"/>
            <w:noWrap/>
            <w:vAlign w:val="center"/>
            <w:hideMark/>
          </w:tcPr>
          <w:p w14:paraId="382E157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153 (53.7%)</w:t>
            </w:r>
          </w:p>
        </w:tc>
        <w:tc>
          <w:tcPr>
            <w:tcW w:w="2458" w:type="dxa"/>
            <w:shd w:val="clear" w:color="auto" w:fill="auto"/>
            <w:noWrap/>
            <w:vAlign w:val="center"/>
            <w:hideMark/>
          </w:tcPr>
          <w:p w14:paraId="5AF9D94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132 (46.3%)</w:t>
            </w:r>
          </w:p>
        </w:tc>
      </w:tr>
      <w:tr w:rsidR="006D4422" w:rsidRPr="00FA32F2" w14:paraId="26FD0EF6" w14:textId="77777777" w:rsidTr="006D4422">
        <w:trPr>
          <w:trHeight w:val="290"/>
        </w:trPr>
        <w:tc>
          <w:tcPr>
            <w:tcW w:w="5850" w:type="dxa"/>
            <w:shd w:val="clear" w:color="auto" w:fill="auto"/>
            <w:noWrap/>
            <w:vAlign w:val="center"/>
            <w:hideMark/>
          </w:tcPr>
          <w:p w14:paraId="66F3184E"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Monitor my blood pressure at home</w:t>
            </w:r>
          </w:p>
        </w:tc>
        <w:tc>
          <w:tcPr>
            <w:tcW w:w="2132" w:type="dxa"/>
            <w:shd w:val="clear" w:color="auto" w:fill="auto"/>
            <w:noWrap/>
            <w:vAlign w:val="center"/>
            <w:hideMark/>
          </w:tcPr>
          <w:p w14:paraId="16F84A9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82 (28.8%)</w:t>
            </w:r>
          </w:p>
        </w:tc>
        <w:tc>
          <w:tcPr>
            <w:tcW w:w="2458" w:type="dxa"/>
            <w:shd w:val="clear" w:color="auto" w:fill="auto"/>
            <w:noWrap/>
            <w:vAlign w:val="center"/>
            <w:hideMark/>
          </w:tcPr>
          <w:p w14:paraId="4E517B8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203 (71.2%)</w:t>
            </w:r>
          </w:p>
        </w:tc>
      </w:tr>
      <w:tr w:rsidR="006D4422" w:rsidRPr="00FA32F2" w14:paraId="364B1FF1" w14:textId="77777777" w:rsidTr="006D4422">
        <w:trPr>
          <w:trHeight w:val="290"/>
        </w:trPr>
        <w:tc>
          <w:tcPr>
            <w:tcW w:w="5850" w:type="dxa"/>
            <w:shd w:val="clear" w:color="auto" w:fill="auto"/>
            <w:noWrap/>
            <w:vAlign w:val="center"/>
            <w:hideMark/>
          </w:tcPr>
          <w:p w14:paraId="5533C53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Get adequate sleep</w:t>
            </w:r>
          </w:p>
        </w:tc>
        <w:tc>
          <w:tcPr>
            <w:tcW w:w="2132" w:type="dxa"/>
            <w:shd w:val="clear" w:color="auto" w:fill="auto"/>
            <w:noWrap/>
            <w:vAlign w:val="center"/>
            <w:hideMark/>
          </w:tcPr>
          <w:p w14:paraId="3E20A9C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176 (61.8%)</w:t>
            </w:r>
          </w:p>
        </w:tc>
        <w:tc>
          <w:tcPr>
            <w:tcW w:w="2458" w:type="dxa"/>
            <w:shd w:val="clear" w:color="auto" w:fill="auto"/>
            <w:noWrap/>
            <w:vAlign w:val="center"/>
            <w:hideMark/>
          </w:tcPr>
          <w:p w14:paraId="061D8A3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109 (38.2%)</w:t>
            </w:r>
          </w:p>
        </w:tc>
      </w:tr>
      <w:tr w:rsidR="006D4422" w:rsidRPr="00FA32F2" w14:paraId="0B78F6EE" w14:textId="77777777" w:rsidTr="006D4422">
        <w:trPr>
          <w:trHeight w:val="290"/>
        </w:trPr>
        <w:tc>
          <w:tcPr>
            <w:tcW w:w="5850" w:type="dxa"/>
            <w:shd w:val="clear" w:color="auto" w:fill="auto"/>
            <w:noWrap/>
            <w:vAlign w:val="center"/>
            <w:hideMark/>
          </w:tcPr>
          <w:p w14:paraId="7B15257B"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missed doses of medications</w:t>
            </w:r>
          </w:p>
        </w:tc>
        <w:tc>
          <w:tcPr>
            <w:tcW w:w="2132" w:type="dxa"/>
            <w:shd w:val="clear" w:color="auto" w:fill="auto"/>
            <w:noWrap/>
            <w:vAlign w:val="center"/>
            <w:hideMark/>
          </w:tcPr>
          <w:p w14:paraId="754BE41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198 (69.5%)</w:t>
            </w:r>
          </w:p>
        </w:tc>
        <w:tc>
          <w:tcPr>
            <w:tcW w:w="2458" w:type="dxa"/>
            <w:shd w:val="clear" w:color="auto" w:fill="auto"/>
            <w:noWrap/>
            <w:vAlign w:val="center"/>
            <w:hideMark/>
          </w:tcPr>
          <w:p w14:paraId="7B79D1F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87 (30.5%)</w:t>
            </w:r>
          </w:p>
        </w:tc>
      </w:tr>
      <w:tr w:rsidR="006D4422" w:rsidRPr="00FA32F2" w14:paraId="39F0C88B" w14:textId="77777777" w:rsidTr="006D4422">
        <w:trPr>
          <w:trHeight w:val="290"/>
        </w:trPr>
        <w:tc>
          <w:tcPr>
            <w:tcW w:w="5850" w:type="dxa"/>
            <w:shd w:val="clear" w:color="auto" w:fill="auto"/>
            <w:noWrap/>
            <w:vAlign w:val="center"/>
            <w:hideMark/>
          </w:tcPr>
          <w:p w14:paraId="3AA5C83A"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Follow a heart-healthy diet (e.g., DASH diet)</w:t>
            </w:r>
          </w:p>
        </w:tc>
        <w:tc>
          <w:tcPr>
            <w:tcW w:w="2132" w:type="dxa"/>
            <w:shd w:val="clear" w:color="auto" w:fill="auto"/>
            <w:noWrap/>
            <w:vAlign w:val="center"/>
            <w:hideMark/>
          </w:tcPr>
          <w:p w14:paraId="04FF22A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104 (36.5%)</w:t>
            </w:r>
          </w:p>
        </w:tc>
        <w:tc>
          <w:tcPr>
            <w:tcW w:w="2458" w:type="dxa"/>
            <w:shd w:val="clear" w:color="auto" w:fill="auto"/>
            <w:noWrap/>
            <w:vAlign w:val="center"/>
            <w:hideMark/>
          </w:tcPr>
          <w:p w14:paraId="4AE1226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181 (63.5%)</w:t>
            </w:r>
          </w:p>
        </w:tc>
      </w:tr>
      <w:tr w:rsidR="006D4422" w:rsidRPr="00FA32F2" w14:paraId="4C926F8F" w14:textId="77777777" w:rsidTr="006D4422">
        <w:trPr>
          <w:trHeight w:val="290"/>
        </w:trPr>
        <w:tc>
          <w:tcPr>
            <w:tcW w:w="5850" w:type="dxa"/>
            <w:shd w:val="clear" w:color="auto" w:fill="auto"/>
            <w:noWrap/>
            <w:vAlign w:val="center"/>
            <w:hideMark/>
          </w:tcPr>
          <w:p w14:paraId="654A4626"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Inform my doctor of any side effects from medications</w:t>
            </w:r>
          </w:p>
        </w:tc>
        <w:tc>
          <w:tcPr>
            <w:tcW w:w="2132" w:type="dxa"/>
            <w:shd w:val="clear" w:color="auto" w:fill="auto"/>
            <w:noWrap/>
            <w:vAlign w:val="center"/>
            <w:hideMark/>
          </w:tcPr>
          <w:p w14:paraId="6D720ED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131 (46.0%)</w:t>
            </w:r>
          </w:p>
        </w:tc>
        <w:tc>
          <w:tcPr>
            <w:tcW w:w="2458" w:type="dxa"/>
            <w:shd w:val="clear" w:color="auto" w:fill="auto"/>
            <w:noWrap/>
            <w:vAlign w:val="center"/>
            <w:hideMark/>
          </w:tcPr>
          <w:p w14:paraId="4BB07C03"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154 (54.0%)</w:t>
            </w:r>
          </w:p>
        </w:tc>
      </w:tr>
      <w:tr w:rsidR="006D4422" w:rsidRPr="00FA32F2" w14:paraId="3C14BC71" w14:textId="77777777" w:rsidTr="006D4422">
        <w:trPr>
          <w:trHeight w:val="290"/>
        </w:trPr>
        <w:tc>
          <w:tcPr>
            <w:tcW w:w="5850" w:type="dxa"/>
            <w:shd w:val="clear" w:color="auto" w:fill="auto"/>
            <w:noWrap/>
            <w:vAlign w:val="center"/>
            <w:hideMark/>
          </w:tcPr>
          <w:p w14:paraId="28CE8D1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Use reminders (e.g., alarms) to take medications</w:t>
            </w:r>
          </w:p>
        </w:tc>
        <w:tc>
          <w:tcPr>
            <w:tcW w:w="2132" w:type="dxa"/>
            <w:shd w:val="clear" w:color="auto" w:fill="auto"/>
            <w:noWrap/>
            <w:vAlign w:val="center"/>
            <w:hideMark/>
          </w:tcPr>
          <w:p w14:paraId="170700B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91 (31.9%)</w:t>
            </w:r>
          </w:p>
        </w:tc>
        <w:tc>
          <w:tcPr>
            <w:tcW w:w="2458" w:type="dxa"/>
            <w:shd w:val="clear" w:color="auto" w:fill="auto"/>
            <w:noWrap/>
            <w:vAlign w:val="center"/>
            <w:hideMark/>
          </w:tcPr>
          <w:p w14:paraId="02B3857D"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194 (68.1%)</w:t>
            </w:r>
          </w:p>
        </w:tc>
      </w:tr>
      <w:tr w:rsidR="006D4422" w:rsidRPr="00FA32F2" w14:paraId="49E3AC7C" w14:textId="77777777" w:rsidTr="006D4422">
        <w:trPr>
          <w:trHeight w:val="290"/>
        </w:trPr>
        <w:tc>
          <w:tcPr>
            <w:tcW w:w="5850" w:type="dxa"/>
            <w:shd w:val="clear" w:color="auto" w:fill="auto"/>
            <w:noWrap/>
            <w:vAlign w:val="center"/>
            <w:hideMark/>
          </w:tcPr>
          <w:p w14:paraId="028DFF18"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Prepare healthy meals at home regularly</w:t>
            </w:r>
          </w:p>
        </w:tc>
        <w:tc>
          <w:tcPr>
            <w:tcW w:w="2132" w:type="dxa"/>
            <w:shd w:val="clear" w:color="auto" w:fill="auto"/>
            <w:noWrap/>
            <w:vAlign w:val="center"/>
            <w:hideMark/>
          </w:tcPr>
          <w:p w14:paraId="1C7FDD2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147 (51.6%)</w:t>
            </w:r>
          </w:p>
        </w:tc>
        <w:tc>
          <w:tcPr>
            <w:tcW w:w="2458" w:type="dxa"/>
            <w:shd w:val="clear" w:color="auto" w:fill="auto"/>
            <w:noWrap/>
            <w:vAlign w:val="center"/>
            <w:hideMark/>
          </w:tcPr>
          <w:p w14:paraId="7053620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138 (48.4%)</w:t>
            </w:r>
          </w:p>
        </w:tc>
      </w:tr>
      <w:tr w:rsidR="006D4422" w:rsidRPr="00FA32F2" w14:paraId="1B49B564" w14:textId="77777777" w:rsidTr="006D4422">
        <w:trPr>
          <w:trHeight w:val="290"/>
        </w:trPr>
        <w:tc>
          <w:tcPr>
            <w:tcW w:w="5850" w:type="dxa"/>
            <w:shd w:val="clear" w:color="auto" w:fill="auto"/>
            <w:noWrap/>
            <w:vAlign w:val="center"/>
            <w:hideMark/>
          </w:tcPr>
          <w:p w14:paraId="3E5CEF15"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fried and processed foods</w:t>
            </w:r>
          </w:p>
        </w:tc>
        <w:tc>
          <w:tcPr>
            <w:tcW w:w="2132" w:type="dxa"/>
            <w:shd w:val="clear" w:color="auto" w:fill="auto"/>
            <w:noWrap/>
            <w:vAlign w:val="center"/>
            <w:hideMark/>
          </w:tcPr>
          <w:p w14:paraId="0E4CD0E6"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114 (40.0%)</w:t>
            </w:r>
          </w:p>
        </w:tc>
        <w:tc>
          <w:tcPr>
            <w:tcW w:w="2458" w:type="dxa"/>
            <w:shd w:val="clear" w:color="auto" w:fill="auto"/>
            <w:noWrap/>
            <w:vAlign w:val="center"/>
            <w:hideMark/>
          </w:tcPr>
          <w:p w14:paraId="33F6B9FC"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171 (60.0%)</w:t>
            </w:r>
          </w:p>
        </w:tc>
      </w:tr>
      <w:tr w:rsidR="006D4422" w:rsidRPr="00FA32F2" w14:paraId="5BFF1289" w14:textId="77777777" w:rsidTr="006D4422">
        <w:trPr>
          <w:trHeight w:val="290"/>
        </w:trPr>
        <w:tc>
          <w:tcPr>
            <w:tcW w:w="5850" w:type="dxa"/>
            <w:shd w:val="clear" w:color="auto" w:fill="auto"/>
            <w:noWrap/>
            <w:vAlign w:val="center"/>
            <w:hideMark/>
          </w:tcPr>
          <w:p w14:paraId="75C083A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Make lifestyle adjustments to control blood pressure</w:t>
            </w:r>
          </w:p>
        </w:tc>
        <w:tc>
          <w:tcPr>
            <w:tcW w:w="2132" w:type="dxa"/>
            <w:shd w:val="clear" w:color="auto" w:fill="auto"/>
            <w:noWrap/>
            <w:vAlign w:val="center"/>
            <w:hideMark/>
          </w:tcPr>
          <w:p w14:paraId="7588BFEA"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161 (56.5%)</w:t>
            </w:r>
          </w:p>
        </w:tc>
        <w:tc>
          <w:tcPr>
            <w:tcW w:w="2458" w:type="dxa"/>
            <w:shd w:val="clear" w:color="auto" w:fill="auto"/>
            <w:noWrap/>
            <w:vAlign w:val="center"/>
            <w:hideMark/>
          </w:tcPr>
          <w:p w14:paraId="1A37713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124 (43.5%)</w:t>
            </w:r>
          </w:p>
        </w:tc>
      </w:tr>
      <w:tr w:rsidR="006D4422" w:rsidRPr="00FA32F2" w14:paraId="4564961C" w14:textId="77777777" w:rsidTr="006D4422">
        <w:trPr>
          <w:trHeight w:val="290"/>
        </w:trPr>
        <w:tc>
          <w:tcPr>
            <w:tcW w:w="5850" w:type="dxa"/>
            <w:shd w:val="clear" w:color="auto" w:fill="auto"/>
            <w:noWrap/>
            <w:vAlign w:val="center"/>
            <w:hideMark/>
          </w:tcPr>
          <w:p w14:paraId="6376FD8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Follow healthcare provider’s advice</w:t>
            </w:r>
          </w:p>
        </w:tc>
        <w:tc>
          <w:tcPr>
            <w:tcW w:w="2132" w:type="dxa"/>
            <w:shd w:val="clear" w:color="auto" w:fill="auto"/>
            <w:noWrap/>
            <w:vAlign w:val="center"/>
            <w:hideMark/>
          </w:tcPr>
          <w:p w14:paraId="66E8926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217 (76.1%)</w:t>
            </w:r>
          </w:p>
        </w:tc>
        <w:tc>
          <w:tcPr>
            <w:tcW w:w="2458" w:type="dxa"/>
            <w:shd w:val="clear" w:color="auto" w:fill="auto"/>
            <w:noWrap/>
            <w:vAlign w:val="center"/>
            <w:hideMark/>
          </w:tcPr>
          <w:p w14:paraId="0346923B"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68 (23.9%)</w:t>
            </w:r>
          </w:p>
        </w:tc>
      </w:tr>
      <w:tr w:rsidR="006D4422" w:rsidRPr="00FA32F2" w14:paraId="517A1242" w14:textId="77777777" w:rsidTr="006D4422">
        <w:trPr>
          <w:trHeight w:val="290"/>
        </w:trPr>
        <w:tc>
          <w:tcPr>
            <w:tcW w:w="5850" w:type="dxa"/>
            <w:shd w:val="clear" w:color="auto" w:fill="auto"/>
            <w:noWrap/>
            <w:vAlign w:val="center"/>
            <w:hideMark/>
          </w:tcPr>
          <w:p w14:paraId="3EDF7E4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Track and record my blood pressure readings</w:t>
            </w:r>
          </w:p>
        </w:tc>
        <w:tc>
          <w:tcPr>
            <w:tcW w:w="2132" w:type="dxa"/>
            <w:shd w:val="clear" w:color="auto" w:fill="auto"/>
            <w:noWrap/>
            <w:vAlign w:val="center"/>
            <w:hideMark/>
          </w:tcPr>
          <w:p w14:paraId="1EFB321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87 (30.5%)</w:t>
            </w:r>
          </w:p>
        </w:tc>
        <w:tc>
          <w:tcPr>
            <w:tcW w:w="2458" w:type="dxa"/>
            <w:shd w:val="clear" w:color="auto" w:fill="auto"/>
            <w:noWrap/>
            <w:vAlign w:val="center"/>
            <w:hideMark/>
          </w:tcPr>
          <w:p w14:paraId="25BCA7B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198 (69.5%)</w:t>
            </w:r>
          </w:p>
        </w:tc>
      </w:tr>
    </w:tbl>
    <w:p w14:paraId="3A4503B4" w14:textId="77777777" w:rsidR="00BB6F27" w:rsidRPr="00FA32F2" w:rsidRDefault="00BB6F27" w:rsidP="00FA32F2">
      <w:pPr>
        <w:rPr>
          <w:rFonts w:ascii="Times New Roman" w:hAnsi="Times New Roman" w:cs="Times New Roman"/>
        </w:rPr>
      </w:pPr>
    </w:p>
    <w:p w14:paraId="7750D820" w14:textId="45CB03E0" w:rsidR="00DE697C" w:rsidRPr="00FA32F2" w:rsidRDefault="00DE697C" w:rsidP="00FA32F2">
      <w:pPr>
        <w:spacing w:after="0" w:line="240" w:lineRule="auto"/>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Overall Self-Management Status</w:t>
      </w:r>
    </w:p>
    <w:p w14:paraId="2AE043E5" w14:textId="6B9D02FD" w:rsidR="001B4143" w:rsidRPr="00FA32F2" w:rsidRDefault="001B4143"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Among the 285 respondents, 45.3% had good self-management practices, while 54.7% demonstrated poor self-management (Figure 1).</w:t>
      </w:r>
    </w:p>
    <w:p w14:paraId="7DC700F7" w14:textId="77777777" w:rsidR="00285D1C" w:rsidRPr="00FA32F2" w:rsidRDefault="00285D1C" w:rsidP="00FA32F2">
      <w:pPr>
        <w:rPr>
          <w:rFonts w:ascii="Times New Roman" w:hAnsi="Times New Roman" w:cs="Times New Roman"/>
        </w:rPr>
      </w:pPr>
    </w:p>
    <w:p w14:paraId="19807BBB" w14:textId="77777777" w:rsidR="00DE697C" w:rsidRPr="00FA32F2" w:rsidRDefault="00DE697C" w:rsidP="00FA32F2">
      <w:pPr>
        <w:rPr>
          <w:rFonts w:ascii="Times New Roman" w:hAnsi="Times New Roman" w:cs="Times New Roman"/>
        </w:rPr>
      </w:pPr>
    </w:p>
    <w:p w14:paraId="1340CE44" w14:textId="024250B8" w:rsidR="00285D1C" w:rsidRPr="00FA32F2" w:rsidRDefault="00285D1C" w:rsidP="00FA32F2">
      <w:pPr>
        <w:rPr>
          <w:rFonts w:ascii="Times New Roman" w:hAnsi="Times New Roman" w:cs="Times New Roman"/>
        </w:rPr>
      </w:pPr>
      <w:r w:rsidRPr="00FA32F2">
        <w:rPr>
          <w:rFonts w:ascii="Times New Roman" w:hAnsi="Times New Roman" w:cs="Times New Roman"/>
          <w:noProof/>
        </w:rPr>
        <w:lastRenderedPageBreak/>
        <w:drawing>
          <wp:inline distT="0" distB="0" distL="0" distR="0" wp14:anchorId="451F62FB" wp14:editId="3CE37C73">
            <wp:extent cx="5486400" cy="3200400"/>
            <wp:effectExtent l="0" t="0" r="0" b="0"/>
            <wp:docPr id="5439378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FE28C4" w14:textId="43C01E1F" w:rsidR="00DE697C" w:rsidRPr="00FA32F2" w:rsidRDefault="00DE697C" w:rsidP="00FA32F2">
      <w:pPr>
        <w:rPr>
          <w:rFonts w:ascii="Times New Roman" w:eastAsia="Times New Roman" w:hAnsi="Times New Roman" w:cs="Times New Roman"/>
          <w:color w:val="000000"/>
          <w:kern w:val="0"/>
          <w14:ligatures w14:val="none"/>
        </w:rPr>
      </w:pPr>
      <w:r w:rsidRPr="00FA32F2">
        <w:rPr>
          <w:rFonts w:ascii="Times New Roman" w:hAnsi="Times New Roman" w:cs="Times New Roman"/>
        </w:rPr>
        <w:t xml:space="preserve">Figure 1: </w:t>
      </w:r>
      <w:r w:rsidRPr="00FA32F2">
        <w:rPr>
          <w:rFonts w:ascii="Times New Roman" w:eastAsia="Times New Roman" w:hAnsi="Times New Roman" w:cs="Times New Roman"/>
          <w:color w:val="000000"/>
          <w:kern w:val="0"/>
          <w14:ligatures w14:val="none"/>
        </w:rPr>
        <w:t>Overall Self-Management Status</w:t>
      </w:r>
    </w:p>
    <w:p w14:paraId="2E7FA29B" w14:textId="054ECAF3" w:rsidR="00DE697C" w:rsidRPr="00FA32F2" w:rsidRDefault="006D525B" w:rsidP="00FA32F2">
      <w:pPr>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Factors Associated with Good Hypertension Self-Management</w:t>
      </w:r>
    </w:p>
    <w:p w14:paraId="54B5051C" w14:textId="0ADCFC4B" w:rsidR="006D525B" w:rsidRPr="00FA32F2" w:rsidRDefault="006D525B" w:rsidP="00FA32F2">
      <w:pPr>
        <w:rPr>
          <w:rFonts w:ascii="Times New Roman" w:hAnsi="Times New Roman" w:cs="Times New Roman"/>
        </w:rPr>
      </w:pPr>
      <w:r w:rsidRPr="00FA32F2">
        <w:rPr>
          <w:rFonts w:ascii="Times New Roman" w:hAnsi="Times New Roman" w:cs="Times New Roman"/>
        </w:rPr>
        <w:t xml:space="preserve">Significant factors associated with good hypertension self-management included </w:t>
      </w:r>
      <w:bookmarkStart w:id="10" w:name="_Hlk201354514"/>
      <w:r w:rsidRPr="00FA32F2">
        <w:rPr>
          <w:rFonts w:ascii="Times New Roman" w:hAnsi="Times New Roman" w:cs="Times New Roman"/>
        </w:rPr>
        <w:t xml:space="preserve">being female (AOR = 1.5, 95% CI: 1.01–2.22), having secondary (AOR = 1.9, 95% CI: 1.10–3.29) or tertiary education (AOR = 2.5, 95% CI: 1.45–4.30), possessing good knowledge of hypertension (AOR = 2.9, 95% CI: 1.90–4.40), having family support (AOR = 1.8, 95% CI: 1.20–2.70), and being a non-smoker (AOR = 0.4, 95% CI: 0.18–0.87) </w:t>
      </w:r>
      <w:bookmarkEnd w:id="10"/>
      <w:r w:rsidRPr="00FA32F2">
        <w:rPr>
          <w:rFonts w:ascii="Times New Roman" w:hAnsi="Times New Roman" w:cs="Times New Roman"/>
        </w:rPr>
        <w:t>(Table 4)</w:t>
      </w:r>
    </w:p>
    <w:tbl>
      <w:tblPr>
        <w:tblW w:w="8820" w:type="dxa"/>
        <w:tblInd w:w="108" w:type="dxa"/>
        <w:tblLook w:val="04A0" w:firstRow="1" w:lastRow="0" w:firstColumn="1" w:lastColumn="0" w:noHBand="0" w:noVBand="1"/>
      </w:tblPr>
      <w:tblGrid>
        <w:gridCol w:w="3150"/>
        <w:gridCol w:w="2160"/>
        <w:gridCol w:w="1440"/>
        <w:gridCol w:w="2070"/>
      </w:tblGrid>
      <w:tr w:rsidR="005D7890" w:rsidRPr="00FA32F2" w14:paraId="4BDB1521" w14:textId="77777777" w:rsidTr="006D525B">
        <w:trPr>
          <w:trHeight w:val="352"/>
        </w:trPr>
        <w:tc>
          <w:tcPr>
            <w:tcW w:w="8820" w:type="dxa"/>
            <w:gridSpan w:val="4"/>
            <w:tcBorders>
              <w:top w:val="nil"/>
              <w:left w:val="nil"/>
              <w:bottom w:val="single" w:sz="4" w:space="0" w:color="auto"/>
              <w:right w:val="nil"/>
            </w:tcBorders>
            <w:shd w:val="clear" w:color="auto" w:fill="auto"/>
            <w:noWrap/>
            <w:vAlign w:val="center"/>
            <w:hideMark/>
          </w:tcPr>
          <w:p w14:paraId="0C7A5351" w14:textId="77F96CD1" w:rsidR="005D7890" w:rsidRPr="00FA32F2" w:rsidRDefault="006D525B" w:rsidP="00FA32F2">
            <w:pPr>
              <w:spacing w:after="0" w:line="240" w:lineRule="auto"/>
              <w:rPr>
                <w:rFonts w:ascii="Times New Roman" w:eastAsia="Times New Roman" w:hAnsi="Times New Roman" w:cs="Times New Roman"/>
                <w:kern w:val="0"/>
                <w14:ligatures w14:val="none"/>
              </w:rPr>
            </w:pPr>
            <w:r w:rsidRPr="00FA32F2">
              <w:rPr>
                <w:rFonts w:ascii="Times New Roman" w:eastAsia="Times New Roman" w:hAnsi="Times New Roman" w:cs="Times New Roman"/>
                <w:color w:val="000000"/>
                <w:kern w:val="0"/>
                <w14:ligatures w14:val="none"/>
              </w:rPr>
              <w:t xml:space="preserve">Table 4: </w:t>
            </w:r>
            <w:r w:rsidR="005D7890" w:rsidRPr="00FA32F2">
              <w:rPr>
                <w:rFonts w:ascii="Times New Roman" w:eastAsia="Times New Roman" w:hAnsi="Times New Roman" w:cs="Times New Roman"/>
                <w:color w:val="000000"/>
                <w:kern w:val="0"/>
                <w14:ligatures w14:val="none"/>
              </w:rPr>
              <w:t>Factors Associated with Good Hypertension Self-Management</w:t>
            </w:r>
          </w:p>
        </w:tc>
      </w:tr>
      <w:tr w:rsidR="006D525B" w:rsidRPr="00FA32F2" w14:paraId="4F65ACEE" w14:textId="77777777" w:rsidTr="006D525B">
        <w:trPr>
          <w:trHeight w:val="292"/>
        </w:trPr>
        <w:tc>
          <w:tcPr>
            <w:tcW w:w="3150" w:type="dxa"/>
            <w:tcBorders>
              <w:top w:val="single" w:sz="4" w:space="0" w:color="auto"/>
              <w:left w:val="nil"/>
              <w:bottom w:val="single" w:sz="4" w:space="0" w:color="auto"/>
              <w:right w:val="nil"/>
            </w:tcBorders>
            <w:shd w:val="clear" w:color="auto" w:fill="auto"/>
            <w:noWrap/>
            <w:vAlign w:val="center"/>
            <w:hideMark/>
          </w:tcPr>
          <w:p w14:paraId="2EC67080"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160" w:type="dxa"/>
            <w:tcBorders>
              <w:top w:val="single" w:sz="4" w:space="0" w:color="auto"/>
              <w:left w:val="nil"/>
              <w:bottom w:val="single" w:sz="4" w:space="0" w:color="auto"/>
              <w:right w:val="nil"/>
            </w:tcBorders>
            <w:shd w:val="clear" w:color="auto" w:fill="auto"/>
            <w:noWrap/>
            <w:vAlign w:val="center"/>
            <w:hideMark/>
          </w:tcPr>
          <w:p w14:paraId="0DD6AC5B"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Categories</w:t>
            </w:r>
          </w:p>
        </w:tc>
        <w:tc>
          <w:tcPr>
            <w:tcW w:w="1440" w:type="dxa"/>
            <w:tcBorders>
              <w:top w:val="single" w:sz="4" w:space="0" w:color="auto"/>
              <w:left w:val="nil"/>
              <w:bottom w:val="single" w:sz="4" w:space="0" w:color="auto"/>
              <w:right w:val="nil"/>
            </w:tcBorders>
            <w:shd w:val="clear" w:color="auto" w:fill="auto"/>
            <w:noWrap/>
            <w:vAlign w:val="center"/>
            <w:hideMark/>
          </w:tcPr>
          <w:p w14:paraId="7F9EC7F7"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AOR</w:t>
            </w:r>
          </w:p>
        </w:tc>
        <w:tc>
          <w:tcPr>
            <w:tcW w:w="2070" w:type="dxa"/>
            <w:tcBorders>
              <w:top w:val="single" w:sz="4" w:space="0" w:color="auto"/>
              <w:left w:val="nil"/>
              <w:bottom w:val="single" w:sz="4" w:space="0" w:color="auto"/>
              <w:right w:val="nil"/>
            </w:tcBorders>
            <w:shd w:val="clear" w:color="auto" w:fill="auto"/>
            <w:noWrap/>
            <w:vAlign w:val="center"/>
            <w:hideMark/>
          </w:tcPr>
          <w:p w14:paraId="096A55AE"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 CI</w:t>
            </w:r>
          </w:p>
        </w:tc>
      </w:tr>
      <w:tr w:rsidR="006D525B" w:rsidRPr="00FA32F2" w14:paraId="7B397E22" w14:textId="77777777" w:rsidTr="006D525B">
        <w:trPr>
          <w:trHeight w:val="292"/>
        </w:trPr>
        <w:tc>
          <w:tcPr>
            <w:tcW w:w="3150" w:type="dxa"/>
            <w:tcBorders>
              <w:top w:val="single" w:sz="4" w:space="0" w:color="auto"/>
              <w:left w:val="nil"/>
              <w:bottom w:val="nil"/>
              <w:right w:val="nil"/>
            </w:tcBorders>
            <w:shd w:val="clear" w:color="auto" w:fill="auto"/>
            <w:noWrap/>
            <w:vAlign w:val="center"/>
            <w:hideMark/>
          </w:tcPr>
          <w:p w14:paraId="0AA8138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Age (continuous)</w:t>
            </w:r>
          </w:p>
        </w:tc>
        <w:tc>
          <w:tcPr>
            <w:tcW w:w="2160" w:type="dxa"/>
            <w:tcBorders>
              <w:top w:val="single" w:sz="4" w:space="0" w:color="auto"/>
              <w:left w:val="nil"/>
              <w:bottom w:val="nil"/>
              <w:right w:val="nil"/>
            </w:tcBorders>
            <w:shd w:val="clear" w:color="auto" w:fill="auto"/>
            <w:noWrap/>
            <w:vAlign w:val="center"/>
            <w:hideMark/>
          </w:tcPr>
          <w:p w14:paraId="6D031A68"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 year increase</w:t>
            </w:r>
          </w:p>
        </w:tc>
        <w:tc>
          <w:tcPr>
            <w:tcW w:w="1440" w:type="dxa"/>
            <w:tcBorders>
              <w:top w:val="single" w:sz="4" w:space="0" w:color="auto"/>
              <w:left w:val="nil"/>
              <w:bottom w:val="nil"/>
              <w:right w:val="nil"/>
            </w:tcBorders>
            <w:shd w:val="clear" w:color="auto" w:fill="auto"/>
            <w:noWrap/>
            <w:vAlign w:val="center"/>
            <w:hideMark/>
          </w:tcPr>
          <w:p w14:paraId="2B18F03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1.02</w:t>
            </w:r>
          </w:p>
        </w:tc>
        <w:tc>
          <w:tcPr>
            <w:tcW w:w="2070" w:type="dxa"/>
            <w:tcBorders>
              <w:top w:val="single" w:sz="4" w:space="0" w:color="auto"/>
              <w:left w:val="nil"/>
              <w:bottom w:val="nil"/>
              <w:right w:val="nil"/>
            </w:tcBorders>
            <w:shd w:val="clear" w:color="auto" w:fill="auto"/>
            <w:noWrap/>
            <w:vAlign w:val="center"/>
            <w:hideMark/>
          </w:tcPr>
          <w:p w14:paraId="76C4E95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1.00 – 1.04</w:t>
            </w:r>
          </w:p>
        </w:tc>
      </w:tr>
      <w:tr w:rsidR="006D525B" w:rsidRPr="00FA32F2" w14:paraId="0AC2F7B5" w14:textId="77777777" w:rsidTr="006D525B">
        <w:trPr>
          <w:trHeight w:val="292"/>
        </w:trPr>
        <w:tc>
          <w:tcPr>
            <w:tcW w:w="3150" w:type="dxa"/>
            <w:tcBorders>
              <w:top w:val="nil"/>
              <w:left w:val="nil"/>
              <w:bottom w:val="nil"/>
              <w:right w:val="nil"/>
            </w:tcBorders>
            <w:shd w:val="clear" w:color="auto" w:fill="auto"/>
            <w:noWrap/>
            <w:vAlign w:val="center"/>
            <w:hideMark/>
          </w:tcPr>
          <w:p w14:paraId="67A8C72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Sex</w:t>
            </w:r>
          </w:p>
        </w:tc>
        <w:tc>
          <w:tcPr>
            <w:tcW w:w="2160" w:type="dxa"/>
            <w:tcBorders>
              <w:top w:val="nil"/>
              <w:left w:val="nil"/>
              <w:bottom w:val="nil"/>
              <w:right w:val="nil"/>
            </w:tcBorders>
            <w:shd w:val="clear" w:color="auto" w:fill="auto"/>
            <w:noWrap/>
            <w:vAlign w:val="center"/>
            <w:hideMark/>
          </w:tcPr>
          <w:p w14:paraId="50EDE7A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Male</w:t>
            </w:r>
          </w:p>
        </w:tc>
        <w:tc>
          <w:tcPr>
            <w:tcW w:w="1440" w:type="dxa"/>
            <w:tcBorders>
              <w:top w:val="nil"/>
              <w:left w:val="nil"/>
              <w:bottom w:val="nil"/>
              <w:right w:val="nil"/>
            </w:tcBorders>
            <w:shd w:val="clear" w:color="auto" w:fill="auto"/>
            <w:noWrap/>
            <w:vAlign w:val="center"/>
            <w:hideMark/>
          </w:tcPr>
          <w:p w14:paraId="51DDF25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bottom"/>
            <w:hideMark/>
          </w:tcPr>
          <w:p w14:paraId="4AA72F00"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6959D569" w14:textId="77777777" w:rsidTr="006D525B">
        <w:trPr>
          <w:trHeight w:val="292"/>
        </w:trPr>
        <w:tc>
          <w:tcPr>
            <w:tcW w:w="3150" w:type="dxa"/>
            <w:tcBorders>
              <w:top w:val="nil"/>
              <w:left w:val="nil"/>
              <w:bottom w:val="nil"/>
              <w:right w:val="nil"/>
            </w:tcBorders>
            <w:shd w:val="clear" w:color="auto" w:fill="auto"/>
            <w:noWrap/>
            <w:vAlign w:val="center"/>
            <w:hideMark/>
          </w:tcPr>
          <w:p w14:paraId="74A59306"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0F0636D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Female</w:t>
            </w:r>
          </w:p>
        </w:tc>
        <w:tc>
          <w:tcPr>
            <w:tcW w:w="1440" w:type="dxa"/>
            <w:tcBorders>
              <w:top w:val="nil"/>
              <w:left w:val="nil"/>
              <w:bottom w:val="nil"/>
              <w:right w:val="nil"/>
            </w:tcBorders>
            <w:shd w:val="clear" w:color="auto" w:fill="auto"/>
            <w:noWrap/>
            <w:vAlign w:val="center"/>
            <w:hideMark/>
          </w:tcPr>
          <w:p w14:paraId="7C72415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w:t>
            </w:r>
          </w:p>
        </w:tc>
        <w:tc>
          <w:tcPr>
            <w:tcW w:w="2070" w:type="dxa"/>
            <w:tcBorders>
              <w:top w:val="nil"/>
              <w:left w:val="nil"/>
              <w:bottom w:val="nil"/>
              <w:right w:val="nil"/>
            </w:tcBorders>
            <w:shd w:val="clear" w:color="auto" w:fill="auto"/>
            <w:noWrap/>
            <w:vAlign w:val="center"/>
            <w:hideMark/>
          </w:tcPr>
          <w:p w14:paraId="4641E77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1.01 – 2.22</w:t>
            </w:r>
          </w:p>
        </w:tc>
      </w:tr>
      <w:tr w:rsidR="006D525B" w:rsidRPr="00FA32F2" w14:paraId="790FCDA4" w14:textId="77777777" w:rsidTr="006D525B">
        <w:trPr>
          <w:trHeight w:val="292"/>
        </w:trPr>
        <w:tc>
          <w:tcPr>
            <w:tcW w:w="3150" w:type="dxa"/>
            <w:tcBorders>
              <w:top w:val="nil"/>
              <w:left w:val="nil"/>
              <w:bottom w:val="nil"/>
              <w:right w:val="nil"/>
            </w:tcBorders>
            <w:shd w:val="clear" w:color="auto" w:fill="auto"/>
            <w:noWrap/>
            <w:vAlign w:val="center"/>
            <w:hideMark/>
          </w:tcPr>
          <w:p w14:paraId="365D0FC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Education level</w:t>
            </w:r>
          </w:p>
        </w:tc>
        <w:tc>
          <w:tcPr>
            <w:tcW w:w="2160" w:type="dxa"/>
            <w:tcBorders>
              <w:top w:val="nil"/>
              <w:left w:val="nil"/>
              <w:bottom w:val="nil"/>
              <w:right w:val="nil"/>
            </w:tcBorders>
            <w:shd w:val="clear" w:color="auto" w:fill="auto"/>
            <w:noWrap/>
            <w:vAlign w:val="center"/>
            <w:hideMark/>
          </w:tcPr>
          <w:p w14:paraId="2B33686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 formal/Primary</w:t>
            </w:r>
          </w:p>
        </w:tc>
        <w:tc>
          <w:tcPr>
            <w:tcW w:w="1440" w:type="dxa"/>
            <w:tcBorders>
              <w:top w:val="nil"/>
              <w:left w:val="nil"/>
              <w:bottom w:val="nil"/>
              <w:right w:val="nil"/>
            </w:tcBorders>
            <w:shd w:val="clear" w:color="auto" w:fill="auto"/>
            <w:noWrap/>
            <w:vAlign w:val="center"/>
            <w:hideMark/>
          </w:tcPr>
          <w:p w14:paraId="6E396E8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2C52A1A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C733C48" w14:textId="77777777" w:rsidTr="006D525B">
        <w:trPr>
          <w:trHeight w:val="292"/>
        </w:trPr>
        <w:tc>
          <w:tcPr>
            <w:tcW w:w="3150" w:type="dxa"/>
            <w:tcBorders>
              <w:top w:val="nil"/>
              <w:left w:val="nil"/>
              <w:bottom w:val="nil"/>
              <w:right w:val="nil"/>
            </w:tcBorders>
            <w:shd w:val="clear" w:color="auto" w:fill="auto"/>
            <w:noWrap/>
            <w:vAlign w:val="center"/>
            <w:hideMark/>
          </w:tcPr>
          <w:p w14:paraId="6E510E34"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69AC40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Secondary</w:t>
            </w:r>
          </w:p>
        </w:tc>
        <w:tc>
          <w:tcPr>
            <w:tcW w:w="1440" w:type="dxa"/>
            <w:tcBorders>
              <w:top w:val="nil"/>
              <w:left w:val="nil"/>
              <w:bottom w:val="nil"/>
              <w:right w:val="nil"/>
            </w:tcBorders>
            <w:shd w:val="clear" w:color="auto" w:fill="auto"/>
            <w:noWrap/>
            <w:vAlign w:val="center"/>
            <w:hideMark/>
          </w:tcPr>
          <w:p w14:paraId="6A5ED9A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w:t>
            </w:r>
          </w:p>
        </w:tc>
        <w:tc>
          <w:tcPr>
            <w:tcW w:w="2070" w:type="dxa"/>
            <w:tcBorders>
              <w:top w:val="nil"/>
              <w:left w:val="nil"/>
              <w:bottom w:val="nil"/>
              <w:right w:val="nil"/>
            </w:tcBorders>
            <w:shd w:val="clear" w:color="auto" w:fill="auto"/>
            <w:noWrap/>
            <w:vAlign w:val="center"/>
            <w:hideMark/>
          </w:tcPr>
          <w:p w14:paraId="53D0630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1.10 – 3.29</w:t>
            </w:r>
          </w:p>
        </w:tc>
      </w:tr>
      <w:tr w:rsidR="006D525B" w:rsidRPr="00FA32F2" w14:paraId="694061C6" w14:textId="77777777" w:rsidTr="006D525B">
        <w:trPr>
          <w:trHeight w:val="292"/>
        </w:trPr>
        <w:tc>
          <w:tcPr>
            <w:tcW w:w="3150" w:type="dxa"/>
            <w:tcBorders>
              <w:top w:val="nil"/>
              <w:left w:val="nil"/>
              <w:bottom w:val="nil"/>
              <w:right w:val="nil"/>
            </w:tcBorders>
            <w:shd w:val="clear" w:color="auto" w:fill="auto"/>
            <w:noWrap/>
            <w:vAlign w:val="center"/>
            <w:hideMark/>
          </w:tcPr>
          <w:p w14:paraId="6BDCA05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c>
          <w:tcPr>
            <w:tcW w:w="2160" w:type="dxa"/>
            <w:tcBorders>
              <w:top w:val="nil"/>
              <w:left w:val="nil"/>
              <w:bottom w:val="nil"/>
              <w:right w:val="nil"/>
            </w:tcBorders>
            <w:shd w:val="clear" w:color="auto" w:fill="auto"/>
            <w:noWrap/>
            <w:vAlign w:val="center"/>
            <w:hideMark/>
          </w:tcPr>
          <w:p w14:paraId="09FF67E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Tertiary</w:t>
            </w:r>
          </w:p>
        </w:tc>
        <w:tc>
          <w:tcPr>
            <w:tcW w:w="1440" w:type="dxa"/>
            <w:tcBorders>
              <w:top w:val="nil"/>
              <w:left w:val="nil"/>
              <w:bottom w:val="nil"/>
              <w:right w:val="nil"/>
            </w:tcBorders>
            <w:shd w:val="clear" w:color="auto" w:fill="auto"/>
            <w:noWrap/>
            <w:vAlign w:val="center"/>
            <w:hideMark/>
          </w:tcPr>
          <w:p w14:paraId="26418AA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2.5</w:t>
            </w:r>
          </w:p>
        </w:tc>
        <w:tc>
          <w:tcPr>
            <w:tcW w:w="2070" w:type="dxa"/>
            <w:tcBorders>
              <w:top w:val="nil"/>
              <w:left w:val="nil"/>
              <w:bottom w:val="nil"/>
              <w:right w:val="nil"/>
            </w:tcBorders>
            <w:shd w:val="clear" w:color="auto" w:fill="auto"/>
            <w:noWrap/>
            <w:vAlign w:val="center"/>
            <w:hideMark/>
          </w:tcPr>
          <w:p w14:paraId="3B70963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1.45 – 4.30</w:t>
            </w:r>
          </w:p>
        </w:tc>
      </w:tr>
      <w:tr w:rsidR="006D525B" w:rsidRPr="00FA32F2" w14:paraId="754F47D3" w14:textId="77777777" w:rsidTr="006D525B">
        <w:trPr>
          <w:trHeight w:val="292"/>
        </w:trPr>
        <w:tc>
          <w:tcPr>
            <w:tcW w:w="3150" w:type="dxa"/>
            <w:tcBorders>
              <w:top w:val="nil"/>
              <w:left w:val="nil"/>
              <w:bottom w:val="nil"/>
              <w:right w:val="nil"/>
            </w:tcBorders>
            <w:shd w:val="clear" w:color="auto" w:fill="auto"/>
            <w:noWrap/>
            <w:vAlign w:val="center"/>
            <w:hideMark/>
          </w:tcPr>
          <w:p w14:paraId="65F3CAE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Employment status</w:t>
            </w:r>
          </w:p>
        </w:tc>
        <w:tc>
          <w:tcPr>
            <w:tcW w:w="2160" w:type="dxa"/>
            <w:tcBorders>
              <w:top w:val="nil"/>
              <w:left w:val="nil"/>
              <w:bottom w:val="nil"/>
              <w:right w:val="nil"/>
            </w:tcBorders>
            <w:shd w:val="clear" w:color="auto" w:fill="auto"/>
            <w:noWrap/>
            <w:vAlign w:val="center"/>
            <w:hideMark/>
          </w:tcPr>
          <w:p w14:paraId="54BD232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Unemployed</w:t>
            </w:r>
          </w:p>
        </w:tc>
        <w:tc>
          <w:tcPr>
            <w:tcW w:w="1440" w:type="dxa"/>
            <w:tcBorders>
              <w:top w:val="nil"/>
              <w:left w:val="nil"/>
              <w:bottom w:val="nil"/>
              <w:right w:val="nil"/>
            </w:tcBorders>
            <w:shd w:val="clear" w:color="auto" w:fill="auto"/>
            <w:noWrap/>
            <w:vAlign w:val="center"/>
            <w:hideMark/>
          </w:tcPr>
          <w:p w14:paraId="76FA00A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FF7178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06304B0F" w14:textId="77777777" w:rsidTr="006D525B">
        <w:trPr>
          <w:trHeight w:val="292"/>
        </w:trPr>
        <w:tc>
          <w:tcPr>
            <w:tcW w:w="3150" w:type="dxa"/>
            <w:tcBorders>
              <w:top w:val="nil"/>
              <w:left w:val="nil"/>
              <w:bottom w:val="nil"/>
              <w:right w:val="nil"/>
            </w:tcBorders>
            <w:shd w:val="clear" w:color="auto" w:fill="auto"/>
            <w:noWrap/>
            <w:vAlign w:val="center"/>
            <w:hideMark/>
          </w:tcPr>
          <w:p w14:paraId="7D834E21"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1593828"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Employed</w:t>
            </w:r>
          </w:p>
        </w:tc>
        <w:tc>
          <w:tcPr>
            <w:tcW w:w="1440" w:type="dxa"/>
            <w:tcBorders>
              <w:top w:val="nil"/>
              <w:left w:val="nil"/>
              <w:bottom w:val="nil"/>
              <w:right w:val="nil"/>
            </w:tcBorders>
            <w:shd w:val="clear" w:color="auto" w:fill="auto"/>
            <w:noWrap/>
            <w:vAlign w:val="center"/>
            <w:hideMark/>
          </w:tcPr>
          <w:p w14:paraId="46CC2D3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w:t>
            </w:r>
          </w:p>
        </w:tc>
        <w:tc>
          <w:tcPr>
            <w:tcW w:w="2070" w:type="dxa"/>
            <w:tcBorders>
              <w:top w:val="nil"/>
              <w:left w:val="nil"/>
              <w:bottom w:val="nil"/>
              <w:right w:val="nil"/>
            </w:tcBorders>
            <w:shd w:val="clear" w:color="auto" w:fill="auto"/>
            <w:noWrap/>
            <w:vAlign w:val="center"/>
            <w:hideMark/>
          </w:tcPr>
          <w:p w14:paraId="21EFC39E"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0.87 – 1.94</w:t>
            </w:r>
          </w:p>
        </w:tc>
      </w:tr>
      <w:tr w:rsidR="006D525B" w:rsidRPr="00FA32F2" w14:paraId="418B1781" w14:textId="77777777" w:rsidTr="006D525B">
        <w:trPr>
          <w:trHeight w:val="292"/>
        </w:trPr>
        <w:tc>
          <w:tcPr>
            <w:tcW w:w="3150" w:type="dxa"/>
            <w:tcBorders>
              <w:top w:val="nil"/>
              <w:left w:val="nil"/>
              <w:bottom w:val="nil"/>
              <w:right w:val="nil"/>
            </w:tcBorders>
            <w:shd w:val="clear" w:color="auto" w:fill="auto"/>
            <w:noWrap/>
            <w:vAlign w:val="center"/>
            <w:hideMark/>
          </w:tcPr>
          <w:p w14:paraId="05BC3CF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Duration of hypertension</w:t>
            </w:r>
          </w:p>
        </w:tc>
        <w:tc>
          <w:tcPr>
            <w:tcW w:w="2160" w:type="dxa"/>
            <w:tcBorders>
              <w:top w:val="nil"/>
              <w:left w:val="nil"/>
              <w:bottom w:val="nil"/>
              <w:right w:val="nil"/>
            </w:tcBorders>
            <w:shd w:val="clear" w:color="auto" w:fill="auto"/>
            <w:noWrap/>
            <w:vAlign w:val="center"/>
            <w:hideMark/>
          </w:tcPr>
          <w:p w14:paraId="217AAFC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 year increase</w:t>
            </w:r>
          </w:p>
        </w:tc>
        <w:tc>
          <w:tcPr>
            <w:tcW w:w="1440" w:type="dxa"/>
            <w:tcBorders>
              <w:top w:val="nil"/>
              <w:left w:val="nil"/>
              <w:bottom w:val="nil"/>
              <w:right w:val="nil"/>
            </w:tcBorders>
            <w:shd w:val="clear" w:color="auto" w:fill="auto"/>
            <w:noWrap/>
            <w:vAlign w:val="center"/>
            <w:hideMark/>
          </w:tcPr>
          <w:p w14:paraId="7AB586E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0.98</w:t>
            </w:r>
          </w:p>
        </w:tc>
        <w:tc>
          <w:tcPr>
            <w:tcW w:w="2070" w:type="dxa"/>
            <w:tcBorders>
              <w:top w:val="nil"/>
              <w:left w:val="nil"/>
              <w:bottom w:val="nil"/>
              <w:right w:val="nil"/>
            </w:tcBorders>
            <w:shd w:val="clear" w:color="auto" w:fill="auto"/>
            <w:noWrap/>
            <w:vAlign w:val="center"/>
            <w:hideMark/>
          </w:tcPr>
          <w:p w14:paraId="21046B0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0.95 – 1.02</w:t>
            </w:r>
          </w:p>
        </w:tc>
      </w:tr>
      <w:tr w:rsidR="006D525B" w:rsidRPr="00FA32F2" w14:paraId="74331A43" w14:textId="77777777" w:rsidTr="006D525B">
        <w:trPr>
          <w:trHeight w:val="292"/>
        </w:trPr>
        <w:tc>
          <w:tcPr>
            <w:tcW w:w="3150" w:type="dxa"/>
            <w:tcBorders>
              <w:top w:val="nil"/>
              <w:left w:val="nil"/>
              <w:bottom w:val="nil"/>
              <w:right w:val="nil"/>
            </w:tcBorders>
            <w:shd w:val="clear" w:color="auto" w:fill="auto"/>
            <w:noWrap/>
            <w:vAlign w:val="center"/>
            <w:hideMark/>
          </w:tcPr>
          <w:p w14:paraId="1011848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Comorbidities</w:t>
            </w:r>
          </w:p>
        </w:tc>
        <w:tc>
          <w:tcPr>
            <w:tcW w:w="2160" w:type="dxa"/>
            <w:tcBorders>
              <w:top w:val="nil"/>
              <w:left w:val="nil"/>
              <w:bottom w:val="nil"/>
              <w:right w:val="nil"/>
            </w:tcBorders>
            <w:shd w:val="clear" w:color="auto" w:fill="auto"/>
            <w:noWrap/>
            <w:vAlign w:val="center"/>
            <w:hideMark/>
          </w:tcPr>
          <w:p w14:paraId="0B1638F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6E9504BE"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5E3EE1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5AEE3813" w14:textId="77777777" w:rsidTr="006D525B">
        <w:trPr>
          <w:trHeight w:val="292"/>
        </w:trPr>
        <w:tc>
          <w:tcPr>
            <w:tcW w:w="3150" w:type="dxa"/>
            <w:tcBorders>
              <w:top w:val="nil"/>
              <w:left w:val="nil"/>
              <w:bottom w:val="nil"/>
              <w:right w:val="nil"/>
            </w:tcBorders>
            <w:shd w:val="clear" w:color="auto" w:fill="auto"/>
            <w:noWrap/>
            <w:vAlign w:val="center"/>
            <w:hideMark/>
          </w:tcPr>
          <w:p w14:paraId="678377F8"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99E5A3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nil"/>
              <w:right w:val="nil"/>
            </w:tcBorders>
            <w:shd w:val="clear" w:color="auto" w:fill="auto"/>
            <w:noWrap/>
            <w:vAlign w:val="center"/>
            <w:hideMark/>
          </w:tcPr>
          <w:p w14:paraId="0AF7796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0.7</w:t>
            </w:r>
          </w:p>
        </w:tc>
        <w:tc>
          <w:tcPr>
            <w:tcW w:w="2070" w:type="dxa"/>
            <w:tcBorders>
              <w:top w:val="nil"/>
              <w:left w:val="nil"/>
              <w:bottom w:val="nil"/>
              <w:right w:val="nil"/>
            </w:tcBorders>
            <w:shd w:val="clear" w:color="auto" w:fill="auto"/>
            <w:noWrap/>
            <w:vAlign w:val="center"/>
            <w:hideMark/>
          </w:tcPr>
          <w:p w14:paraId="52F9F9B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0.45 – 1.08</w:t>
            </w:r>
          </w:p>
        </w:tc>
      </w:tr>
      <w:tr w:rsidR="006D525B" w:rsidRPr="00FA32F2" w14:paraId="026492EE" w14:textId="77777777" w:rsidTr="006D525B">
        <w:trPr>
          <w:trHeight w:val="292"/>
        </w:trPr>
        <w:tc>
          <w:tcPr>
            <w:tcW w:w="3150" w:type="dxa"/>
            <w:tcBorders>
              <w:top w:val="nil"/>
              <w:left w:val="nil"/>
              <w:bottom w:val="nil"/>
              <w:right w:val="nil"/>
            </w:tcBorders>
            <w:shd w:val="clear" w:color="auto" w:fill="auto"/>
            <w:noWrap/>
            <w:vAlign w:val="center"/>
            <w:hideMark/>
          </w:tcPr>
          <w:p w14:paraId="7FEA132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Hypertension knowledge</w:t>
            </w:r>
          </w:p>
        </w:tc>
        <w:tc>
          <w:tcPr>
            <w:tcW w:w="2160" w:type="dxa"/>
            <w:tcBorders>
              <w:top w:val="nil"/>
              <w:left w:val="nil"/>
              <w:bottom w:val="nil"/>
              <w:right w:val="nil"/>
            </w:tcBorders>
            <w:shd w:val="clear" w:color="auto" w:fill="auto"/>
            <w:noWrap/>
            <w:vAlign w:val="center"/>
            <w:hideMark/>
          </w:tcPr>
          <w:p w14:paraId="51ECDE3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Poor</w:t>
            </w:r>
          </w:p>
        </w:tc>
        <w:tc>
          <w:tcPr>
            <w:tcW w:w="1440" w:type="dxa"/>
            <w:tcBorders>
              <w:top w:val="nil"/>
              <w:left w:val="nil"/>
              <w:bottom w:val="nil"/>
              <w:right w:val="nil"/>
            </w:tcBorders>
            <w:shd w:val="clear" w:color="auto" w:fill="auto"/>
            <w:noWrap/>
            <w:vAlign w:val="center"/>
            <w:hideMark/>
          </w:tcPr>
          <w:p w14:paraId="071595F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226B7C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12A2EF9" w14:textId="77777777" w:rsidTr="006D525B">
        <w:trPr>
          <w:trHeight w:val="292"/>
        </w:trPr>
        <w:tc>
          <w:tcPr>
            <w:tcW w:w="3150" w:type="dxa"/>
            <w:tcBorders>
              <w:top w:val="nil"/>
              <w:left w:val="nil"/>
              <w:bottom w:val="nil"/>
              <w:right w:val="nil"/>
            </w:tcBorders>
            <w:shd w:val="clear" w:color="auto" w:fill="auto"/>
            <w:noWrap/>
            <w:vAlign w:val="center"/>
            <w:hideMark/>
          </w:tcPr>
          <w:p w14:paraId="676554D4"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57434D7"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Good</w:t>
            </w:r>
          </w:p>
        </w:tc>
        <w:tc>
          <w:tcPr>
            <w:tcW w:w="1440" w:type="dxa"/>
            <w:tcBorders>
              <w:top w:val="nil"/>
              <w:left w:val="nil"/>
              <w:bottom w:val="nil"/>
              <w:right w:val="nil"/>
            </w:tcBorders>
            <w:shd w:val="clear" w:color="auto" w:fill="auto"/>
            <w:noWrap/>
            <w:vAlign w:val="center"/>
            <w:hideMark/>
          </w:tcPr>
          <w:p w14:paraId="461BF53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w:t>
            </w:r>
          </w:p>
        </w:tc>
        <w:tc>
          <w:tcPr>
            <w:tcW w:w="2070" w:type="dxa"/>
            <w:tcBorders>
              <w:top w:val="nil"/>
              <w:left w:val="nil"/>
              <w:bottom w:val="nil"/>
              <w:right w:val="nil"/>
            </w:tcBorders>
            <w:shd w:val="clear" w:color="auto" w:fill="auto"/>
            <w:noWrap/>
            <w:vAlign w:val="center"/>
            <w:hideMark/>
          </w:tcPr>
          <w:p w14:paraId="399A57E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1.90 – 4.40</w:t>
            </w:r>
          </w:p>
        </w:tc>
      </w:tr>
      <w:tr w:rsidR="006D525B" w:rsidRPr="00FA32F2" w14:paraId="7C635152" w14:textId="77777777" w:rsidTr="006D525B">
        <w:trPr>
          <w:trHeight w:val="292"/>
        </w:trPr>
        <w:tc>
          <w:tcPr>
            <w:tcW w:w="3150" w:type="dxa"/>
            <w:tcBorders>
              <w:top w:val="nil"/>
              <w:left w:val="nil"/>
              <w:bottom w:val="nil"/>
              <w:right w:val="nil"/>
            </w:tcBorders>
            <w:shd w:val="clear" w:color="auto" w:fill="auto"/>
            <w:noWrap/>
            <w:vAlign w:val="center"/>
            <w:hideMark/>
          </w:tcPr>
          <w:p w14:paraId="7A58F74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Alcohol use</w:t>
            </w:r>
          </w:p>
        </w:tc>
        <w:tc>
          <w:tcPr>
            <w:tcW w:w="2160" w:type="dxa"/>
            <w:tcBorders>
              <w:top w:val="nil"/>
              <w:left w:val="nil"/>
              <w:bottom w:val="nil"/>
              <w:right w:val="nil"/>
            </w:tcBorders>
            <w:shd w:val="clear" w:color="auto" w:fill="auto"/>
            <w:noWrap/>
            <w:vAlign w:val="center"/>
            <w:hideMark/>
          </w:tcPr>
          <w:p w14:paraId="42140DB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165F80C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8DCDEF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554A841" w14:textId="77777777" w:rsidTr="006D525B">
        <w:trPr>
          <w:trHeight w:val="292"/>
        </w:trPr>
        <w:tc>
          <w:tcPr>
            <w:tcW w:w="3150" w:type="dxa"/>
            <w:tcBorders>
              <w:top w:val="nil"/>
              <w:left w:val="nil"/>
              <w:bottom w:val="nil"/>
              <w:right w:val="nil"/>
            </w:tcBorders>
            <w:shd w:val="clear" w:color="auto" w:fill="auto"/>
            <w:noWrap/>
            <w:vAlign w:val="center"/>
            <w:hideMark/>
          </w:tcPr>
          <w:p w14:paraId="0933A696"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1D8A7C4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nil"/>
              <w:right w:val="nil"/>
            </w:tcBorders>
            <w:shd w:val="clear" w:color="auto" w:fill="auto"/>
            <w:noWrap/>
            <w:vAlign w:val="center"/>
            <w:hideMark/>
          </w:tcPr>
          <w:p w14:paraId="64CE2A3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0.65</w:t>
            </w:r>
          </w:p>
        </w:tc>
        <w:tc>
          <w:tcPr>
            <w:tcW w:w="2070" w:type="dxa"/>
            <w:tcBorders>
              <w:top w:val="nil"/>
              <w:left w:val="nil"/>
              <w:bottom w:val="nil"/>
              <w:right w:val="nil"/>
            </w:tcBorders>
            <w:shd w:val="clear" w:color="auto" w:fill="auto"/>
            <w:noWrap/>
            <w:vAlign w:val="center"/>
            <w:hideMark/>
          </w:tcPr>
          <w:p w14:paraId="5437A228"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0.41 – 1.02</w:t>
            </w:r>
          </w:p>
        </w:tc>
      </w:tr>
      <w:tr w:rsidR="006D525B" w:rsidRPr="00FA32F2" w14:paraId="60B3E2C9" w14:textId="77777777" w:rsidTr="006D525B">
        <w:trPr>
          <w:trHeight w:val="292"/>
        </w:trPr>
        <w:tc>
          <w:tcPr>
            <w:tcW w:w="3150" w:type="dxa"/>
            <w:tcBorders>
              <w:top w:val="nil"/>
              <w:left w:val="nil"/>
              <w:bottom w:val="nil"/>
              <w:right w:val="nil"/>
            </w:tcBorders>
            <w:shd w:val="clear" w:color="auto" w:fill="auto"/>
            <w:noWrap/>
            <w:vAlign w:val="center"/>
            <w:hideMark/>
          </w:tcPr>
          <w:p w14:paraId="4BC7A9A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Smoking status</w:t>
            </w:r>
          </w:p>
        </w:tc>
        <w:tc>
          <w:tcPr>
            <w:tcW w:w="2160" w:type="dxa"/>
            <w:tcBorders>
              <w:top w:val="nil"/>
              <w:left w:val="nil"/>
              <w:bottom w:val="nil"/>
              <w:right w:val="nil"/>
            </w:tcBorders>
            <w:shd w:val="clear" w:color="auto" w:fill="auto"/>
            <w:noWrap/>
            <w:vAlign w:val="center"/>
            <w:hideMark/>
          </w:tcPr>
          <w:p w14:paraId="45C3E54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Non-smoker</w:t>
            </w:r>
          </w:p>
        </w:tc>
        <w:tc>
          <w:tcPr>
            <w:tcW w:w="1440" w:type="dxa"/>
            <w:tcBorders>
              <w:top w:val="nil"/>
              <w:left w:val="nil"/>
              <w:bottom w:val="nil"/>
              <w:right w:val="nil"/>
            </w:tcBorders>
            <w:shd w:val="clear" w:color="auto" w:fill="auto"/>
            <w:noWrap/>
            <w:vAlign w:val="center"/>
            <w:hideMark/>
          </w:tcPr>
          <w:p w14:paraId="074083F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5112FE5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BEE6A8C" w14:textId="77777777" w:rsidTr="006D525B">
        <w:trPr>
          <w:trHeight w:val="292"/>
        </w:trPr>
        <w:tc>
          <w:tcPr>
            <w:tcW w:w="3150" w:type="dxa"/>
            <w:tcBorders>
              <w:top w:val="nil"/>
              <w:left w:val="nil"/>
              <w:bottom w:val="nil"/>
              <w:right w:val="nil"/>
            </w:tcBorders>
            <w:shd w:val="clear" w:color="auto" w:fill="auto"/>
            <w:noWrap/>
            <w:vAlign w:val="center"/>
            <w:hideMark/>
          </w:tcPr>
          <w:p w14:paraId="7010260A"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690327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Smoker</w:t>
            </w:r>
          </w:p>
        </w:tc>
        <w:tc>
          <w:tcPr>
            <w:tcW w:w="1440" w:type="dxa"/>
            <w:tcBorders>
              <w:top w:val="nil"/>
              <w:left w:val="nil"/>
              <w:bottom w:val="nil"/>
              <w:right w:val="nil"/>
            </w:tcBorders>
            <w:shd w:val="clear" w:color="auto" w:fill="auto"/>
            <w:noWrap/>
            <w:vAlign w:val="center"/>
            <w:hideMark/>
          </w:tcPr>
          <w:p w14:paraId="54EDABC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w:t>
            </w:r>
          </w:p>
        </w:tc>
        <w:tc>
          <w:tcPr>
            <w:tcW w:w="2070" w:type="dxa"/>
            <w:tcBorders>
              <w:top w:val="nil"/>
              <w:left w:val="nil"/>
              <w:bottom w:val="nil"/>
              <w:right w:val="nil"/>
            </w:tcBorders>
            <w:shd w:val="clear" w:color="auto" w:fill="auto"/>
            <w:noWrap/>
            <w:vAlign w:val="center"/>
            <w:hideMark/>
          </w:tcPr>
          <w:p w14:paraId="3CE36D8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0.18 – 0.87</w:t>
            </w:r>
          </w:p>
        </w:tc>
      </w:tr>
      <w:tr w:rsidR="006D525B" w:rsidRPr="00FA32F2" w14:paraId="538FBD64" w14:textId="77777777" w:rsidTr="006D525B">
        <w:trPr>
          <w:trHeight w:val="292"/>
        </w:trPr>
        <w:tc>
          <w:tcPr>
            <w:tcW w:w="3150" w:type="dxa"/>
            <w:tcBorders>
              <w:top w:val="nil"/>
              <w:left w:val="nil"/>
              <w:bottom w:val="nil"/>
              <w:right w:val="nil"/>
            </w:tcBorders>
            <w:shd w:val="clear" w:color="auto" w:fill="auto"/>
            <w:noWrap/>
            <w:vAlign w:val="center"/>
            <w:hideMark/>
          </w:tcPr>
          <w:p w14:paraId="047A832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Family support</w:t>
            </w:r>
          </w:p>
        </w:tc>
        <w:tc>
          <w:tcPr>
            <w:tcW w:w="2160" w:type="dxa"/>
            <w:tcBorders>
              <w:top w:val="nil"/>
              <w:left w:val="nil"/>
              <w:bottom w:val="nil"/>
              <w:right w:val="nil"/>
            </w:tcBorders>
            <w:shd w:val="clear" w:color="auto" w:fill="auto"/>
            <w:noWrap/>
            <w:vAlign w:val="center"/>
            <w:hideMark/>
          </w:tcPr>
          <w:p w14:paraId="6B05760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4B8D0F9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7D9B8D7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2FD5C70B" w14:textId="77777777" w:rsidTr="006D525B">
        <w:trPr>
          <w:trHeight w:val="292"/>
        </w:trPr>
        <w:tc>
          <w:tcPr>
            <w:tcW w:w="3150" w:type="dxa"/>
            <w:tcBorders>
              <w:top w:val="nil"/>
              <w:left w:val="nil"/>
              <w:bottom w:val="single" w:sz="4" w:space="0" w:color="auto"/>
              <w:right w:val="nil"/>
            </w:tcBorders>
            <w:shd w:val="clear" w:color="auto" w:fill="auto"/>
            <w:noWrap/>
            <w:vAlign w:val="center"/>
            <w:hideMark/>
          </w:tcPr>
          <w:p w14:paraId="4C617C2B"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single" w:sz="4" w:space="0" w:color="auto"/>
              <w:right w:val="nil"/>
            </w:tcBorders>
            <w:shd w:val="clear" w:color="auto" w:fill="auto"/>
            <w:noWrap/>
            <w:vAlign w:val="center"/>
            <w:hideMark/>
          </w:tcPr>
          <w:p w14:paraId="52E56B77"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single" w:sz="4" w:space="0" w:color="auto"/>
              <w:right w:val="nil"/>
            </w:tcBorders>
            <w:shd w:val="clear" w:color="auto" w:fill="auto"/>
            <w:noWrap/>
            <w:vAlign w:val="center"/>
            <w:hideMark/>
          </w:tcPr>
          <w:p w14:paraId="4658990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w:t>
            </w:r>
          </w:p>
        </w:tc>
        <w:tc>
          <w:tcPr>
            <w:tcW w:w="2070" w:type="dxa"/>
            <w:tcBorders>
              <w:top w:val="nil"/>
              <w:left w:val="nil"/>
              <w:bottom w:val="single" w:sz="4" w:space="0" w:color="auto"/>
              <w:right w:val="nil"/>
            </w:tcBorders>
            <w:shd w:val="clear" w:color="auto" w:fill="auto"/>
            <w:noWrap/>
            <w:vAlign w:val="center"/>
            <w:hideMark/>
          </w:tcPr>
          <w:p w14:paraId="4FF2C75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1.20 – 2.70</w:t>
            </w:r>
          </w:p>
        </w:tc>
      </w:tr>
    </w:tbl>
    <w:p w14:paraId="294A519C" w14:textId="77777777" w:rsidR="005D7890" w:rsidRPr="00FA32F2" w:rsidRDefault="005D7890" w:rsidP="00FA32F2">
      <w:pPr>
        <w:rPr>
          <w:rFonts w:ascii="Times New Roman" w:hAnsi="Times New Roman" w:cs="Times New Roman"/>
        </w:rPr>
      </w:pPr>
    </w:p>
    <w:p w14:paraId="21D939CF" w14:textId="72CE6655" w:rsidR="00AD521D" w:rsidRPr="00FA32F2" w:rsidRDefault="00AD521D" w:rsidP="00FA32F2">
      <w:pPr>
        <w:rPr>
          <w:rFonts w:ascii="Times New Roman" w:hAnsi="Times New Roman" w:cs="Times New Roman"/>
          <w:b/>
          <w:bCs/>
        </w:rPr>
      </w:pPr>
      <w:r w:rsidRPr="00FA32F2">
        <w:rPr>
          <w:rFonts w:ascii="Times New Roman" w:hAnsi="Times New Roman" w:cs="Times New Roman"/>
          <w:b/>
          <w:bCs/>
        </w:rPr>
        <w:t>Discussion</w:t>
      </w:r>
    </w:p>
    <w:p w14:paraId="7062587B" w14:textId="499A6D0A" w:rsidR="00EF1441" w:rsidRPr="00FA32F2" w:rsidRDefault="00502BAF" w:rsidP="00FA32F2">
      <w:pPr>
        <w:rPr>
          <w:rFonts w:ascii="Times New Roman" w:hAnsi="Times New Roman" w:cs="Times New Roman"/>
        </w:rPr>
      </w:pPr>
      <w:r w:rsidRPr="00FA32F2">
        <w:rPr>
          <w:rFonts w:ascii="Times New Roman" w:hAnsi="Times New Roman" w:cs="Times New Roman"/>
        </w:rPr>
        <w:t>This study presents a nuanced picture of self-management practices among hypertensive patients at the Northern Region Hospital in Ghana, highlighting achievements and persistent gaps in chronic disease management in a low-resource setting</w:t>
      </w:r>
      <w:r w:rsidR="00C67E58" w:rsidRPr="00FA32F2">
        <w:rPr>
          <w:rFonts w:ascii="Times New Roman" w:hAnsi="Times New Roman" w:cs="Times New Roman"/>
        </w:rPr>
        <w:t xml:space="preserve">. </w:t>
      </w:r>
      <w:r w:rsidR="00EF1441" w:rsidRPr="00FA32F2">
        <w:rPr>
          <w:rFonts w:ascii="Times New Roman" w:hAnsi="Times New Roman" w:cs="Times New Roman"/>
        </w:rPr>
        <w:t xml:space="preserve">The study revealed that only 45.3% of hypertensive patients at Northern Region Hospital demonstrated good self-management practices. </w:t>
      </w:r>
      <w:commentRangeStart w:id="11"/>
      <w:r w:rsidR="00EF1441" w:rsidRPr="00FA32F2">
        <w:rPr>
          <w:rFonts w:ascii="Times New Roman" w:hAnsi="Times New Roman" w:cs="Times New Roman"/>
        </w:rPr>
        <w:t xml:space="preserve">While adherence to medication (73.5%) and clinic attendance (72.7%) </w:t>
      </w:r>
      <w:r w:rsidR="00E4499C" w:rsidRPr="00FA32F2">
        <w:rPr>
          <w:rFonts w:ascii="Times New Roman" w:hAnsi="Times New Roman" w:cs="Times New Roman"/>
        </w:rPr>
        <w:t>were</w:t>
      </w:r>
      <w:r w:rsidR="00EF1441" w:rsidRPr="00FA32F2">
        <w:rPr>
          <w:rFonts w:ascii="Times New Roman" w:hAnsi="Times New Roman" w:cs="Times New Roman"/>
        </w:rPr>
        <w:t xml:space="preserve"> relatively high, engagement in lifestyle-related behaviors such as salt reduction (44.6%), regular physical activity (39.3%), and home blood pressure monitoring (28.7%) remained low</w:t>
      </w:r>
      <w:commentRangeEnd w:id="11"/>
      <w:r w:rsidR="00D6545C">
        <w:rPr>
          <w:rStyle w:val="CommentReference"/>
        </w:rPr>
        <w:commentReference w:id="11"/>
      </w:r>
      <w:r w:rsidR="00EF1441" w:rsidRPr="00FA32F2">
        <w:rPr>
          <w:rFonts w:ascii="Times New Roman" w:hAnsi="Times New Roman" w:cs="Times New Roman"/>
        </w:rPr>
        <w:t xml:space="preserve">. Key factors significantly associated with good self-management included being female, having secondary or tertiary education, possessing good </w:t>
      </w:r>
      <w:r w:rsidR="00074DF7" w:rsidRPr="00FA32F2">
        <w:rPr>
          <w:rFonts w:ascii="Times New Roman" w:hAnsi="Times New Roman" w:cs="Times New Roman"/>
        </w:rPr>
        <w:t>hypertension knowledge</w:t>
      </w:r>
      <w:r w:rsidR="00EF1441" w:rsidRPr="00FA32F2">
        <w:rPr>
          <w:rFonts w:ascii="Times New Roman" w:hAnsi="Times New Roman" w:cs="Times New Roman"/>
        </w:rPr>
        <w:t>, receiving family support, and being a non-smoker. In contrast, variables such as employment status, alcohol use, duration of hypertension, and comorbidities showed no significant association with self-management outcomes.</w:t>
      </w:r>
    </w:p>
    <w:p w14:paraId="1F503049" w14:textId="23655994" w:rsidR="00E863EE" w:rsidRPr="00FA32F2" w:rsidRDefault="00E863EE" w:rsidP="00FA32F2">
      <w:pPr>
        <w:rPr>
          <w:rFonts w:ascii="Times New Roman" w:hAnsi="Times New Roman" w:cs="Times New Roman"/>
        </w:rPr>
      </w:pPr>
      <w:commentRangeStart w:id="12"/>
      <w:r w:rsidRPr="00FA32F2">
        <w:rPr>
          <w:rFonts w:ascii="Times New Roman" w:hAnsi="Times New Roman" w:cs="Times New Roman"/>
        </w:rPr>
        <w:t>The finding that only 45.3% of hypertensive patients demonstrated good self-management practices aligns with several studies that have reported suboptimal self-management among hypertensive populations</w:t>
      </w:r>
      <w:commentRangeEnd w:id="12"/>
      <w:r w:rsidR="0001477D">
        <w:rPr>
          <w:rStyle w:val="CommentReference"/>
        </w:rPr>
        <w:commentReference w:id="12"/>
      </w:r>
      <w:r w:rsidRPr="00FA32F2">
        <w:rPr>
          <w:rFonts w:ascii="Times New Roman" w:hAnsi="Times New Roman" w:cs="Times New Roman"/>
        </w:rPr>
        <w:t xml:space="preserve">. For instance, a study in </w:t>
      </w:r>
      <w:r w:rsidR="00E71D3B" w:rsidRPr="00FA32F2">
        <w:rPr>
          <w:rFonts w:ascii="Times New Roman" w:hAnsi="Times New Roman" w:cs="Times New Roman"/>
        </w:rPr>
        <w:t xml:space="preserve"> Ethiopia</w:t>
      </w:r>
      <w:r w:rsidR="00074DF7" w:rsidRPr="00FA32F2">
        <w:rPr>
          <w:rFonts w:ascii="Times New Roman" w:hAnsi="Times New Roman" w:cs="Times New Roman"/>
        </w:rPr>
        <w:t xml:space="preserve"> </w:t>
      </w:r>
      <w:r w:rsidRPr="00FA32F2">
        <w:rPr>
          <w:rFonts w:ascii="Times New Roman" w:hAnsi="Times New Roman" w:cs="Times New Roman"/>
        </w:rPr>
        <w:t>found that just 4</w:t>
      </w:r>
      <w:r w:rsidR="00553B6F" w:rsidRPr="00FA32F2">
        <w:rPr>
          <w:rFonts w:ascii="Times New Roman" w:hAnsi="Times New Roman" w:cs="Times New Roman"/>
        </w:rPr>
        <w:t>4</w:t>
      </w:r>
      <w:r w:rsidRPr="00FA32F2">
        <w:rPr>
          <w:rFonts w:ascii="Times New Roman" w:hAnsi="Times New Roman" w:cs="Times New Roman"/>
        </w:rPr>
        <w:t>.8% of patients adhered to comprehensive hypertension self-care practices, including medication, diet, physical activity, and monitoring</w:t>
      </w:r>
      <w:r w:rsidR="001C19EF" w:rsidRPr="00FA32F2">
        <w:rPr>
          <w:rFonts w:ascii="Times New Roman" w:hAnsi="Times New Roman" w:cs="Times New Roman"/>
        </w:rPr>
        <w:fldChar w:fldCharType="begin"/>
      </w:r>
      <w:r w:rsidR="001C19EF" w:rsidRPr="00FA32F2">
        <w:rPr>
          <w:rFonts w:ascii="Times New Roman" w:hAnsi="Times New Roman" w:cs="Times New Roman"/>
        </w:rPr>
        <w:instrText xml:space="preserve"> ADDIN ZOTERO_ITEM CSL_CITATION {"citationID":"vZnpKTPd","properties":{"formattedCitation":"\\super 31\\nosupersub{}","plainCitation":"31","noteIndex":0},"citationItems":[{"id":5586,"uris":["http://zotero.org/users/15244130/items/J8JJEBPN"],"itemData":{"id":5586,"type":"article-journal","abstract":"Background\nHypertension is defined as the sustained elevation of blood pressure to levels greater than 140/90 mmHg. It is a leading cause of cardiovascular morbidity and mortality worldwide, accounting for 13% of total deaths and 7% of the global burden of disease. This condition can be significantly reduced by strictly adhering to various self-care practices for hypertension management, including compliance with prescribed antihypertensive medications, reducing salt intake, consuming a balanced diet, avoiding harmful alcohol use, engaging in regular physical exercise, and quitting tobacco smoking.\n\nObjectives\nThe aim of this study is to determine self-care practices and associated factors, as well as to explore barriers to these practices among hypertensive patients in public hospitals in Bahir Dar city, Northwest Ethiopia.\n\nMethods and materials\nAn institution-based descriptive cross-sectional study, triangulated with qualitative research, was conducted from March 12 to April 12, 2021. A total of 415 participants were selected from three study settings. Data collected from a structured questionnaire were entered into EpiData v3.01 and analyzed using SPSS version 21. Both univariable and multivariable binary logistic regression analyses were performed. The statistical significance of associations between variables was determined using odds ratios with 95% confidence intervals (CIs) and p-values below 0.05. Eight purposively selected individuals participated in the qualitative component of the study.\n\nResults\nGood self-care practices for hypertension were observed in 44.8% of participants. Significant predictors of good hypertension self-care practices included age ≥ 60, education level of secondary school or higher, employment in government positions, controlled blood pressure, good knowledge about hypertension, strong social support, and a positive perceived health status, with Adjusted Odds Ratios (AOR) and 95% Confidence Intervals (CI) of 3.04 (1.26, 7.33), 7.82 (2.79, 21.98), 1.53 (1.53, 14.90), 3.14 (1.70, 5.80), 2.27 (1.17, 4.41), 2.71 (1.31, 5.61), and 2.56 (1.35, 4.85), respectively. Major identified barriers included lack of emotional stability and stress, financial problems, lack of commitment, lack of attention, and inadequate counseling from health professionals.\n\nConclusions\nLess than half of the participants demonstrated good self-care practices for managing hypertension. Strategies, programs, and guidelines should be developed to help clients understand the importance of multi-dimensional well-being in relation to various aspects of hypertension self-care practices. Furthermore, all patients should receive comprehensive and tailored information on recommended self-care practices and be assessed for barriers to adherence to these practices.","container-title":"PLOS One","DOI":"10.1371/journal.pone.0317869","ISSN":"1932-6203","issue":"5","journalAbbreviation":"PLoS One","note":"PMID: 40343951\nPMCID: PMC12063846","page":"e0317869","source":"PubMed Central","title":"Self-care practice and associated factors among hypertensive patients who have follow-ups in public hospitals of Bahir-Dar City, Northwest Ethiopia, a mixed study","volume":"20","author":[{"family":"Hailu","given":"Gebremedhin"},{"family":"Yigezu","given":"Muluken"},{"family":"Gutema","given":"Hordofa"},{"family":"Melkamu","given":"Lydia"},{"family":"Kebede","given":"Natnael"},{"family":"Assefa","given":"Elias"},{"family":"Hordofa","given":"Addis"}],"issued":{"date-parts":[["2025",5,9]]}}}],"schema":"https://github.com/citation-style-language/schema/raw/master/csl-citation.json"} </w:instrText>
      </w:r>
      <w:r w:rsidR="001C19EF" w:rsidRPr="00FA32F2">
        <w:rPr>
          <w:rFonts w:ascii="Times New Roman" w:hAnsi="Times New Roman" w:cs="Times New Roman"/>
        </w:rPr>
        <w:fldChar w:fldCharType="separate"/>
      </w:r>
      <w:r w:rsidR="001C19EF" w:rsidRPr="00FA32F2">
        <w:rPr>
          <w:rFonts w:ascii="Times New Roman" w:hAnsi="Times New Roman" w:cs="Times New Roman"/>
          <w:kern w:val="0"/>
          <w:vertAlign w:val="superscript"/>
        </w:rPr>
        <w:t>31</w:t>
      </w:r>
      <w:r w:rsidR="001C19EF" w:rsidRPr="00FA32F2">
        <w:rPr>
          <w:rFonts w:ascii="Times New Roman" w:hAnsi="Times New Roman" w:cs="Times New Roman"/>
        </w:rPr>
        <w:fldChar w:fldCharType="end"/>
      </w:r>
      <w:r w:rsidRPr="00FA32F2">
        <w:rPr>
          <w:rFonts w:ascii="Times New Roman" w:hAnsi="Times New Roman" w:cs="Times New Roman"/>
        </w:rPr>
        <w:t>. This suggests a persistent challenge in achieving holistic self-care among hypertensive patients in resource-limited settings. The result is consistent with regional data indicating poor integration of lifestyle modifications despite medication adherence. However, it contrasts with findings from developed countries, such as the U.S., where higher rates of comprehensive self-management (above 60%) have been documented,</w:t>
      </w:r>
      <w:r w:rsidR="007277B7" w:rsidRPr="00FA32F2">
        <w:rPr>
          <w:rFonts w:ascii="Times New Roman" w:hAnsi="Times New Roman" w:cs="Times New Roman"/>
        </w:rPr>
        <w:fldChar w:fldCharType="begin"/>
      </w:r>
      <w:r w:rsidR="007277B7" w:rsidRPr="00FA32F2">
        <w:rPr>
          <w:rFonts w:ascii="Times New Roman" w:hAnsi="Times New Roman" w:cs="Times New Roman"/>
        </w:rPr>
        <w:instrText xml:space="preserve"> ADDIN ZOTERO_ITEM CSL_CITATION {"citationID":"yQh85Cza","properties":{"formattedCitation":"\\super 32\\nosupersub{}","plainCitation":"32","noteIndex":0},"citationItems":[{"id":5584,"uris":["http://zotero.org/users/15244130/items/GH3AAFH5"],"itemData":{"id":5584,"type":"article-journal","abstract":"AIM: The purpose of this systematic review was to determine the effectiveness of self-management interventions for older adults with cancer and to determine the effective components of said interventions.\nMETHODS: We conducted a systematic review of self-management interventions for older adults (65+) with cancer guided by the Preferred Reporting Items for Systematic Reviews and Meta-Analysis statement. We conducted an exhaustive search of the following databases: Ageline, AMED, ASSIA, CINAHL, Cochrane, Embase, Medline, PsychINFO, and Sociological Abstracts. We assessed for quality using the Cochrane Risk of Bias tool and Down &amp; Black for quasi-experimental studies, with data synthesized in a narrative and tabular format.\nRESULTS: Sixteen thousand nine hundred and eight-five titles and abstracts were screened, subsequently 452 full-text papers were reviewed by two independent reviewers, of which 13 full-text papers were included in the final review. All self-management interventions included in this review measured Quality of Life; other outcomes included mood, self-care activity, supportive care needs, self-advocacy, pain intensity, and analgesic intake; only one intervention measured frailty. Effective interventions were delivered by a multidisciplinary teams (n = 4), nurses (n = 3), and mental health professionals (n = 1). Self-management core skills most commonly targeted included: problem solving; behavioural self-monitoring and tailoring; and settings goals and action planning.\nCONCLUSIONS: Global calls to action argue for increased emphasize on self-management but presently, few interventions exist that explicitly target the self-management needs of older adults with cancer. Future work should focus on explicit pathways to support older adults and their caregivers to prepare for and engage in cancer self-management processes and behaviours.","container-title":"Psycho-Oncology","DOI":"10.1002/pon.5649","ISSN":"1099-1611","issue":"7","journalAbbreviation":"Psychooncology","language":"eng","note":"PMID: 33724608","page":"989-1008","source":"PubMed","title":"Systematic review of self-management interventions for older adults with cancer","volume":"30","author":[{"family":"Haase","given":"Kristen R."},{"family":"Sattar","given":"Schroder"},{"family":"Hall","given":"Steven"},{"family":"McLean","given":"Bianca"},{"family":"Wills","given":"Aria"},{"family":"Gray","given":"Mikaela"},{"family":"Kenis","given":"Cindy"},{"family":"Donison","given":"Valentina"},{"family":"Howell","given":"Doris"},{"family":"Puts","given":"Martine"}],"issued":{"date-parts":[["2021",7]]}}}],"schema":"https://github.com/citation-style-language/schema/raw/master/csl-citation.json"} </w:instrText>
      </w:r>
      <w:r w:rsidR="007277B7" w:rsidRPr="00FA32F2">
        <w:rPr>
          <w:rFonts w:ascii="Times New Roman" w:hAnsi="Times New Roman" w:cs="Times New Roman"/>
        </w:rPr>
        <w:fldChar w:fldCharType="separate"/>
      </w:r>
      <w:r w:rsidR="007277B7" w:rsidRPr="00FA32F2">
        <w:rPr>
          <w:rFonts w:ascii="Times New Roman" w:hAnsi="Times New Roman" w:cs="Times New Roman"/>
          <w:kern w:val="0"/>
          <w:vertAlign w:val="superscript"/>
        </w:rPr>
        <w:t>32</w:t>
      </w:r>
      <w:r w:rsidR="007277B7" w:rsidRPr="00FA32F2">
        <w:rPr>
          <w:rFonts w:ascii="Times New Roman" w:hAnsi="Times New Roman" w:cs="Times New Roman"/>
        </w:rPr>
        <w:fldChar w:fldCharType="end"/>
      </w:r>
      <w:r w:rsidRPr="00FA32F2">
        <w:rPr>
          <w:rFonts w:ascii="Times New Roman" w:hAnsi="Times New Roman" w:cs="Times New Roman"/>
        </w:rPr>
        <w:t xml:space="preserve"> possibly due to better patient education and access to resources. The implication is that partial adherence</w:t>
      </w:r>
      <w:r w:rsidR="00074DF7" w:rsidRPr="00FA32F2">
        <w:rPr>
          <w:rFonts w:ascii="Times New Roman" w:hAnsi="Times New Roman" w:cs="Times New Roman"/>
        </w:rPr>
        <w:t xml:space="preserve">, </w:t>
      </w:r>
      <w:r w:rsidRPr="00FA32F2">
        <w:rPr>
          <w:rFonts w:ascii="Times New Roman" w:hAnsi="Times New Roman" w:cs="Times New Roman"/>
        </w:rPr>
        <w:t>mainly centered on medication and clinic visits</w:t>
      </w:r>
      <w:r w:rsidR="00074DF7" w:rsidRPr="00FA32F2">
        <w:rPr>
          <w:rFonts w:ascii="Times New Roman" w:hAnsi="Times New Roman" w:cs="Times New Roman"/>
        </w:rPr>
        <w:t xml:space="preserve">, </w:t>
      </w:r>
      <w:r w:rsidRPr="00FA32F2">
        <w:rPr>
          <w:rFonts w:ascii="Times New Roman" w:hAnsi="Times New Roman" w:cs="Times New Roman"/>
        </w:rPr>
        <w:t>is insufficient to control hypertension and reduce complications, highlighting a need for interventions targeting broader lifestyle behavior change.</w:t>
      </w:r>
    </w:p>
    <w:p w14:paraId="37AA65FC" w14:textId="30A454CD" w:rsidR="00E863EE" w:rsidRPr="00FA32F2" w:rsidRDefault="00E863EE" w:rsidP="00FA32F2">
      <w:pPr>
        <w:rPr>
          <w:rFonts w:ascii="Times New Roman" w:hAnsi="Times New Roman" w:cs="Times New Roman"/>
        </w:rPr>
      </w:pPr>
      <w:r w:rsidRPr="00FA32F2">
        <w:rPr>
          <w:rFonts w:ascii="Times New Roman" w:hAnsi="Times New Roman" w:cs="Times New Roman"/>
        </w:rPr>
        <w:t>The high rate of medication adherence (73.5%) found in this study is consistent with several studies in similar settings. For example,</w:t>
      </w:r>
      <w:r w:rsidR="00074DF7" w:rsidRPr="00FA32F2">
        <w:rPr>
          <w:rFonts w:ascii="Times New Roman" w:hAnsi="Times New Roman" w:cs="Times New Roman"/>
        </w:rPr>
        <w:t xml:space="preserve"> </w:t>
      </w:r>
      <w:r w:rsidR="00C45FBB" w:rsidRPr="00FA32F2">
        <w:rPr>
          <w:rFonts w:ascii="Times New Roman" w:hAnsi="Times New Roman" w:cs="Times New Roman"/>
        </w:rPr>
        <w:t>Sarkodie</w:t>
      </w:r>
      <w:r w:rsidRPr="00FA32F2">
        <w:rPr>
          <w:rFonts w:ascii="Times New Roman" w:hAnsi="Times New Roman" w:cs="Times New Roman"/>
        </w:rPr>
        <w:t xml:space="preserve"> et al.</w:t>
      </w:r>
      <w:r w:rsidR="006A1DAE" w:rsidRPr="00FA32F2">
        <w:rPr>
          <w:rFonts w:ascii="Times New Roman" w:hAnsi="Times New Roman" w:cs="Times New Roman"/>
        </w:rPr>
        <w:fldChar w:fldCharType="begin"/>
      </w:r>
      <w:r w:rsidR="006A1DAE" w:rsidRPr="00FA32F2">
        <w:rPr>
          <w:rFonts w:ascii="Times New Roman" w:hAnsi="Times New Roman" w:cs="Times New Roman"/>
        </w:rPr>
        <w:instrText xml:space="preserve"> ADDIN ZOTERO_ITEM CSL_CITATION {"citationID":"aSNOEOAB","properties":{"formattedCitation":"\\super 12\\nosupersub{}","plainCitation":"12","noteIndex":0},"citationItems":[{"id":5533,"uris":["http://zotero.org/users/15244130/items/U9JKURFY"],"itemData":{"id":5533,"type":"article-journal","abstract":"BACKGROUND: A major drawback to the management of hypertension among patients is poor adherence to pharmacotherapy. Factors that influence non-adherence to antihypertensive drugs could vary, depending on the prevailing condition of patient and setting. Knowledge of adherence patterns and behavior of hypertensive patients to pharmacotherapy could improve health-directed policies towards hypertension management.\nOBJECTIVE: The objective of this study was to determine factors that influence adherence to oral antihypertensive drugs among patients attending two district hospitals in the Volta Region of Ghana.\nMETHODS: The study was cross-sectional. Respondents were hypertensive patients attending Krachi West District (n=187) and Hohoe Municipal (n=183) hospitals between March 2016 to May 2016. Data was collected using a structured questionnaire and Morisky 8 Item Measurement of adherence scale.\nRESULTS: Adherence to oral antihypertensive drugs was 89.2%. However, more than half of these respondents appeared to have uncontrolled blood pressure; and this may be due to self-response bias, blood pressure being measured only on the day of the interview or use of fake drugs (which was not assessed in this study). The strongest predictors of adherence were; knowledge on hypertension, perception of severity of condition and the amount of alcohol consumed in a day by respondents.\nCONCLUSION: Good adherence to oral antihypertensive drugs was observed in this population despite uncontrolled hypertension in a number of the respondents. The three independent predictors of adherence to antihypertensive medications in this study were respondent's knowledge about hypertension, perception of severity of their condition and the amount of alcohol consumed in a day. Regular patient education and counseling by medical practitioners should be encouraged in these settings to improve patient adherence.","container-title":"African Health Sciences","DOI":"10.4314/ahs.v20i3.42","ISSN":"1729-0503","issue":"3","journalAbbreviation":"Afr Health Sci","language":"eng","note":"PMID: 33402985\nPMCID: PMC7751545","page":"1355-1367","source":"PubMed","title":"Adherence to drug therapy among hypertensive patients attending two district hospitals in Ghana","volume":"20","author":[{"family":"Sarkodie","given":"Emmanuel"},{"family":"Afriyie","given":"Daniel Kwame"},{"family":"Hutton-Nyameaye","given":"Araba"},{"family":"Amponsah","given":"Seth Kwabena"}],"issued":{"date-parts":[["2020",9]]}}}],"schema":"https://github.com/citation-style-language/schema/raw/master/csl-citation.json"} </w:instrText>
      </w:r>
      <w:r w:rsidR="006A1DAE" w:rsidRPr="00FA32F2">
        <w:rPr>
          <w:rFonts w:ascii="Times New Roman" w:hAnsi="Times New Roman" w:cs="Times New Roman"/>
        </w:rPr>
        <w:fldChar w:fldCharType="separate"/>
      </w:r>
      <w:r w:rsidR="006A1DAE" w:rsidRPr="00FA32F2">
        <w:rPr>
          <w:rFonts w:ascii="Times New Roman" w:hAnsi="Times New Roman" w:cs="Times New Roman"/>
          <w:kern w:val="0"/>
          <w:vertAlign w:val="superscript"/>
        </w:rPr>
        <w:t>12</w:t>
      </w:r>
      <w:r w:rsidR="006A1DAE" w:rsidRPr="00FA32F2">
        <w:rPr>
          <w:rFonts w:ascii="Times New Roman" w:hAnsi="Times New Roman" w:cs="Times New Roman"/>
        </w:rPr>
        <w:fldChar w:fldCharType="end"/>
      </w:r>
      <w:r w:rsidRPr="00FA32F2">
        <w:rPr>
          <w:rFonts w:ascii="Times New Roman" w:hAnsi="Times New Roman" w:cs="Times New Roman"/>
        </w:rPr>
        <w:t xml:space="preserve"> reported </w:t>
      </w:r>
      <w:r w:rsidR="00C45FBB" w:rsidRPr="00FA32F2">
        <w:rPr>
          <w:rFonts w:ascii="Times New Roman" w:hAnsi="Times New Roman" w:cs="Times New Roman"/>
        </w:rPr>
        <w:t>89.2</w:t>
      </w:r>
      <w:r w:rsidRPr="00FA32F2">
        <w:rPr>
          <w:rFonts w:ascii="Times New Roman" w:hAnsi="Times New Roman" w:cs="Times New Roman"/>
        </w:rPr>
        <w:t xml:space="preserve">% adherence among Ghanaian hypertensive patients, citing trust in medications and provider instructions as key factors. This level of adherence is also </w:t>
      </w:r>
      <w:r w:rsidR="009A00D5" w:rsidRPr="00FA32F2">
        <w:rPr>
          <w:rFonts w:ascii="Times New Roman" w:hAnsi="Times New Roman" w:cs="Times New Roman"/>
        </w:rPr>
        <w:t>in</w:t>
      </w:r>
      <w:r w:rsidRPr="00FA32F2">
        <w:rPr>
          <w:rFonts w:ascii="Times New Roman" w:hAnsi="Times New Roman" w:cs="Times New Roman"/>
        </w:rPr>
        <w:t xml:space="preserve">comparable to rates in Nigeria (around </w:t>
      </w:r>
      <w:r w:rsidR="009A00D5" w:rsidRPr="00FA32F2">
        <w:rPr>
          <w:rFonts w:ascii="Times New Roman" w:hAnsi="Times New Roman" w:cs="Times New Roman"/>
        </w:rPr>
        <w:t>45</w:t>
      </w:r>
      <w:r w:rsidRPr="00FA32F2">
        <w:rPr>
          <w:rFonts w:ascii="Times New Roman" w:hAnsi="Times New Roman" w:cs="Times New Roman"/>
        </w:rPr>
        <w:t>%)</w:t>
      </w:r>
      <w:r w:rsidR="00C933D8" w:rsidRPr="00FA32F2">
        <w:rPr>
          <w:rFonts w:ascii="Times New Roman" w:hAnsi="Times New Roman" w:cs="Times New Roman"/>
        </w:rPr>
        <w:t>.</w:t>
      </w:r>
      <w:r w:rsidR="007E3ABE" w:rsidRPr="00FA32F2">
        <w:rPr>
          <w:rFonts w:ascii="Times New Roman" w:hAnsi="Times New Roman" w:cs="Times New Roman"/>
        </w:rPr>
        <w:fldChar w:fldCharType="begin"/>
      </w:r>
      <w:r w:rsidR="007E3ABE" w:rsidRPr="00FA32F2">
        <w:rPr>
          <w:rFonts w:ascii="Times New Roman" w:hAnsi="Times New Roman" w:cs="Times New Roman"/>
        </w:rPr>
        <w:instrText xml:space="preserve"> ADDIN ZOTERO_ITEM CSL_CITATION {"citationID":"eAbaTLBZ","properties":{"formattedCitation":"\\super 33\\nosupersub{}","plainCitation":"33","noteIndex":0},"citationItems":[{"id":1157,"uris":["http://zotero.org/users/15244130/items/HHW6966N"],"itemData":{"id":1157,"type":"article-journal","container-title":"Pregnancy Hypertension","ISSN":"2210-7789","note":"publisher: Elsevier","page":"179-184","title":"The ability and safety of community-based health workers to safely initiate lifesaving therapies for pre-eclampsia in Ogun State, Nigeria: An analysis of 260 community treatments with MgSO4 and/or methyldopa","volume":"25","author":[{"family":"Adepoju","given":"Akinmade A"},{"family":"Vidler","given":"Marianne"},{"family":"Akadri","given":"Adebayo A"},{"family":"Jaiyesimi","given":"Ebun"},{"family":"Nwankpa","given":"Chimaobi C"},{"family":"Odubena","given":"Oluwafayokemi O"},{"family":"Sharma","given":"Sumedha"},{"family":"Li","given":"Larry"},{"family":"Tu","given":"Domena"},{"family":"Drebit","given":"Sharla"}],"issued":{"date-parts":[["2021"]]}}}],"schema":"https://github.com/citation-style-language/schema/raw/master/csl-citation.json"} </w:instrText>
      </w:r>
      <w:r w:rsidR="007E3ABE" w:rsidRPr="00FA32F2">
        <w:rPr>
          <w:rFonts w:ascii="Times New Roman" w:hAnsi="Times New Roman" w:cs="Times New Roman"/>
        </w:rPr>
        <w:fldChar w:fldCharType="separate"/>
      </w:r>
      <w:r w:rsidR="007E3ABE" w:rsidRPr="00FA32F2">
        <w:rPr>
          <w:rFonts w:ascii="Times New Roman" w:hAnsi="Times New Roman" w:cs="Times New Roman"/>
          <w:kern w:val="0"/>
          <w:vertAlign w:val="superscript"/>
        </w:rPr>
        <w:t>33</w:t>
      </w:r>
      <w:r w:rsidR="007E3ABE" w:rsidRPr="00FA32F2">
        <w:rPr>
          <w:rFonts w:ascii="Times New Roman" w:hAnsi="Times New Roman" w:cs="Times New Roman"/>
        </w:rPr>
        <w:fldChar w:fldCharType="end"/>
      </w:r>
      <w:r w:rsidR="00CD11CA" w:rsidRPr="00FA32F2">
        <w:rPr>
          <w:rFonts w:ascii="Times New Roman" w:hAnsi="Times New Roman" w:cs="Times New Roman"/>
        </w:rPr>
        <w:t xml:space="preserve"> </w:t>
      </w:r>
      <w:r w:rsidR="00C933D8" w:rsidRPr="00FA32F2">
        <w:rPr>
          <w:rFonts w:ascii="Times New Roman" w:hAnsi="Times New Roman" w:cs="Times New Roman"/>
        </w:rPr>
        <w:t>Consistent with prior findings</w:t>
      </w:r>
      <w:r w:rsidR="00416B5D" w:rsidRPr="00FA32F2">
        <w:rPr>
          <w:rFonts w:ascii="Times New Roman" w:hAnsi="Times New Roman" w:cs="Times New Roman"/>
        </w:rPr>
        <w:t>,</w:t>
      </w:r>
      <w:r w:rsidR="00C933D8" w:rsidRPr="00FA32F2">
        <w:rPr>
          <w:rFonts w:ascii="Times New Roman" w:hAnsi="Times New Roman" w:cs="Times New Roman"/>
        </w:rPr>
        <w:t xml:space="preserve"> structured clinic protocols and pharmaceutical access at Northern Region Hospital may benefit medication adherence</w:t>
      </w:r>
      <w:r w:rsidRPr="00FA32F2">
        <w:rPr>
          <w:rFonts w:ascii="Times New Roman" w:hAnsi="Times New Roman" w:cs="Times New Roman"/>
        </w:rPr>
        <w:t xml:space="preserve">. The implication is that while medication adherence is encouraging, it should be reinforced through regular follow-up and </w:t>
      </w:r>
      <w:r w:rsidR="00826E9F" w:rsidRPr="00FA32F2">
        <w:rPr>
          <w:rFonts w:ascii="Times New Roman" w:hAnsi="Times New Roman" w:cs="Times New Roman"/>
        </w:rPr>
        <w:t>counseling and</w:t>
      </w:r>
      <w:r w:rsidRPr="00FA32F2">
        <w:rPr>
          <w:rFonts w:ascii="Times New Roman" w:hAnsi="Times New Roman" w:cs="Times New Roman"/>
        </w:rPr>
        <w:t xml:space="preserve"> expanded to include education on complementary lifestyle changes.</w:t>
      </w:r>
    </w:p>
    <w:p w14:paraId="752CD8BA" w14:textId="3BA29FB9"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The study’s finding of 72.7% regular clinic attendance is consistent with reports from other urban and peri-urban health facilities in Ghana. </w:t>
      </w:r>
      <w:r w:rsidR="00F233E7" w:rsidRPr="00FA32F2">
        <w:rPr>
          <w:rFonts w:ascii="Times New Roman" w:hAnsi="Times New Roman" w:cs="Times New Roman"/>
        </w:rPr>
        <w:t xml:space="preserve">The high attendance rate could be attributed </w:t>
      </w:r>
      <w:r w:rsidRPr="00FA32F2">
        <w:rPr>
          <w:rFonts w:ascii="Times New Roman" w:hAnsi="Times New Roman" w:cs="Times New Roman"/>
        </w:rPr>
        <w:t xml:space="preserve">to the accessibility of services and continuity of care. However, this figure is higher than </w:t>
      </w:r>
      <w:r w:rsidR="00D60C60" w:rsidRPr="00FA32F2">
        <w:rPr>
          <w:rFonts w:ascii="Times New Roman" w:hAnsi="Times New Roman" w:cs="Times New Roman"/>
        </w:rPr>
        <w:t xml:space="preserve">that of </w:t>
      </w:r>
      <w:r w:rsidRPr="00FA32F2">
        <w:rPr>
          <w:rFonts w:ascii="Times New Roman" w:hAnsi="Times New Roman" w:cs="Times New Roman"/>
        </w:rPr>
        <w:t>some rural studies that reported attendance below 60% due to transportation challenges and cultural perceptions.</w:t>
      </w:r>
      <w:r w:rsidR="00497A05" w:rsidRPr="00FA32F2">
        <w:rPr>
          <w:rFonts w:ascii="Times New Roman" w:hAnsi="Times New Roman" w:cs="Times New Roman"/>
        </w:rPr>
        <w:fldChar w:fldCharType="begin"/>
      </w:r>
      <w:r w:rsidR="00497A05" w:rsidRPr="00FA32F2">
        <w:rPr>
          <w:rFonts w:ascii="Times New Roman" w:hAnsi="Times New Roman" w:cs="Times New Roman"/>
        </w:rPr>
        <w:instrText xml:space="preserve"> ADDIN ZOTERO_ITEM CSL_CITATION {"citationID":"cM0temoC","properties":{"formattedCitation":"\\super 22\\nosupersub{}","plainCitation":"22","noteIndex":0},"citationItems":[{"id":5560,"uris":["http://zotero.org/users/15244130/items/8UQWA8DH"],"itemData":{"id":5560,"type":"article-journal","abstract":"Background: Hypertension remains a significant public health challenge in Ghana. Understanding the experiences of hypertensive patients can inform strategies to improve their management. This study explored the perceived enablers and barriers to hypertension management among patients in the Ashanti region, Ghana, using the Chronic Care Model as a framework. Methods: In-depth interviews were conducted with 20 hypertensive patients receiving care at Komfo Anokye Teaching Hospital. Inductive thematic analysis was employed to identify key themes and subthemes. Results: Several barriers to hypertension management emerged, including economic constraints, environmental and lifestyle factors, knowledge and awareness deficits, medication-related issues, and policy and provider-level barriers. Conversely, enablers such as patient empowerment, education, healthcare access, and policy and provider support and relationships were identified. Conclusions: Effective hypertension management requires addressing a complex interplay of barriers and enablers. Interventions targeting economic factors, lifestyle modifications, knowledge dissemination, medication adherence, and systemic improvements are crucial. Additionally, empowering patients, enhancing education, improving healthcare access, and fostering strong provider–patient relationships can significantly contribute to better outcomes. Future research should investigate the impact of a multi-level intervention on hypertension management in Ghana.","container-title":"Healthcare","DOI":"10.3390/healthcare13050479","ISSN":"2227-9032","issue":"5","journalAbbreviation":"Healthcare (Basel)","note":"PMID: 40077041\nPMCID: PMC11898504","page":"479","source":"PubMed Central","title":"A Qualitative Study on the Barriers and Enablers to Effective Hypertension Management in Ghana","volume":"13","author":[{"family":"Sambah","given":"Francis"},{"family":"McBain-Rigg","given":"Kristin"},{"family":"Seidu","given":"Abdul-Aziz"},{"family":"Emeto","given":"Theophilus I."}],"issued":{"date-parts":[["2025",2,22]]}}}],"schema":"https://github.com/citation-style-language/schema/raw/master/csl-citation.json"} </w:instrText>
      </w:r>
      <w:r w:rsidR="00497A05" w:rsidRPr="00FA32F2">
        <w:rPr>
          <w:rFonts w:ascii="Times New Roman" w:hAnsi="Times New Roman" w:cs="Times New Roman"/>
        </w:rPr>
        <w:fldChar w:fldCharType="separate"/>
      </w:r>
      <w:r w:rsidR="00497A05" w:rsidRPr="00FA32F2">
        <w:rPr>
          <w:rFonts w:ascii="Times New Roman" w:hAnsi="Times New Roman" w:cs="Times New Roman"/>
          <w:kern w:val="0"/>
          <w:vertAlign w:val="superscript"/>
        </w:rPr>
        <w:t>22</w:t>
      </w:r>
      <w:r w:rsidR="00497A05" w:rsidRPr="00FA32F2">
        <w:rPr>
          <w:rFonts w:ascii="Times New Roman" w:hAnsi="Times New Roman" w:cs="Times New Roman"/>
        </w:rPr>
        <w:fldChar w:fldCharType="end"/>
      </w:r>
      <w:r w:rsidRPr="00FA32F2">
        <w:rPr>
          <w:rFonts w:ascii="Times New Roman" w:hAnsi="Times New Roman" w:cs="Times New Roman"/>
        </w:rPr>
        <w:t xml:space="preserve"> The consistency with urban-focused studies suggests that structural support</w:t>
      </w:r>
      <w:r w:rsidR="00416B5D" w:rsidRPr="00FA32F2">
        <w:rPr>
          <w:rFonts w:ascii="Times New Roman" w:hAnsi="Times New Roman" w:cs="Times New Roman"/>
        </w:rPr>
        <w:t>,</w:t>
      </w:r>
      <w:r w:rsidR="00D725FC" w:rsidRPr="00FA32F2">
        <w:rPr>
          <w:rFonts w:ascii="Times New Roman" w:hAnsi="Times New Roman" w:cs="Times New Roman"/>
        </w:rPr>
        <w:t xml:space="preserve"> </w:t>
      </w:r>
      <w:r w:rsidRPr="00FA32F2">
        <w:rPr>
          <w:rFonts w:ascii="Times New Roman" w:hAnsi="Times New Roman" w:cs="Times New Roman"/>
        </w:rPr>
        <w:t>such as reminders and follow-ups</w:t>
      </w:r>
      <w:r w:rsidR="00416B5D" w:rsidRPr="00FA32F2">
        <w:rPr>
          <w:rFonts w:ascii="Times New Roman" w:hAnsi="Times New Roman" w:cs="Times New Roman"/>
        </w:rPr>
        <w:t xml:space="preserve">, </w:t>
      </w:r>
      <w:r w:rsidRPr="00FA32F2">
        <w:rPr>
          <w:rFonts w:ascii="Times New Roman" w:hAnsi="Times New Roman" w:cs="Times New Roman"/>
        </w:rPr>
        <w:t xml:space="preserve">plays a role in facilitating attendance. The implication is that while clinic attendance is relatively satisfactory, efforts must ensure such visits are used </w:t>
      </w:r>
      <w:r w:rsidR="00F233E7" w:rsidRPr="00FA32F2">
        <w:rPr>
          <w:rFonts w:ascii="Times New Roman" w:hAnsi="Times New Roman" w:cs="Times New Roman"/>
        </w:rPr>
        <w:t>for medication refills and</w:t>
      </w:r>
      <w:r w:rsidRPr="00FA32F2">
        <w:rPr>
          <w:rFonts w:ascii="Times New Roman" w:hAnsi="Times New Roman" w:cs="Times New Roman"/>
        </w:rPr>
        <w:t xml:space="preserve"> reinforcing lifestyle counseling.</w:t>
      </w:r>
    </w:p>
    <w:p w14:paraId="21AEEE4F" w14:textId="26F78A7B" w:rsidR="00E863EE" w:rsidRPr="00FA32F2" w:rsidRDefault="00E863EE" w:rsidP="00FA32F2">
      <w:pPr>
        <w:rPr>
          <w:rFonts w:ascii="Times New Roman" w:hAnsi="Times New Roman" w:cs="Times New Roman"/>
        </w:rPr>
      </w:pPr>
      <w:r w:rsidRPr="00FA32F2">
        <w:rPr>
          <w:rFonts w:ascii="Times New Roman" w:hAnsi="Times New Roman" w:cs="Times New Roman"/>
        </w:rPr>
        <w:lastRenderedPageBreak/>
        <w:t xml:space="preserve">Only 44.6% of respondents practiced salt reduction, which is lower than desirable for hypertension management. This finding is consistent with studies from Ghana and Nigeria, where salt reduction remains one of the least practiced self-care behaviors. A study by </w:t>
      </w:r>
      <w:r w:rsidR="006C42CA" w:rsidRPr="00FA32F2">
        <w:rPr>
          <w:rFonts w:ascii="Times New Roman" w:hAnsi="Times New Roman" w:cs="Times New Roman"/>
        </w:rPr>
        <w:t xml:space="preserve">Amoah </w:t>
      </w:r>
      <w:r w:rsidRPr="00FA32F2">
        <w:rPr>
          <w:rFonts w:ascii="Times New Roman" w:hAnsi="Times New Roman" w:cs="Times New Roman"/>
        </w:rPr>
        <w:t xml:space="preserve"> et al.</w:t>
      </w:r>
      <w:r w:rsidR="00D60C60" w:rsidRPr="00FA32F2">
        <w:rPr>
          <w:rFonts w:ascii="Times New Roman" w:hAnsi="Times New Roman" w:cs="Times New Roman"/>
        </w:rPr>
        <w:fldChar w:fldCharType="begin"/>
      </w:r>
      <w:r w:rsidR="00D60C60" w:rsidRPr="00FA32F2">
        <w:rPr>
          <w:rFonts w:ascii="Times New Roman" w:hAnsi="Times New Roman" w:cs="Times New Roman"/>
        </w:rPr>
        <w:instrText xml:space="preserve"> ADDIN ZOTERO_ITEM CSL_CITATION {"citationID":"K15GP5SW","properties":{"formattedCitation":"\\super 34\\nosupersub{}","plainCitation":"34","noteIndex":0},"citationItems":[{"id":5593,"uris":["http://zotero.org/users/15244130/items/AVANN7TX"],"itemData":{"id":5593,"type":"article-journal","abstract":"INTRODUCTION: Despite efforts to combat hypertension by pharmacotherapy, hypertension control rates remain low. Lifestyle modifications of individuals diagnosed with hypertension have prospects for the prevention and control of hypertension. This study assessed the effect of modifiable lifestyle factors on blood pressure control among adults in urban Accra.\nMETHODS: In this cross-sectional study, 360 diagnosed hypertensive patients who were ≥18 years old, selected from two secondary-level referral hospitals in the Greater Accra Region, were interviewed. Demographic information, diet components, and exercise assessments as well as blood pressure measurements were taken. Chi-squared tests and binomial logistic regression were used to determine the association between demographic and lifestyle factors with blood pressure control. Area under the receiver-operator curves (AUROC) was used to identify lifestyle factors predicting optimal blood pressure control among patients diagnosed with hypertension.\nRESULTS: Approximately 54.2% of participants had no knowledge of either causes or complications of hypertension. Similarly, 52.5% of patients that had not achieved blood pressure control lacked knowledge of causes or complications of hypertension. Longer time since diagnosis of 2-5 years (AOR = 0.08 (95% CI: 0.01-0.47)) and 6-10 years (AOR = 0.08 (95% CI: 0.01-0.50)) and diets, mainly composed of meat (AOR = 0.13 (95% CI: 0.02-0.70)) and starch (AOR = 0.14 (95% CI: 0.03-0.79)), predicted poor blood pressure control compared to patients diagnosed within a year and diets without meat and starch as main components, respectively. Additionally, engaging in some physical activity of 30 minutes to one hour (AOR = 5.64 (95% CI: 2.08-15.32)) and more than an hour (AOR = 11.38, 95% CI: 2.01-64.47)) predicted blood pressure control.\nCONCLUSION: The study concludes that increased physical activity, abstaining from alcohol and smoking, increased intake of fruits and vegetables, and reduced intake of carbohydrates, meat, and fat have a positive influence on blood pressure control. Lifestyle modifying factors have a key role in complementing pharmacotherapy in hypertension control.","container-title":"International Journal of Hypertension","DOI":"10.1155/2020/9379128","ISSN":"2090-0384","journalAbbreviation":"Int J Hypertens","language":"eng","note":"PMID: 33005451\nPMCID: PMC7508215","page":"9379128","source":"PubMed","title":"The Role of Lifestyle Factors in Controlling Blood Pressure among Hypertensive Patients in Two Health Facilities in Urban Ghana: A Cross-Sectional Study","title-short":"The Role of Lifestyle Factors in Controlling Blood Pressure among Hypertensive Patients in Two Health Facilities in Urban Ghana","volume":"2020","author":[{"family":"Modey Amoah","given":"Emefa"},{"family":"Esinam Okai","given":"Darlene"},{"family":"Manu","given":"Adom"},{"family":"Laar","given":"Amos"},{"family":"Akamah","given":"Joseph"},{"family":"Torpey","given":"Kwasi"}],"issued":{"date-parts":[["2020"]]}}}],"schema":"https://github.com/citation-style-language/schema/raw/master/csl-citation.json"} </w:instrText>
      </w:r>
      <w:r w:rsidR="00D60C60" w:rsidRPr="00FA32F2">
        <w:rPr>
          <w:rFonts w:ascii="Times New Roman" w:hAnsi="Times New Roman" w:cs="Times New Roman"/>
        </w:rPr>
        <w:fldChar w:fldCharType="separate"/>
      </w:r>
      <w:r w:rsidR="00D60C60" w:rsidRPr="00FA32F2">
        <w:rPr>
          <w:rFonts w:ascii="Times New Roman" w:hAnsi="Times New Roman" w:cs="Times New Roman"/>
          <w:kern w:val="0"/>
          <w:vertAlign w:val="superscript"/>
        </w:rPr>
        <w:t>34</w:t>
      </w:r>
      <w:r w:rsidR="00D60C60" w:rsidRPr="00FA32F2">
        <w:rPr>
          <w:rFonts w:ascii="Times New Roman" w:hAnsi="Times New Roman" w:cs="Times New Roman"/>
        </w:rPr>
        <w:fldChar w:fldCharType="end"/>
      </w:r>
      <w:r w:rsidR="00D60C60" w:rsidRPr="00FA32F2">
        <w:rPr>
          <w:rFonts w:ascii="Times New Roman" w:hAnsi="Times New Roman" w:cs="Times New Roman"/>
        </w:rPr>
        <w:t xml:space="preserve"> </w:t>
      </w:r>
      <w:r w:rsidRPr="00FA32F2">
        <w:rPr>
          <w:rFonts w:ascii="Times New Roman" w:hAnsi="Times New Roman" w:cs="Times New Roman"/>
        </w:rPr>
        <w:t>reported salt reduction practices in only 40.5% of hypertensive patients. Cultural dietary preferences and poor awareness about the salt-hypertension link contribute to this challenge. In contrast, studies in more developed settings such as the UK have reported salt reduction</w:t>
      </w:r>
      <w:r w:rsidR="002F721C" w:rsidRPr="00FA32F2">
        <w:rPr>
          <w:rFonts w:ascii="Times New Roman" w:hAnsi="Times New Roman" w:cs="Times New Roman"/>
        </w:rPr>
        <w:t xml:space="preserve">, </w:t>
      </w:r>
      <w:r w:rsidRPr="00FA32F2">
        <w:rPr>
          <w:rFonts w:ascii="Times New Roman" w:hAnsi="Times New Roman" w:cs="Times New Roman"/>
        </w:rPr>
        <w:t>likely due to effective public health campaign</w:t>
      </w:r>
      <w:r w:rsidR="00D60C60" w:rsidRPr="00FA32F2">
        <w:rPr>
          <w:rFonts w:ascii="Times New Roman" w:hAnsi="Times New Roman" w:cs="Times New Roman"/>
        </w:rPr>
        <w:t>s.</w:t>
      </w:r>
      <w:r w:rsidR="00D60C60" w:rsidRPr="00FA32F2">
        <w:rPr>
          <w:rFonts w:ascii="Times New Roman" w:hAnsi="Times New Roman" w:cs="Times New Roman"/>
        </w:rPr>
        <w:fldChar w:fldCharType="begin"/>
      </w:r>
      <w:r w:rsidR="00D60C60" w:rsidRPr="00FA32F2">
        <w:rPr>
          <w:rFonts w:ascii="Times New Roman" w:hAnsi="Times New Roman" w:cs="Times New Roman"/>
        </w:rPr>
        <w:instrText xml:space="preserve"> ADDIN ZOTERO_ITEM CSL_CITATION {"citationID":"6B5YC41f","properties":{"formattedCitation":"\\super 30\\nosupersub{}","plainCitation":"30","noteIndex":0},"citationItems":[{"id":5596,"uris":["http://zotero.org/users/15244130/items/7KUNQC3C"],"itemData":{"id":5596,"type":"article-journal","abstract":"Background/Objectives: People of African Descent (PoAD) in the United Kingdom (UK) are at an increased risk of hypertension and cardiovascular disease (CVD), partly due to dietary habits such as high salt intake. This study sought to understand the dietary salt-related knowledge, attitudes, and practises (KAP) of PoAD in the UK, to inform the development of culturally tailored interventions to reduce dietary salt intake in this population. Methods: We collected data on KAP from 21 PoAD across various regions in the UK through online semi-structured interviews and analysed them using reflexive thematic analysis (TA). Results: The age of the participants ranged from 20 to 70 years (43 ± 11). Six overarching themes were identified: (i) the multifaceted roles of salt in culinary practises, (ii) the increased awareness of health risks associated with high salt intake, (iii) the existence of knowledge gaps regarding recommended daily salt intake, (iv) the cultural influences on salt consumption levels, (v) the lack of engagement with food labels, and (vi) a limited awareness of salt reduction initiatives. Conclusions: Our findings highlight the significance of salt in the culture and culinary practises of PoAD. Despite general awareness of the health risks of excessive salt consumption, there was a notable deficiency in knowledge about the recommended salt intake levels as well as minimal engagement with nutritional labelling. These findings underline a need for culturally sensitive health interventions that integrate culinary practises, beliefs, and preferences of PoAD, aiming to effectively reduce salt intake and mitigate associated health risks.","container-title":"Healthcare","DOI":"10.3390/healthcare12191969","ISSN":"2227-9032","issue":"19","journalAbbreviation":"Healthcare (Basel)","note":"PMID: 39408149\nPMCID: PMC11477407","page":"1969","source":"PubMed Central","title":"Exploring Dietary Salt Knowledge, Attitude, and Practices among People of African Descent in the United Kingdom: A Qualitative Study","title-short":"Exploring Dietary Salt Knowledge, Attitude, and Practices among People of African Descent in the United Kingdom","volume":"12","author":[{"family":"Usman","given":"Jesse Enebi"},{"family":"Morley","given":"Alexandra"},{"family":"Childs","given":"Charmaine"},{"family":"Rogerson","given":"David"},{"family":"Klonizakis","given":"Markos"}],"issued":{"date-parts":[["2024",10,2]]}}}],"schema":"https://github.com/citation-style-language/schema/raw/master/csl-citation.json"} </w:instrText>
      </w:r>
      <w:r w:rsidR="00D60C60" w:rsidRPr="00FA32F2">
        <w:rPr>
          <w:rFonts w:ascii="Times New Roman" w:hAnsi="Times New Roman" w:cs="Times New Roman"/>
        </w:rPr>
        <w:fldChar w:fldCharType="separate"/>
      </w:r>
      <w:r w:rsidR="00D60C60" w:rsidRPr="00FA32F2">
        <w:rPr>
          <w:rFonts w:ascii="Times New Roman" w:hAnsi="Times New Roman" w:cs="Times New Roman"/>
          <w:kern w:val="0"/>
          <w:vertAlign w:val="superscript"/>
        </w:rPr>
        <w:t>30</w:t>
      </w:r>
      <w:r w:rsidR="00D60C60" w:rsidRPr="00FA32F2">
        <w:rPr>
          <w:rFonts w:ascii="Times New Roman" w:hAnsi="Times New Roman" w:cs="Times New Roman"/>
        </w:rPr>
        <w:fldChar w:fldCharType="end"/>
      </w:r>
      <w:r w:rsidR="00D60C60" w:rsidRPr="00FA32F2">
        <w:rPr>
          <w:rFonts w:ascii="Times New Roman" w:hAnsi="Times New Roman" w:cs="Times New Roman"/>
        </w:rPr>
        <w:t xml:space="preserve"> </w:t>
      </w:r>
      <w:r w:rsidRPr="00FA32F2">
        <w:rPr>
          <w:rFonts w:ascii="Times New Roman" w:hAnsi="Times New Roman" w:cs="Times New Roman"/>
        </w:rPr>
        <w:t>The implication is that tailored educational interventions are needed to address cultural dietary habits and promote the importance of salt restriction in blood pressure control.</w:t>
      </w:r>
    </w:p>
    <w:p w14:paraId="6C90069E" w14:textId="593B5AAB"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The reported physical activity engagement rate of 39.3% is relatively low and aligns with several African studies that indicate physical inactivity is a growing public health issue among chronic disease patients. For instance, </w:t>
      </w:r>
      <w:r w:rsidR="00AD2481" w:rsidRPr="00FA32F2">
        <w:rPr>
          <w:rFonts w:ascii="Times New Roman" w:hAnsi="Times New Roman" w:cs="Times New Roman"/>
        </w:rPr>
        <w:t>Amoa</w:t>
      </w:r>
      <w:r w:rsidR="00A43F32" w:rsidRPr="00FA32F2">
        <w:rPr>
          <w:rFonts w:ascii="Times New Roman" w:hAnsi="Times New Roman" w:cs="Times New Roman"/>
        </w:rPr>
        <w:t>h</w:t>
      </w:r>
      <w:r w:rsidRPr="00FA32F2">
        <w:rPr>
          <w:rFonts w:ascii="Times New Roman" w:hAnsi="Times New Roman" w:cs="Times New Roman"/>
        </w:rPr>
        <w:t xml:space="preserve"> et al.</w:t>
      </w:r>
      <w:r w:rsidR="002F721C" w:rsidRPr="00FA32F2">
        <w:rPr>
          <w:rFonts w:ascii="Times New Roman" w:hAnsi="Times New Roman" w:cs="Times New Roman"/>
        </w:rPr>
        <w:fldChar w:fldCharType="begin"/>
      </w:r>
      <w:r w:rsidR="002F721C" w:rsidRPr="00FA32F2">
        <w:rPr>
          <w:rFonts w:ascii="Times New Roman" w:hAnsi="Times New Roman" w:cs="Times New Roman"/>
        </w:rPr>
        <w:instrText xml:space="preserve"> ADDIN ZOTERO_ITEM CSL_CITATION {"citationID":"V4rPtafI","properties":{"formattedCitation":"\\super 34\\nosupersub{}","plainCitation":"34","noteIndex":0},"citationItems":[{"id":5593,"uris":["http://zotero.org/users/15244130/items/AVANN7TX"],"itemData":{"id":5593,"type":"article-journal","abstract":"INTRODUCTION: Despite efforts to combat hypertension by pharmacotherapy, hypertension control rates remain low. Lifestyle modifications of individuals diagnosed with hypertension have prospects for the prevention and control of hypertension. This study assessed the effect of modifiable lifestyle factors on blood pressure control among adults in urban Accra.\nMETHODS: In this cross-sectional study, 360 diagnosed hypertensive patients who were ≥18 years old, selected from two secondary-level referral hospitals in the Greater Accra Region, were interviewed. Demographic information, diet components, and exercise assessments as well as blood pressure measurements were taken. Chi-squared tests and binomial logistic regression were used to determine the association between demographic and lifestyle factors with blood pressure control. Area under the receiver-operator curves (AUROC) was used to identify lifestyle factors predicting optimal blood pressure control among patients diagnosed with hypertension.\nRESULTS: Approximately 54.2% of participants had no knowledge of either causes or complications of hypertension. Similarly, 52.5% of patients that had not achieved blood pressure control lacked knowledge of causes or complications of hypertension. Longer time since diagnosis of 2-5 years (AOR = 0.08 (95% CI: 0.01-0.47)) and 6-10 years (AOR = 0.08 (95% CI: 0.01-0.50)) and diets, mainly composed of meat (AOR = 0.13 (95% CI: 0.02-0.70)) and starch (AOR = 0.14 (95% CI: 0.03-0.79)), predicted poor blood pressure control compared to patients diagnosed within a year and diets without meat and starch as main components, respectively. Additionally, engaging in some physical activity of 30 minutes to one hour (AOR = 5.64 (95% CI: 2.08-15.32)) and more than an hour (AOR = 11.38, 95% CI: 2.01-64.47)) predicted blood pressure control.\nCONCLUSION: The study concludes that increased physical activity, abstaining from alcohol and smoking, increased intake of fruits and vegetables, and reduced intake of carbohydrates, meat, and fat have a positive influence on blood pressure control. Lifestyle modifying factors have a key role in complementing pharmacotherapy in hypertension control.","container-title":"International Journal of Hypertension","DOI":"10.1155/2020/9379128","ISSN":"2090-0384","journalAbbreviation":"Int J Hypertens","language":"eng","note":"PMID: 33005451\nPMCID: PMC7508215","page":"9379128","source":"PubMed","title":"The Role of Lifestyle Factors in Controlling Blood Pressure among Hypertensive Patients in Two Health Facilities in Urban Ghana: A Cross-Sectional Study","title-short":"The Role of Lifestyle Factors in Controlling Blood Pressure among Hypertensive Patients in Two Health Facilities in Urban Ghana","volume":"2020","author":[{"family":"Modey Amoah","given":"Emefa"},{"family":"Esinam Okai","given":"Darlene"},{"family":"Manu","given":"Adom"},{"family":"Laar","given":"Amos"},{"family":"Akamah","given":"Joseph"},{"family":"Torpey","given":"Kwasi"}],"issued":{"date-parts":[["2020"]]}}}],"schema":"https://github.com/citation-style-language/schema/raw/master/csl-citation.json"} </w:instrText>
      </w:r>
      <w:r w:rsidR="002F721C" w:rsidRPr="00FA32F2">
        <w:rPr>
          <w:rFonts w:ascii="Times New Roman" w:hAnsi="Times New Roman" w:cs="Times New Roman"/>
        </w:rPr>
        <w:fldChar w:fldCharType="separate"/>
      </w:r>
      <w:r w:rsidR="002F721C" w:rsidRPr="00FA32F2">
        <w:rPr>
          <w:rFonts w:ascii="Times New Roman" w:hAnsi="Times New Roman" w:cs="Times New Roman"/>
          <w:kern w:val="0"/>
          <w:vertAlign w:val="superscript"/>
        </w:rPr>
        <w:t>34</w:t>
      </w:r>
      <w:r w:rsidR="002F721C" w:rsidRPr="00FA32F2">
        <w:rPr>
          <w:rFonts w:ascii="Times New Roman" w:hAnsi="Times New Roman" w:cs="Times New Roman"/>
        </w:rPr>
        <w:fldChar w:fldCharType="end"/>
      </w:r>
      <w:r w:rsidRPr="00FA32F2">
        <w:rPr>
          <w:rFonts w:ascii="Times New Roman" w:hAnsi="Times New Roman" w:cs="Times New Roman"/>
        </w:rPr>
        <w:t xml:space="preserve"> found that </w:t>
      </w:r>
      <w:r w:rsidR="00A43F32" w:rsidRPr="00FA32F2">
        <w:rPr>
          <w:rFonts w:ascii="Times New Roman" w:hAnsi="Times New Roman" w:cs="Times New Roman"/>
        </w:rPr>
        <w:t>engaging in</w:t>
      </w:r>
      <w:r w:rsidRPr="00FA32F2">
        <w:rPr>
          <w:rFonts w:ascii="Times New Roman" w:hAnsi="Times New Roman" w:cs="Times New Roman"/>
        </w:rPr>
        <w:t xml:space="preserve"> physical activity levels</w:t>
      </w:r>
      <w:r w:rsidR="00A43F32" w:rsidRPr="00FA32F2">
        <w:rPr>
          <w:rFonts w:ascii="Times New Roman" w:hAnsi="Times New Roman" w:cs="Times New Roman"/>
        </w:rPr>
        <w:t xml:space="preserve"> for 30 minutes increases the odds of </w:t>
      </w:r>
      <w:r w:rsidR="00641FE5" w:rsidRPr="00FA32F2">
        <w:rPr>
          <w:rFonts w:ascii="Times New Roman" w:hAnsi="Times New Roman" w:cs="Times New Roman"/>
        </w:rPr>
        <w:t>controlling hypertension</w:t>
      </w:r>
      <w:r w:rsidRPr="00FA32F2">
        <w:rPr>
          <w:rFonts w:ascii="Times New Roman" w:hAnsi="Times New Roman" w:cs="Times New Roman"/>
        </w:rPr>
        <w:t>. This is consistent with barriers such as urban lifestyle, lack of exercise-friendly infrastructure, and misconceptions about safe exercise. In contrast, physical activity adherence in Western countries is generally higher (over 60%) due to stronger health promotion systems and infrastructure</w:t>
      </w:r>
      <w:r w:rsidR="00135F4F" w:rsidRPr="00FA32F2">
        <w:rPr>
          <w:rFonts w:ascii="Times New Roman" w:hAnsi="Times New Roman" w:cs="Times New Roman"/>
        </w:rPr>
        <w:t>.</w:t>
      </w:r>
      <w:r w:rsidR="00135F4F" w:rsidRPr="00FA32F2">
        <w:rPr>
          <w:rFonts w:ascii="Times New Roman" w:hAnsi="Times New Roman" w:cs="Times New Roman"/>
        </w:rPr>
        <w:fldChar w:fldCharType="begin"/>
      </w:r>
      <w:r w:rsidR="00135F4F" w:rsidRPr="00FA32F2">
        <w:rPr>
          <w:rFonts w:ascii="Times New Roman" w:hAnsi="Times New Roman" w:cs="Times New Roman"/>
        </w:rPr>
        <w:instrText xml:space="preserve"> ADDIN ZOTERO_ITEM CSL_CITATION {"citationID":"0H6i7nS8","properties":{"formattedCitation":"\\super 35\\nosupersub{}","plainCitation":"35","noteIndex":0},"citationItems":[{"id":5603,"uris":["http://zotero.org/users/15244130/items/R6ZV87ME"],"itemData":{"id":5603,"type":"article-journal","abstract":"To implement effective non-communicable disease prevention programmes, policy makers need data for physical activity levels and trends. In this report, we describe physical activity levels worldwide with data for adults (15 years or older) from 122 countries and for adolescents (13-15-years-old) from 105 countries. Worldwide, 31·1% (95% CI 30·9-31·2) of adults are physically inactive, with proportions ranging from 17·0% (16·8-17·2) in southeast Asia to about 43% in the Americas and the eastern Mediterranean. Inactivity rises with age, is higher in women than in men, and is increased in high-income countries. The proportion of 13-15-year-olds doing fewer than 60 min of physical activity of moderate to vigorous intensity per day is 80·3% (80·1-80·5); boys are more active than are girls. Continued improvement in monitoring of physical activity would help to guide development of policies and programmes to increase activity levels and to reduce the burden of non-communicable diseases.","container-title":"Lancet (London, England)","DOI":"10.1016/S0140-6736(12)60646-1","ISSN":"1474-547X","issue":"9838","journalAbbreviation":"Lancet","language":"eng","note":"PMID: 22818937","page":"247-257","source":"PubMed","title":"Global physical activity levels: surveillance progress, pitfalls, and prospects","title-short":"Global physical activity levels","volume":"380","author":[{"family":"Hallal","given":"Pedro C."},{"family":"Andersen","given":"Lars Bo"},{"family":"Bull","given":"Fiona C."},{"family":"Guthold","given":"Regina"},{"family":"Haskell","given":"William"},{"family":"Ekelund","given":"Ulf"},{"literal":"Lancet Physical Activity Series Working Group"}],"issued":{"date-parts":[["2012",7,21]]}}}],"schema":"https://github.com/citation-style-language/schema/raw/master/csl-citation.json"} </w:instrText>
      </w:r>
      <w:r w:rsidR="00135F4F" w:rsidRPr="00FA32F2">
        <w:rPr>
          <w:rFonts w:ascii="Times New Roman" w:hAnsi="Times New Roman" w:cs="Times New Roman"/>
        </w:rPr>
        <w:fldChar w:fldCharType="separate"/>
      </w:r>
      <w:r w:rsidR="00135F4F" w:rsidRPr="00FA32F2">
        <w:rPr>
          <w:rFonts w:ascii="Times New Roman" w:hAnsi="Times New Roman" w:cs="Times New Roman"/>
          <w:kern w:val="0"/>
          <w:vertAlign w:val="superscript"/>
        </w:rPr>
        <w:t>35</w:t>
      </w:r>
      <w:r w:rsidR="00135F4F" w:rsidRPr="00FA32F2">
        <w:rPr>
          <w:rFonts w:ascii="Times New Roman" w:hAnsi="Times New Roman" w:cs="Times New Roman"/>
        </w:rPr>
        <w:fldChar w:fldCharType="end"/>
      </w:r>
      <w:r w:rsidR="00135F4F" w:rsidRPr="00FA32F2">
        <w:rPr>
          <w:rFonts w:ascii="Times New Roman" w:hAnsi="Times New Roman" w:cs="Times New Roman"/>
        </w:rPr>
        <w:t xml:space="preserve"> </w:t>
      </w:r>
      <w:r w:rsidRPr="00FA32F2">
        <w:rPr>
          <w:rFonts w:ascii="Times New Roman" w:hAnsi="Times New Roman" w:cs="Times New Roman"/>
        </w:rPr>
        <w:t>The implication is that physical activity promotion must be context-specific, involving community-based exercise programs and healthcare provider counseling tailored to patients’ abilities and environments.</w:t>
      </w:r>
    </w:p>
    <w:p w14:paraId="1C67C5FB" w14:textId="53545B1D" w:rsidR="00E863EE" w:rsidRPr="00FA32F2" w:rsidRDefault="00E863EE" w:rsidP="00FA32F2">
      <w:pPr>
        <w:rPr>
          <w:rFonts w:ascii="Times New Roman" w:hAnsi="Times New Roman" w:cs="Times New Roman"/>
        </w:rPr>
      </w:pPr>
      <w:commentRangeStart w:id="13"/>
      <w:r w:rsidRPr="00FA32F2">
        <w:rPr>
          <w:rFonts w:ascii="Times New Roman" w:hAnsi="Times New Roman" w:cs="Times New Roman"/>
        </w:rPr>
        <w:t>Only 28.7% of patients reported engaging in home blood pressure monitoring, which is significantly lower than figures reported in high-income countries</w:t>
      </w:r>
      <w:commentRangeEnd w:id="13"/>
      <w:r w:rsidR="00940CB2">
        <w:rPr>
          <w:rStyle w:val="CommentReference"/>
        </w:rPr>
        <w:commentReference w:id="13"/>
      </w:r>
      <w:r w:rsidRPr="00FA32F2">
        <w:rPr>
          <w:rFonts w:ascii="Times New Roman" w:hAnsi="Times New Roman" w:cs="Times New Roman"/>
        </w:rPr>
        <w:t xml:space="preserve">. This is consistent with a </w:t>
      </w:r>
      <w:commentRangeStart w:id="14"/>
      <w:proofErr w:type="gramStart"/>
      <w:r w:rsidRPr="00FA32F2">
        <w:rPr>
          <w:rFonts w:ascii="Times New Roman" w:hAnsi="Times New Roman" w:cs="Times New Roman"/>
        </w:rPr>
        <w:t>stud</w:t>
      </w:r>
      <w:r w:rsidR="005F4B17" w:rsidRPr="00FA32F2">
        <w:rPr>
          <w:rFonts w:ascii="Times New Roman" w:hAnsi="Times New Roman" w:cs="Times New Roman"/>
        </w:rPr>
        <w:t>ies</w:t>
      </w:r>
      <w:commentRangeEnd w:id="14"/>
      <w:proofErr w:type="gramEnd"/>
      <w:r w:rsidR="00940CB2">
        <w:rPr>
          <w:rStyle w:val="CommentReference"/>
        </w:rPr>
        <w:commentReference w:id="14"/>
      </w:r>
      <w:r w:rsidR="005F4B17" w:rsidRPr="00FA32F2">
        <w:rPr>
          <w:rFonts w:ascii="Times New Roman" w:hAnsi="Times New Roman" w:cs="Times New Roman"/>
        </w:rPr>
        <w:t xml:space="preserve"> in Ghana, </w:t>
      </w:r>
      <w:r w:rsidRPr="00FA32F2">
        <w:rPr>
          <w:rFonts w:ascii="Times New Roman" w:hAnsi="Times New Roman" w:cs="Times New Roman"/>
        </w:rPr>
        <w:t>hypertensive patients owned or used a home BP monitor</w:t>
      </w:r>
      <w:r w:rsidR="005F4B17" w:rsidRPr="00FA32F2">
        <w:rPr>
          <w:rFonts w:ascii="Times New Roman" w:hAnsi="Times New Roman" w:cs="Times New Roman"/>
        </w:rPr>
        <w:t xml:space="preserve"> with c</w:t>
      </w:r>
      <w:r w:rsidRPr="00FA32F2">
        <w:rPr>
          <w:rFonts w:ascii="Times New Roman" w:hAnsi="Times New Roman" w:cs="Times New Roman"/>
        </w:rPr>
        <w:t>ost, limited knowledge, and low provider emphasis contribute to this poor uptake</w:t>
      </w:r>
      <w:r w:rsidR="005F4B17" w:rsidRPr="00FA32F2">
        <w:rPr>
          <w:rFonts w:ascii="Times New Roman" w:hAnsi="Times New Roman" w:cs="Times New Roman"/>
        </w:rPr>
        <w:t xml:space="preserve"> </w:t>
      </w:r>
      <w:commentRangeStart w:id="15"/>
      <w:r w:rsidR="005F4B17" w:rsidRPr="00FA32F2">
        <w:rPr>
          <w:rFonts w:ascii="Times New Roman" w:hAnsi="Times New Roman" w:cs="Times New Roman"/>
        </w:rPr>
        <w:t>(11)</w:t>
      </w:r>
      <w:r w:rsidRPr="00FA32F2">
        <w:rPr>
          <w:rFonts w:ascii="Times New Roman" w:hAnsi="Times New Roman" w:cs="Times New Roman"/>
        </w:rPr>
        <w:t xml:space="preserve">. </w:t>
      </w:r>
      <w:commentRangeEnd w:id="15"/>
      <w:r w:rsidR="00940CB2">
        <w:rPr>
          <w:rStyle w:val="CommentReference"/>
        </w:rPr>
        <w:commentReference w:id="15"/>
      </w:r>
      <w:commentRangeStart w:id="16"/>
      <w:r w:rsidRPr="00FA32F2">
        <w:rPr>
          <w:rFonts w:ascii="Times New Roman" w:hAnsi="Times New Roman" w:cs="Times New Roman"/>
        </w:rPr>
        <w:t>In contrast, studies from the U.S. and Europe report rates of 60–75% (</w:t>
      </w:r>
      <w:r w:rsidRPr="007D6425">
        <w:rPr>
          <w:rFonts w:ascii="Times New Roman" w:hAnsi="Times New Roman" w:cs="Times New Roman"/>
          <w:highlight w:val="yellow"/>
          <w:rPrChange w:id="17" w:author="HP" w:date="2025-06-28T01:03:00Z" w16du:dateUtc="2025-06-27T23:03:00Z">
            <w:rPr>
              <w:rFonts w:ascii="Times New Roman" w:hAnsi="Times New Roman" w:cs="Times New Roman"/>
            </w:rPr>
          </w:rPrChange>
        </w:rPr>
        <w:t>Shimbo et al., 2020),</w:t>
      </w:r>
      <w:r w:rsidRPr="00FA32F2">
        <w:rPr>
          <w:rFonts w:ascii="Times New Roman" w:hAnsi="Times New Roman" w:cs="Times New Roman"/>
        </w:rPr>
        <w:t xml:space="preserve"> reflecting better affordability and system support</w:t>
      </w:r>
      <w:commentRangeEnd w:id="16"/>
      <w:r w:rsidR="00940CB2">
        <w:rPr>
          <w:rStyle w:val="CommentReference"/>
        </w:rPr>
        <w:commentReference w:id="16"/>
      </w:r>
      <w:r w:rsidRPr="00FA32F2">
        <w:rPr>
          <w:rFonts w:ascii="Times New Roman" w:hAnsi="Times New Roman" w:cs="Times New Roman"/>
        </w:rPr>
        <w:t>. The implication is that promoting home monitoring—potentially through subsidies or community loan programs—can empower patients and improve BP control through real-time feedback and better engagement.</w:t>
      </w:r>
    </w:p>
    <w:p w14:paraId="3554A455" w14:textId="44B54CBA" w:rsidR="00255894" w:rsidRPr="00FA32F2" w:rsidRDefault="00255894" w:rsidP="00FA32F2">
      <w:pPr>
        <w:rPr>
          <w:rFonts w:ascii="Times New Roman" w:hAnsi="Times New Roman" w:cs="Times New Roman"/>
        </w:rPr>
      </w:pPr>
      <w:commentRangeStart w:id="18"/>
      <w:r w:rsidRPr="00FA32F2">
        <w:rPr>
          <w:rFonts w:ascii="Times New Roman" w:hAnsi="Times New Roman" w:cs="Times New Roman"/>
        </w:rPr>
        <w:t>The finding that female patients are more likely to engage in good hypertension self-management aligns with several studies</w:t>
      </w:r>
      <w:commentRangeEnd w:id="18"/>
      <w:r w:rsidR="00940CB2">
        <w:rPr>
          <w:rStyle w:val="CommentReference"/>
        </w:rPr>
        <w:commentReference w:id="18"/>
      </w:r>
      <w:r w:rsidRPr="00FA32F2">
        <w:rPr>
          <w:rFonts w:ascii="Times New Roman" w:hAnsi="Times New Roman" w:cs="Times New Roman"/>
        </w:rPr>
        <w:t xml:space="preserve">. Research indicates that women often exhibit better health-seeking behaviors and adherence to treatment regimens compared to men. For instance, a study by </w:t>
      </w:r>
      <w:commentRangeStart w:id="19"/>
      <w:r w:rsidR="00F12B90" w:rsidRPr="007D6425">
        <w:rPr>
          <w:rFonts w:ascii="Times New Roman" w:hAnsi="Times New Roman" w:cs="Times New Roman"/>
          <w:highlight w:val="yellow"/>
          <w:rPrChange w:id="20" w:author="HP" w:date="2025-06-28T01:04:00Z" w16du:dateUtc="2025-06-27T23:04:00Z">
            <w:rPr>
              <w:rFonts w:ascii="Times New Roman" w:hAnsi="Times New Roman" w:cs="Times New Roman"/>
            </w:rPr>
          </w:rPrChange>
        </w:rPr>
        <w:t>E</w:t>
      </w:r>
      <w:r w:rsidR="0059039A" w:rsidRPr="007D6425">
        <w:rPr>
          <w:rFonts w:ascii="Times New Roman" w:hAnsi="Times New Roman" w:cs="Times New Roman"/>
          <w:highlight w:val="yellow"/>
          <w:rPrChange w:id="21" w:author="HP" w:date="2025-06-28T01:04:00Z" w16du:dateUtc="2025-06-27T23:04:00Z">
            <w:rPr>
              <w:rFonts w:ascii="Times New Roman" w:hAnsi="Times New Roman" w:cs="Times New Roman"/>
            </w:rPr>
          </w:rPrChange>
        </w:rPr>
        <w:t>vereth</w:t>
      </w:r>
      <w:r w:rsidRPr="007D6425">
        <w:rPr>
          <w:rFonts w:ascii="Times New Roman" w:hAnsi="Times New Roman" w:cs="Times New Roman"/>
          <w:highlight w:val="yellow"/>
          <w:rPrChange w:id="22" w:author="HP" w:date="2025-06-28T01:04:00Z" w16du:dateUtc="2025-06-27T23:04:00Z">
            <w:rPr>
              <w:rFonts w:ascii="Times New Roman" w:hAnsi="Times New Roman" w:cs="Times New Roman"/>
            </w:rPr>
          </w:rPrChange>
        </w:rPr>
        <w:t xml:space="preserve"> et al. (2021) </w:t>
      </w:r>
      <w:commentRangeEnd w:id="19"/>
      <w:r w:rsidR="00940CB2" w:rsidRPr="007D6425">
        <w:rPr>
          <w:rStyle w:val="CommentReference"/>
          <w:highlight w:val="yellow"/>
          <w:rPrChange w:id="23" w:author="HP" w:date="2025-06-28T01:04:00Z" w16du:dateUtc="2025-06-27T23:04:00Z">
            <w:rPr>
              <w:rStyle w:val="CommentReference"/>
            </w:rPr>
          </w:rPrChange>
        </w:rPr>
        <w:commentReference w:id="19"/>
      </w:r>
      <w:r w:rsidRPr="00FA32F2">
        <w:rPr>
          <w:rFonts w:ascii="Times New Roman" w:hAnsi="Times New Roman" w:cs="Times New Roman"/>
        </w:rPr>
        <w:t xml:space="preserve">found that women were more proactive in managing hypertension through lifestyle modifications and regular monitoring. </w:t>
      </w:r>
      <w:commentRangeStart w:id="24"/>
      <w:r w:rsidRPr="00FA32F2">
        <w:rPr>
          <w:rFonts w:ascii="Times New Roman" w:hAnsi="Times New Roman" w:cs="Times New Roman"/>
        </w:rPr>
        <w:t xml:space="preserve">This consistency suggests that gender-specific interventions could be beneficial, with a focus </w:t>
      </w:r>
      <w:commentRangeEnd w:id="24"/>
      <w:r w:rsidR="00940CB2">
        <w:rPr>
          <w:rStyle w:val="CommentReference"/>
        </w:rPr>
        <w:commentReference w:id="24"/>
      </w:r>
      <w:r w:rsidRPr="00FA32F2">
        <w:rPr>
          <w:rFonts w:ascii="Times New Roman" w:hAnsi="Times New Roman" w:cs="Times New Roman"/>
        </w:rPr>
        <w:t xml:space="preserve">Higher educational attainment is consistently associated with better hypertension self-management. Educated individuals are more likely to understand the importance of lifestyle modifications and adhere to treatment plans. A study by </w:t>
      </w:r>
      <w:r w:rsidRPr="007D6425">
        <w:rPr>
          <w:rFonts w:ascii="Times New Roman" w:hAnsi="Times New Roman" w:cs="Times New Roman"/>
          <w:highlight w:val="yellow"/>
          <w:rPrChange w:id="25" w:author="HP" w:date="2025-06-28T01:03:00Z" w16du:dateUtc="2025-06-27T23:03:00Z">
            <w:rPr>
              <w:rFonts w:ascii="Times New Roman" w:hAnsi="Times New Roman" w:cs="Times New Roman"/>
            </w:rPr>
          </w:rPrChange>
        </w:rPr>
        <w:t>Mogre et al. (2022)</w:t>
      </w:r>
      <w:r w:rsidRPr="00FA32F2">
        <w:rPr>
          <w:rFonts w:ascii="Times New Roman" w:hAnsi="Times New Roman" w:cs="Times New Roman"/>
        </w:rPr>
        <w:t xml:space="preserve"> supports this, showing that patients with higher education levels had significantly better self-care practices. This consistency underscores the need for targeted educational interventions for patients with lower educational backgrounds to improve their self-management behaviors.</w:t>
      </w:r>
    </w:p>
    <w:p w14:paraId="157F37C4" w14:textId="77777777" w:rsidR="00255894" w:rsidRPr="00FA32F2" w:rsidRDefault="00255894" w:rsidP="00FA32F2">
      <w:pPr>
        <w:rPr>
          <w:rFonts w:ascii="Times New Roman" w:hAnsi="Times New Roman" w:cs="Times New Roman"/>
        </w:rPr>
      </w:pPr>
      <w:r w:rsidRPr="00FA32F2">
        <w:rPr>
          <w:rFonts w:ascii="Times New Roman" w:hAnsi="Times New Roman" w:cs="Times New Roman"/>
        </w:rPr>
        <w:t xml:space="preserve">Good knowledge of hypertension significantly correlates with effective self-management. Patients who understand the nature of hypertension and its complications are more likely to engage in beneficial behaviors. This finding is consistent with a study by </w:t>
      </w:r>
      <w:r w:rsidRPr="007D6425">
        <w:rPr>
          <w:rFonts w:ascii="Times New Roman" w:hAnsi="Times New Roman" w:cs="Times New Roman"/>
          <w:highlight w:val="yellow"/>
          <w:rPrChange w:id="26" w:author="HP" w:date="2025-06-28T01:03:00Z" w16du:dateUtc="2025-06-27T23:03:00Z">
            <w:rPr>
              <w:rFonts w:ascii="Times New Roman" w:hAnsi="Times New Roman" w:cs="Times New Roman"/>
            </w:rPr>
          </w:rPrChange>
        </w:rPr>
        <w:t>Chiu et al. (2021),</w:t>
      </w:r>
      <w:r w:rsidRPr="00FA32F2">
        <w:rPr>
          <w:rFonts w:ascii="Times New Roman" w:hAnsi="Times New Roman" w:cs="Times New Roman"/>
        </w:rPr>
        <w:t xml:space="preserve"> which found that increased knowledge led to better adherence to self-care practices. The implication is that health education programs should be integral to hypertension management strategies.</w:t>
      </w:r>
    </w:p>
    <w:p w14:paraId="73BC531E" w14:textId="7A4C7690" w:rsidR="00255894" w:rsidRPr="00FA32F2" w:rsidRDefault="00255894" w:rsidP="00FA32F2">
      <w:pPr>
        <w:rPr>
          <w:rFonts w:ascii="Times New Roman" w:hAnsi="Times New Roman" w:cs="Times New Roman"/>
        </w:rPr>
      </w:pPr>
      <w:r w:rsidRPr="00FA32F2">
        <w:rPr>
          <w:rFonts w:ascii="Times New Roman" w:hAnsi="Times New Roman" w:cs="Times New Roman"/>
        </w:rPr>
        <w:t xml:space="preserve">Family support plays a crucial role in hypertension self-management. Patients with supportive family members are more likely to adhere to treatment plans and make necessary lifestyle changes. This is consistent with findings from a study </w:t>
      </w:r>
      <w:r w:rsidR="006D23A6" w:rsidRPr="00FA32F2">
        <w:rPr>
          <w:rFonts w:ascii="Times New Roman" w:hAnsi="Times New Roman" w:cs="Times New Roman"/>
        </w:rPr>
        <w:t>that</w:t>
      </w:r>
      <w:r w:rsidRPr="00FA32F2">
        <w:rPr>
          <w:rFonts w:ascii="Times New Roman" w:hAnsi="Times New Roman" w:cs="Times New Roman"/>
        </w:rPr>
        <w:t xml:space="preserve"> highlighted the positive impact of family involvement on </w:t>
      </w:r>
      <w:r w:rsidRPr="00FA32F2">
        <w:rPr>
          <w:rFonts w:ascii="Times New Roman" w:hAnsi="Times New Roman" w:cs="Times New Roman"/>
        </w:rPr>
        <w:lastRenderedPageBreak/>
        <w:t>patient outcomes</w:t>
      </w:r>
      <w:r w:rsidR="006D23A6" w:rsidRPr="00FA32F2">
        <w:rPr>
          <w:rFonts w:ascii="Times New Roman" w:hAnsi="Times New Roman" w:cs="Times New Roman"/>
        </w:rPr>
        <w:fldChar w:fldCharType="begin"/>
      </w:r>
      <w:r w:rsidR="006D23A6" w:rsidRPr="00FA32F2">
        <w:rPr>
          <w:rFonts w:ascii="Times New Roman" w:hAnsi="Times New Roman" w:cs="Times New Roman"/>
        </w:rPr>
        <w:instrText xml:space="preserve"> ADDIN ZOTERO_ITEM CSL_CITATION {"citationID":"txQ0wBfX","properties":{"formattedCitation":"\\super 36\\nosupersub{}","plainCitation":"36","noteIndex":0},"citationItems":[{"id":5631,"uris":["http://zotero.org/users/15244130/items/BLUV8GGU"],"itemData":{"id":5631,"type":"article-journal","abstract":"Background: Hypertension (HTN) has become a serious health problem in developing countries. The family has an important role in maintaining blood pressure (BP) at home, and sodium diet compliance in people with HTN needs to be developed. Therefore, this research aimed to evaluate the effectiveness of a family self-management program (FSMP) in HTN management and compliance with sodium consumption in rural areas of Indonesia.\n, Study Design: A parallel-group, single-blind randomized controlled trial.\n, Methods: One hundred twenty-six eligible participants were randomly allocated to an intervention (n=63) and a control group (n=63). Participants in the intervention group received a 24-week (6-month) FSMP intervention. The primary outcome measures included the systolic and diastolic BP, the Score Sodium Questionnaire (SSQ), and the Morisky Medication Adherence Scale 8 (MMAS-8). The Knowledge of Health Care for HTN questionnaire and the Efficacy and Behavior Toward Health Care for Patients with HTN questionnaire were used to assess the secondary outcome.\n, Results: The final results were analyzed from 121 participants (n=61 intervention and n=60 control group). The repeated analysis of variance (ANOVA) test results demonstrated significant effects on the management of HTN and adherence to sodium consumption as indicated by systolic (P=0.004) and diastolic BP (P=0.006), SSQ (P&lt;0.001), MMAS 8 (P&lt;0.001), caregivers’ knowledge (P&lt;0.001), caregivers’ self-efficacy (P&lt;0.001), and caregivers’ behaviors (P=0.005).\n, Conclusion: The FMSP emerges as a promising strategy for managing BP and adherence to sodium consumption in people with HTN through the support of family caregivers and selfmanagement activities.","container-title":"Journal of Research in Health Sciences","DOI":"10.34172/jrhs.2024.163","ISSN":"2228-7795","issue":"4","journalAbbreviation":"J Res Health Sci","note":"PMID: 39431653\nPMCID: PMC11492525","page":"e00628","source":"PubMed Central","title":"Family Self-management Program for Hypertension Management and Sodium Consumption Adherence: A Parallel Randomized Control Trial Among Family Caregivers and People With Hypertension","title-short":"Family Self-management Program for Hypertension Management and Sodium Consumption Adherence","volume":"24","author":[{"family":"Susanto","given":"Tantut"},{"family":"Hernawati","given":"Sri"},{"family":"Yunanto","given":"Rismawan Adi"},{"family":"Rahmawati","given":"Ira"},{"family":"Laras Ati","given":"Niken Asih"},{"family":"Fauziah","given":"Wahyuni"}],"issued":{"date-parts":[["2024",9,30]]}}}],"schema":"https://github.com/citation-style-language/schema/raw/master/csl-citation.json"} </w:instrText>
      </w:r>
      <w:r w:rsidR="006D23A6" w:rsidRPr="00FA32F2">
        <w:rPr>
          <w:rFonts w:ascii="Times New Roman" w:hAnsi="Times New Roman" w:cs="Times New Roman"/>
        </w:rPr>
        <w:fldChar w:fldCharType="separate"/>
      </w:r>
      <w:r w:rsidR="006D23A6" w:rsidRPr="00FA32F2">
        <w:rPr>
          <w:rFonts w:ascii="Times New Roman" w:hAnsi="Times New Roman" w:cs="Times New Roman"/>
          <w:kern w:val="0"/>
          <w:vertAlign w:val="superscript"/>
        </w:rPr>
        <w:t>36</w:t>
      </w:r>
      <w:r w:rsidR="006D23A6" w:rsidRPr="00FA32F2">
        <w:rPr>
          <w:rFonts w:ascii="Times New Roman" w:hAnsi="Times New Roman" w:cs="Times New Roman"/>
        </w:rPr>
        <w:fldChar w:fldCharType="end"/>
      </w:r>
      <w:r w:rsidRPr="00FA32F2">
        <w:rPr>
          <w:rFonts w:ascii="Times New Roman" w:hAnsi="Times New Roman" w:cs="Times New Roman"/>
        </w:rPr>
        <w:t>. The implication is that involving family members in educational and management plans can enhance patient adherence and overall health outcomes.</w:t>
      </w:r>
    </w:p>
    <w:p w14:paraId="5C456F50" w14:textId="504DA873" w:rsidR="00255894" w:rsidRPr="00FA32F2" w:rsidRDefault="00255894" w:rsidP="00FA32F2">
      <w:pPr>
        <w:rPr>
          <w:rFonts w:ascii="Times New Roman" w:hAnsi="Times New Roman" w:cs="Times New Roman"/>
        </w:rPr>
      </w:pPr>
      <w:r w:rsidRPr="00FA32F2">
        <w:rPr>
          <w:rFonts w:ascii="Times New Roman" w:hAnsi="Times New Roman" w:cs="Times New Roman"/>
        </w:rPr>
        <w:t>Being a non-smoker is associated with better hypertension self-management. Smoking is known to exacerbate hypertension and hinder the effectiveness of treatment. This finding aligns with research which found that smokers had poorer adherence to hypertension management practices.</w:t>
      </w:r>
      <w:r w:rsidR="006D23A6" w:rsidRPr="00FA32F2">
        <w:rPr>
          <w:rFonts w:ascii="Times New Roman" w:hAnsi="Times New Roman" w:cs="Times New Roman"/>
        </w:rPr>
        <w:fldChar w:fldCharType="begin"/>
      </w:r>
      <w:r w:rsidR="006D23A6" w:rsidRPr="00FA32F2">
        <w:rPr>
          <w:rFonts w:ascii="Times New Roman" w:hAnsi="Times New Roman" w:cs="Times New Roman"/>
        </w:rPr>
        <w:instrText xml:space="preserve"> ADDIN ZOTERO_ITEM CSL_CITATION {"citationID":"RN4IWgeh","properties":{"formattedCitation":"\\super 37\\nosupersub{}","plainCitation":"37","noteIndex":0},"citationItems":[{"id":5909,"uris":["http://zotero.org/users/15244130/items/RLYG25GN"],"itemData":{"id":5909,"type":"article-journal","abstract":"Background\nHypertension is the primary cause of cardiovascular disease and early mortality. Self-care is important for the prevention of hypertensive-related complications, and it was found to be necessary to determine the self-care adherence of hypertensive patients in Guraghe Zone, as there are limited findings in this area. The other reason for conducting this study was that there are certain variables related to self-care that have not been well studied, such as BMI, the number of antihypertensive medications, and the duration of antihypertensive drugs the patients are taking.\nObjective\nTo assess self-care adherence and associated factors among hypertensive patients at Guraghe zone public hospitals.\nMethods and materials\nA multi-center institution-based cross-sectional study was conducted at selected Guraghe zone hospitals from May 20 to June 20, 2023. A systematic random sampling method was employed to select 370 participants. Hypertension self-care Activity Level Scale Effects (H-SCALE) was used to measure the self-care status. A binary logistic regression model was applied, and variables with a p-value &lt;0.05 with a 95 % CI in the multivariable analysis were considered significant.\nResults\nThe study evaluated the self-care adherence of 370 patients, and 50.8 % of patients had good self-care adherence. Normal BMI (AOR = 2.049, 95 % CI: 1.041, 4.033), starting antihypertensive in &lt;5 years (AOR = 2.530, 95 % CI: 1.462, 4.381), patients taking three or more antihypertensive (AOR = 4.534, 95 % CI: 2.005, 10.252), absence of comorbidity (AOR = 1.758, 95 % CI: 1.030, 3.003), and strong social support (AOR = 3.842, 95 % CI: 1.994, 7.402) were significantly associated with good self-care.\nConclusion\nand recommendation: Nearly half of patients with hypertension had good self-care adherence. BMI, antihypertensive duration, number of antihypertensive, comorbidity, and social support were variables that showed significant association with self-care adherence. Patients need to implement the lifestyle recommendations in addition to regular follow-up to prevent complications. Health-care facilities need to provide health education on the proper implementation of self-care recommendations.","container-title":"Heliyon","DOI":"10.1016/j.heliyon.2024.e36985","ISSN":"2405-8440","issue":"17","journalAbbreviation":"Heliyon","page":"e36985","source":"ScienceDirect","title":"Self-care adherence and associated factors among hypertensive patients at Guraghe Zone, 2023","volume":"10","author":[{"family":"Abza","given":"Legese Fekede"},{"family":"Yesuf","given":"Muhaba Ahmedin"},{"family":"Emrie","given":"Ambaw Abebaw"},{"family":"Belay","given":"Alemayehu Sayih"},{"family":"Bekele","given":"Tola Getachew"},{"family":"Tetema","given":"Mesfin Difer"},{"family":"Berriea","given":"Fantahun Walle"},{"family":"Baymot","given":"Aemiro"}],"issued":{"date-parts":[["2024",9,15]]}}}],"schema":"https://github.com/citation-style-language/schema/raw/master/csl-citation.json"} </w:instrText>
      </w:r>
      <w:r w:rsidR="006D23A6" w:rsidRPr="00FA32F2">
        <w:rPr>
          <w:rFonts w:ascii="Times New Roman" w:hAnsi="Times New Roman" w:cs="Times New Roman"/>
        </w:rPr>
        <w:fldChar w:fldCharType="separate"/>
      </w:r>
      <w:r w:rsidR="006D23A6" w:rsidRPr="00FA32F2">
        <w:rPr>
          <w:rFonts w:ascii="Times New Roman" w:hAnsi="Times New Roman" w:cs="Times New Roman"/>
          <w:kern w:val="0"/>
          <w:vertAlign w:val="superscript"/>
        </w:rPr>
        <w:t>37</w:t>
      </w:r>
      <w:r w:rsidR="006D23A6" w:rsidRPr="00FA32F2">
        <w:rPr>
          <w:rFonts w:ascii="Times New Roman" w:hAnsi="Times New Roman" w:cs="Times New Roman"/>
        </w:rPr>
        <w:fldChar w:fldCharType="end"/>
      </w:r>
      <w:r w:rsidRPr="00FA32F2">
        <w:rPr>
          <w:rFonts w:ascii="Times New Roman" w:hAnsi="Times New Roman" w:cs="Times New Roman"/>
        </w:rPr>
        <w:t xml:space="preserve"> The implication is that smoking cessation programs should be integrated into hypertension management plans to improve patient outcomes.</w:t>
      </w:r>
    </w:p>
    <w:p w14:paraId="62A8EF69" w14:textId="12CD300D" w:rsidR="00AD521D" w:rsidRPr="00FA32F2" w:rsidRDefault="00E94215" w:rsidP="00FA32F2">
      <w:pPr>
        <w:rPr>
          <w:rFonts w:ascii="Times New Roman" w:hAnsi="Times New Roman" w:cs="Times New Roman"/>
        </w:rPr>
      </w:pPr>
      <w:r w:rsidRPr="00FA32F2">
        <w:rPr>
          <w:rFonts w:ascii="Times New Roman" w:hAnsi="Times New Roman" w:cs="Times New Roman"/>
        </w:rPr>
        <w:t xml:space="preserve">A major weakness of this study is its cross-sectional design, which limits the ability to establish causal relationships between the identified factors and hypertension self-management practices. Since data were collected at a single point in time, it is unclear whether variables such as educational attainment or knowledge of hypertension directly lead to better self-management, or if individuals who manage their condition well are more likely to acquire such attributes. Nevertheless, the study's strength lies in its identification of significant and diverse </w:t>
      </w:r>
      <w:r w:rsidR="002F17C2" w:rsidRPr="00FA32F2">
        <w:rPr>
          <w:rFonts w:ascii="Times New Roman" w:hAnsi="Times New Roman" w:cs="Times New Roman"/>
        </w:rPr>
        <w:t xml:space="preserve">correlations </w:t>
      </w:r>
      <w:r w:rsidRPr="00FA32F2">
        <w:rPr>
          <w:rFonts w:ascii="Times New Roman" w:hAnsi="Times New Roman" w:cs="Times New Roman"/>
        </w:rPr>
        <w:t>such as gender, education level, family support, and smoking status</w:t>
      </w:r>
      <w:r w:rsidR="002F17C2" w:rsidRPr="00FA32F2">
        <w:rPr>
          <w:rFonts w:ascii="Times New Roman" w:hAnsi="Times New Roman" w:cs="Times New Roman"/>
        </w:rPr>
        <w:t xml:space="preserve">, </w:t>
      </w:r>
      <w:r w:rsidRPr="00FA32F2">
        <w:rPr>
          <w:rFonts w:ascii="Times New Roman" w:hAnsi="Times New Roman" w:cs="Times New Roman"/>
        </w:rPr>
        <w:t>providing a robust evidence base for designing targeted interventions to improve hypertension outcomes in similar settings.</w:t>
      </w:r>
    </w:p>
    <w:p w14:paraId="5910E51E" w14:textId="29CE8FFF" w:rsidR="00E94215" w:rsidRPr="00FA32F2" w:rsidRDefault="00E94215" w:rsidP="00FA32F2">
      <w:pPr>
        <w:rPr>
          <w:rFonts w:ascii="Times New Roman" w:hAnsi="Times New Roman" w:cs="Times New Roman"/>
          <w:b/>
          <w:bCs/>
        </w:rPr>
      </w:pPr>
      <w:r w:rsidRPr="00FA32F2">
        <w:rPr>
          <w:rFonts w:ascii="Times New Roman" w:hAnsi="Times New Roman" w:cs="Times New Roman"/>
          <w:b/>
          <w:bCs/>
        </w:rPr>
        <w:t>Conclusion</w:t>
      </w:r>
    </w:p>
    <w:p w14:paraId="12DEC73D" w14:textId="05CB8E0D" w:rsidR="00E94215" w:rsidRPr="00FA32F2" w:rsidRDefault="005F6429" w:rsidP="00FA32F2">
      <w:pPr>
        <w:rPr>
          <w:rFonts w:ascii="Times New Roman" w:hAnsi="Times New Roman" w:cs="Times New Roman"/>
        </w:rPr>
      </w:pPr>
      <w:r w:rsidRPr="00FA32F2">
        <w:rPr>
          <w:rFonts w:ascii="Times New Roman" w:hAnsi="Times New Roman" w:cs="Times New Roman"/>
        </w:rPr>
        <w:t xml:space="preserve">This study highlights that less than half of hypertensive patients at Northern Region Hospital demonstrate good self-management practices, with </w:t>
      </w:r>
      <w:r w:rsidR="002F17C2" w:rsidRPr="00FA32F2">
        <w:rPr>
          <w:rFonts w:ascii="Times New Roman" w:hAnsi="Times New Roman" w:cs="Times New Roman"/>
        </w:rPr>
        <w:t>significant</w:t>
      </w:r>
      <w:r w:rsidRPr="00FA32F2">
        <w:rPr>
          <w:rFonts w:ascii="Times New Roman" w:hAnsi="Times New Roman" w:cs="Times New Roman"/>
        </w:rPr>
        <w:t xml:space="preserve"> gaps observed in lifestyle behaviors such as physical activity, salt reduction, and home blood pressure monitoring. While medication adherence and clinic attendance were relatively high, the findings emphasize that effective hypertension control requires more than pharmacological compliance. Significant factors associated with better self-management included being female, having higher education, possessing good </w:t>
      </w:r>
      <w:r w:rsidR="002F17C2" w:rsidRPr="00FA32F2">
        <w:rPr>
          <w:rFonts w:ascii="Times New Roman" w:hAnsi="Times New Roman" w:cs="Times New Roman"/>
        </w:rPr>
        <w:t>hypertension knowledge</w:t>
      </w:r>
      <w:r w:rsidRPr="00FA32F2">
        <w:rPr>
          <w:rFonts w:ascii="Times New Roman" w:hAnsi="Times New Roman" w:cs="Times New Roman"/>
        </w:rPr>
        <w:t>, receiving family support, and abstaining from smoking. These results underscore the importance of health education, social support, and targeted behavioral interventions to strengthen patient engagement in comprehensive hypertension self-care. Addressing these areas through community-based and health system strategies is essential for improving long-term outcomes and reducing the burden of hypertension in the region.</w:t>
      </w:r>
    </w:p>
    <w:p w14:paraId="33F48884" w14:textId="77777777" w:rsidR="002F17C2" w:rsidRPr="00FC0B37" w:rsidRDefault="002F17C2" w:rsidP="00FA32F2">
      <w:pPr>
        <w:rPr>
          <w:rFonts w:ascii="Times New Roman" w:hAnsi="Times New Roman" w:cs="Times New Roman"/>
          <w:b/>
          <w:bCs/>
          <w:rPrChange w:id="27" w:author="HP" w:date="2025-06-28T00:55:00Z" w16du:dateUtc="2025-06-27T22:55:00Z">
            <w:rPr>
              <w:rFonts w:ascii="Times New Roman" w:hAnsi="Times New Roman" w:cs="Times New Roman"/>
            </w:rPr>
          </w:rPrChange>
        </w:rPr>
      </w:pPr>
      <w:r w:rsidRPr="00FC0B37">
        <w:rPr>
          <w:rFonts w:ascii="Times New Roman" w:hAnsi="Times New Roman" w:cs="Times New Roman"/>
          <w:b/>
          <w:bCs/>
          <w:rPrChange w:id="28" w:author="HP" w:date="2025-06-28T00:55:00Z" w16du:dateUtc="2025-06-27T22:55:00Z">
            <w:rPr>
              <w:rFonts w:ascii="Times New Roman" w:hAnsi="Times New Roman" w:cs="Times New Roman"/>
            </w:rPr>
          </w:rPrChange>
        </w:rPr>
        <w:t>Recommendations</w:t>
      </w:r>
    </w:p>
    <w:p w14:paraId="47260107" w14:textId="77777777" w:rsidR="002F17C2" w:rsidRPr="00FA32F2" w:rsidRDefault="002F17C2" w:rsidP="00FA32F2">
      <w:pPr>
        <w:rPr>
          <w:rFonts w:ascii="Times New Roman" w:hAnsi="Times New Roman" w:cs="Times New Roman"/>
        </w:rPr>
      </w:pPr>
      <w:r w:rsidRPr="00FA32F2">
        <w:rPr>
          <w:rFonts w:ascii="Times New Roman" w:hAnsi="Times New Roman" w:cs="Times New Roman"/>
        </w:rPr>
        <w:t>To improve hypertension self-management, health education should go beyond medication adherence to include lifestyle changes like salt reduction, physical activity, and home blood pressure monitoring, especially targeting individuals with lower education levels. Family involvement should be encouraged, as it enhances adherence to self-care practices. Tailored interventions are needed for high-risk groups such as males and less educated individuals. Integrating behavioral counseling, including smoking cessation, into routine care can further support self-management. Strengthening follow-up systems and reminders may also improve clinic attendance and self-monitoring. Lastly, longitudinal studies are recommended to explore causal relationships and evaluate intervention outcomes.</w:t>
      </w:r>
    </w:p>
    <w:p w14:paraId="46013DB6" w14:textId="77777777" w:rsidR="007415B5" w:rsidRPr="00FA32F2" w:rsidRDefault="007415B5" w:rsidP="00FA32F2">
      <w:pPr>
        <w:spacing w:line="276" w:lineRule="auto"/>
        <w:rPr>
          <w:rFonts w:ascii="Times New Roman" w:hAnsi="Times New Roman" w:cs="Times New Roman"/>
          <w:b/>
          <w:bCs/>
        </w:rPr>
      </w:pPr>
      <w:r w:rsidRPr="00FA32F2">
        <w:rPr>
          <w:rFonts w:ascii="Times New Roman" w:hAnsi="Times New Roman" w:cs="Times New Roman"/>
          <w:b/>
          <w:bCs/>
        </w:rPr>
        <w:t>Consent for publication</w:t>
      </w:r>
    </w:p>
    <w:p w14:paraId="38A95A57" w14:textId="77777777" w:rsidR="007415B5" w:rsidRPr="00FA32F2" w:rsidRDefault="007415B5" w:rsidP="00FA32F2">
      <w:pPr>
        <w:spacing w:line="276" w:lineRule="auto"/>
        <w:rPr>
          <w:rFonts w:ascii="Times New Roman" w:eastAsia="Times New Roman" w:hAnsi="Times New Roman" w:cs="Times New Roman"/>
          <w:lang w:eastAsia="en-GB"/>
        </w:rPr>
      </w:pPr>
      <w:r w:rsidRPr="00FA32F2">
        <w:rPr>
          <w:rFonts w:ascii="Times New Roman" w:eastAsia="Times New Roman" w:hAnsi="Times New Roman" w:cs="Times New Roman"/>
          <w:lang w:eastAsia="en-GB"/>
        </w:rPr>
        <w:t>Not applicable</w:t>
      </w:r>
    </w:p>
    <w:p w14:paraId="53FB9E23" w14:textId="77777777" w:rsidR="007415B5" w:rsidRPr="00FA32F2" w:rsidRDefault="007415B5" w:rsidP="00FA32F2">
      <w:pPr>
        <w:spacing w:line="276" w:lineRule="auto"/>
        <w:rPr>
          <w:rFonts w:ascii="Times New Roman" w:eastAsia="Times New Roman" w:hAnsi="Times New Roman" w:cs="Times New Roman"/>
          <w:b/>
          <w:bCs/>
          <w:lang w:eastAsia="en-GB"/>
        </w:rPr>
      </w:pPr>
      <w:r w:rsidRPr="00FA32F2">
        <w:rPr>
          <w:rFonts w:ascii="Times New Roman" w:eastAsia="Times New Roman" w:hAnsi="Times New Roman" w:cs="Times New Roman"/>
          <w:b/>
          <w:bCs/>
          <w:lang w:eastAsia="en-GB"/>
        </w:rPr>
        <w:t>Data Availability</w:t>
      </w:r>
    </w:p>
    <w:p w14:paraId="76EE7915" w14:textId="4276F68F" w:rsidR="007415B5" w:rsidRPr="00FA32F2" w:rsidRDefault="007415B5" w:rsidP="00FA32F2">
      <w:pPr>
        <w:pStyle w:val="NoSpacing"/>
        <w:spacing w:line="276" w:lineRule="auto"/>
        <w:rPr>
          <w:rFonts w:ascii="Times New Roman" w:eastAsia="Times New Roman" w:hAnsi="Times New Roman" w:cs="Times New Roman"/>
          <w:bCs/>
          <w:lang w:eastAsia="en-GB"/>
        </w:rPr>
      </w:pPr>
      <w:r w:rsidRPr="00FA32F2">
        <w:rPr>
          <w:rFonts w:ascii="Times New Roman" w:eastAsia="Times New Roman" w:hAnsi="Times New Roman" w:cs="Times New Roman"/>
          <w:bCs/>
          <w:lang w:eastAsia="en-GB"/>
        </w:rPr>
        <w:t>Data used to support this study are available from the corresponding author upon request.</w:t>
      </w:r>
    </w:p>
    <w:p w14:paraId="35A808B3" w14:textId="77777777" w:rsidR="007415B5" w:rsidRPr="00FA32F2" w:rsidRDefault="007415B5" w:rsidP="00FA32F2">
      <w:pPr>
        <w:pStyle w:val="NoSpacing"/>
        <w:spacing w:line="276" w:lineRule="auto"/>
        <w:rPr>
          <w:rFonts w:ascii="Times New Roman" w:eastAsia="Times New Roman" w:hAnsi="Times New Roman" w:cs="Times New Roman"/>
          <w:bCs/>
          <w:lang w:eastAsia="en-GB"/>
        </w:rPr>
      </w:pPr>
    </w:p>
    <w:p w14:paraId="3B3F1988" w14:textId="77777777" w:rsidR="000049AF" w:rsidRDefault="000049AF" w:rsidP="00FA32F2">
      <w:pPr>
        <w:spacing w:line="276" w:lineRule="auto"/>
        <w:rPr>
          <w:rFonts w:ascii="Times New Roman" w:hAnsi="Times New Roman" w:cs="Times New Roman"/>
          <w:b/>
          <w:bCs/>
          <w:shd w:val="clear" w:color="auto" w:fill="FFFFFF"/>
        </w:rPr>
      </w:pPr>
    </w:p>
    <w:p w14:paraId="211DC295" w14:textId="346C567F" w:rsidR="007415B5" w:rsidRPr="00FA32F2" w:rsidRDefault="007415B5" w:rsidP="00FA32F2">
      <w:pPr>
        <w:spacing w:line="276" w:lineRule="auto"/>
        <w:rPr>
          <w:rFonts w:ascii="Times New Roman" w:hAnsi="Times New Roman" w:cs="Times New Roman"/>
          <w:b/>
          <w:bCs/>
          <w:shd w:val="clear" w:color="auto" w:fill="FFFFFF"/>
        </w:rPr>
      </w:pPr>
      <w:r w:rsidRPr="00FA32F2">
        <w:rPr>
          <w:rFonts w:ascii="Times New Roman" w:hAnsi="Times New Roman" w:cs="Times New Roman"/>
          <w:b/>
          <w:bCs/>
          <w:shd w:val="clear" w:color="auto" w:fill="FFFFFF"/>
        </w:rPr>
        <w:lastRenderedPageBreak/>
        <w:t>Disclaimer (Artificial intelligence)</w:t>
      </w:r>
    </w:p>
    <w:p w14:paraId="0DBEA281" w14:textId="77777777" w:rsidR="007415B5" w:rsidRPr="00FA32F2" w:rsidRDefault="007415B5" w:rsidP="00FA32F2">
      <w:pPr>
        <w:spacing w:line="276" w:lineRule="auto"/>
        <w:rPr>
          <w:rFonts w:ascii="Times New Roman" w:hAnsi="Times New Roman" w:cs="Times New Roman"/>
          <w:shd w:val="clear" w:color="auto" w:fill="FFFFFF"/>
        </w:rPr>
      </w:pPr>
      <w:r w:rsidRPr="00FA32F2">
        <w:rPr>
          <w:rFonts w:ascii="Times New Roman" w:hAnsi="Times New Roman" w:cs="Times New Roman"/>
          <w:shd w:val="clear" w:color="auto" w:fill="FFFFFF"/>
        </w:rPr>
        <w:t>Authors at this moment declare that generative AI (ChatGPT) has been used during the editing of manuscripts.</w:t>
      </w:r>
    </w:p>
    <w:p w14:paraId="75E5EFA3" w14:textId="77777777" w:rsidR="00713480" w:rsidRPr="00FA32F2" w:rsidRDefault="00713480" w:rsidP="00FA32F2">
      <w:pPr>
        <w:rPr>
          <w:rFonts w:ascii="Times New Roman" w:hAnsi="Times New Roman" w:cs="Times New Roman"/>
        </w:rPr>
      </w:pPr>
    </w:p>
    <w:p w14:paraId="544DBFCA" w14:textId="42DCB5DB" w:rsidR="00713480" w:rsidRPr="00FA32F2" w:rsidRDefault="00713480" w:rsidP="00FA32F2">
      <w:pPr>
        <w:rPr>
          <w:rFonts w:ascii="Times New Roman" w:hAnsi="Times New Roman" w:cs="Times New Roman"/>
          <w:b/>
          <w:bCs/>
        </w:rPr>
      </w:pPr>
      <w:commentRangeStart w:id="29"/>
      <w:r w:rsidRPr="00FA32F2">
        <w:rPr>
          <w:rFonts w:ascii="Times New Roman" w:hAnsi="Times New Roman" w:cs="Times New Roman"/>
          <w:b/>
          <w:bCs/>
        </w:rPr>
        <w:t>References</w:t>
      </w:r>
      <w:commentRangeEnd w:id="29"/>
      <w:r w:rsidR="00FC0B37">
        <w:rPr>
          <w:rStyle w:val="CommentReference"/>
        </w:rPr>
        <w:commentReference w:id="29"/>
      </w:r>
    </w:p>
    <w:p w14:paraId="796652DF" w14:textId="77777777" w:rsidR="005F6429" w:rsidRPr="00FA32F2" w:rsidRDefault="005F6429" w:rsidP="00FA32F2">
      <w:pPr>
        <w:rPr>
          <w:rFonts w:ascii="Times New Roman" w:hAnsi="Times New Roman" w:cs="Times New Roman"/>
        </w:rPr>
      </w:pPr>
    </w:p>
    <w:p w14:paraId="6F12B9A1" w14:textId="18ACD963"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fldChar w:fldCharType="begin"/>
      </w:r>
      <w:r w:rsidRPr="00FA32F2">
        <w:rPr>
          <w:rFonts w:ascii="Times New Roman" w:hAnsi="Times New Roman" w:cs="Times New Roman"/>
        </w:rPr>
        <w:instrText xml:space="preserve"> ADDIN ZOTERO_BIBL {"uncited":[],"omitted":[],"custom":[]} CSL_BIBLIOGRAPHY </w:instrText>
      </w:r>
      <w:r w:rsidRPr="00FA32F2">
        <w:rPr>
          <w:rFonts w:ascii="Times New Roman" w:hAnsi="Times New Roman" w:cs="Times New Roman"/>
        </w:rPr>
        <w:fldChar w:fldCharType="separate"/>
      </w:r>
      <w:r w:rsidRPr="00FA32F2">
        <w:rPr>
          <w:rFonts w:ascii="Times New Roman" w:hAnsi="Times New Roman" w:cs="Times New Roman"/>
        </w:rPr>
        <w:t xml:space="preserve">1. </w:t>
      </w:r>
      <w:r w:rsidRPr="00FA32F2">
        <w:rPr>
          <w:rFonts w:ascii="Times New Roman" w:hAnsi="Times New Roman" w:cs="Times New Roman"/>
        </w:rPr>
        <w:tab/>
        <w:t>Mills KT, Stefanescu A, He J. The global epidemiology of hypertension. Nat Rev Nephrol. 2020 Apr;16(4):223–37.</w:t>
      </w:r>
    </w:p>
    <w:p w14:paraId="3C6854CB" w14:textId="3A1C6D21"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 </w:t>
      </w:r>
      <w:r w:rsidRPr="00FA32F2">
        <w:rPr>
          <w:rFonts w:ascii="Times New Roman" w:hAnsi="Times New Roman" w:cs="Times New Roman"/>
        </w:rPr>
        <w:tab/>
        <w:t>Burnier M, Damianaki A. Hypertension as Cardiovascular Risk Factor in Chronic Kidney Disease. Circulation Research. 2023 Apr 14;132(8):1050–63.</w:t>
      </w:r>
    </w:p>
    <w:p w14:paraId="0989BA9A"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 </w:t>
      </w:r>
      <w:r w:rsidRPr="00FA32F2">
        <w:rPr>
          <w:rFonts w:ascii="Times New Roman" w:hAnsi="Times New Roman" w:cs="Times New Roman"/>
        </w:rPr>
        <w:tab/>
        <w:t>World Health Organization. Hypertension: Key facts [Internet]. 2023 [cited 2025 Jun 18]. Available from: https://www.who.int/news-room/fact-sheets/detail/hypertension</w:t>
      </w:r>
    </w:p>
    <w:p w14:paraId="03C86B08" w14:textId="6F934D5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4. </w:t>
      </w:r>
      <w:r w:rsidRPr="00FA32F2">
        <w:rPr>
          <w:rFonts w:ascii="Times New Roman" w:hAnsi="Times New Roman" w:cs="Times New Roman"/>
        </w:rPr>
        <w:tab/>
        <w:t>Wierzejska E, Giernaś B, Lipiak A, Karasiewicz M, Cofta M, Staszewski R. A global perspective on the costs of hypertension: a systematic review. Arch Med Sci. 2020 Jan 31;16(5):1078–91.</w:t>
      </w:r>
    </w:p>
    <w:p w14:paraId="3ABED784"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5. </w:t>
      </w:r>
      <w:r w:rsidRPr="00FA32F2">
        <w:rPr>
          <w:rFonts w:ascii="Times New Roman" w:hAnsi="Times New Roman" w:cs="Times New Roman"/>
        </w:rPr>
        <w:tab/>
        <w:t>Nkyi CA. Review of Hypertension in sub-Saharan Africa. Afri Jour Cur Med Res [Internet]. 2017 Jul 20 [cited 2025 Jun 18];1(1). Available from: https://myjournal.afrijcmr.org/index.php/ajcmr/article/view/8</w:t>
      </w:r>
    </w:p>
    <w:p w14:paraId="465EB2FA" w14:textId="010C332C"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6. </w:t>
      </w:r>
      <w:r w:rsidRPr="00FA32F2">
        <w:rPr>
          <w:rFonts w:ascii="Times New Roman" w:hAnsi="Times New Roman" w:cs="Times New Roman"/>
        </w:rPr>
        <w:tab/>
        <w:t>Amegah AK. Tackling the Growing Burden of Cardiovascular Diseases in Sub-Saharan Africa: Need for Dietary Guidelines. Circulation. 2018 Nov 27;138(22):2449–51.</w:t>
      </w:r>
    </w:p>
    <w:p w14:paraId="3A04FA5C" w14:textId="4C13C3A0"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7. </w:t>
      </w:r>
      <w:r w:rsidRPr="00FA32F2">
        <w:rPr>
          <w:rFonts w:ascii="Times New Roman" w:hAnsi="Times New Roman" w:cs="Times New Roman"/>
        </w:rPr>
        <w:tab/>
        <w:t>Ataklte F, Erqou S, Kaptoge S, Taye B, Echouffo-Tcheugui JB, Kengne AP. Burden of undiagnosed hypertension in sub-saharan Africa: a systematic review and meta-analysis. Hypertension. 2015 Feb;65(2):291–8.</w:t>
      </w:r>
    </w:p>
    <w:p w14:paraId="6C057795" w14:textId="2D44A42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8. </w:t>
      </w:r>
      <w:r w:rsidRPr="00FA32F2">
        <w:rPr>
          <w:rFonts w:ascii="Times New Roman" w:hAnsi="Times New Roman" w:cs="Times New Roman"/>
        </w:rPr>
        <w:tab/>
        <w:t>Hussien M, Muhye A, Abebe F, Ambaw F. The Role of Health Care Quality in Hypertension Self-Management: A Qualitative Study of the Experience of Patients in a Public Hospital, North-West Ethiopia. Integr Blood Press Control. 2021 Apr 27;14:55–68.</w:t>
      </w:r>
    </w:p>
    <w:p w14:paraId="28C97901" w14:textId="3D5A0EA3"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9. </w:t>
      </w:r>
      <w:r w:rsidRPr="00FA32F2">
        <w:rPr>
          <w:rFonts w:ascii="Times New Roman" w:hAnsi="Times New Roman" w:cs="Times New Roman"/>
        </w:rPr>
        <w:tab/>
        <w:t>Gyawali B, Khanal P, Mishra SR, van Teijlingen E, Wolf Meyrowitsch D. Building Strong Primary Health Care to Tackle the Growing Burden of Non-Communicable Diseases in Nepal. Glob Health Action. 13(1):1788262.</w:t>
      </w:r>
    </w:p>
    <w:p w14:paraId="5433E82A" w14:textId="42F04BF8"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10. </w:t>
      </w:r>
      <w:r w:rsidRPr="00FA32F2">
        <w:rPr>
          <w:rFonts w:ascii="Times New Roman" w:hAnsi="Times New Roman" w:cs="Times New Roman"/>
        </w:rPr>
        <w:tab/>
        <w:t>Bosu WK, Bosu DK. Prevalence, awareness and control of hypertension in Ghana: A systematic review and meta-analysis. PLoS One. 2021 Mar 5;16(3):e0248137.</w:t>
      </w:r>
    </w:p>
    <w:p w14:paraId="665E7410" w14:textId="179F513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11. </w:t>
      </w:r>
      <w:r w:rsidRPr="00FA32F2">
        <w:rPr>
          <w:rFonts w:ascii="Times New Roman" w:hAnsi="Times New Roman" w:cs="Times New Roman"/>
        </w:rPr>
        <w:tab/>
        <w:t>Tay DA, Ocansey RTA. Impact of Urbanization on Health and Well-Being in Ghana. Status of Research, Intervention Strategies and Future Directions: A Rapid Review. Front Public Health. 2022 Jun 28;10:877920.</w:t>
      </w:r>
    </w:p>
    <w:p w14:paraId="50977DBA" w14:textId="55FCA3CB"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12. </w:t>
      </w:r>
      <w:r w:rsidRPr="00FA32F2">
        <w:rPr>
          <w:rFonts w:ascii="Times New Roman" w:hAnsi="Times New Roman" w:cs="Times New Roman"/>
        </w:rPr>
        <w:tab/>
        <w:t>Sarkodie E, Afriyie DK, Hutton-Nyameaye A, Amponsah SK. Adherence to drug therapy among hypertensive patients attending two district hospitals in Ghana. Afr Health Sci. 2020 Sep;20(3):1355–67.</w:t>
      </w:r>
    </w:p>
    <w:p w14:paraId="5EBF2255" w14:textId="58248EA4"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lastRenderedPageBreak/>
        <w:t xml:space="preserve">13. </w:t>
      </w:r>
      <w:r w:rsidRPr="00FA32F2">
        <w:rPr>
          <w:rFonts w:ascii="Times New Roman" w:hAnsi="Times New Roman" w:cs="Times New Roman"/>
        </w:rPr>
        <w:tab/>
        <w:t>Kretchy IA, Owusu-Daaku FT, Danquah SA. Mental health in hypertension: assessing symptoms of anxiety, depression and stress on anti-hypertensive medication adherence. Int J Ment Health Syst. 2014 Jun 21;8:25.</w:t>
      </w:r>
    </w:p>
    <w:p w14:paraId="659507F2" w14:textId="0D811900"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14. </w:t>
      </w:r>
      <w:r w:rsidRPr="00FA32F2">
        <w:rPr>
          <w:rFonts w:ascii="Times New Roman" w:hAnsi="Times New Roman" w:cs="Times New Roman"/>
        </w:rPr>
        <w:tab/>
        <w:t>Awuah RB, Anarfi JK, Agyemang C, Ogedegbe G, Aikins A de-Graft. Prevalence, awareness, treatment and control of hypertension in urban poor communities in Accra, Ghana. J Hypertens. 2014 Jun;32(6):1203–10.</w:t>
      </w:r>
    </w:p>
    <w:p w14:paraId="215EAC6D" w14:textId="2CA8CC4C"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15. </w:t>
      </w:r>
      <w:r w:rsidRPr="00FA32F2">
        <w:rPr>
          <w:rFonts w:ascii="Times New Roman" w:hAnsi="Times New Roman" w:cs="Times New Roman"/>
        </w:rPr>
        <w:tab/>
        <w:t>Nyaaba GN, Masana L, de-Graft Aikins A, Beune E, Agyemang C. Factors hindering hypertension control: perspectives of front-line health professionals in rural Ghana. Public Health. 2020 Apr;181:16–23.</w:t>
      </w:r>
    </w:p>
    <w:p w14:paraId="48099F73" w14:textId="62B25B65"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16. </w:t>
      </w:r>
      <w:r w:rsidRPr="00FA32F2">
        <w:rPr>
          <w:rFonts w:ascii="Times New Roman" w:hAnsi="Times New Roman" w:cs="Times New Roman"/>
        </w:rPr>
        <w:tab/>
        <w:t>Atibila F, Ten Hoor G, Donkoh ET, Kok G. Challenges experienced by patients with hypertension in Ghana: A qualitative inquiry. Rowe R, editor. PLoS ONE. 2021 May 6;16(5):e0250355.</w:t>
      </w:r>
    </w:p>
    <w:p w14:paraId="3436CE0D" w14:textId="6F691F1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17. </w:t>
      </w:r>
      <w:r w:rsidRPr="00FA32F2">
        <w:rPr>
          <w:rFonts w:ascii="Times New Roman" w:hAnsi="Times New Roman" w:cs="Times New Roman"/>
        </w:rPr>
        <w:tab/>
        <w:t>Koduah A, Nonvignon J, Colson A, Kurdi A, Morton A, Van Der Meer R, et al. Health systems, population and patient challenges for achieving universal health coverage for hypertension in Ghana. Health Policy and Planning. 2021 Oct 12;36(9):1451–8.</w:t>
      </w:r>
    </w:p>
    <w:p w14:paraId="358BA94E" w14:textId="2EDA7053"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18. </w:t>
      </w:r>
      <w:r w:rsidRPr="00FA32F2">
        <w:rPr>
          <w:rFonts w:ascii="Times New Roman" w:hAnsi="Times New Roman" w:cs="Times New Roman"/>
        </w:rPr>
        <w:tab/>
        <w:t>Laar AK, Adler AJ, Kotoh AM, Legido-Quigley H, Lange IL, Perel P, et al. Health system challenges to hypertension and related non-communicable diseases prevention and treatment: perspectives from Ghanaian stakeholders. BMC Health Serv Res. 2019 Dec;19(1):693.</w:t>
      </w:r>
    </w:p>
    <w:p w14:paraId="49EAF458" w14:textId="0D13F832"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19. </w:t>
      </w:r>
      <w:r w:rsidRPr="00FA32F2">
        <w:rPr>
          <w:rFonts w:ascii="Times New Roman" w:hAnsi="Times New Roman" w:cs="Times New Roman"/>
        </w:rPr>
        <w:tab/>
        <w:t>Grady PA, Gough LL. Self-Management: A Comprehensive Approach to Management of Chronic Conditions. Am J Public Health. 2014 Aug;104(8):e25–31.</w:t>
      </w:r>
    </w:p>
    <w:p w14:paraId="55ACBA18"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20. </w:t>
      </w:r>
      <w:r w:rsidRPr="00FA32F2">
        <w:rPr>
          <w:rFonts w:ascii="Times New Roman" w:hAnsi="Times New Roman" w:cs="Times New Roman"/>
        </w:rPr>
        <w:tab/>
        <w:t>Hany A, Putra KR, Vatmasari RA, Nafis AN, Amalia AT, Khamdani E. Importance of self-management interventions in hypertension patients: a scoping review. Healthcare in Low-resource Settings [Internet]. 2024 Sep 9 [cited 2025 Jun 18];12(s1). Available from: https://www.pagepressjournals.org/hls/article/view/13034</w:t>
      </w:r>
    </w:p>
    <w:p w14:paraId="5E6C1AA9" w14:textId="52255A0C"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21. </w:t>
      </w:r>
      <w:r w:rsidRPr="00FA32F2">
        <w:rPr>
          <w:rFonts w:ascii="Times New Roman" w:hAnsi="Times New Roman" w:cs="Times New Roman"/>
        </w:rPr>
        <w:tab/>
        <w:t>Hussein H, Shamsipour M, Yunesian M, Hassanvand MS, Assan A, Fotouhi A. Prevalence and predictors of pre-existing hypertension among prenatal women: a cross-sectional study in Ghana. Iranian Journal of Public Health. 2021;50(6):1266.</w:t>
      </w:r>
    </w:p>
    <w:p w14:paraId="7447AD78" w14:textId="7DFC6DED"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22. </w:t>
      </w:r>
      <w:r w:rsidRPr="00FA32F2">
        <w:rPr>
          <w:rFonts w:ascii="Times New Roman" w:hAnsi="Times New Roman" w:cs="Times New Roman"/>
        </w:rPr>
        <w:tab/>
        <w:t>Sambah F, McBain-Rigg K, Seidu AA, Emeto TI. A Qualitative Study on the Barriers and Enablers to Effective Hypertension Management in Ghana. Healthcare (Basel). 2025 Feb 22;13(5):479.</w:t>
      </w:r>
    </w:p>
    <w:p w14:paraId="7CD6B9E5"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23. </w:t>
      </w:r>
      <w:r w:rsidRPr="00FA32F2">
        <w:rPr>
          <w:rFonts w:ascii="Times New Roman" w:hAnsi="Times New Roman" w:cs="Times New Roman"/>
        </w:rPr>
        <w:tab/>
        <w:t>Byiringiro S, Hinneh T, Chepkorir J, Tomiwa T, Commodore-Mensah Y, Marsteller J, et al. Healthcare system barriers and facilitators to hypertension management in Ghana. Annals of Global Health [Internet]. 2024 Jul 4 [cited 2025 Jun 18];90(1). Available from: https://annalsofglobalhealth.org/articles/10.5334/aogh.4246</w:t>
      </w:r>
    </w:p>
    <w:p w14:paraId="54A67635" w14:textId="581208B2"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24. </w:t>
      </w:r>
      <w:r w:rsidRPr="00FA32F2">
        <w:rPr>
          <w:rFonts w:ascii="Times New Roman" w:hAnsi="Times New Roman" w:cs="Times New Roman"/>
        </w:rPr>
        <w:tab/>
        <w:t>Atibila F, Hoor G ten, Donkoh ET, Wahab AI, Kok G. Prevalence of hypertension in Ghanaian society: a systematic review, meta-analysis, and GRADE assessment. Systematic Reviews. 2021 Aug 7;10(1):220.</w:t>
      </w:r>
    </w:p>
    <w:p w14:paraId="1111BE60" w14:textId="46E4683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25. </w:t>
      </w:r>
      <w:r w:rsidRPr="00FA32F2">
        <w:rPr>
          <w:rFonts w:ascii="Times New Roman" w:hAnsi="Times New Roman" w:cs="Times New Roman"/>
        </w:rPr>
        <w:tab/>
        <w:t>Warren-Findlow J, Seymour RB. Prevalence Rates of Hypertension Self-care Activities Among African Americans. Journal of the National Medical Association. 2011 Jun;103(6):503–12.</w:t>
      </w:r>
    </w:p>
    <w:p w14:paraId="70C12AA9"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lastRenderedPageBreak/>
        <w:t xml:space="preserve">26. </w:t>
      </w:r>
      <w:r w:rsidRPr="00FA32F2">
        <w:rPr>
          <w:rFonts w:ascii="Times New Roman" w:hAnsi="Times New Roman" w:cs="Times New Roman"/>
        </w:rPr>
        <w:tab/>
        <w:t>World Health Organization. STEPwise approach to NCD risk factor surveillance (STEPS) [Internet]. 2024 [cited 2025 Jun 18]. Available from: https://www.who.int/teams/noncommunicable-diseases/surveillance/systems-tools/steps</w:t>
      </w:r>
    </w:p>
    <w:p w14:paraId="3D8E81AB" w14:textId="437EA76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27. </w:t>
      </w:r>
      <w:r w:rsidRPr="00FA32F2">
        <w:rPr>
          <w:rFonts w:ascii="Times New Roman" w:hAnsi="Times New Roman" w:cs="Times New Roman"/>
        </w:rPr>
        <w:tab/>
        <w:t>Sherbourne CD, Stewart AL. The MOS social support survey. Social Science &amp; Medicine. 1991 Jan;32(6):705–14.</w:t>
      </w:r>
    </w:p>
    <w:p w14:paraId="1F1142BB" w14:textId="6CE8CE5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28. </w:t>
      </w:r>
      <w:r w:rsidRPr="00FA32F2">
        <w:rPr>
          <w:rFonts w:ascii="Times New Roman" w:hAnsi="Times New Roman" w:cs="Times New Roman"/>
        </w:rPr>
        <w:tab/>
        <w:t>Aksoy Canyolu B, Özben Sadıç B. Dietary Salt-Related Knowledge, Attitudes and Behaviors in Healthy and Hypertensive Turkish Adults from Food Choice Perspective. Foods. 2025 Jan;14(1):141.</w:t>
      </w:r>
    </w:p>
    <w:p w14:paraId="7439CFF4"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29. </w:t>
      </w:r>
      <w:r w:rsidRPr="00FA32F2">
        <w:rPr>
          <w:rFonts w:ascii="Times New Roman" w:hAnsi="Times New Roman" w:cs="Times New Roman"/>
        </w:rPr>
        <w:tab/>
        <w:t>Youssef’ ’Ghada Sayed. Salt and hypertension: current views [Internet]. [cited 2025 Jun 20]. Available from: https://www.escardio.org/Journals/E-Journal-of-Cardiology-Practice/Volume-22/salt-and-hypertension-current-views</w:t>
      </w:r>
    </w:p>
    <w:p w14:paraId="68EBC38B" w14:textId="3A40DB1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30. </w:t>
      </w:r>
      <w:r w:rsidRPr="00FA32F2">
        <w:rPr>
          <w:rFonts w:ascii="Times New Roman" w:hAnsi="Times New Roman" w:cs="Times New Roman"/>
        </w:rPr>
        <w:tab/>
        <w:t>Usman JE, Morley A, Childs C, Rogerson D, Klonizakis M. Exploring Dietary Salt Knowledge, Attitude, and Practices among People of African Descent in the United Kingdom: A Qualitative Study. Healthcare (Basel). 2024 Oct 2;12(19):1969.</w:t>
      </w:r>
    </w:p>
    <w:p w14:paraId="37B987BC" w14:textId="6521C204"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31. </w:t>
      </w:r>
      <w:r w:rsidRPr="00FA32F2">
        <w:rPr>
          <w:rFonts w:ascii="Times New Roman" w:hAnsi="Times New Roman" w:cs="Times New Roman"/>
        </w:rPr>
        <w:tab/>
        <w:t>Hailu G, Yigezu M, Gutema H, Melkamu L, Kebede N, Assefa E, et al. Self-care practice and associated factors among hypertensive patients who have follow-ups in public hospitals of Bahir-Dar City, Northwest Ethiopia, a mixed study. PLoS One. 2025 May 9;20(5):e0317869.</w:t>
      </w:r>
    </w:p>
    <w:p w14:paraId="639901C6" w14:textId="5B1D0A4A"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32. </w:t>
      </w:r>
      <w:r w:rsidRPr="00FA32F2">
        <w:rPr>
          <w:rFonts w:ascii="Times New Roman" w:hAnsi="Times New Roman" w:cs="Times New Roman"/>
        </w:rPr>
        <w:tab/>
        <w:t>Haase KR, Sattar S, Hall S, McLean B, Wills A, Gray M, et al. Systematic review of self-management interventions for older adults with cancer. Psychooncology. 2021 Jul;30(7):989–1008.</w:t>
      </w:r>
    </w:p>
    <w:p w14:paraId="7FE5F7E5" w14:textId="042095D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33. </w:t>
      </w:r>
      <w:r w:rsidRPr="00FA32F2">
        <w:rPr>
          <w:rFonts w:ascii="Times New Roman" w:hAnsi="Times New Roman" w:cs="Times New Roman"/>
        </w:rPr>
        <w:tab/>
        <w:t>Adepoju AA, Vidler M, Akadri AA, Jaiyesimi E, Nwankpa CC, Odubena OO, et al. The ability and safety of community-based health workers to safely initiate lifesaving therapies for pre-eclampsia in Ogun State, Nigeria: An analysis of 260 community treatments with MgSO4 and/or methyldopa. Pregnancy Hypertension. 2021;25:179–84.</w:t>
      </w:r>
    </w:p>
    <w:p w14:paraId="34640CC5" w14:textId="71224F72"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34. </w:t>
      </w:r>
      <w:r w:rsidRPr="00FA32F2">
        <w:rPr>
          <w:rFonts w:ascii="Times New Roman" w:hAnsi="Times New Roman" w:cs="Times New Roman"/>
        </w:rPr>
        <w:tab/>
        <w:t>Modey Amoah E, Esinam Okai D, Manu A, Laar A, Akamah J, Torpey K. The Role of Lifestyle Factors in Controlling Blood Pressure among Hypertensive Patients in Two Health Facilities in Urban Ghana: A Cross-Sectional Study. Int J Hypertens. 2020;2020:9379128.</w:t>
      </w:r>
    </w:p>
    <w:p w14:paraId="7D4AAFB7" w14:textId="4C4EB489"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35. </w:t>
      </w:r>
      <w:r w:rsidRPr="00FA32F2">
        <w:rPr>
          <w:rFonts w:ascii="Times New Roman" w:hAnsi="Times New Roman" w:cs="Times New Roman"/>
        </w:rPr>
        <w:tab/>
        <w:t>Hallal PC, Andersen LB, Bull FC, Guthold R, Haskell W, Ekelund U, et al. Global physical activity levels: surveillance progress, pitfalls, and prospects. Lancet. 2012 Jul 21;380(9838):247–57.</w:t>
      </w:r>
    </w:p>
    <w:p w14:paraId="3543EAA1" w14:textId="0270C9C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36. </w:t>
      </w:r>
      <w:r w:rsidRPr="00FA32F2">
        <w:rPr>
          <w:rFonts w:ascii="Times New Roman" w:hAnsi="Times New Roman" w:cs="Times New Roman"/>
        </w:rPr>
        <w:tab/>
        <w:t>Susanto T, Hernawati S, Yunanto RA, Rahmawati I, Laras Ati NA, Fauziah W. Family Self-management Program for Hypertension Management and Sodium Consumption Adherence: A Parallel Randomized Control Trial Among Family Caregivers and People With Hypertension. J Res Health Sci. 2024 Sep 30;24(4):e00628.</w:t>
      </w:r>
    </w:p>
    <w:p w14:paraId="098CF2BD" w14:textId="3BFABC1A"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37. </w:t>
      </w:r>
      <w:r w:rsidRPr="00FA32F2">
        <w:rPr>
          <w:rFonts w:ascii="Times New Roman" w:hAnsi="Times New Roman" w:cs="Times New Roman"/>
        </w:rPr>
        <w:tab/>
        <w:t>Abza LF, Yesuf MA, Emrie AA, Belay AS, Bekele TG, Tetema MD, et al. Self-care adherence and associated factors among hypertensive patients at Guraghe Zone, 2023. Heliyon. 2024 Sep 15;10(17):e36985.</w:t>
      </w:r>
    </w:p>
    <w:p w14:paraId="1497BD33" w14:textId="6E23AF5C" w:rsidR="00C51D20" w:rsidRPr="00FA32F2" w:rsidRDefault="00C51D20" w:rsidP="00FA32F2">
      <w:pPr>
        <w:rPr>
          <w:rFonts w:ascii="Times New Roman" w:hAnsi="Times New Roman" w:cs="Times New Roman"/>
        </w:rPr>
      </w:pPr>
      <w:r w:rsidRPr="00FA32F2">
        <w:rPr>
          <w:rFonts w:ascii="Times New Roman" w:hAnsi="Times New Roman" w:cs="Times New Roman"/>
        </w:rPr>
        <w:fldChar w:fldCharType="end"/>
      </w:r>
    </w:p>
    <w:sectPr w:rsidR="00C51D20" w:rsidRPr="00FA32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6-27T14:05:00Z" w:initials="H">
    <w:p w14:paraId="0F2D9629" w14:textId="60C07218" w:rsidR="000B6338" w:rsidRDefault="000B6338">
      <w:pPr>
        <w:pStyle w:val="CommentText"/>
      </w:pPr>
      <w:r>
        <w:rPr>
          <w:rStyle w:val="CommentReference"/>
        </w:rPr>
        <w:annotationRef/>
      </w:r>
      <w:r>
        <w:t>The background is well written but the authors could have given us an idea of what self-management is like in other climes since there is paucity of data in the study region</w:t>
      </w:r>
    </w:p>
  </w:comment>
  <w:comment w:id="1" w:author="HP" w:date="2025-06-27T14:24:00Z" w:initials="H">
    <w:p w14:paraId="72604B72" w14:textId="26A44BB4" w:rsidR="00F91457" w:rsidRDefault="00F91457">
      <w:pPr>
        <w:pStyle w:val="CommentText"/>
      </w:pPr>
      <w:r>
        <w:rPr>
          <w:rStyle w:val="CommentReference"/>
        </w:rPr>
        <w:annotationRef/>
      </w:r>
      <w:r>
        <w:t>What is the name of this sample size determination? And a reference?</w:t>
      </w:r>
    </w:p>
  </w:comment>
  <w:comment w:id="2" w:author="HP" w:date="2025-06-27T16:53:00Z" w:initials="H">
    <w:p w14:paraId="7A4CEA1B" w14:textId="57E990C9" w:rsidR="0017776A" w:rsidRDefault="0017776A">
      <w:pPr>
        <w:pStyle w:val="CommentText"/>
      </w:pPr>
      <w:r>
        <w:rPr>
          <w:rStyle w:val="CommentReference"/>
        </w:rPr>
        <w:annotationRef/>
      </w:r>
      <w:r>
        <w:t xml:space="preserve">What is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r>
          <w:rPr>
            <w:rFonts w:ascii="Cambria Math" w:hAnsi="Cambria Math" w:cs="Times New Roman"/>
          </w:rPr>
          <m:t>?</m:t>
        </m:r>
      </m:oMath>
    </w:p>
  </w:comment>
  <w:comment w:id="3" w:author="HP" w:date="2025-06-27T16:48:00Z" w:initials="H">
    <w:p w14:paraId="1C0AADB5" w14:textId="29397AB9" w:rsidR="009E2E87" w:rsidRPr="009E2E87" w:rsidRDefault="009E2E87">
      <w:pPr>
        <w:pStyle w:val="CommentText"/>
      </w:pPr>
      <w:r>
        <w:rPr>
          <w:rStyle w:val="CommentReference"/>
        </w:rPr>
        <w:annotationRef/>
      </w:r>
      <w:r>
        <w:t xml:space="preserve">It is not the same. </w:t>
      </w:r>
      <w:r w:rsidRPr="009E2E87">
        <w:t xml:space="preserve">σ is not the same as p(1–p) — but they are </w:t>
      </w:r>
      <w:r w:rsidRPr="009E2E87">
        <w:rPr>
          <w:i/>
          <w:iCs/>
        </w:rPr>
        <w:t>related concepts</w:t>
      </w:r>
      <w:r w:rsidRPr="009E2E87">
        <w:t xml:space="preserve"> used in different types of sample size calculations</w:t>
      </w:r>
      <w:r w:rsidR="00541B24">
        <w:t>. The former is for means and standard deviation while the other is for proportions</w:t>
      </w:r>
    </w:p>
  </w:comment>
  <w:comment w:id="4" w:author="HP" w:date="2025-06-27T16:51:00Z" w:initials="H">
    <w:p w14:paraId="72837329" w14:textId="7D3850EC" w:rsidR="0017776A" w:rsidRDefault="0017776A">
      <w:pPr>
        <w:pStyle w:val="CommentText"/>
      </w:pPr>
      <w:r>
        <w:rPr>
          <w:rStyle w:val="CommentReference"/>
        </w:rPr>
        <w:annotationRef/>
      </w:r>
      <w:r>
        <w:t xml:space="preserve">Since prevalence was used here then </w:t>
      </w:r>
      <w:r w:rsidRPr="0017776A">
        <w:t>σ</w:t>
      </w:r>
      <w:r>
        <w:t xml:space="preserve"> should be replaced with 1-p</w:t>
      </w:r>
    </w:p>
  </w:comment>
  <w:comment w:id="11" w:author="HP" w:date="2025-06-28T00:30:00Z" w:initials="H">
    <w:p w14:paraId="38FED7BD" w14:textId="399EB6A1" w:rsidR="00D6545C" w:rsidRDefault="00D6545C">
      <w:pPr>
        <w:pStyle w:val="CommentText"/>
      </w:pPr>
      <w:r>
        <w:rPr>
          <w:rStyle w:val="CommentReference"/>
        </w:rPr>
        <w:annotationRef/>
      </w:r>
      <w:r>
        <w:t>Some of these values are slightly different from those presented in the result. Please check the result section and what was presented during the discussion for all the figures presented</w:t>
      </w:r>
    </w:p>
  </w:comment>
  <w:comment w:id="12" w:author="HP" w:date="2025-06-27T22:44:00Z" w:initials="H">
    <w:p w14:paraId="4316EDE9" w14:textId="754A090A" w:rsidR="0001477D" w:rsidRDefault="0001477D">
      <w:pPr>
        <w:pStyle w:val="CommentText"/>
      </w:pPr>
      <w:r>
        <w:rPr>
          <w:rStyle w:val="CommentReference"/>
        </w:rPr>
        <w:annotationRef/>
      </w:r>
      <w:r>
        <w:t>Since you put here that several studies………I was expecting to se</w:t>
      </w:r>
      <w:r w:rsidR="00D6545C">
        <w:t>e</w:t>
      </w:r>
      <w:r>
        <w:t xml:space="preserve"> many references here</w:t>
      </w:r>
    </w:p>
  </w:comment>
  <w:comment w:id="13" w:author="HP" w:date="2025-06-28T00:40:00Z" w:initials="H">
    <w:p w14:paraId="4D47D4F2" w14:textId="7BFA79D4" w:rsidR="00940CB2" w:rsidRDefault="00940CB2">
      <w:pPr>
        <w:pStyle w:val="CommentText"/>
      </w:pPr>
      <w:r>
        <w:rPr>
          <w:rStyle w:val="CommentReference"/>
        </w:rPr>
        <w:annotationRef/>
      </w:r>
      <w:r>
        <w:t>Kindly reference some of those high-income countries</w:t>
      </w:r>
    </w:p>
  </w:comment>
  <w:comment w:id="14" w:author="HP" w:date="2025-06-28T00:41:00Z" w:initials="H">
    <w:p w14:paraId="0DEF8A95" w14:textId="5413978E" w:rsidR="00940CB2" w:rsidRDefault="00940CB2">
      <w:pPr>
        <w:pStyle w:val="CommentText"/>
      </w:pPr>
      <w:r>
        <w:rPr>
          <w:rStyle w:val="CommentReference"/>
        </w:rPr>
        <w:annotationRef/>
      </w:r>
      <w:r>
        <w:t>study</w:t>
      </w:r>
    </w:p>
  </w:comment>
  <w:comment w:id="15" w:author="HP" w:date="2025-06-28T00:42:00Z" w:initials="H">
    <w:p w14:paraId="2DBCB71F" w14:textId="03F1505E" w:rsidR="00940CB2" w:rsidRDefault="00940CB2">
      <w:pPr>
        <w:pStyle w:val="CommentText"/>
      </w:pPr>
      <w:r>
        <w:rPr>
          <w:rStyle w:val="CommentReference"/>
        </w:rPr>
        <w:annotationRef/>
      </w:r>
      <w:r>
        <w:t>reference appropriately</w:t>
      </w:r>
    </w:p>
  </w:comment>
  <w:comment w:id="16" w:author="HP" w:date="2025-06-28T00:43:00Z" w:initials="H">
    <w:p w14:paraId="787546BB" w14:textId="45E33433" w:rsidR="00940CB2" w:rsidRDefault="00940CB2">
      <w:pPr>
        <w:pStyle w:val="CommentText"/>
      </w:pPr>
      <w:r>
        <w:rPr>
          <w:rStyle w:val="CommentReference"/>
        </w:rPr>
        <w:annotationRef/>
      </w:r>
      <w:r>
        <w:t>Add the reference at the end of the sentence</w:t>
      </w:r>
    </w:p>
  </w:comment>
  <w:comment w:id="18" w:author="HP" w:date="2025-06-28T00:46:00Z" w:initials="H">
    <w:p w14:paraId="69F0AC86" w14:textId="758224E8" w:rsidR="00940CB2" w:rsidRDefault="00940CB2">
      <w:pPr>
        <w:pStyle w:val="CommentText"/>
      </w:pPr>
      <w:r>
        <w:rPr>
          <w:rStyle w:val="CommentReference"/>
        </w:rPr>
        <w:annotationRef/>
      </w:r>
      <w:r>
        <w:t>Reference some of these studies</w:t>
      </w:r>
    </w:p>
  </w:comment>
  <w:comment w:id="19" w:author="HP" w:date="2025-06-28T00:44:00Z" w:initials="H">
    <w:p w14:paraId="572A8B20" w14:textId="4D4296CB" w:rsidR="00940CB2" w:rsidRDefault="00940CB2">
      <w:pPr>
        <w:pStyle w:val="CommentText"/>
      </w:pPr>
      <w:r>
        <w:rPr>
          <w:rStyle w:val="CommentReference"/>
        </w:rPr>
        <w:annotationRef/>
      </w:r>
      <w:r>
        <w:t xml:space="preserve">You have been consistent with the Vancouver in text referencing. Why change to another by adding </w:t>
      </w:r>
      <w:proofErr w:type="spellStart"/>
      <w:proofErr w:type="gramStart"/>
      <w:r>
        <w:t>year?Apply</w:t>
      </w:r>
      <w:proofErr w:type="spellEnd"/>
      <w:proofErr w:type="gramEnd"/>
      <w:r>
        <w:t xml:space="preserve"> to all </w:t>
      </w:r>
    </w:p>
  </w:comment>
  <w:comment w:id="24" w:author="HP" w:date="2025-06-28T00:48:00Z" w:initials="H">
    <w:p w14:paraId="242A6C4D" w14:textId="06925B7B" w:rsidR="00940CB2" w:rsidRDefault="00940CB2">
      <w:pPr>
        <w:pStyle w:val="CommentText"/>
      </w:pPr>
      <w:r>
        <w:rPr>
          <w:rStyle w:val="CommentReference"/>
        </w:rPr>
        <w:annotationRef/>
      </w:r>
      <w:r>
        <w:t>This sentence does not seem complete</w:t>
      </w:r>
    </w:p>
  </w:comment>
  <w:comment w:id="29" w:author="HP" w:date="2025-06-28T00:57:00Z" w:initials="H">
    <w:p w14:paraId="6CC9FD7F" w14:textId="0ACBDAAF" w:rsidR="00FC0B37" w:rsidRDefault="00FC0B37">
      <w:pPr>
        <w:pStyle w:val="CommentText"/>
      </w:pPr>
      <w:r>
        <w:rPr>
          <w:rStyle w:val="CommentReference"/>
        </w:rPr>
        <w:annotationRef/>
      </w:r>
      <w:r>
        <w:t>Some references that were put in text are not listed here. Particularly the ones the year was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2D9629" w15:done="0"/>
  <w15:commentEx w15:paraId="72604B72" w15:done="0"/>
  <w15:commentEx w15:paraId="7A4CEA1B" w15:done="0"/>
  <w15:commentEx w15:paraId="1C0AADB5" w15:done="0"/>
  <w15:commentEx w15:paraId="72837329" w15:done="0"/>
  <w15:commentEx w15:paraId="38FED7BD" w15:done="0"/>
  <w15:commentEx w15:paraId="4316EDE9" w15:done="0"/>
  <w15:commentEx w15:paraId="4D47D4F2" w15:done="0"/>
  <w15:commentEx w15:paraId="0DEF8A95" w15:done="0"/>
  <w15:commentEx w15:paraId="2DBCB71F" w15:done="0"/>
  <w15:commentEx w15:paraId="787546BB" w15:done="0"/>
  <w15:commentEx w15:paraId="69F0AC86" w15:done="0"/>
  <w15:commentEx w15:paraId="572A8B20" w15:done="0"/>
  <w15:commentEx w15:paraId="242A6C4D" w15:done="0"/>
  <w15:commentEx w15:paraId="6CC9FD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9FD252" w16cex:dateUtc="2025-06-27T12:05:00Z"/>
  <w16cex:commentExtensible w16cex:durableId="209F28E5" w16cex:dateUtc="2025-06-27T12:24:00Z"/>
  <w16cex:commentExtensible w16cex:durableId="4E89F280" w16cex:dateUtc="2025-06-27T14:53:00Z"/>
  <w16cex:commentExtensible w16cex:durableId="3961131D" w16cex:dateUtc="2025-06-27T14:48:00Z"/>
  <w16cex:commentExtensible w16cex:durableId="60BDBCE4" w16cex:dateUtc="2025-06-27T14:51:00Z"/>
  <w16cex:commentExtensible w16cex:durableId="1967FEC3" w16cex:dateUtc="2025-06-27T22:30:00Z"/>
  <w16cex:commentExtensible w16cex:durableId="7F92B7EF" w16cex:dateUtc="2025-06-27T20:44:00Z"/>
  <w16cex:commentExtensible w16cex:durableId="5C346598" w16cex:dateUtc="2025-06-27T22:40:00Z"/>
  <w16cex:commentExtensible w16cex:durableId="042307CA" w16cex:dateUtc="2025-06-27T22:41:00Z"/>
  <w16cex:commentExtensible w16cex:durableId="674B5564" w16cex:dateUtc="2025-06-27T22:42:00Z"/>
  <w16cex:commentExtensible w16cex:durableId="3B5631EB" w16cex:dateUtc="2025-06-27T22:43:00Z"/>
  <w16cex:commentExtensible w16cex:durableId="4F1C21E3" w16cex:dateUtc="2025-06-27T22:46:00Z"/>
  <w16cex:commentExtensible w16cex:durableId="058167FA" w16cex:dateUtc="2025-06-27T22:44:00Z"/>
  <w16cex:commentExtensible w16cex:durableId="06172133" w16cex:dateUtc="2025-06-27T22:48:00Z"/>
  <w16cex:commentExtensible w16cex:durableId="6676CF5F" w16cex:dateUtc="2025-06-27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2D9629" w16cid:durableId="3A9FD252"/>
  <w16cid:commentId w16cid:paraId="72604B72" w16cid:durableId="209F28E5"/>
  <w16cid:commentId w16cid:paraId="7A4CEA1B" w16cid:durableId="4E89F280"/>
  <w16cid:commentId w16cid:paraId="1C0AADB5" w16cid:durableId="3961131D"/>
  <w16cid:commentId w16cid:paraId="72837329" w16cid:durableId="60BDBCE4"/>
  <w16cid:commentId w16cid:paraId="38FED7BD" w16cid:durableId="1967FEC3"/>
  <w16cid:commentId w16cid:paraId="4316EDE9" w16cid:durableId="7F92B7EF"/>
  <w16cid:commentId w16cid:paraId="4D47D4F2" w16cid:durableId="5C346598"/>
  <w16cid:commentId w16cid:paraId="0DEF8A95" w16cid:durableId="042307CA"/>
  <w16cid:commentId w16cid:paraId="2DBCB71F" w16cid:durableId="674B5564"/>
  <w16cid:commentId w16cid:paraId="787546BB" w16cid:durableId="3B5631EB"/>
  <w16cid:commentId w16cid:paraId="69F0AC86" w16cid:durableId="4F1C21E3"/>
  <w16cid:commentId w16cid:paraId="572A8B20" w16cid:durableId="058167FA"/>
  <w16cid:commentId w16cid:paraId="242A6C4D" w16cid:durableId="06172133"/>
  <w16cid:commentId w16cid:paraId="6CC9FD7F" w16cid:durableId="6676C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9CCD" w14:textId="77777777" w:rsidR="000A14C1" w:rsidRDefault="000A14C1" w:rsidP="00C74E2D">
      <w:pPr>
        <w:spacing w:after="0" w:line="240" w:lineRule="auto"/>
      </w:pPr>
      <w:r>
        <w:separator/>
      </w:r>
    </w:p>
  </w:endnote>
  <w:endnote w:type="continuationSeparator" w:id="0">
    <w:p w14:paraId="512D02D5" w14:textId="77777777" w:rsidR="000A14C1" w:rsidRDefault="000A14C1" w:rsidP="00C7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AF2A" w14:textId="77777777" w:rsidR="000049AF" w:rsidRDefault="00004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8BEE" w14:textId="77777777" w:rsidR="000049AF" w:rsidRDefault="00004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A99A" w14:textId="77777777" w:rsidR="000049AF" w:rsidRDefault="0000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4AB07" w14:textId="77777777" w:rsidR="000A14C1" w:rsidRDefault="000A14C1" w:rsidP="00C74E2D">
      <w:pPr>
        <w:spacing w:after="0" w:line="240" w:lineRule="auto"/>
      </w:pPr>
      <w:r>
        <w:separator/>
      </w:r>
    </w:p>
  </w:footnote>
  <w:footnote w:type="continuationSeparator" w:id="0">
    <w:p w14:paraId="5FEE6E43" w14:textId="77777777" w:rsidR="000A14C1" w:rsidRDefault="000A14C1" w:rsidP="00C7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0D7C" w14:textId="3163A62F" w:rsidR="000049AF" w:rsidRDefault="00000000">
    <w:pPr>
      <w:pStyle w:val="Header"/>
    </w:pPr>
    <w:r>
      <w:rPr>
        <w:noProof/>
      </w:rPr>
      <w:pict w14:anchorId="560FA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C5F1" w14:textId="2E9A850C" w:rsidR="000049AF" w:rsidRDefault="00000000">
    <w:pPr>
      <w:pStyle w:val="Header"/>
    </w:pPr>
    <w:r>
      <w:rPr>
        <w:noProof/>
      </w:rPr>
      <w:pict w14:anchorId="6B3D6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24F0" w14:textId="64BD3658" w:rsidR="000049AF" w:rsidRDefault="00000000">
    <w:pPr>
      <w:pStyle w:val="Header"/>
    </w:pPr>
    <w:r>
      <w:rPr>
        <w:noProof/>
      </w:rPr>
      <w:pict w14:anchorId="6DE0D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E51"/>
    <w:multiLevelType w:val="multilevel"/>
    <w:tmpl w:val="9F8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9639D"/>
    <w:multiLevelType w:val="multilevel"/>
    <w:tmpl w:val="9C6C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90CBE"/>
    <w:multiLevelType w:val="multilevel"/>
    <w:tmpl w:val="333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E4A94"/>
    <w:multiLevelType w:val="multilevel"/>
    <w:tmpl w:val="B40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823EF"/>
    <w:multiLevelType w:val="multilevel"/>
    <w:tmpl w:val="859A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07E73"/>
    <w:multiLevelType w:val="multilevel"/>
    <w:tmpl w:val="AC9C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80B09"/>
    <w:multiLevelType w:val="multilevel"/>
    <w:tmpl w:val="0CCA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E0E56"/>
    <w:multiLevelType w:val="multilevel"/>
    <w:tmpl w:val="69C4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9285D"/>
    <w:multiLevelType w:val="multilevel"/>
    <w:tmpl w:val="5E18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91D55"/>
    <w:multiLevelType w:val="multilevel"/>
    <w:tmpl w:val="E3D06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FF3533"/>
    <w:multiLevelType w:val="multilevel"/>
    <w:tmpl w:val="4D7A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AD3979"/>
    <w:multiLevelType w:val="multilevel"/>
    <w:tmpl w:val="0EC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E33F2"/>
    <w:multiLevelType w:val="multilevel"/>
    <w:tmpl w:val="EE6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60FCA"/>
    <w:multiLevelType w:val="multilevel"/>
    <w:tmpl w:val="EC9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365D3"/>
    <w:multiLevelType w:val="multilevel"/>
    <w:tmpl w:val="215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84F74"/>
    <w:multiLevelType w:val="multilevel"/>
    <w:tmpl w:val="A85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850630">
    <w:abstractNumId w:val="15"/>
  </w:num>
  <w:num w:numId="2" w16cid:durableId="1607889313">
    <w:abstractNumId w:val="2"/>
  </w:num>
  <w:num w:numId="3" w16cid:durableId="636572905">
    <w:abstractNumId w:val="0"/>
  </w:num>
  <w:num w:numId="4" w16cid:durableId="1198926818">
    <w:abstractNumId w:val="7"/>
  </w:num>
  <w:num w:numId="5" w16cid:durableId="467434796">
    <w:abstractNumId w:val="5"/>
  </w:num>
  <w:num w:numId="6" w16cid:durableId="1892884568">
    <w:abstractNumId w:val="11"/>
  </w:num>
  <w:num w:numId="7" w16cid:durableId="1457262804">
    <w:abstractNumId w:val="1"/>
  </w:num>
  <w:num w:numId="8" w16cid:durableId="318266798">
    <w:abstractNumId w:val="13"/>
  </w:num>
  <w:num w:numId="9" w16cid:durableId="100295895">
    <w:abstractNumId w:val="4"/>
  </w:num>
  <w:num w:numId="10" w16cid:durableId="39132399">
    <w:abstractNumId w:val="12"/>
  </w:num>
  <w:num w:numId="11" w16cid:durableId="1040398153">
    <w:abstractNumId w:val="8"/>
  </w:num>
  <w:num w:numId="12" w16cid:durableId="1264457126">
    <w:abstractNumId w:val="3"/>
  </w:num>
  <w:num w:numId="13" w16cid:durableId="109715039">
    <w:abstractNumId w:val="6"/>
  </w:num>
  <w:num w:numId="14" w16cid:durableId="1604727479">
    <w:abstractNumId w:val="10"/>
  </w:num>
  <w:num w:numId="15" w16cid:durableId="313602439">
    <w:abstractNumId w:val="9"/>
  </w:num>
  <w:num w:numId="16" w16cid:durableId="170763517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1MDA2MTMxszC2MDJT0lEKTi0uzszPAykwqgUAYZ6GeywAAAA="/>
  </w:docVars>
  <w:rsids>
    <w:rsidRoot w:val="007C37B2"/>
    <w:rsid w:val="000049AF"/>
    <w:rsid w:val="0001477D"/>
    <w:rsid w:val="00022451"/>
    <w:rsid w:val="00047AC0"/>
    <w:rsid w:val="000565A6"/>
    <w:rsid w:val="00072D08"/>
    <w:rsid w:val="00074DF7"/>
    <w:rsid w:val="00075368"/>
    <w:rsid w:val="00090769"/>
    <w:rsid w:val="00095082"/>
    <w:rsid w:val="000A14C1"/>
    <w:rsid w:val="000B13F6"/>
    <w:rsid w:val="000B6338"/>
    <w:rsid w:val="000C2F83"/>
    <w:rsid w:val="00106296"/>
    <w:rsid w:val="00135F4F"/>
    <w:rsid w:val="001410F8"/>
    <w:rsid w:val="001656AC"/>
    <w:rsid w:val="0017776A"/>
    <w:rsid w:val="001A291F"/>
    <w:rsid w:val="001A29AD"/>
    <w:rsid w:val="001A4420"/>
    <w:rsid w:val="001B4143"/>
    <w:rsid w:val="001B4C1F"/>
    <w:rsid w:val="001C19EF"/>
    <w:rsid w:val="001E4697"/>
    <w:rsid w:val="001F2BD3"/>
    <w:rsid w:val="001F6107"/>
    <w:rsid w:val="0020136E"/>
    <w:rsid w:val="002100BE"/>
    <w:rsid w:val="002274D8"/>
    <w:rsid w:val="00227900"/>
    <w:rsid w:val="002363CB"/>
    <w:rsid w:val="00236E3C"/>
    <w:rsid w:val="00247C70"/>
    <w:rsid w:val="00255894"/>
    <w:rsid w:val="00256E60"/>
    <w:rsid w:val="002635B8"/>
    <w:rsid w:val="00270D15"/>
    <w:rsid w:val="00285D1C"/>
    <w:rsid w:val="002944B4"/>
    <w:rsid w:val="00295C31"/>
    <w:rsid w:val="002B4C14"/>
    <w:rsid w:val="002D4976"/>
    <w:rsid w:val="002E1572"/>
    <w:rsid w:val="002F17C2"/>
    <w:rsid w:val="002F721C"/>
    <w:rsid w:val="00303665"/>
    <w:rsid w:val="00333066"/>
    <w:rsid w:val="00352C3D"/>
    <w:rsid w:val="0035570F"/>
    <w:rsid w:val="00372EB0"/>
    <w:rsid w:val="00376CE3"/>
    <w:rsid w:val="003812A2"/>
    <w:rsid w:val="003A5BFC"/>
    <w:rsid w:val="003B50AD"/>
    <w:rsid w:val="003E331C"/>
    <w:rsid w:val="003F1F96"/>
    <w:rsid w:val="00406B17"/>
    <w:rsid w:val="00416B5D"/>
    <w:rsid w:val="0043433E"/>
    <w:rsid w:val="00445CBC"/>
    <w:rsid w:val="00461D7B"/>
    <w:rsid w:val="004913B2"/>
    <w:rsid w:val="00497A05"/>
    <w:rsid w:val="004B09F3"/>
    <w:rsid w:val="004C197C"/>
    <w:rsid w:val="004C6A40"/>
    <w:rsid w:val="004D45A8"/>
    <w:rsid w:val="004F3640"/>
    <w:rsid w:val="00502BAF"/>
    <w:rsid w:val="005063F9"/>
    <w:rsid w:val="005324AF"/>
    <w:rsid w:val="00541B24"/>
    <w:rsid w:val="00553B6F"/>
    <w:rsid w:val="00554AF2"/>
    <w:rsid w:val="00572660"/>
    <w:rsid w:val="0059039A"/>
    <w:rsid w:val="00590CC3"/>
    <w:rsid w:val="00596C25"/>
    <w:rsid w:val="005C2D8B"/>
    <w:rsid w:val="005D7890"/>
    <w:rsid w:val="005D78FE"/>
    <w:rsid w:val="005E70DF"/>
    <w:rsid w:val="005F196E"/>
    <w:rsid w:val="005F360B"/>
    <w:rsid w:val="005F4B17"/>
    <w:rsid w:val="005F6429"/>
    <w:rsid w:val="00610BF1"/>
    <w:rsid w:val="00614867"/>
    <w:rsid w:val="006149F6"/>
    <w:rsid w:val="00630B32"/>
    <w:rsid w:val="00636431"/>
    <w:rsid w:val="00641FE5"/>
    <w:rsid w:val="00653BEB"/>
    <w:rsid w:val="006655A6"/>
    <w:rsid w:val="00666BED"/>
    <w:rsid w:val="006A1DAE"/>
    <w:rsid w:val="006A2096"/>
    <w:rsid w:val="006A45AA"/>
    <w:rsid w:val="006B3E19"/>
    <w:rsid w:val="006C42CA"/>
    <w:rsid w:val="006D23A6"/>
    <w:rsid w:val="006D4422"/>
    <w:rsid w:val="006D525B"/>
    <w:rsid w:val="006E1279"/>
    <w:rsid w:val="0071146E"/>
    <w:rsid w:val="00713480"/>
    <w:rsid w:val="007277B7"/>
    <w:rsid w:val="00727F55"/>
    <w:rsid w:val="007415B5"/>
    <w:rsid w:val="00774050"/>
    <w:rsid w:val="007C37B2"/>
    <w:rsid w:val="007C730E"/>
    <w:rsid w:val="007D6425"/>
    <w:rsid w:val="007D6886"/>
    <w:rsid w:val="007E3ABE"/>
    <w:rsid w:val="007F26F7"/>
    <w:rsid w:val="007F6779"/>
    <w:rsid w:val="00826E9F"/>
    <w:rsid w:val="00833BB3"/>
    <w:rsid w:val="008418C0"/>
    <w:rsid w:val="00847313"/>
    <w:rsid w:val="00851031"/>
    <w:rsid w:val="008620EF"/>
    <w:rsid w:val="00864588"/>
    <w:rsid w:val="00870C7C"/>
    <w:rsid w:val="00885FDE"/>
    <w:rsid w:val="00887DE6"/>
    <w:rsid w:val="008B3132"/>
    <w:rsid w:val="008C4FCD"/>
    <w:rsid w:val="008D6C20"/>
    <w:rsid w:val="008F103C"/>
    <w:rsid w:val="008F650B"/>
    <w:rsid w:val="00905A36"/>
    <w:rsid w:val="00910687"/>
    <w:rsid w:val="009122F9"/>
    <w:rsid w:val="00920D37"/>
    <w:rsid w:val="00922154"/>
    <w:rsid w:val="009277D2"/>
    <w:rsid w:val="00940CB2"/>
    <w:rsid w:val="009759E5"/>
    <w:rsid w:val="00986B0A"/>
    <w:rsid w:val="00992171"/>
    <w:rsid w:val="0099579A"/>
    <w:rsid w:val="009A00D5"/>
    <w:rsid w:val="009A0D99"/>
    <w:rsid w:val="009A45C0"/>
    <w:rsid w:val="009A5103"/>
    <w:rsid w:val="009C7B67"/>
    <w:rsid w:val="009E2AEA"/>
    <w:rsid w:val="009E2E87"/>
    <w:rsid w:val="00A04784"/>
    <w:rsid w:val="00A1205F"/>
    <w:rsid w:val="00A27702"/>
    <w:rsid w:val="00A32E71"/>
    <w:rsid w:val="00A37176"/>
    <w:rsid w:val="00A43F32"/>
    <w:rsid w:val="00A84D0D"/>
    <w:rsid w:val="00A91086"/>
    <w:rsid w:val="00AA2988"/>
    <w:rsid w:val="00AB1371"/>
    <w:rsid w:val="00AD22B9"/>
    <w:rsid w:val="00AD2481"/>
    <w:rsid w:val="00AD521D"/>
    <w:rsid w:val="00AF24CE"/>
    <w:rsid w:val="00B04D14"/>
    <w:rsid w:val="00B1129C"/>
    <w:rsid w:val="00B329D9"/>
    <w:rsid w:val="00B36410"/>
    <w:rsid w:val="00B374B6"/>
    <w:rsid w:val="00BA2DCF"/>
    <w:rsid w:val="00BA63F5"/>
    <w:rsid w:val="00BA6BCD"/>
    <w:rsid w:val="00BB6F27"/>
    <w:rsid w:val="00BE670D"/>
    <w:rsid w:val="00BF0D26"/>
    <w:rsid w:val="00BF338E"/>
    <w:rsid w:val="00BF4E01"/>
    <w:rsid w:val="00BF67B7"/>
    <w:rsid w:val="00C10897"/>
    <w:rsid w:val="00C36A46"/>
    <w:rsid w:val="00C45FBB"/>
    <w:rsid w:val="00C51D20"/>
    <w:rsid w:val="00C66218"/>
    <w:rsid w:val="00C67E58"/>
    <w:rsid w:val="00C74E2D"/>
    <w:rsid w:val="00C77030"/>
    <w:rsid w:val="00C809F2"/>
    <w:rsid w:val="00C82927"/>
    <w:rsid w:val="00C933D8"/>
    <w:rsid w:val="00CA4792"/>
    <w:rsid w:val="00CA592B"/>
    <w:rsid w:val="00CA7C2B"/>
    <w:rsid w:val="00CB2CDF"/>
    <w:rsid w:val="00CC6753"/>
    <w:rsid w:val="00CC680E"/>
    <w:rsid w:val="00CD11CA"/>
    <w:rsid w:val="00CD59D2"/>
    <w:rsid w:val="00CE1876"/>
    <w:rsid w:val="00CE29CF"/>
    <w:rsid w:val="00CE3E23"/>
    <w:rsid w:val="00CE40ED"/>
    <w:rsid w:val="00D05E6C"/>
    <w:rsid w:val="00D069E0"/>
    <w:rsid w:val="00D1766A"/>
    <w:rsid w:val="00D33D08"/>
    <w:rsid w:val="00D42981"/>
    <w:rsid w:val="00D469F8"/>
    <w:rsid w:val="00D51612"/>
    <w:rsid w:val="00D60C60"/>
    <w:rsid w:val="00D6545C"/>
    <w:rsid w:val="00D725FC"/>
    <w:rsid w:val="00D963B2"/>
    <w:rsid w:val="00DA656C"/>
    <w:rsid w:val="00DD7822"/>
    <w:rsid w:val="00DE2A1D"/>
    <w:rsid w:val="00DE571A"/>
    <w:rsid w:val="00DE697C"/>
    <w:rsid w:val="00DF24DE"/>
    <w:rsid w:val="00DF6ADA"/>
    <w:rsid w:val="00E173D9"/>
    <w:rsid w:val="00E35C5B"/>
    <w:rsid w:val="00E4499C"/>
    <w:rsid w:val="00E51235"/>
    <w:rsid w:val="00E5460D"/>
    <w:rsid w:val="00E5617C"/>
    <w:rsid w:val="00E57DBD"/>
    <w:rsid w:val="00E66D7C"/>
    <w:rsid w:val="00E66DE8"/>
    <w:rsid w:val="00E7158B"/>
    <w:rsid w:val="00E71D3B"/>
    <w:rsid w:val="00E863EE"/>
    <w:rsid w:val="00E94215"/>
    <w:rsid w:val="00ED56D8"/>
    <w:rsid w:val="00EF1441"/>
    <w:rsid w:val="00EF1556"/>
    <w:rsid w:val="00EF3706"/>
    <w:rsid w:val="00F0025F"/>
    <w:rsid w:val="00F06091"/>
    <w:rsid w:val="00F11606"/>
    <w:rsid w:val="00F12B90"/>
    <w:rsid w:val="00F1667D"/>
    <w:rsid w:val="00F233E7"/>
    <w:rsid w:val="00F3788A"/>
    <w:rsid w:val="00F55C98"/>
    <w:rsid w:val="00F57ACB"/>
    <w:rsid w:val="00F71754"/>
    <w:rsid w:val="00F725E0"/>
    <w:rsid w:val="00F773C0"/>
    <w:rsid w:val="00F84AA0"/>
    <w:rsid w:val="00F86A3B"/>
    <w:rsid w:val="00F90AD2"/>
    <w:rsid w:val="00F91457"/>
    <w:rsid w:val="00FA32F2"/>
    <w:rsid w:val="00FB0111"/>
    <w:rsid w:val="00FC0B37"/>
    <w:rsid w:val="00FC2165"/>
    <w:rsid w:val="00FC3D1B"/>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CF99"/>
  <w15:chartTrackingRefBased/>
  <w15:docId w15:val="{971355E2-7FDE-4499-AC61-6A028DEB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C37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37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7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C37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37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7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7B2"/>
    <w:rPr>
      <w:rFonts w:eastAsiaTheme="majorEastAsia" w:cstheme="majorBidi"/>
      <w:color w:val="272727" w:themeColor="text1" w:themeTint="D8"/>
    </w:rPr>
  </w:style>
  <w:style w:type="paragraph" w:styleId="Title">
    <w:name w:val="Title"/>
    <w:basedOn w:val="Normal"/>
    <w:next w:val="Normal"/>
    <w:link w:val="TitleChar"/>
    <w:uiPriority w:val="10"/>
    <w:qFormat/>
    <w:rsid w:val="007C3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7B2"/>
    <w:pPr>
      <w:spacing w:before="160"/>
      <w:jc w:val="center"/>
    </w:pPr>
    <w:rPr>
      <w:i/>
      <w:iCs/>
      <w:color w:val="404040" w:themeColor="text1" w:themeTint="BF"/>
    </w:rPr>
  </w:style>
  <w:style w:type="character" w:customStyle="1" w:styleId="QuoteChar">
    <w:name w:val="Quote Char"/>
    <w:basedOn w:val="DefaultParagraphFont"/>
    <w:link w:val="Quote"/>
    <w:uiPriority w:val="29"/>
    <w:rsid w:val="007C37B2"/>
    <w:rPr>
      <w:i/>
      <w:iCs/>
      <w:color w:val="404040" w:themeColor="text1" w:themeTint="BF"/>
    </w:rPr>
  </w:style>
  <w:style w:type="paragraph" w:styleId="ListParagraph">
    <w:name w:val="List Paragraph"/>
    <w:basedOn w:val="Normal"/>
    <w:uiPriority w:val="34"/>
    <w:qFormat/>
    <w:rsid w:val="007C37B2"/>
    <w:pPr>
      <w:ind w:left="720"/>
      <w:contextualSpacing/>
    </w:pPr>
  </w:style>
  <w:style w:type="character" w:styleId="IntenseEmphasis">
    <w:name w:val="Intense Emphasis"/>
    <w:basedOn w:val="DefaultParagraphFont"/>
    <w:uiPriority w:val="21"/>
    <w:qFormat/>
    <w:rsid w:val="007C37B2"/>
    <w:rPr>
      <w:i/>
      <w:iCs/>
      <w:color w:val="2F5496" w:themeColor="accent1" w:themeShade="BF"/>
    </w:rPr>
  </w:style>
  <w:style w:type="paragraph" w:styleId="IntenseQuote">
    <w:name w:val="Intense Quote"/>
    <w:basedOn w:val="Normal"/>
    <w:next w:val="Normal"/>
    <w:link w:val="IntenseQuoteChar"/>
    <w:uiPriority w:val="30"/>
    <w:qFormat/>
    <w:rsid w:val="007C3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7B2"/>
    <w:rPr>
      <w:i/>
      <w:iCs/>
      <w:color w:val="2F5496" w:themeColor="accent1" w:themeShade="BF"/>
    </w:rPr>
  </w:style>
  <w:style w:type="character" w:styleId="IntenseReference">
    <w:name w:val="Intense Reference"/>
    <w:basedOn w:val="DefaultParagraphFont"/>
    <w:uiPriority w:val="32"/>
    <w:qFormat/>
    <w:rsid w:val="007C37B2"/>
    <w:rPr>
      <w:b/>
      <w:bCs/>
      <w:smallCaps/>
      <w:color w:val="2F5496" w:themeColor="accent1" w:themeShade="BF"/>
      <w:spacing w:val="5"/>
    </w:rPr>
  </w:style>
  <w:style w:type="character" w:styleId="Hyperlink">
    <w:name w:val="Hyperlink"/>
    <w:basedOn w:val="DefaultParagraphFont"/>
    <w:uiPriority w:val="99"/>
    <w:unhideWhenUsed/>
    <w:rsid w:val="00E863EE"/>
    <w:rPr>
      <w:color w:val="0563C1" w:themeColor="hyperlink"/>
      <w:u w:val="single"/>
    </w:rPr>
  </w:style>
  <w:style w:type="character" w:styleId="UnresolvedMention">
    <w:name w:val="Unresolved Mention"/>
    <w:basedOn w:val="DefaultParagraphFont"/>
    <w:uiPriority w:val="99"/>
    <w:semiHidden/>
    <w:unhideWhenUsed/>
    <w:rsid w:val="00E863EE"/>
    <w:rPr>
      <w:color w:val="605E5C"/>
      <w:shd w:val="clear" w:color="auto" w:fill="E1DFDD"/>
    </w:rPr>
  </w:style>
  <w:style w:type="character" w:styleId="CommentReference">
    <w:name w:val="annotation reference"/>
    <w:basedOn w:val="DefaultParagraphFont"/>
    <w:uiPriority w:val="99"/>
    <w:semiHidden/>
    <w:unhideWhenUsed/>
    <w:rsid w:val="00774050"/>
    <w:rPr>
      <w:sz w:val="16"/>
      <w:szCs w:val="16"/>
    </w:rPr>
  </w:style>
  <w:style w:type="paragraph" w:styleId="CommentText">
    <w:name w:val="annotation text"/>
    <w:basedOn w:val="Normal"/>
    <w:link w:val="CommentTextChar"/>
    <w:uiPriority w:val="99"/>
    <w:unhideWhenUsed/>
    <w:rsid w:val="00774050"/>
    <w:pPr>
      <w:spacing w:line="240" w:lineRule="auto"/>
    </w:pPr>
    <w:rPr>
      <w:sz w:val="20"/>
      <w:szCs w:val="20"/>
    </w:rPr>
  </w:style>
  <w:style w:type="character" w:customStyle="1" w:styleId="CommentTextChar">
    <w:name w:val="Comment Text Char"/>
    <w:basedOn w:val="DefaultParagraphFont"/>
    <w:link w:val="CommentText"/>
    <w:uiPriority w:val="99"/>
    <w:rsid w:val="00774050"/>
    <w:rPr>
      <w:sz w:val="20"/>
      <w:szCs w:val="20"/>
    </w:rPr>
  </w:style>
  <w:style w:type="paragraph" w:styleId="CommentSubject">
    <w:name w:val="annotation subject"/>
    <w:basedOn w:val="CommentText"/>
    <w:next w:val="CommentText"/>
    <w:link w:val="CommentSubjectChar"/>
    <w:uiPriority w:val="99"/>
    <w:semiHidden/>
    <w:unhideWhenUsed/>
    <w:rsid w:val="00774050"/>
    <w:rPr>
      <w:b/>
      <w:bCs/>
    </w:rPr>
  </w:style>
  <w:style w:type="character" w:customStyle="1" w:styleId="CommentSubjectChar">
    <w:name w:val="Comment Subject Char"/>
    <w:basedOn w:val="CommentTextChar"/>
    <w:link w:val="CommentSubject"/>
    <w:uiPriority w:val="99"/>
    <w:semiHidden/>
    <w:rsid w:val="00774050"/>
    <w:rPr>
      <w:b/>
      <w:bCs/>
      <w:sz w:val="20"/>
      <w:szCs w:val="20"/>
    </w:rPr>
  </w:style>
  <w:style w:type="paragraph" w:styleId="NoSpacing">
    <w:name w:val="No Spacing"/>
    <w:link w:val="NoSpacingChar"/>
    <w:uiPriority w:val="1"/>
    <w:qFormat/>
    <w:rsid w:val="007415B5"/>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7415B5"/>
    <w:rPr>
      <w:rFonts w:ascii="Calibri" w:eastAsia="Calibri" w:hAnsi="Calibri" w:cs="Arial"/>
      <w:kern w:val="0"/>
    </w:rPr>
  </w:style>
  <w:style w:type="paragraph" w:styleId="Header">
    <w:name w:val="header"/>
    <w:basedOn w:val="Normal"/>
    <w:link w:val="HeaderChar"/>
    <w:uiPriority w:val="99"/>
    <w:unhideWhenUsed/>
    <w:rsid w:val="00C7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2D"/>
  </w:style>
  <w:style w:type="paragraph" w:styleId="Footer">
    <w:name w:val="footer"/>
    <w:basedOn w:val="Normal"/>
    <w:link w:val="FooterChar"/>
    <w:uiPriority w:val="99"/>
    <w:unhideWhenUsed/>
    <w:rsid w:val="00C7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2D"/>
  </w:style>
  <w:style w:type="paragraph" w:styleId="Bibliography">
    <w:name w:val="Bibliography"/>
    <w:basedOn w:val="Normal"/>
    <w:next w:val="Normal"/>
    <w:uiPriority w:val="37"/>
    <w:unhideWhenUsed/>
    <w:rsid w:val="007F26F7"/>
  </w:style>
  <w:style w:type="paragraph" w:styleId="Revision">
    <w:name w:val="Revision"/>
    <w:hidden/>
    <w:uiPriority w:val="99"/>
    <w:semiHidden/>
    <w:rsid w:val="00FB0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8226">
      <w:bodyDiv w:val="1"/>
      <w:marLeft w:val="0"/>
      <w:marRight w:val="0"/>
      <w:marTop w:val="0"/>
      <w:marBottom w:val="0"/>
      <w:divBdr>
        <w:top w:val="none" w:sz="0" w:space="0" w:color="auto"/>
        <w:left w:val="none" w:sz="0" w:space="0" w:color="auto"/>
        <w:bottom w:val="none" w:sz="0" w:space="0" w:color="auto"/>
        <w:right w:val="none" w:sz="0" w:space="0" w:color="auto"/>
      </w:divBdr>
    </w:div>
    <w:div w:id="214657000">
      <w:bodyDiv w:val="1"/>
      <w:marLeft w:val="0"/>
      <w:marRight w:val="0"/>
      <w:marTop w:val="0"/>
      <w:marBottom w:val="0"/>
      <w:divBdr>
        <w:top w:val="none" w:sz="0" w:space="0" w:color="auto"/>
        <w:left w:val="none" w:sz="0" w:space="0" w:color="auto"/>
        <w:bottom w:val="none" w:sz="0" w:space="0" w:color="auto"/>
        <w:right w:val="none" w:sz="0" w:space="0" w:color="auto"/>
      </w:divBdr>
    </w:div>
    <w:div w:id="341664409">
      <w:bodyDiv w:val="1"/>
      <w:marLeft w:val="0"/>
      <w:marRight w:val="0"/>
      <w:marTop w:val="0"/>
      <w:marBottom w:val="0"/>
      <w:divBdr>
        <w:top w:val="none" w:sz="0" w:space="0" w:color="auto"/>
        <w:left w:val="none" w:sz="0" w:space="0" w:color="auto"/>
        <w:bottom w:val="none" w:sz="0" w:space="0" w:color="auto"/>
        <w:right w:val="none" w:sz="0" w:space="0" w:color="auto"/>
      </w:divBdr>
    </w:div>
    <w:div w:id="370035227">
      <w:bodyDiv w:val="1"/>
      <w:marLeft w:val="0"/>
      <w:marRight w:val="0"/>
      <w:marTop w:val="0"/>
      <w:marBottom w:val="0"/>
      <w:divBdr>
        <w:top w:val="none" w:sz="0" w:space="0" w:color="auto"/>
        <w:left w:val="none" w:sz="0" w:space="0" w:color="auto"/>
        <w:bottom w:val="none" w:sz="0" w:space="0" w:color="auto"/>
        <w:right w:val="none" w:sz="0" w:space="0" w:color="auto"/>
      </w:divBdr>
    </w:div>
    <w:div w:id="471026358">
      <w:bodyDiv w:val="1"/>
      <w:marLeft w:val="0"/>
      <w:marRight w:val="0"/>
      <w:marTop w:val="0"/>
      <w:marBottom w:val="0"/>
      <w:divBdr>
        <w:top w:val="none" w:sz="0" w:space="0" w:color="auto"/>
        <w:left w:val="none" w:sz="0" w:space="0" w:color="auto"/>
        <w:bottom w:val="none" w:sz="0" w:space="0" w:color="auto"/>
        <w:right w:val="none" w:sz="0" w:space="0" w:color="auto"/>
      </w:divBdr>
    </w:div>
    <w:div w:id="687751776">
      <w:bodyDiv w:val="1"/>
      <w:marLeft w:val="0"/>
      <w:marRight w:val="0"/>
      <w:marTop w:val="0"/>
      <w:marBottom w:val="0"/>
      <w:divBdr>
        <w:top w:val="none" w:sz="0" w:space="0" w:color="auto"/>
        <w:left w:val="none" w:sz="0" w:space="0" w:color="auto"/>
        <w:bottom w:val="none" w:sz="0" w:space="0" w:color="auto"/>
        <w:right w:val="none" w:sz="0" w:space="0" w:color="auto"/>
      </w:divBdr>
    </w:div>
    <w:div w:id="754084425">
      <w:bodyDiv w:val="1"/>
      <w:marLeft w:val="0"/>
      <w:marRight w:val="0"/>
      <w:marTop w:val="0"/>
      <w:marBottom w:val="0"/>
      <w:divBdr>
        <w:top w:val="none" w:sz="0" w:space="0" w:color="auto"/>
        <w:left w:val="none" w:sz="0" w:space="0" w:color="auto"/>
        <w:bottom w:val="none" w:sz="0" w:space="0" w:color="auto"/>
        <w:right w:val="none" w:sz="0" w:space="0" w:color="auto"/>
      </w:divBdr>
    </w:div>
    <w:div w:id="760684997">
      <w:bodyDiv w:val="1"/>
      <w:marLeft w:val="0"/>
      <w:marRight w:val="0"/>
      <w:marTop w:val="0"/>
      <w:marBottom w:val="0"/>
      <w:divBdr>
        <w:top w:val="none" w:sz="0" w:space="0" w:color="auto"/>
        <w:left w:val="none" w:sz="0" w:space="0" w:color="auto"/>
        <w:bottom w:val="none" w:sz="0" w:space="0" w:color="auto"/>
        <w:right w:val="none" w:sz="0" w:space="0" w:color="auto"/>
      </w:divBdr>
    </w:div>
    <w:div w:id="849292227">
      <w:bodyDiv w:val="1"/>
      <w:marLeft w:val="0"/>
      <w:marRight w:val="0"/>
      <w:marTop w:val="0"/>
      <w:marBottom w:val="0"/>
      <w:divBdr>
        <w:top w:val="none" w:sz="0" w:space="0" w:color="auto"/>
        <w:left w:val="none" w:sz="0" w:space="0" w:color="auto"/>
        <w:bottom w:val="none" w:sz="0" w:space="0" w:color="auto"/>
        <w:right w:val="none" w:sz="0" w:space="0" w:color="auto"/>
      </w:divBdr>
    </w:div>
    <w:div w:id="968317808">
      <w:bodyDiv w:val="1"/>
      <w:marLeft w:val="0"/>
      <w:marRight w:val="0"/>
      <w:marTop w:val="0"/>
      <w:marBottom w:val="0"/>
      <w:divBdr>
        <w:top w:val="none" w:sz="0" w:space="0" w:color="auto"/>
        <w:left w:val="none" w:sz="0" w:space="0" w:color="auto"/>
        <w:bottom w:val="none" w:sz="0" w:space="0" w:color="auto"/>
        <w:right w:val="none" w:sz="0" w:space="0" w:color="auto"/>
      </w:divBdr>
    </w:div>
    <w:div w:id="1049765915">
      <w:bodyDiv w:val="1"/>
      <w:marLeft w:val="0"/>
      <w:marRight w:val="0"/>
      <w:marTop w:val="0"/>
      <w:marBottom w:val="0"/>
      <w:divBdr>
        <w:top w:val="none" w:sz="0" w:space="0" w:color="auto"/>
        <w:left w:val="none" w:sz="0" w:space="0" w:color="auto"/>
        <w:bottom w:val="none" w:sz="0" w:space="0" w:color="auto"/>
        <w:right w:val="none" w:sz="0" w:space="0" w:color="auto"/>
      </w:divBdr>
      <w:divsChild>
        <w:div w:id="1630553061">
          <w:marLeft w:val="0"/>
          <w:marRight w:val="0"/>
          <w:marTop w:val="0"/>
          <w:marBottom w:val="0"/>
          <w:divBdr>
            <w:top w:val="none" w:sz="0" w:space="0" w:color="auto"/>
            <w:left w:val="none" w:sz="0" w:space="0" w:color="auto"/>
            <w:bottom w:val="none" w:sz="0" w:space="0" w:color="auto"/>
            <w:right w:val="none" w:sz="0" w:space="0" w:color="auto"/>
          </w:divBdr>
          <w:divsChild>
            <w:div w:id="1035734206">
              <w:marLeft w:val="0"/>
              <w:marRight w:val="0"/>
              <w:marTop w:val="0"/>
              <w:marBottom w:val="0"/>
              <w:divBdr>
                <w:top w:val="none" w:sz="0" w:space="0" w:color="auto"/>
                <w:left w:val="none" w:sz="0" w:space="0" w:color="auto"/>
                <w:bottom w:val="none" w:sz="0" w:space="0" w:color="auto"/>
                <w:right w:val="none" w:sz="0" w:space="0" w:color="auto"/>
              </w:divBdr>
              <w:divsChild>
                <w:div w:id="1368751631">
                  <w:marLeft w:val="0"/>
                  <w:marRight w:val="0"/>
                  <w:marTop w:val="0"/>
                  <w:marBottom w:val="0"/>
                  <w:divBdr>
                    <w:top w:val="none" w:sz="0" w:space="0" w:color="auto"/>
                    <w:left w:val="none" w:sz="0" w:space="0" w:color="auto"/>
                    <w:bottom w:val="none" w:sz="0" w:space="0" w:color="auto"/>
                    <w:right w:val="none" w:sz="0" w:space="0" w:color="auto"/>
                  </w:divBdr>
                  <w:divsChild>
                    <w:div w:id="134302087">
                      <w:marLeft w:val="0"/>
                      <w:marRight w:val="0"/>
                      <w:marTop w:val="0"/>
                      <w:marBottom w:val="0"/>
                      <w:divBdr>
                        <w:top w:val="none" w:sz="0" w:space="0" w:color="auto"/>
                        <w:left w:val="none" w:sz="0" w:space="0" w:color="auto"/>
                        <w:bottom w:val="none" w:sz="0" w:space="0" w:color="auto"/>
                        <w:right w:val="none" w:sz="0" w:space="0" w:color="auto"/>
                      </w:divBdr>
                      <w:divsChild>
                        <w:div w:id="55209221">
                          <w:marLeft w:val="0"/>
                          <w:marRight w:val="0"/>
                          <w:marTop w:val="0"/>
                          <w:marBottom w:val="0"/>
                          <w:divBdr>
                            <w:top w:val="none" w:sz="0" w:space="0" w:color="auto"/>
                            <w:left w:val="none" w:sz="0" w:space="0" w:color="auto"/>
                            <w:bottom w:val="none" w:sz="0" w:space="0" w:color="auto"/>
                            <w:right w:val="none" w:sz="0" w:space="0" w:color="auto"/>
                          </w:divBdr>
                          <w:divsChild>
                            <w:div w:id="404569616">
                              <w:marLeft w:val="0"/>
                              <w:marRight w:val="0"/>
                              <w:marTop w:val="0"/>
                              <w:marBottom w:val="0"/>
                              <w:divBdr>
                                <w:top w:val="none" w:sz="0" w:space="0" w:color="auto"/>
                                <w:left w:val="none" w:sz="0" w:space="0" w:color="auto"/>
                                <w:bottom w:val="none" w:sz="0" w:space="0" w:color="auto"/>
                                <w:right w:val="none" w:sz="0" w:space="0" w:color="auto"/>
                              </w:divBdr>
                              <w:divsChild>
                                <w:div w:id="1848444839">
                                  <w:marLeft w:val="0"/>
                                  <w:marRight w:val="0"/>
                                  <w:marTop w:val="0"/>
                                  <w:marBottom w:val="0"/>
                                  <w:divBdr>
                                    <w:top w:val="none" w:sz="0" w:space="0" w:color="auto"/>
                                    <w:left w:val="none" w:sz="0" w:space="0" w:color="auto"/>
                                    <w:bottom w:val="none" w:sz="0" w:space="0" w:color="auto"/>
                                    <w:right w:val="none" w:sz="0" w:space="0" w:color="auto"/>
                                  </w:divBdr>
                                  <w:divsChild>
                                    <w:div w:id="11568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501643">
      <w:bodyDiv w:val="1"/>
      <w:marLeft w:val="0"/>
      <w:marRight w:val="0"/>
      <w:marTop w:val="0"/>
      <w:marBottom w:val="0"/>
      <w:divBdr>
        <w:top w:val="none" w:sz="0" w:space="0" w:color="auto"/>
        <w:left w:val="none" w:sz="0" w:space="0" w:color="auto"/>
        <w:bottom w:val="none" w:sz="0" w:space="0" w:color="auto"/>
        <w:right w:val="none" w:sz="0" w:space="0" w:color="auto"/>
      </w:divBdr>
    </w:div>
    <w:div w:id="1084451621">
      <w:bodyDiv w:val="1"/>
      <w:marLeft w:val="0"/>
      <w:marRight w:val="0"/>
      <w:marTop w:val="0"/>
      <w:marBottom w:val="0"/>
      <w:divBdr>
        <w:top w:val="none" w:sz="0" w:space="0" w:color="auto"/>
        <w:left w:val="none" w:sz="0" w:space="0" w:color="auto"/>
        <w:bottom w:val="none" w:sz="0" w:space="0" w:color="auto"/>
        <w:right w:val="none" w:sz="0" w:space="0" w:color="auto"/>
      </w:divBdr>
    </w:div>
    <w:div w:id="1112672681">
      <w:bodyDiv w:val="1"/>
      <w:marLeft w:val="0"/>
      <w:marRight w:val="0"/>
      <w:marTop w:val="0"/>
      <w:marBottom w:val="0"/>
      <w:divBdr>
        <w:top w:val="none" w:sz="0" w:space="0" w:color="auto"/>
        <w:left w:val="none" w:sz="0" w:space="0" w:color="auto"/>
        <w:bottom w:val="none" w:sz="0" w:space="0" w:color="auto"/>
        <w:right w:val="none" w:sz="0" w:space="0" w:color="auto"/>
      </w:divBdr>
    </w:div>
    <w:div w:id="1113597570">
      <w:bodyDiv w:val="1"/>
      <w:marLeft w:val="0"/>
      <w:marRight w:val="0"/>
      <w:marTop w:val="0"/>
      <w:marBottom w:val="0"/>
      <w:divBdr>
        <w:top w:val="none" w:sz="0" w:space="0" w:color="auto"/>
        <w:left w:val="none" w:sz="0" w:space="0" w:color="auto"/>
        <w:bottom w:val="none" w:sz="0" w:space="0" w:color="auto"/>
        <w:right w:val="none" w:sz="0" w:space="0" w:color="auto"/>
      </w:divBdr>
      <w:divsChild>
        <w:div w:id="1932002916">
          <w:marLeft w:val="0"/>
          <w:marRight w:val="0"/>
          <w:marTop w:val="0"/>
          <w:marBottom w:val="0"/>
          <w:divBdr>
            <w:top w:val="none" w:sz="0" w:space="0" w:color="auto"/>
            <w:left w:val="none" w:sz="0" w:space="0" w:color="auto"/>
            <w:bottom w:val="none" w:sz="0" w:space="0" w:color="auto"/>
            <w:right w:val="none" w:sz="0" w:space="0" w:color="auto"/>
          </w:divBdr>
          <w:divsChild>
            <w:div w:id="673456100">
              <w:marLeft w:val="0"/>
              <w:marRight w:val="0"/>
              <w:marTop w:val="0"/>
              <w:marBottom w:val="0"/>
              <w:divBdr>
                <w:top w:val="none" w:sz="0" w:space="0" w:color="auto"/>
                <w:left w:val="none" w:sz="0" w:space="0" w:color="auto"/>
                <w:bottom w:val="none" w:sz="0" w:space="0" w:color="auto"/>
                <w:right w:val="none" w:sz="0" w:space="0" w:color="auto"/>
              </w:divBdr>
              <w:divsChild>
                <w:div w:id="1888099077">
                  <w:marLeft w:val="0"/>
                  <w:marRight w:val="0"/>
                  <w:marTop w:val="0"/>
                  <w:marBottom w:val="0"/>
                  <w:divBdr>
                    <w:top w:val="none" w:sz="0" w:space="0" w:color="auto"/>
                    <w:left w:val="none" w:sz="0" w:space="0" w:color="auto"/>
                    <w:bottom w:val="none" w:sz="0" w:space="0" w:color="auto"/>
                    <w:right w:val="none" w:sz="0" w:space="0" w:color="auto"/>
                  </w:divBdr>
                  <w:divsChild>
                    <w:div w:id="1585339902">
                      <w:marLeft w:val="0"/>
                      <w:marRight w:val="0"/>
                      <w:marTop w:val="0"/>
                      <w:marBottom w:val="0"/>
                      <w:divBdr>
                        <w:top w:val="none" w:sz="0" w:space="0" w:color="auto"/>
                        <w:left w:val="none" w:sz="0" w:space="0" w:color="auto"/>
                        <w:bottom w:val="none" w:sz="0" w:space="0" w:color="auto"/>
                        <w:right w:val="none" w:sz="0" w:space="0" w:color="auto"/>
                      </w:divBdr>
                      <w:divsChild>
                        <w:div w:id="308247426">
                          <w:marLeft w:val="0"/>
                          <w:marRight w:val="0"/>
                          <w:marTop w:val="0"/>
                          <w:marBottom w:val="0"/>
                          <w:divBdr>
                            <w:top w:val="none" w:sz="0" w:space="0" w:color="auto"/>
                            <w:left w:val="none" w:sz="0" w:space="0" w:color="auto"/>
                            <w:bottom w:val="none" w:sz="0" w:space="0" w:color="auto"/>
                            <w:right w:val="none" w:sz="0" w:space="0" w:color="auto"/>
                          </w:divBdr>
                          <w:divsChild>
                            <w:div w:id="1544292843">
                              <w:marLeft w:val="0"/>
                              <w:marRight w:val="0"/>
                              <w:marTop w:val="0"/>
                              <w:marBottom w:val="0"/>
                              <w:divBdr>
                                <w:top w:val="none" w:sz="0" w:space="0" w:color="auto"/>
                                <w:left w:val="none" w:sz="0" w:space="0" w:color="auto"/>
                                <w:bottom w:val="none" w:sz="0" w:space="0" w:color="auto"/>
                                <w:right w:val="none" w:sz="0" w:space="0" w:color="auto"/>
                              </w:divBdr>
                              <w:divsChild>
                                <w:div w:id="2053383606">
                                  <w:marLeft w:val="0"/>
                                  <w:marRight w:val="0"/>
                                  <w:marTop w:val="0"/>
                                  <w:marBottom w:val="0"/>
                                  <w:divBdr>
                                    <w:top w:val="none" w:sz="0" w:space="0" w:color="auto"/>
                                    <w:left w:val="none" w:sz="0" w:space="0" w:color="auto"/>
                                    <w:bottom w:val="none" w:sz="0" w:space="0" w:color="auto"/>
                                    <w:right w:val="none" w:sz="0" w:space="0" w:color="auto"/>
                                  </w:divBdr>
                                  <w:divsChild>
                                    <w:div w:id="972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702568">
      <w:bodyDiv w:val="1"/>
      <w:marLeft w:val="0"/>
      <w:marRight w:val="0"/>
      <w:marTop w:val="0"/>
      <w:marBottom w:val="0"/>
      <w:divBdr>
        <w:top w:val="none" w:sz="0" w:space="0" w:color="auto"/>
        <w:left w:val="none" w:sz="0" w:space="0" w:color="auto"/>
        <w:bottom w:val="none" w:sz="0" w:space="0" w:color="auto"/>
        <w:right w:val="none" w:sz="0" w:space="0" w:color="auto"/>
      </w:divBdr>
    </w:div>
    <w:div w:id="1151409664">
      <w:bodyDiv w:val="1"/>
      <w:marLeft w:val="0"/>
      <w:marRight w:val="0"/>
      <w:marTop w:val="0"/>
      <w:marBottom w:val="0"/>
      <w:divBdr>
        <w:top w:val="none" w:sz="0" w:space="0" w:color="auto"/>
        <w:left w:val="none" w:sz="0" w:space="0" w:color="auto"/>
        <w:bottom w:val="none" w:sz="0" w:space="0" w:color="auto"/>
        <w:right w:val="none" w:sz="0" w:space="0" w:color="auto"/>
      </w:divBdr>
    </w:div>
    <w:div w:id="1169490573">
      <w:bodyDiv w:val="1"/>
      <w:marLeft w:val="0"/>
      <w:marRight w:val="0"/>
      <w:marTop w:val="0"/>
      <w:marBottom w:val="0"/>
      <w:divBdr>
        <w:top w:val="none" w:sz="0" w:space="0" w:color="auto"/>
        <w:left w:val="none" w:sz="0" w:space="0" w:color="auto"/>
        <w:bottom w:val="none" w:sz="0" w:space="0" w:color="auto"/>
        <w:right w:val="none" w:sz="0" w:space="0" w:color="auto"/>
      </w:divBdr>
    </w:div>
    <w:div w:id="1184637838">
      <w:bodyDiv w:val="1"/>
      <w:marLeft w:val="0"/>
      <w:marRight w:val="0"/>
      <w:marTop w:val="0"/>
      <w:marBottom w:val="0"/>
      <w:divBdr>
        <w:top w:val="none" w:sz="0" w:space="0" w:color="auto"/>
        <w:left w:val="none" w:sz="0" w:space="0" w:color="auto"/>
        <w:bottom w:val="none" w:sz="0" w:space="0" w:color="auto"/>
        <w:right w:val="none" w:sz="0" w:space="0" w:color="auto"/>
      </w:divBdr>
    </w:div>
    <w:div w:id="1217931952">
      <w:bodyDiv w:val="1"/>
      <w:marLeft w:val="0"/>
      <w:marRight w:val="0"/>
      <w:marTop w:val="0"/>
      <w:marBottom w:val="0"/>
      <w:divBdr>
        <w:top w:val="none" w:sz="0" w:space="0" w:color="auto"/>
        <w:left w:val="none" w:sz="0" w:space="0" w:color="auto"/>
        <w:bottom w:val="none" w:sz="0" w:space="0" w:color="auto"/>
        <w:right w:val="none" w:sz="0" w:space="0" w:color="auto"/>
      </w:divBdr>
    </w:div>
    <w:div w:id="1258364152">
      <w:bodyDiv w:val="1"/>
      <w:marLeft w:val="0"/>
      <w:marRight w:val="0"/>
      <w:marTop w:val="0"/>
      <w:marBottom w:val="0"/>
      <w:divBdr>
        <w:top w:val="none" w:sz="0" w:space="0" w:color="auto"/>
        <w:left w:val="none" w:sz="0" w:space="0" w:color="auto"/>
        <w:bottom w:val="none" w:sz="0" w:space="0" w:color="auto"/>
        <w:right w:val="none" w:sz="0" w:space="0" w:color="auto"/>
      </w:divBdr>
    </w:div>
    <w:div w:id="1294285663">
      <w:bodyDiv w:val="1"/>
      <w:marLeft w:val="0"/>
      <w:marRight w:val="0"/>
      <w:marTop w:val="0"/>
      <w:marBottom w:val="0"/>
      <w:divBdr>
        <w:top w:val="none" w:sz="0" w:space="0" w:color="auto"/>
        <w:left w:val="none" w:sz="0" w:space="0" w:color="auto"/>
        <w:bottom w:val="none" w:sz="0" w:space="0" w:color="auto"/>
        <w:right w:val="none" w:sz="0" w:space="0" w:color="auto"/>
      </w:divBdr>
    </w:div>
    <w:div w:id="1302077897">
      <w:bodyDiv w:val="1"/>
      <w:marLeft w:val="0"/>
      <w:marRight w:val="0"/>
      <w:marTop w:val="0"/>
      <w:marBottom w:val="0"/>
      <w:divBdr>
        <w:top w:val="none" w:sz="0" w:space="0" w:color="auto"/>
        <w:left w:val="none" w:sz="0" w:space="0" w:color="auto"/>
        <w:bottom w:val="none" w:sz="0" w:space="0" w:color="auto"/>
        <w:right w:val="none" w:sz="0" w:space="0" w:color="auto"/>
      </w:divBdr>
    </w:div>
    <w:div w:id="1302804590">
      <w:bodyDiv w:val="1"/>
      <w:marLeft w:val="0"/>
      <w:marRight w:val="0"/>
      <w:marTop w:val="0"/>
      <w:marBottom w:val="0"/>
      <w:divBdr>
        <w:top w:val="none" w:sz="0" w:space="0" w:color="auto"/>
        <w:left w:val="none" w:sz="0" w:space="0" w:color="auto"/>
        <w:bottom w:val="none" w:sz="0" w:space="0" w:color="auto"/>
        <w:right w:val="none" w:sz="0" w:space="0" w:color="auto"/>
      </w:divBdr>
    </w:div>
    <w:div w:id="1417752525">
      <w:bodyDiv w:val="1"/>
      <w:marLeft w:val="0"/>
      <w:marRight w:val="0"/>
      <w:marTop w:val="0"/>
      <w:marBottom w:val="0"/>
      <w:divBdr>
        <w:top w:val="none" w:sz="0" w:space="0" w:color="auto"/>
        <w:left w:val="none" w:sz="0" w:space="0" w:color="auto"/>
        <w:bottom w:val="none" w:sz="0" w:space="0" w:color="auto"/>
        <w:right w:val="none" w:sz="0" w:space="0" w:color="auto"/>
      </w:divBdr>
    </w:div>
    <w:div w:id="1650666652">
      <w:bodyDiv w:val="1"/>
      <w:marLeft w:val="0"/>
      <w:marRight w:val="0"/>
      <w:marTop w:val="0"/>
      <w:marBottom w:val="0"/>
      <w:divBdr>
        <w:top w:val="none" w:sz="0" w:space="0" w:color="auto"/>
        <w:left w:val="none" w:sz="0" w:space="0" w:color="auto"/>
        <w:bottom w:val="none" w:sz="0" w:space="0" w:color="auto"/>
        <w:right w:val="none" w:sz="0" w:space="0" w:color="auto"/>
      </w:divBdr>
    </w:div>
    <w:div w:id="1655257219">
      <w:bodyDiv w:val="1"/>
      <w:marLeft w:val="0"/>
      <w:marRight w:val="0"/>
      <w:marTop w:val="0"/>
      <w:marBottom w:val="0"/>
      <w:divBdr>
        <w:top w:val="none" w:sz="0" w:space="0" w:color="auto"/>
        <w:left w:val="none" w:sz="0" w:space="0" w:color="auto"/>
        <w:bottom w:val="none" w:sz="0" w:space="0" w:color="auto"/>
        <w:right w:val="none" w:sz="0" w:space="0" w:color="auto"/>
      </w:divBdr>
    </w:div>
    <w:div w:id="1784881798">
      <w:bodyDiv w:val="1"/>
      <w:marLeft w:val="0"/>
      <w:marRight w:val="0"/>
      <w:marTop w:val="0"/>
      <w:marBottom w:val="0"/>
      <w:divBdr>
        <w:top w:val="none" w:sz="0" w:space="0" w:color="auto"/>
        <w:left w:val="none" w:sz="0" w:space="0" w:color="auto"/>
        <w:bottom w:val="none" w:sz="0" w:space="0" w:color="auto"/>
        <w:right w:val="none" w:sz="0" w:space="0" w:color="auto"/>
      </w:divBdr>
    </w:div>
    <w:div w:id="1891187905">
      <w:bodyDiv w:val="1"/>
      <w:marLeft w:val="0"/>
      <w:marRight w:val="0"/>
      <w:marTop w:val="0"/>
      <w:marBottom w:val="0"/>
      <w:divBdr>
        <w:top w:val="none" w:sz="0" w:space="0" w:color="auto"/>
        <w:left w:val="none" w:sz="0" w:space="0" w:color="auto"/>
        <w:bottom w:val="none" w:sz="0" w:space="0" w:color="auto"/>
        <w:right w:val="none" w:sz="0" w:space="0" w:color="auto"/>
      </w:divBdr>
    </w:div>
    <w:div w:id="1897011084">
      <w:bodyDiv w:val="1"/>
      <w:marLeft w:val="0"/>
      <w:marRight w:val="0"/>
      <w:marTop w:val="0"/>
      <w:marBottom w:val="0"/>
      <w:divBdr>
        <w:top w:val="none" w:sz="0" w:space="0" w:color="auto"/>
        <w:left w:val="none" w:sz="0" w:space="0" w:color="auto"/>
        <w:bottom w:val="none" w:sz="0" w:space="0" w:color="auto"/>
        <w:right w:val="none" w:sz="0" w:space="0" w:color="auto"/>
      </w:divBdr>
    </w:div>
    <w:div w:id="1904825059">
      <w:bodyDiv w:val="1"/>
      <w:marLeft w:val="0"/>
      <w:marRight w:val="0"/>
      <w:marTop w:val="0"/>
      <w:marBottom w:val="0"/>
      <w:divBdr>
        <w:top w:val="none" w:sz="0" w:space="0" w:color="auto"/>
        <w:left w:val="none" w:sz="0" w:space="0" w:color="auto"/>
        <w:bottom w:val="none" w:sz="0" w:space="0" w:color="auto"/>
        <w:right w:val="none" w:sz="0" w:space="0" w:color="auto"/>
      </w:divBdr>
    </w:div>
    <w:div w:id="1952013920">
      <w:bodyDiv w:val="1"/>
      <w:marLeft w:val="0"/>
      <w:marRight w:val="0"/>
      <w:marTop w:val="0"/>
      <w:marBottom w:val="0"/>
      <w:divBdr>
        <w:top w:val="none" w:sz="0" w:space="0" w:color="auto"/>
        <w:left w:val="none" w:sz="0" w:space="0" w:color="auto"/>
        <w:bottom w:val="none" w:sz="0" w:space="0" w:color="auto"/>
        <w:right w:val="none" w:sz="0" w:space="0" w:color="auto"/>
      </w:divBdr>
    </w:div>
    <w:div w:id="1981422096">
      <w:bodyDiv w:val="1"/>
      <w:marLeft w:val="0"/>
      <w:marRight w:val="0"/>
      <w:marTop w:val="0"/>
      <w:marBottom w:val="0"/>
      <w:divBdr>
        <w:top w:val="none" w:sz="0" w:space="0" w:color="auto"/>
        <w:left w:val="none" w:sz="0" w:space="0" w:color="auto"/>
        <w:bottom w:val="none" w:sz="0" w:space="0" w:color="auto"/>
        <w:right w:val="none" w:sz="0" w:space="0" w:color="auto"/>
      </w:divBdr>
    </w:div>
    <w:div w:id="2025355259">
      <w:bodyDiv w:val="1"/>
      <w:marLeft w:val="0"/>
      <w:marRight w:val="0"/>
      <w:marTop w:val="0"/>
      <w:marBottom w:val="0"/>
      <w:divBdr>
        <w:top w:val="none" w:sz="0" w:space="0" w:color="auto"/>
        <w:left w:val="none" w:sz="0" w:space="0" w:color="auto"/>
        <w:bottom w:val="none" w:sz="0" w:space="0" w:color="auto"/>
        <w:right w:val="none" w:sz="0" w:space="0" w:color="auto"/>
      </w:divBdr>
      <w:divsChild>
        <w:div w:id="1915356951">
          <w:marLeft w:val="0"/>
          <w:marRight w:val="0"/>
          <w:marTop w:val="0"/>
          <w:marBottom w:val="0"/>
          <w:divBdr>
            <w:top w:val="none" w:sz="0" w:space="0" w:color="auto"/>
            <w:left w:val="none" w:sz="0" w:space="0" w:color="auto"/>
            <w:bottom w:val="none" w:sz="0" w:space="0" w:color="auto"/>
            <w:right w:val="none" w:sz="0" w:space="0" w:color="auto"/>
          </w:divBdr>
          <w:divsChild>
            <w:div w:id="2080203352">
              <w:marLeft w:val="0"/>
              <w:marRight w:val="0"/>
              <w:marTop w:val="0"/>
              <w:marBottom w:val="0"/>
              <w:divBdr>
                <w:top w:val="none" w:sz="0" w:space="0" w:color="auto"/>
                <w:left w:val="none" w:sz="0" w:space="0" w:color="auto"/>
                <w:bottom w:val="none" w:sz="0" w:space="0" w:color="auto"/>
                <w:right w:val="none" w:sz="0" w:space="0" w:color="auto"/>
              </w:divBdr>
              <w:divsChild>
                <w:div w:id="153104584">
                  <w:marLeft w:val="0"/>
                  <w:marRight w:val="0"/>
                  <w:marTop w:val="0"/>
                  <w:marBottom w:val="0"/>
                  <w:divBdr>
                    <w:top w:val="none" w:sz="0" w:space="0" w:color="auto"/>
                    <w:left w:val="none" w:sz="0" w:space="0" w:color="auto"/>
                    <w:bottom w:val="none" w:sz="0" w:space="0" w:color="auto"/>
                    <w:right w:val="none" w:sz="0" w:space="0" w:color="auto"/>
                  </w:divBdr>
                  <w:divsChild>
                    <w:div w:id="1467166720">
                      <w:marLeft w:val="0"/>
                      <w:marRight w:val="0"/>
                      <w:marTop w:val="0"/>
                      <w:marBottom w:val="0"/>
                      <w:divBdr>
                        <w:top w:val="none" w:sz="0" w:space="0" w:color="auto"/>
                        <w:left w:val="none" w:sz="0" w:space="0" w:color="auto"/>
                        <w:bottom w:val="none" w:sz="0" w:space="0" w:color="auto"/>
                        <w:right w:val="none" w:sz="0" w:space="0" w:color="auto"/>
                      </w:divBdr>
                      <w:divsChild>
                        <w:div w:id="1921330788">
                          <w:marLeft w:val="0"/>
                          <w:marRight w:val="0"/>
                          <w:marTop w:val="0"/>
                          <w:marBottom w:val="0"/>
                          <w:divBdr>
                            <w:top w:val="none" w:sz="0" w:space="0" w:color="auto"/>
                            <w:left w:val="none" w:sz="0" w:space="0" w:color="auto"/>
                            <w:bottom w:val="none" w:sz="0" w:space="0" w:color="auto"/>
                            <w:right w:val="none" w:sz="0" w:space="0" w:color="auto"/>
                          </w:divBdr>
                          <w:divsChild>
                            <w:div w:id="1315455951">
                              <w:marLeft w:val="0"/>
                              <w:marRight w:val="0"/>
                              <w:marTop w:val="0"/>
                              <w:marBottom w:val="0"/>
                              <w:divBdr>
                                <w:top w:val="none" w:sz="0" w:space="0" w:color="auto"/>
                                <w:left w:val="none" w:sz="0" w:space="0" w:color="auto"/>
                                <w:bottom w:val="none" w:sz="0" w:space="0" w:color="auto"/>
                                <w:right w:val="none" w:sz="0" w:space="0" w:color="auto"/>
                              </w:divBdr>
                              <w:divsChild>
                                <w:div w:id="255527004">
                                  <w:marLeft w:val="0"/>
                                  <w:marRight w:val="0"/>
                                  <w:marTop w:val="0"/>
                                  <w:marBottom w:val="0"/>
                                  <w:divBdr>
                                    <w:top w:val="none" w:sz="0" w:space="0" w:color="auto"/>
                                    <w:left w:val="none" w:sz="0" w:space="0" w:color="auto"/>
                                    <w:bottom w:val="none" w:sz="0" w:space="0" w:color="auto"/>
                                    <w:right w:val="none" w:sz="0" w:space="0" w:color="auto"/>
                                  </w:divBdr>
                                  <w:divsChild>
                                    <w:div w:id="6178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98438">
      <w:bodyDiv w:val="1"/>
      <w:marLeft w:val="0"/>
      <w:marRight w:val="0"/>
      <w:marTop w:val="0"/>
      <w:marBottom w:val="0"/>
      <w:divBdr>
        <w:top w:val="none" w:sz="0" w:space="0" w:color="auto"/>
        <w:left w:val="none" w:sz="0" w:space="0" w:color="auto"/>
        <w:bottom w:val="none" w:sz="0" w:space="0" w:color="auto"/>
        <w:right w:val="none" w:sz="0" w:space="0" w:color="auto"/>
      </w:divBdr>
    </w:div>
    <w:div w:id="2139569838">
      <w:bodyDiv w:val="1"/>
      <w:marLeft w:val="0"/>
      <w:marRight w:val="0"/>
      <w:marTop w:val="0"/>
      <w:marBottom w:val="0"/>
      <w:divBdr>
        <w:top w:val="none" w:sz="0" w:space="0" w:color="auto"/>
        <w:left w:val="none" w:sz="0" w:space="0" w:color="auto"/>
        <w:bottom w:val="none" w:sz="0" w:space="0" w:color="auto"/>
        <w:right w:val="none" w:sz="0" w:space="0" w:color="auto"/>
      </w:divBdr>
      <w:divsChild>
        <w:div w:id="1513228475">
          <w:marLeft w:val="0"/>
          <w:marRight w:val="0"/>
          <w:marTop w:val="0"/>
          <w:marBottom w:val="0"/>
          <w:divBdr>
            <w:top w:val="none" w:sz="0" w:space="0" w:color="auto"/>
            <w:left w:val="none" w:sz="0" w:space="0" w:color="auto"/>
            <w:bottom w:val="none" w:sz="0" w:space="0" w:color="auto"/>
            <w:right w:val="none" w:sz="0" w:space="0" w:color="auto"/>
          </w:divBdr>
          <w:divsChild>
            <w:div w:id="1042367822">
              <w:marLeft w:val="0"/>
              <w:marRight w:val="0"/>
              <w:marTop w:val="0"/>
              <w:marBottom w:val="0"/>
              <w:divBdr>
                <w:top w:val="none" w:sz="0" w:space="0" w:color="auto"/>
                <w:left w:val="none" w:sz="0" w:space="0" w:color="auto"/>
                <w:bottom w:val="none" w:sz="0" w:space="0" w:color="auto"/>
                <w:right w:val="none" w:sz="0" w:space="0" w:color="auto"/>
              </w:divBdr>
              <w:divsChild>
                <w:div w:id="729351810">
                  <w:marLeft w:val="0"/>
                  <w:marRight w:val="0"/>
                  <w:marTop w:val="0"/>
                  <w:marBottom w:val="0"/>
                  <w:divBdr>
                    <w:top w:val="none" w:sz="0" w:space="0" w:color="auto"/>
                    <w:left w:val="none" w:sz="0" w:space="0" w:color="auto"/>
                    <w:bottom w:val="none" w:sz="0" w:space="0" w:color="auto"/>
                    <w:right w:val="none" w:sz="0" w:space="0" w:color="auto"/>
                  </w:divBdr>
                  <w:divsChild>
                    <w:div w:id="867596481">
                      <w:marLeft w:val="0"/>
                      <w:marRight w:val="0"/>
                      <w:marTop w:val="0"/>
                      <w:marBottom w:val="0"/>
                      <w:divBdr>
                        <w:top w:val="none" w:sz="0" w:space="0" w:color="auto"/>
                        <w:left w:val="none" w:sz="0" w:space="0" w:color="auto"/>
                        <w:bottom w:val="none" w:sz="0" w:space="0" w:color="auto"/>
                        <w:right w:val="none" w:sz="0" w:space="0" w:color="auto"/>
                      </w:divBdr>
                      <w:divsChild>
                        <w:div w:id="970207890">
                          <w:marLeft w:val="0"/>
                          <w:marRight w:val="0"/>
                          <w:marTop w:val="0"/>
                          <w:marBottom w:val="0"/>
                          <w:divBdr>
                            <w:top w:val="none" w:sz="0" w:space="0" w:color="auto"/>
                            <w:left w:val="none" w:sz="0" w:space="0" w:color="auto"/>
                            <w:bottom w:val="none" w:sz="0" w:space="0" w:color="auto"/>
                            <w:right w:val="none" w:sz="0" w:space="0" w:color="auto"/>
                          </w:divBdr>
                          <w:divsChild>
                            <w:div w:id="304355174">
                              <w:marLeft w:val="0"/>
                              <w:marRight w:val="0"/>
                              <w:marTop w:val="0"/>
                              <w:marBottom w:val="0"/>
                              <w:divBdr>
                                <w:top w:val="none" w:sz="0" w:space="0" w:color="auto"/>
                                <w:left w:val="none" w:sz="0" w:space="0" w:color="auto"/>
                                <w:bottom w:val="none" w:sz="0" w:space="0" w:color="auto"/>
                                <w:right w:val="none" w:sz="0" w:space="0" w:color="auto"/>
                              </w:divBdr>
                              <w:divsChild>
                                <w:div w:id="886263560">
                                  <w:marLeft w:val="0"/>
                                  <w:marRight w:val="0"/>
                                  <w:marTop w:val="0"/>
                                  <w:marBottom w:val="0"/>
                                  <w:divBdr>
                                    <w:top w:val="none" w:sz="0" w:space="0" w:color="auto"/>
                                    <w:left w:val="none" w:sz="0" w:space="0" w:color="auto"/>
                                    <w:bottom w:val="none" w:sz="0" w:space="0" w:color="auto"/>
                                    <w:right w:val="none" w:sz="0" w:space="0" w:color="auto"/>
                                  </w:divBdr>
                                  <w:divsChild>
                                    <w:div w:id="20149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explosion val="16"/>
            <c:spPr>
              <a:solidFill>
                <a:schemeClr val="accent1"/>
              </a:solidFill>
              <a:ln w="19050">
                <a:solidFill>
                  <a:schemeClr val="lt1"/>
                </a:solidFill>
              </a:ln>
              <a:effectLst/>
            </c:spPr>
            <c:extLst>
              <c:ext xmlns:c16="http://schemas.microsoft.com/office/drawing/2014/chart" uri="{C3380CC4-5D6E-409C-BE32-E72D297353CC}">
                <c16:uniqueId val="{00000001-21A4-41A0-A2C6-4D9886B07A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C8-40A9-BD59-96311039B6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Good</c:v>
                </c:pt>
                <c:pt idx="1">
                  <c:v>Poor</c:v>
                </c:pt>
              </c:strCache>
            </c:strRef>
          </c:cat>
          <c:val>
            <c:numRef>
              <c:f>Sheet1!$B$2:$B$3</c:f>
              <c:numCache>
                <c:formatCode>General</c:formatCode>
                <c:ptCount val="2"/>
                <c:pt idx="0">
                  <c:v>129</c:v>
                </c:pt>
                <c:pt idx="1">
                  <c:v>156</c:v>
                </c:pt>
              </c:numCache>
            </c:numRef>
          </c:val>
          <c:extLst>
            <c:ext xmlns:c16="http://schemas.microsoft.com/office/drawing/2014/chart" uri="{C3380CC4-5D6E-409C-BE32-E72D297353CC}">
              <c16:uniqueId val="{00000000-21A4-41A0-A2C6-4D9886B07AD0}"/>
            </c:ext>
          </c:extLst>
        </c:ser>
        <c:dLbls>
          <c:dLblPos val="inEnd"/>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15</Pages>
  <Words>21494</Words>
  <Characters>122516</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HP</cp:lastModifiedBy>
  <cp:revision>10</cp:revision>
  <dcterms:created xsi:type="dcterms:W3CDTF">2025-06-25T03:01:00Z</dcterms:created>
  <dcterms:modified xsi:type="dcterms:W3CDTF">2025-06-27T23:04:00Z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217ba2d4-d2a7-4d75-8b4c-da218960938f</vt:lpwstr>
  </property>
  <property fmtid="{D5CDD505-2E9C-101B-9397-08002B2CF9AE}" pid="3" name="ZOTERO_PREF_1">
    <vt:lpwstr>&lt;data data-version="3" zotero-version="7.0.15"&gt;&lt;session id="GUM1RGps"/&gt;&lt;style id="http://www.zotero.org/styles/vancouver-superscript" locale="en-US" hasBibliography="1" bibliographyStyleHasBeenSet="1"/&gt;&lt;prefs&gt;&lt;pref name="fieldType" value="Field"/&gt;&lt;/prefs&gt;</vt:lpwstr>
  </property>
  <property fmtid="{D5CDD505-2E9C-101B-9397-08002B2CF9AE}" pid="4" name="ZOTERO_PREF_2">
    <vt:lpwstr>&lt;/data&gt;</vt:lpwstr>
  </property>
</Properties>
</file>