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07AB" w14:textId="77777777" w:rsidR="00754C9A" w:rsidRDefault="00754C9A" w:rsidP="00441B6F">
      <w:pPr>
        <w:pStyle w:val="Title"/>
        <w:spacing w:after="0"/>
        <w:jc w:val="both"/>
        <w:rPr>
          <w:rFonts w:ascii="Arial" w:hAnsi="Arial" w:cs="Arial"/>
        </w:rPr>
      </w:pPr>
    </w:p>
    <w:p w14:paraId="30D52D93" w14:textId="07C455A9" w:rsidR="00A258C3" w:rsidRPr="001F31F1" w:rsidRDefault="007E241F" w:rsidP="00441B6F">
      <w:pPr>
        <w:pStyle w:val="Author"/>
        <w:spacing w:line="240" w:lineRule="auto"/>
        <w:jc w:val="both"/>
        <w:rPr>
          <w:rFonts w:ascii="Arial" w:hAnsi="Arial" w:cs="Arial"/>
          <w:bCs/>
          <w:iCs/>
          <w:kern w:val="28"/>
          <w:sz w:val="36"/>
        </w:rPr>
      </w:pPr>
      <w:r w:rsidRPr="001F31F1">
        <w:rPr>
          <w:rFonts w:ascii="Arial" w:hAnsi="Arial" w:cs="Arial"/>
          <w:bCs/>
          <w:iCs/>
          <w:kern w:val="28"/>
          <w:sz w:val="36"/>
        </w:rPr>
        <w:t>Effect of supplemental irrigation and organic fertilization rates on soil fertility and contamination.</w:t>
      </w:r>
    </w:p>
    <w:p w14:paraId="0D8932EF" w14:textId="77777777" w:rsidR="007E241F" w:rsidRPr="001F31F1" w:rsidRDefault="007E241F" w:rsidP="00441B6F">
      <w:pPr>
        <w:pStyle w:val="Author"/>
        <w:spacing w:line="240" w:lineRule="auto"/>
        <w:jc w:val="both"/>
        <w:rPr>
          <w:rFonts w:ascii="Arial" w:hAnsi="Arial" w:cs="Arial"/>
          <w:sz w:val="36"/>
        </w:rPr>
      </w:pPr>
    </w:p>
    <w:p w14:paraId="537931B1" w14:textId="77777777" w:rsidR="002C57D2" w:rsidRDefault="002C57D2" w:rsidP="00441B6F">
      <w:pPr>
        <w:pStyle w:val="Affiliation"/>
        <w:spacing w:after="0" w:line="240" w:lineRule="auto"/>
        <w:jc w:val="both"/>
        <w:rPr>
          <w:rFonts w:ascii="Arial" w:hAnsi="Arial" w:cs="Arial"/>
        </w:rPr>
      </w:pPr>
    </w:p>
    <w:p w14:paraId="0B48B0C6" w14:textId="77777777" w:rsidR="00111842" w:rsidRPr="00FB3A86" w:rsidRDefault="00111842" w:rsidP="00441B6F">
      <w:pPr>
        <w:pStyle w:val="Affiliation"/>
        <w:spacing w:after="0" w:line="240" w:lineRule="auto"/>
        <w:jc w:val="both"/>
        <w:rPr>
          <w:rFonts w:ascii="Arial" w:hAnsi="Arial" w:cs="Arial"/>
        </w:rPr>
      </w:pPr>
    </w:p>
    <w:p w14:paraId="6B7437C7" w14:textId="52336048" w:rsidR="00B01FCD" w:rsidRPr="00FB3A86" w:rsidRDefault="004E6419" w:rsidP="00441B6F">
      <w:pPr>
        <w:pStyle w:val="Copyright"/>
        <w:spacing w:after="0" w:line="240" w:lineRule="auto"/>
        <w:jc w:val="both"/>
        <w:rPr>
          <w:rFonts w:ascii="Arial" w:hAnsi="Arial" w:cs="Arial"/>
        </w:rPr>
        <w:sectPr w:rsidR="00B01FCD" w:rsidRPr="00FB3A86" w:rsidSect="0011184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45B729E" wp14:editId="4A9506D1">
                <wp:extent cx="5303520" cy="635"/>
                <wp:effectExtent l="13335" t="13335" r="17145" b="15240"/>
                <wp:docPr id="12166246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288B0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48CBD62" w14:textId="30F1F37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64A4E9E" w14:textId="77777777" w:rsidR="00790ADA" w:rsidRPr="00FB3A86" w:rsidRDefault="00790ADA" w:rsidP="00441B6F">
      <w:pPr>
        <w:pStyle w:val="AbstHead"/>
        <w:spacing w:after="0"/>
        <w:jc w:val="both"/>
        <w:rPr>
          <w:rFonts w:ascii="Arial" w:hAnsi="Arial" w:cs="Arial"/>
        </w:rPr>
      </w:pPr>
    </w:p>
    <w:p w14:paraId="2ADA4AAA" w14:textId="77777777" w:rsidR="00913F31" w:rsidRDefault="00913F31" w:rsidP="00A41C84">
      <w:pPr>
        <w:pStyle w:val="Body"/>
        <w:spacing w:after="0"/>
        <w:rPr>
          <w:rFonts w:ascii="Arial" w:hAnsi="Arial" w:cs="Arial"/>
          <w:b/>
          <w:bCs/>
        </w:rPr>
        <w:sectPr w:rsidR="00913F31" w:rsidSect="00111842">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num="2" w:space="720"/>
          <w:docGrid w:linePitch="272"/>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B1070" w14:paraId="0B2CADB1" w14:textId="77777777" w:rsidTr="001E44FE">
        <w:tc>
          <w:tcPr>
            <w:tcW w:w="9576" w:type="dxa"/>
            <w:shd w:val="clear" w:color="auto" w:fill="F2F2F2"/>
          </w:tcPr>
          <w:p w14:paraId="2852E44C" w14:textId="77777777" w:rsidR="007606E9" w:rsidRPr="007606E9" w:rsidRDefault="007606E9" w:rsidP="007606E9">
            <w:pPr>
              <w:pStyle w:val="Body"/>
              <w:spacing w:after="0"/>
              <w:rPr>
                <w:rFonts w:ascii="Arial" w:hAnsi="Arial" w:cs="Arial"/>
                <w:bCs/>
              </w:rPr>
            </w:pPr>
            <w:r w:rsidRPr="007606E9">
              <w:rPr>
                <w:rFonts w:ascii="Arial" w:hAnsi="Arial" w:cs="Arial"/>
                <w:b/>
                <w:bCs/>
              </w:rPr>
              <w:t>Objective</w:t>
            </w:r>
            <w:r w:rsidRPr="007606E9">
              <w:rPr>
                <w:rFonts w:ascii="Arial" w:hAnsi="Arial" w:cs="Arial"/>
                <w:bCs/>
              </w:rPr>
              <w:t xml:space="preserve">: To </w:t>
            </w:r>
            <w:commentRangeStart w:id="0"/>
            <w:r w:rsidRPr="007606E9">
              <w:rPr>
                <w:rFonts w:ascii="Arial" w:hAnsi="Arial" w:cs="Arial"/>
                <w:bCs/>
              </w:rPr>
              <w:t>evaluate</w:t>
            </w:r>
            <w:commentRangeEnd w:id="0"/>
            <w:r w:rsidR="00B80F9D">
              <w:rPr>
                <w:rStyle w:val="CommentReference"/>
                <w:rFonts w:ascii="Times New Roman" w:hAnsi="Times New Roman"/>
                <w:lang w:val="nb-NO" w:eastAsia="nb-NO"/>
              </w:rPr>
              <w:commentReference w:id="0"/>
            </w:r>
            <w:r w:rsidRPr="007606E9">
              <w:rPr>
                <w:rFonts w:ascii="Arial" w:hAnsi="Arial" w:cs="Arial"/>
                <w:bCs/>
              </w:rPr>
              <w:t xml:space="preserve"> the combined effect of compost and different irrigation regimes on soil </w:t>
            </w:r>
            <w:bookmarkStart w:id="1" w:name="_GoBack"/>
            <w:commentRangeStart w:id="2"/>
            <w:commentRangeStart w:id="3"/>
            <w:r w:rsidRPr="007606E9">
              <w:rPr>
                <w:rFonts w:ascii="Arial" w:hAnsi="Arial" w:cs="Arial"/>
                <w:bCs/>
              </w:rPr>
              <w:t xml:space="preserve">chemical </w:t>
            </w:r>
            <w:commentRangeEnd w:id="2"/>
            <w:r w:rsidR="00CF01D5">
              <w:rPr>
                <w:rStyle w:val="CommentReference"/>
                <w:rFonts w:ascii="Times New Roman" w:hAnsi="Times New Roman"/>
                <w:lang w:val="nb-NO" w:eastAsia="nb-NO"/>
              </w:rPr>
              <w:commentReference w:id="2"/>
            </w:r>
            <w:r w:rsidRPr="007606E9">
              <w:rPr>
                <w:rFonts w:ascii="Arial" w:hAnsi="Arial" w:cs="Arial"/>
                <w:bCs/>
              </w:rPr>
              <w:t>properties and pesticide sequestration</w:t>
            </w:r>
            <w:bookmarkEnd w:id="1"/>
            <w:commentRangeEnd w:id="3"/>
            <w:r w:rsidR="00CF01D5">
              <w:rPr>
                <w:rStyle w:val="CommentReference"/>
                <w:rFonts w:ascii="Times New Roman" w:hAnsi="Times New Roman"/>
                <w:lang w:val="nb-NO" w:eastAsia="nb-NO"/>
              </w:rPr>
              <w:commentReference w:id="3"/>
            </w:r>
            <w:r w:rsidRPr="007606E9">
              <w:rPr>
                <w:rFonts w:ascii="Arial" w:hAnsi="Arial" w:cs="Arial"/>
                <w:bCs/>
              </w:rPr>
              <w:t>, in a rain-fed tomato farming context.</w:t>
            </w:r>
          </w:p>
          <w:p w14:paraId="0F0D0158" w14:textId="270266CC" w:rsidR="007606E9" w:rsidRPr="007606E9" w:rsidRDefault="007606E9" w:rsidP="007606E9">
            <w:pPr>
              <w:pStyle w:val="Body"/>
              <w:spacing w:after="0"/>
              <w:rPr>
                <w:rFonts w:ascii="Arial" w:hAnsi="Arial" w:cs="Arial"/>
                <w:bCs/>
              </w:rPr>
            </w:pPr>
            <w:r>
              <w:rPr>
                <w:rFonts w:ascii="Arial" w:hAnsi="Arial" w:cs="Arial"/>
                <w:b/>
                <w:bCs/>
              </w:rPr>
              <w:t>E</w:t>
            </w:r>
            <w:r w:rsidRPr="007606E9">
              <w:rPr>
                <w:rFonts w:ascii="Arial" w:hAnsi="Arial" w:cs="Arial"/>
                <w:b/>
                <w:bCs/>
              </w:rPr>
              <w:t>xperimental set-up</w:t>
            </w:r>
            <w:r w:rsidRPr="007606E9">
              <w:rPr>
                <w:rFonts w:ascii="Arial" w:hAnsi="Arial" w:cs="Arial"/>
                <w:bCs/>
              </w:rPr>
              <w:t xml:space="preserve">: The experimental set-up adopted was a split-plot </w:t>
            </w:r>
            <w:commentRangeStart w:id="4"/>
            <w:r w:rsidRPr="007606E9">
              <w:rPr>
                <w:rFonts w:ascii="Arial" w:hAnsi="Arial" w:cs="Arial"/>
                <w:bCs/>
              </w:rPr>
              <w:t>design</w:t>
            </w:r>
            <w:commentRangeEnd w:id="4"/>
            <w:r w:rsidR="00B648D4">
              <w:rPr>
                <w:rStyle w:val="CommentReference"/>
                <w:rFonts w:ascii="Times New Roman" w:hAnsi="Times New Roman"/>
                <w:lang w:val="nb-NO" w:eastAsia="nb-NO"/>
              </w:rPr>
              <w:commentReference w:id="4"/>
            </w:r>
            <w:r w:rsidRPr="007606E9">
              <w:rPr>
                <w:rFonts w:ascii="Arial" w:hAnsi="Arial" w:cs="Arial"/>
                <w:bCs/>
              </w:rPr>
              <w:t xml:space="preserve"> with four replications and nine treatments.</w:t>
            </w:r>
          </w:p>
          <w:p w14:paraId="00F93642" w14:textId="77777777" w:rsidR="007606E9" w:rsidRPr="007606E9" w:rsidRDefault="007606E9" w:rsidP="007606E9">
            <w:pPr>
              <w:pStyle w:val="Body"/>
              <w:spacing w:after="0"/>
              <w:rPr>
                <w:rFonts w:ascii="Arial" w:hAnsi="Arial" w:cs="Arial"/>
                <w:bCs/>
              </w:rPr>
            </w:pPr>
            <w:r w:rsidRPr="007606E9">
              <w:rPr>
                <w:rFonts w:ascii="Arial" w:hAnsi="Arial" w:cs="Arial"/>
                <w:b/>
                <w:bCs/>
              </w:rPr>
              <w:t>Location and duration</w:t>
            </w:r>
            <w:r w:rsidRPr="007606E9">
              <w:rPr>
                <w:rFonts w:ascii="Arial" w:hAnsi="Arial" w:cs="Arial"/>
                <w:bCs/>
              </w:rPr>
              <w:t>: The experiment took place at the IPD-AOS site in Wayalgin, Ouagadougou (Sudano-Sahelian zone), during two consecutive wet seasons.</w:t>
            </w:r>
          </w:p>
          <w:p w14:paraId="73A338AC" w14:textId="77777777" w:rsidR="007606E9" w:rsidRPr="007606E9" w:rsidRDefault="007606E9" w:rsidP="007606E9">
            <w:pPr>
              <w:pStyle w:val="Body"/>
              <w:spacing w:after="0"/>
              <w:rPr>
                <w:rFonts w:ascii="Arial" w:hAnsi="Arial" w:cs="Arial"/>
                <w:bCs/>
              </w:rPr>
            </w:pPr>
            <w:r w:rsidRPr="007606E9">
              <w:rPr>
                <w:rFonts w:ascii="Arial" w:hAnsi="Arial" w:cs="Arial"/>
                <w:b/>
                <w:bCs/>
              </w:rPr>
              <w:t>Methodology</w:t>
            </w:r>
            <w:r w:rsidRPr="007606E9">
              <w:rPr>
                <w:rFonts w:ascii="Arial" w:hAnsi="Arial" w:cs="Arial"/>
                <w:bCs/>
              </w:rPr>
              <w:t>: The primary factor corresponded to three irrigation levels (100%, 75% and 50% of tomato water requirements), equivalent respectively to 36, 24 and 12 liters of water per furrow (3, 2 and 1 watering cans). The secondary factor involved three doses of compost: 0, 5 and 10 t/ha, i.e. 0, 2 and 4 kg per sub-plot. Each block comprised three main plots (for irrigation doses), subdivided into three sub-plots according to compost doses, making a total of 36 sub-plots.</w:t>
            </w:r>
          </w:p>
          <w:p w14:paraId="57C20F40" w14:textId="77777777" w:rsidR="007606E9" w:rsidRPr="007606E9" w:rsidRDefault="007606E9" w:rsidP="007606E9">
            <w:pPr>
              <w:pStyle w:val="Body"/>
              <w:spacing w:after="0"/>
              <w:rPr>
                <w:rFonts w:ascii="Arial" w:hAnsi="Arial" w:cs="Arial"/>
                <w:bCs/>
              </w:rPr>
            </w:pPr>
            <w:commentRangeStart w:id="5"/>
            <w:r w:rsidRPr="007606E9">
              <w:rPr>
                <w:rFonts w:ascii="Arial" w:hAnsi="Arial" w:cs="Arial"/>
                <w:b/>
                <w:bCs/>
              </w:rPr>
              <w:t>Results</w:t>
            </w:r>
            <w:r w:rsidRPr="007606E9">
              <w:rPr>
                <w:rFonts w:ascii="Arial" w:hAnsi="Arial" w:cs="Arial"/>
                <w:bCs/>
              </w:rPr>
              <w:t>: Results showed that composting at 10 t/ha significantly increased carbon and organic matter contents at all irrigation levels (D50%, D75%, D100%), with respective increases of 43%, 79% and 23%. Similarly, doses of 5 and 10 t/ha increased nitrogen content by 50%, 125% and 62%, depending on the irrigation level. Potassium content also increased, albeit unevenly. On the other hand, the sum of exchangeable bases increased by around 40% and cation exchange capacity by 32%, regardless of treatment. Finally, pesticide residues were detected only in the amended soils, suggesting a scavenging effect of the compost.</w:t>
            </w:r>
            <w:commentRangeEnd w:id="5"/>
            <w:r w:rsidR="00EA4281">
              <w:rPr>
                <w:rStyle w:val="CommentReference"/>
                <w:rFonts w:ascii="Times New Roman" w:hAnsi="Times New Roman"/>
                <w:lang w:val="nb-NO" w:eastAsia="nb-NO"/>
              </w:rPr>
              <w:commentReference w:id="5"/>
            </w:r>
          </w:p>
          <w:p w14:paraId="1D5619E8" w14:textId="53A0E0B9" w:rsidR="00505F06" w:rsidRPr="007606E9" w:rsidRDefault="007606E9" w:rsidP="007606E9">
            <w:pPr>
              <w:pStyle w:val="Body"/>
              <w:spacing w:after="0"/>
              <w:rPr>
                <w:rFonts w:ascii="Arial" w:hAnsi="Arial" w:cs="Arial"/>
                <w:b/>
                <w:bCs/>
              </w:rPr>
            </w:pPr>
            <w:r w:rsidRPr="007606E9">
              <w:rPr>
                <w:rFonts w:ascii="Arial" w:hAnsi="Arial" w:cs="Arial"/>
                <w:b/>
                <w:bCs/>
              </w:rPr>
              <w:t>Conclusion</w:t>
            </w:r>
            <w:r w:rsidRPr="007606E9">
              <w:rPr>
                <w:rFonts w:ascii="Arial" w:hAnsi="Arial" w:cs="Arial"/>
                <w:bCs/>
              </w:rPr>
              <w:t>: These treatments durably improved soil fertility while reducing the risk of groundwater contamination.</w:t>
            </w:r>
          </w:p>
        </w:tc>
      </w:tr>
    </w:tbl>
    <w:p w14:paraId="4C10174F" w14:textId="77777777" w:rsidR="00636EB2" w:rsidRPr="001F31F1" w:rsidRDefault="00636EB2" w:rsidP="00441B6F">
      <w:pPr>
        <w:pStyle w:val="Body"/>
        <w:spacing w:after="0"/>
        <w:rPr>
          <w:rFonts w:ascii="Arial" w:hAnsi="Arial" w:cs="Arial"/>
          <w:i/>
        </w:rPr>
      </w:pPr>
    </w:p>
    <w:p w14:paraId="205B1625" w14:textId="714CCB53" w:rsidR="00A24E7E" w:rsidRDefault="00A24E7E" w:rsidP="00441B6F">
      <w:pPr>
        <w:pStyle w:val="Body"/>
        <w:spacing w:after="0"/>
        <w:rPr>
          <w:rFonts w:ascii="Arial" w:hAnsi="Arial" w:cs="Arial"/>
          <w:i/>
        </w:rPr>
      </w:pPr>
      <w:r>
        <w:rPr>
          <w:rFonts w:ascii="Arial" w:hAnsi="Arial" w:cs="Arial"/>
          <w:i/>
        </w:rPr>
        <w:t xml:space="preserve">Keywords: </w:t>
      </w:r>
      <w:r w:rsidR="00A129CF" w:rsidRPr="00FA4C7D">
        <w:rPr>
          <w:rFonts w:ascii="Arial" w:hAnsi="Arial" w:cs="Arial"/>
          <w:i/>
          <w:iCs/>
        </w:rPr>
        <w:t>supplementary irrigation,</w:t>
      </w:r>
      <w:r w:rsidR="00A129CF">
        <w:rPr>
          <w:rFonts w:ascii="Arial" w:hAnsi="Arial" w:cs="Arial"/>
          <w:i/>
          <w:iCs/>
        </w:rPr>
        <w:t xml:space="preserve"> compost</w:t>
      </w:r>
      <w:r w:rsidR="00A129CF" w:rsidRPr="00FA4C7D">
        <w:rPr>
          <w:rFonts w:ascii="Arial" w:hAnsi="Arial" w:cs="Arial"/>
          <w:i/>
          <w:iCs/>
        </w:rPr>
        <w:t xml:space="preserve">, </w:t>
      </w:r>
      <w:r w:rsidR="00A129CF">
        <w:rPr>
          <w:rFonts w:ascii="Arial" w:hAnsi="Arial" w:cs="Arial"/>
          <w:i/>
          <w:iCs/>
        </w:rPr>
        <w:t xml:space="preserve">chemical pesticid, soil fertilization, pollution, </w:t>
      </w:r>
      <w:r w:rsidR="00A129CF" w:rsidRPr="00FA4C7D">
        <w:rPr>
          <w:rFonts w:ascii="Arial" w:hAnsi="Arial" w:cs="Arial"/>
          <w:i/>
          <w:iCs/>
        </w:rPr>
        <w:t xml:space="preserve">tomato, </w:t>
      </w:r>
    </w:p>
    <w:p w14:paraId="616D3C8A" w14:textId="77777777" w:rsidR="00790ADA" w:rsidRDefault="00790ADA" w:rsidP="00441B6F">
      <w:pPr>
        <w:pStyle w:val="Body"/>
        <w:spacing w:after="0"/>
        <w:rPr>
          <w:rFonts w:ascii="Arial" w:hAnsi="Arial" w:cs="Arial"/>
          <w:i/>
        </w:rPr>
      </w:pPr>
    </w:p>
    <w:p w14:paraId="17C162B6" w14:textId="77777777" w:rsidR="0024282C" w:rsidRDefault="0024282C" w:rsidP="00441B6F">
      <w:pPr>
        <w:pStyle w:val="Body"/>
        <w:spacing w:after="0"/>
        <w:rPr>
          <w:rFonts w:ascii="Arial" w:hAnsi="Arial" w:cs="Arial"/>
          <w:i/>
          <w:sz w:val="18"/>
        </w:rPr>
      </w:pPr>
    </w:p>
    <w:p w14:paraId="70F4A007" w14:textId="77777777" w:rsidR="00505F06" w:rsidRPr="00A24E7E" w:rsidRDefault="00505F06" w:rsidP="00441B6F">
      <w:pPr>
        <w:pStyle w:val="Body"/>
        <w:spacing w:after="0"/>
        <w:rPr>
          <w:rFonts w:ascii="Arial" w:hAnsi="Arial" w:cs="Arial"/>
          <w:i/>
        </w:rPr>
      </w:pPr>
    </w:p>
    <w:p w14:paraId="73AC2A6B" w14:textId="5F4A539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EE45112" w14:textId="77777777" w:rsidR="00790ADA" w:rsidRPr="00FB3A86" w:rsidRDefault="00790ADA" w:rsidP="00441B6F">
      <w:pPr>
        <w:pStyle w:val="AbstHead"/>
        <w:spacing w:after="0"/>
        <w:jc w:val="both"/>
        <w:rPr>
          <w:rFonts w:ascii="Arial" w:hAnsi="Arial" w:cs="Arial"/>
        </w:rPr>
      </w:pPr>
    </w:p>
    <w:p w14:paraId="6B3EB106" w14:textId="3BB66B7F" w:rsidR="007606E9" w:rsidRPr="001F31F1" w:rsidRDefault="007606E9" w:rsidP="007606E9">
      <w:pPr>
        <w:pStyle w:val="Body"/>
        <w:rPr>
          <w:rFonts w:ascii="Arial" w:hAnsi="Arial" w:cs="Arial"/>
        </w:rPr>
      </w:pPr>
      <w:r w:rsidRPr="001F31F1">
        <w:rPr>
          <w:rFonts w:ascii="Arial" w:hAnsi="Arial" w:cs="Arial"/>
        </w:rPr>
        <w:t xml:space="preserve">Agriculture in sub-Saharan Africa faces many challenges, exacerbated by climate change. These include prolonged droughts and floods, which disrupt agricultural production and compromise food security [1], [2], [3]. These climatic disturbances have a particularly marked impact in Sahelian zones, where farmers are among the most vulnerable populations. They have to cope with particularly restrictive soil and climate conditions, characterized by high rainfall variability and soil poverty, limiting their capacity to adapt [4], [5]. This is due to their low organic matter content, a key element in soil fertility and structure [6]. In addition, these soils have a reduced capacity to filter and retain contaminants, thus favoring water pollution </w:t>
      </w:r>
      <w:r w:rsidRPr="001F31F1">
        <w:rPr>
          <w:rFonts w:ascii="Arial" w:hAnsi="Arial" w:cs="Arial"/>
        </w:rPr>
        <w:lastRenderedPageBreak/>
        <w:t>by pesticides [7]. This dual constraint, both agronomic and environmental, represents a major challenge for the sustainability of Sahelian farming systems. Faced with this situation, several strategies have been put in place to restore soil fertility. These include water and soil defense and conservation techniques, as well as approaches to improve fertilization, such as zaï, half-moons, stone cordons, grass strips and organo-mineral fertilization [8], [9], [10]. However, despite their proven effectiveness, these practices have not been widely adopted by farmers due to socio-economic, technical and cultural constraints, limiting their widespread use</w:t>
      </w:r>
      <w:r w:rsidR="003F5349">
        <w:rPr>
          <w:rFonts w:ascii="Arial" w:hAnsi="Arial" w:cs="Arial"/>
        </w:rPr>
        <w:t xml:space="preserve"> </w:t>
      </w:r>
      <w:r w:rsidRPr="001F31F1">
        <w:rPr>
          <w:rFonts w:ascii="Arial" w:hAnsi="Arial" w:cs="Arial"/>
        </w:rPr>
        <w:t>[11], [12]. As a result, soil fertility continues to deteriorate, enduringly compromising agricultural productivity. This situation particularly affects vegetable crops, such as tomatoes, which are increasingly grown in the rainy season, but whose yield remains severely limited by biotic and pedoclimatic constraints.</w:t>
      </w:r>
    </w:p>
    <w:p w14:paraId="5C7602BE" w14:textId="16C6010F" w:rsidR="007606E9" w:rsidRPr="001F31F1" w:rsidRDefault="00BB1757" w:rsidP="007606E9">
      <w:pPr>
        <w:pStyle w:val="Body"/>
        <w:rPr>
          <w:rFonts w:ascii="Arial" w:hAnsi="Arial" w:cs="Arial"/>
        </w:rPr>
      </w:pPr>
      <w:r w:rsidRPr="00BB1757">
        <w:rPr>
          <w:rFonts w:ascii="Arial" w:hAnsi="Arial" w:cs="Arial"/>
        </w:rPr>
        <w:t>In this context, it is crucial to explore alternative fertilization strategies adapted to water scarcity, while also ensuring the efficient management of water resources for crop irrigation [13]. Several studies have shown the effectiveness of reducing supplementary irrigation depth in improving irrigation water productivity [14], [15]. In addition, compost represents a promising solution, as it enhances soil water retention while gradually releasing nutrients essential for plant growth. However, the effectiveness of reducing irrigation depth and using compost in terms of soil fertilization and contamination remains insufficiently documented</w:t>
      </w:r>
      <w:r w:rsidR="007606E9" w:rsidRPr="001F31F1">
        <w:rPr>
          <w:rFonts w:ascii="Arial" w:hAnsi="Arial" w:cs="Arial"/>
        </w:rPr>
        <w:t>.</w:t>
      </w:r>
    </w:p>
    <w:p w14:paraId="365412A2" w14:textId="77777777" w:rsidR="007606E9" w:rsidRPr="001F31F1" w:rsidRDefault="007606E9" w:rsidP="007606E9">
      <w:pPr>
        <w:pStyle w:val="Body"/>
        <w:rPr>
          <w:rFonts w:ascii="Arial" w:hAnsi="Arial" w:cs="Arial"/>
        </w:rPr>
      </w:pPr>
      <w:r w:rsidRPr="001F31F1">
        <w:rPr>
          <w:rFonts w:ascii="Arial" w:hAnsi="Arial" w:cs="Arial"/>
        </w:rPr>
        <w:t>The aim of this study is therefore to evaluate the effect of compost under different irrigation regimes on the chemical properties and sequestration of pesticides in the soil, as well as on the presence of pesticides in the soil in a rain-fed farming context. More specifically, this research focuses on the impact of compost, combined with different doses of supplementary irrigation, on soil chemical parameters in tomato cultivation. To this end, a split-plot experimental set-up combining several levels of irrigation and compost was set up to assess their short- and medium-term effects on soil fertility.</w:t>
      </w:r>
    </w:p>
    <w:p w14:paraId="0C59DBEF" w14:textId="77777777" w:rsidR="00790ADA" w:rsidRPr="001F31F1" w:rsidRDefault="00790ADA" w:rsidP="00441B6F">
      <w:pPr>
        <w:pStyle w:val="Body"/>
        <w:spacing w:after="0"/>
        <w:rPr>
          <w:rFonts w:ascii="Arial" w:hAnsi="Arial" w:cs="Arial"/>
        </w:rPr>
      </w:pPr>
    </w:p>
    <w:p w14:paraId="6E57297A" w14:textId="666C5538" w:rsidR="007F7B32" w:rsidRPr="001F31F1" w:rsidRDefault="00902823" w:rsidP="00441B6F">
      <w:pPr>
        <w:pStyle w:val="AbstHead"/>
        <w:spacing w:after="0"/>
        <w:jc w:val="both"/>
        <w:rPr>
          <w:rFonts w:ascii="Arial" w:hAnsi="Arial" w:cs="Arial"/>
        </w:rPr>
      </w:pPr>
      <w:r w:rsidRPr="001F31F1">
        <w:rPr>
          <w:rFonts w:ascii="Arial" w:hAnsi="Arial" w:cs="Arial"/>
        </w:rPr>
        <w:t xml:space="preserve">2. </w:t>
      </w:r>
      <w:commentRangeStart w:id="6"/>
      <w:r w:rsidRPr="001F31F1">
        <w:rPr>
          <w:rFonts w:ascii="Arial" w:hAnsi="Arial" w:cs="Arial"/>
        </w:rPr>
        <w:t>material</w:t>
      </w:r>
      <w:commentRangeEnd w:id="6"/>
      <w:r w:rsidR="00AC0C4F">
        <w:rPr>
          <w:rStyle w:val="CommentReference"/>
          <w:rFonts w:ascii="Times New Roman" w:hAnsi="Times New Roman"/>
          <w:b w:val="0"/>
          <w:caps w:val="0"/>
          <w:lang w:val="nb-NO" w:eastAsia="nb-NO"/>
        </w:rPr>
        <w:commentReference w:id="6"/>
      </w:r>
      <w:r w:rsidRPr="001F31F1">
        <w:rPr>
          <w:rFonts w:ascii="Arial" w:hAnsi="Arial" w:cs="Arial"/>
        </w:rPr>
        <w:t xml:space="preserve"> and method</w:t>
      </w:r>
      <w:r w:rsidR="00000F8F" w:rsidRPr="001F31F1">
        <w:rPr>
          <w:rFonts w:ascii="Arial" w:hAnsi="Arial" w:cs="Arial"/>
        </w:rPr>
        <w:t xml:space="preserve">s </w:t>
      </w:r>
    </w:p>
    <w:p w14:paraId="1ECEB32B" w14:textId="77777777" w:rsidR="005C764F" w:rsidRPr="001F31F1" w:rsidRDefault="005C764F" w:rsidP="00441B6F">
      <w:pPr>
        <w:pStyle w:val="AbstHead"/>
        <w:spacing w:after="0"/>
        <w:jc w:val="both"/>
        <w:rPr>
          <w:rFonts w:ascii="Arial" w:hAnsi="Arial" w:cs="Arial"/>
        </w:rPr>
      </w:pPr>
    </w:p>
    <w:p w14:paraId="20DF1C5E" w14:textId="7146ACFF" w:rsidR="00790ADA" w:rsidRPr="001F31F1" w:rsidRDefault="005C764F" w:rsidP="00441B6F">
      <w:pPr>
        <w:pStyle w:val="AbstHead"/>
        <w:spacing w:after="0"/>
        <w:jc w:val="both"/>
        <w:rPr>
          <w:rFonts w:ascii="Arial" w:hAnsi="Arial" w:cs="Arial"/>
          <w:caps w:val="0"/>
        </w:rPr>
      </w:pPr>
      <w:r w:rsidRPr="001F31F1">
        <w:rPr>
          <w:rFonts w:ascii="Arial" w:hAnsi="Arial" w:cs="Arial"/>
        </w:rPr>
        <w:t xml:space="preserve">2.1 </w:t>
      </w:r>
      <w:r w:rsidR="007606E9" w:rsidRPr="001F31F1">
        <w:rPr>
          <w:rFonts w:ascii="Arial" w:hAnsi="Arial" w:cs="Arial"/>
          <w:caps w:val="0"/>
        </w:rPr>
        <w:t>Experimental site</w:t>
      </w:r>
    </w:p>
    <w:p w14:paraId="2EDA8E2D" w14:textId="77777777" w:rsidR="007606E9" w:rsidRPr="001F31F1" w:rsidRDefault="007606E9" w:rsidP="00441B6F">
      <w:pPr>
        <w:pStyle w:val="AbstHead"/>
        <w:spacing w:after="0"/>
        <w:jc w:val="both"/>
        <w:rPr>
          <w:rFonts w:ascii="Arial" w:hAnsi="Arial" w:cs="Arial"/>
        </w:rPr>
      </w:pPr>
    </w:p>
    <w:p w14:paraId="4D521612" w14:textId="77777777" w:rsidR="007606E9" w:rsidRPr="001F31F1" w:rsidRDefault="007606E9" w:rsidP="007606E9">
      <w:pPr>
        <w:pStyle w:val="Body"/>
        <w:rPr>
          <w:rFonts w:ascii="Arial" w:hAnsi="Arial" w:cs="Arial"/>
        </w:rPr>
      </w:pPr>
      <w:r w:rsidRPr="001F31F1">
        <w:rPr>
          <w:rFonts w:ascii="Arial" w:hAnsi="Arial" w:cs="Arial"/>
        </w:rPr>
        <w:t>The experiment was conducted at the IPD-AOS experimental site, located in the Wayalgin district of Ouagadougou, along Route Nationale N°4 linking the capital to Fada N'Gourma. The site's geographical coordinates lie between 12°23' and 12°32' north latitude, and between 1°28' and 1°04' west longitude. It lies in the Sudano-Sahelian agroclimatic zone, characterized by two distinct seasons: a dry season and a rainy season. Average annual rainfall is estimated at around 800 mm. Minimum temperatures, which can drop as low as 11°C, are generally recorded between December and January, while maximum temperatures, which can reach 41°C, are mainly observed in April. The soil at the site is sandy loam, with a field capacity of 18% and a permanent wilting point of 1.4%. Experimentation took place over two consecutive cropping seasons, exclusively during the rainy season of each year.</w:t>
      </w:r>
    </w:p>
    <w:p w14:paraId="60767280" w14:textId="548EB9BA" w:rsidR="005C764F" w:rsidRPr="001F31F1" w:rsidRDefault="005C764F" w:rsidP="005C764F">
      <w:pPr>
        <w:pStyle w:val="Body"/>
        <w:spacing w:after="0"/>
        <w:jc w:val="left"/>
        <w:rPr>
          <w:rFonts w:ascii="Arial" w:hAnsi="Arial" w:cs="Arial"/>
          <w:b/>
          <w:bCs/>
          <w:sz w:val="22"/>
          <w:szCs w:val="22"/>
        </w:rPr>
      </w:pPr>
      <w:r w:rsidRPr="001F31F1">
        <w:rPr>
          <w:rFonts w:ascii="Arial" w:hAnsi="Arial" w:cs="Arial"/>
        </w:rPr>
        <w:t xml:space="preserve">2.2 </w:t>
      </w:r>
      <w:r w:rsidR="007606E9" w:rsidRPr="001F31F1">
        <w:rPr>
          <w:rFonts w:ascii="Arial" w:hAnsi="Arial" w:cs="Arial"/>
          <w:b/>
          <w:bCs/>
          <w:sz w:val="22"/>
          <w:szCs w:val="22"/>
        </w:rPr>
        <w:t>Experimental set</w:t>
      </w:r>
      <w:r w:rsidR="00224CF2" w:rsidRPr="001F31F1">
        <w:rPr>
          <w:rFonts w:ascii="Arial" w:hAnsi="Arial" w:cs="Arial"/>
          <w:b/>
          <w:bCs/>
          <w:sz w:val="22"/>
          <w:szCs w:val="22"/>
        </w:rPr>
        <w:t>-</w:t>
      </w:r>
      <w:r w:rsidR="007606E9" w:rsidRPr="001F31F1">
        <w:rPr>
          <w:rFonts w:ascii="Arial" w:hAnsi="Arial" w:cs="Arial"/>
          <w:b/>
          <w:bCs/>
          <w:sz w:val="22"/>
          <w:szCs w:val="22"/>
        </w:rPr>
        <w:t>up</w:t>
      </w:r>
    </w:p>
    <w:p w14:paraId="355916CA" w14:textId="77777777" w:rsidR="005C764F" w:rsidRPr="001F31F1" w:rsidRDefault="005C764F" w:rsidP="00441B6F">
      <w:pPr>
        <w:pStyle w:val="Body"/>
        <w:spacing w:after="0"/>
        <w:rPr>
          <w:rFonts w:ascii="Arial" w:hAnsi="Arial" w:cs="Arial"/>
        </w:rPr>
      </w:pPr>
    </w:p>
    <w:p w14:paraId="017BA7DF" w14:textId="77777777" w:rsidR="00224CF2" w:rsidRPr="001F31F1" w:rsidRDefault="00224CF2" w:rsidP="00224CF2">
      <w:pPr>
        <w:pStyle w:val="Body"/>
        <w:rPr>
          <w:rFonts w:ascii="Arial" w:hAnsi="Arial" w:cs="Arial"/>
        </w:rPr>
      </w:pPr>
      <w:r w:rsidRPr="001F31F1">
        <w:rPr>
          <w:rFonts w:ascii="Arial" w:hAnsi="Arial" w:cs="Arial"/>
        </w:rPr>
        <w:t xml:space="preserve">The experimental set-up adopted was a </w:t>
      </w:r>
      <w:commentRangeStart w:id="7"/>
      <w:r w:rsidRPr="001F31F1">
        <w:rPr>
          <w:rFonts w:ascii="Arial" w:hAnsi="Arial" w:cs="Arial"/>
        </w:rPr>
        <w:t>split-plot design</w:t>
      </w:r>
      <w:commentRangeEnd w:id="7"/>
      <w:r w:rsidR="00CF6BE5">
        <w:rPr>
          <w:rStyle w:val="CommentReference"/>
          <w:rFonts w:ascii="Times New Roman" w:hAnsi="Times New Roman"/>
          <w:lang w:val="nb-NO" w:eastAsia="nb-NO"/>
        </w:rPr>
        <w:commentReference w:id="7"/>
      </w:r>
      <w:r w:rsidRPr="001F31F1">
        <w:rPr>
          <w:rFonts w:ascii="Arial" w:hAnsi="Arial" w:cs="Arial"/>
        </w:rPr>
        <w:t xml:space="preserve"> with four replications and nine treatments. The main factor studied was irrigation level, while the secondary factor was </w:t>
      </w:r>
      <w:commentRangeStart w:id="8"/>
      <w:r w:rsidRPr="001F31F1">
        <w:rPr>
          <w:rFonts w:ascii="Arial" w:hAnsi="Arial" w:cs="Arial"/>
        </w:rPr>
        <w:t>organic matter</w:t>
      </w:r>
      <w:commentRangeEnd w:id="8"/>
      <w:r w:rsidR="00552928">
        <w:rPr>
          <w:rStyle w:val="CommentReference"/>
          <w:rFonts w:ascii="Times New Roman" w:hAnsi="Times New Roman"/>
          <w:lang w:val="nb-NO" w:eastAsia="nb-NO"/>
        </w:rPr>
        <w:commentReference w:id="8"/>
      </w:r>
      <w:r w:rsidRPr="001F31F1">
        <w:rPr>
          <w:rFonts w:ascii="Arial" w:hAnsi="Arial" w:cs="Arial"/>
        </w:rPr>
        <w:t xml:space="preserve"> dosage.</w:t>
      </w:r>
    </w:p>
    <w:p w14:paraId="7FE3C523" w14:textId="77777777" w:rsidR="00224CF2" w:rsidRPr="001F31F1" w:rsidRDefault="00224CF2" w:rsidP="00224CF2">
      <w:pPr>
        <w:pStyle w:val="Body"/>
        <w:rPr>
          <w:rFonts w:ascii="Arial" w:hAnsi="Arial" w:cs="Arial"/>
        </w:rPr>
      </w:pPr>
      <w:r w:rsidRPr="001F31F1">
        <w:rPr>
          <w:rFonts w:ascii="Arial" w:hAnsi="Arial" w:cs="Arial"/>
        </w:rPr>
        <w:t>Each experimental block comprised three main plots, corresponding to the three irrigation levels. Each main plot was subdivided into three subplots corresponding to the compost doses, i.e. nine subplots per block, 36 in all.</w:t>
      </w:r>
    </w:p>
    <w:p w14:paraId="600ED995" w14:textId="77777777" w:rsidR="00224CF2" w:rsidRPr="001F31F1" w:rsidRDefault="00224CF2" w:rsidP="00224CF2">
      <w:pPr>
        <w:pStyle w:val="Body"/>
        <w:rPr>
          <w:rFonts w:ascii="Arial" w:hAnsi="Arial" w:cs="Arial"/>
        </w:rPr>
      </w:pPr>
      <w:r w:rsidRPr="001F31F1">
        <w:rPr>
          <w:rFonts w:ascii="Arial" w:hAnsi="Arial" w:cs="Arial"/>
        </w:rPr>
        <w:lastRenderedPageBreak/>
        <w:t>Each sub-plot measured 2 m × 2 m, i.e. an area of 4 m², and contained five ridges. On each ridge, six tomato bunches were planted, for a total of 30 bunches per sub-plot. The blocks were spaced 1 m apart, while the sub-plots were separated by 0.5 m. The total experimental area covered 264 m².</w:t>
      </w:r>
    </w:p>
    <w:p w14:paraId="4BA9C256" w14:textId="31083E69" w:rsidR="005C764F" w:rsidRPr="001F31F1" w:rsidRDefault="005C764F" w:rsidP="005C764F">
      <w:pPr>
        <w:pStyle w:val="Body"/>
        <w:spacing w:after="0"/>
        <w:rPr>
          <w:rFonts w:ascii="Arial" w:hAnsi="Arial" w:cs="Arial"/>
          <w:b/>
          <w:bCs/>
          <w:sz w:val="22"/>
          <w:szCs w:val="22"/>
        </w:rPr>
      </w:pPr>
      <w:r w:rsidRPr="001F31F1">
        <w:rPr>
          <w:rFonts w:ascii="Arial" w:hAnsi="Arial" w:cs="Arial"/>
          <w:b/>
          <w:bCs/>
          <w:sz w:val="22"/>
          <w:szCs w:val="22"/>
        </w:rPr>
        <w:t xml:space="preserve">2.3 </w:t>
      </w:r>
      <w:r w:rsidR="00224CF2" w:rsidRPr="001F31F1">
        <w:rPr>
          <w:rFonts w:ascii="Arial" w:hAnsi="Arial" w:cs="Arial"/>
          <w:b/>
          <w:bCs/>
          <w:sz w:val="22"/>
          <w:szCs w:val="22"/>
        </w:rPr>
        <w:t>Treatment application</w:t>
      </w:r>
    </w:p>
    <w:p w14:paraId="59AE3FDD" w14:textId="77777777" w:rsidR="00790ADA" w:rsidRPr="001F31F1" w:rsidRDefault="00790ADA" w:rsidP="00441B6F">
      <w:pPr>
        <w:pStyle w:val="Body"/>
        <w:spacing w:after="0"/>
        <w:rPr>
          <w:rFonts w:ascii="Arial" w:hAnsi="Arial" w:cs="Arial"/>
        </w:rPr>
      </w:pPr>
    </w:p>
    <w:p w14:paraId="3FC836A6" w14:textId="63BE5504" w:rsidR="005C764F" w:rsidRPr="001F31F1" w:rsidRDefault="00224CF2" w:rsidP="005C764F">
      <w:pPr>
        <w:pStyle w:val="Body"/>
        <w:rPr>
          <w:rFonts w:ascii="Arial" w:hAnsi="Arial" w:cs="Arial"/>
        </w:rPr>
      </w:pPr>
      <w:r w:rsidRPr="001F31F1">
        <w:rPr>
          <w:rFonts w:ascii="Arial" w:hAnsi="Arial" w:cs="Arial"/>
        </w:rPr>
        <w:t xml:space="preserve">The treatments consisted of a combination of three levels of irrigation and three doses of compost </w:t>
      </w:r>
      <w:r w:rsidR="005C764F" w:rsidRPr="001F31F1">
        <w:rPr>
          <w:rFonts w:ascii="Arial" w:hAnsi="Arial" w:cs="Arial"/>
        </w:rPr>
        <w:t>:</w:t>
      </w:r>
    </w:p>
    <w:p w14:paraId="17FE16C2" w14:textId="2E14C834" w:rsidR="00224CF2" w:rsidRPr="001F31F1" w:rsidRDefault="00224CF2" w:rsidP="00224CF2">
      <w:pPr>
        <w:pStyle w:val="Body"/>
        <w:numPr>
          <w:ilvl w:val="0"/>
          <w:numId w:val="33"/>
        </w:numPr>
        <w:rPr>
          <w:rFonts w:ascii="Arial" w:hAnsi="Arial" w:cs="Arial"/>
        </w:rPr>
      </w:pPr>
      <w:r w:rsidRPr="001F31F1">
        <w:rPr>
          <w:rFonts w:ascii="Arial" w:hAnsi="Arial" w:cs="Arial"/>
        </w:rPr>
        <w:t>C0 + 100%: 100% irrigation and no compost ;</w:t>
      </w:r>
    </w:p>
    <w:p w14:paraId="09BBC7C7" w14:textId="2D8DC802" w:rsidR="00224CF2" w:rsidRPr="00224CF2" w:rsidRDefault="00224CF2" w:rsidP="00224CF2">
      <w:pPr>
        <w:pStyle w:val="Body"/>
        <w:numPr>
          <w:ilvl w:val="0"/>
          <w:numId w:val="33"/>
        </w:numPr>
        <w:rPr>
          <w:rFonts w:ascii="Arial" w:hAnsi="Arial" w:cs="Arial"/>
          <w:lang w:val="fr-FR"/>
        </w:rPr>
      </w:pPr>
      <w:r w:rsidRPr="00224CF2">
        <w:rPr>
          <w:rFonts w:ascii="Arial" w:hAnsi="Arial" w:cs="Arial"/>
          <w:lang w:val="fr-FR"/>
        </w:rPr>
        <w:t>C5 + 100%: 100% irrigation and 5 t/ha compost;</w:t>
      </w:r>
    </w:p>
    <w:p w14:paraId="03EBD2B9" w14:textId="333ED0BD" w:rsidR="00224CF2" w:rsidRPr="001F31F1" w:rsidRDefault="00224CF2" w:rsidP="00224CF2">
      <w:pPr>
        <w:pStyle w:val="Body"/>
        <w:numPr>
          <w:ilvl w:val="0"/>
          <w:numId w:val="33"/>
        </w:numPr>
        <w:rPr>
          <w:rFonts w:ascii="Arial" w:hAnsi="Arial" w:cs="Arial"/>
        </w:rPr>
      </w:pPr>
      <w:r w:rsidRPr="001F31F1">
        <w:rPr>
          <w:rFonts w:ascii="Arial" w:hAnsi="Arial" w:cs="Arial"/>
        </w:rPr>
        <w:t>C10 + 100%: 100% irrigation and 10 t/ha of compost;</w:t>
      </w:r>
    </w:p>
    <w:p w14:paraId="08FFA3E1" w14:textId="0BDABE9A" w:rsidR="00224CF2" w:rsidRPr="001F31F1" w:rsidRDefault="00224CF2" w:rsidP="00224CF2">
      <w:pPr>
        <w:pStyle w:val="Body"/>
        <w:numPr>
          <w:ilvl w:val="0"/>
          <w:numId w:val="33"/>
        </w:numPr>
        <w:rPr>
          <w:rFonts w:ascii="Arial" w:hAnsi="Arial" w:cs="Arial"/>
        </w:rPr>
      </w:pPr>
      <w:r w:rsidRPr="001F31F1">
        <w:rPr>
          <w:rFonts w:ascii="Arial" w:hAnsi="Arial" w:cs="Arial"/>
        </w:rPr>
        <w:t>C0 + 75%: Irrigation at 75% and no compost;</w:t>
      </w:r>
    </w:p>
    <w:p w14:paraId="523EA9B5" w14:textId="61CEC88D" w:rsidR="00224CF2" w:rsidRPr="001F31F1" w:rsidRDefault="00224CF2" w:rsidP="00224CF2">
      <w:pPr>
        <w:pStyle w:val="Body"/>
        <w:numPr>
          <w:ilvl w:val="0"/>
          <w:numId w:val="33"/>
        </w:numPr>
        <w:rPr>
          <w:rFonts w:ascii="Arial" w:hAnsi="Arial" w:cs="Arial"/>
        </w:rPr>
      </w:pPr>
      <w:r w:rsidRPr="001F31F1">
        <w:rPr>
          <w:rFonts w:ascii="Arial" w:hAnsi="Arial" w:cs="Arial"/>
        </w:rPr>
        <w:t>C5 + 75%: Irrigation at 75% and 5 t/ha compost;</w:t>
      </w:r>
    </w:p>
    <w:p w14:paraId="49015CB8" w14:textId="54F0A250" w:rsidR="00224CF2" w:rsidRPr="001F31F1" w:rsidRDefault="00224CF2" w:rsidP="00224CF2">
      <w:pPr>
        <w:pStyle w:val="Body"/>
        <w:numPr>
          <w:ilvl w:val="0"/>
          <w:numId w:val="33"/>
        </w:numPr>
        <w:rPr>
          <w:rFonts w:ascii="Arial" w:hAnsi="Arial" w:cs="Arial"/>
        </w:rPr>
      </w:pPr>
      <w:r w:rsidRPr="001F31F1">
        <w:rPr>
          <w:rFonts w:ascii="Arial" w:hAnsi="Arial" w:cs="Arial"/>
        </w:rPr>
        <w:t>C10 + 75%: Irrigation at 75% and 10 t/ha of compost;</w:t>
      </w:r>
    </w:p>
    <w:p w14:paraId="544EE21F" w14:textId="2E8FAFC7" w:rsidR="00224CF2" w:rsidRPr="001F31F1" w:rsidRDefault="00224CF2" w:rsidP="00224CF2">
      <w:pPr>
        <w:pStyle w:val="Body"/>
        <w:numPr>
          <w:ilvl w:val="0"/>
          <w:numId w:val="33"/>
        </w:numPr>
        <w:rPr>
          <w:rFonts w:ascii="Arial" w:hAnsi="Arial" w:cs="Arial"/>
        </w:rPr>
      </w:pPr>
      <w:r w:rsidRPr="001F31F1">
        <w:rPr>
          <w:rFonts w:ascii="Arial" w:hAnsi="Arial" w:cs="Arial"/>
        </w:rPr>
        <w:t>C0 + 50%: Irrigation at 50% and no compost;</w:t>
      </w:r>
    </w:p>
    <w:p w14:paraId="7145B2F3" w14:textId="59574187" w:rsidR="00224CF2" w:rsidRPr="001F31F1" w:rsidRDefault="00224CF2" w:rsidP="00224CF2">
      <w:pPr>
        <w:pStyle w:val="Body"/>
        <w:numPr>
          <w:ilvl w:val="0"/>
          <w:numId w:val="33"/>
        </w:numPr>
        <w:rPr>
          <w:rFonts w:ascii="Arial" w:hAnsi="Arial" w:cs="Arial"/>
        </w:rPr>
      </w:pPr>
      <w:r w:rsidRPr="001F31F1">
        <w:rPr>
          <w:rFonts w:ascii="Arial" w:hAnsi="Arial" w:cs="Arial"/>
        </w:rPr>
        <w:t>C5 + 50%: Irrigation at 50% and 5 t/ha compost;</w:t>
      </w:r>
    </w:p>
    <w:p w14:paraId="5155AE78" w14:textId="0379C8E4" w:rsidR="005C764F" w:rsidRPr="001F31F1" w:rsidRDefault="00224CF2" w:rsidP="00224CF2">
      <w:pPr>
        <w:pStyle w:val="Body"/>
        <w:numPr>
          <w:ilvl w:val="0"/>
          <w:numId w:val="33"/>
        </w:numPr>
        <w:rPr>
          <w:rFonts w:ascii="Arial" w:hAnsi="Arial" w:cs="Arial"/>
        </w:rPr>
      </w:pPr>
      <w:r w:rsidRPr="001F31F1">
        <w:rPr>
          <w:rFonts w:ascii="Arial" w:hAnsi="Arial" w:cs="Arial"/>
        </w:rPr>
        <w:t>C10 + 50%: Irrigation at 50% and 10 t/ha compost.</w:t>
      </w:r>
    </w:p>
    <w:p w14:paraId="4B150434" w14:textId="77777777" w:rsidR="00224CF2" w:rsidRPr="001F31F1" w:rsidRDefault="00224CF2" w:rsidP="00224CF2">
      <w:pPr>
        <w:pStyle w:val="Body"/>
        <w:rPr>
          <w:rFonts w:ascii="Arial" w:hAnsi="Arial" w:cs="Arial"/>
        </w:rPr>
      </w:pPr>
      <w:r w:rsidRPr="001F31F1">
        <w:rPr>
          <w:rFonts w:ascii="Arial" w:hAnsi="Arial" w:cs="Arial"/>
        </w:rPr>
        <w:t>The compost applied is characterized by a C/N ratio of 19, which, according to the AFNOR standard, would indicate a well-stabilized compost capable of slowly releasing nutrients. It was applied at rates of 0, 5 and 10 t/ha, corresponding respectively to 0, 2 and 4 kg of compost per sub-plot. Irrigation water was administered at three levels corresponding to 100%, 75% and 50% of tomato water requirements, equivalent to 3, 2 and 1 watering cans per ridge respectively, i.e. 36, 24 and 12 liters of water per ridge. These quantities of water were applied every other day, except in the event of rain, when irrigation was postponed.</w:t>
      </w:r>
    </w:p>
    <w:p w14:paraId="004F2B17" w14:textId="042B858D" w:rsidR="00224CF2" w:rsidRPr="00224CF2" w:rsidRDefault="00224CF2" w:rsidP="00224CF2">
      <w:pPr>
        <w:pStyle w:val="Body"/>
        <w:rPr>
          <w:rFonts w:ascii="Arial" w:hAnsi="Arial" w:cs="Arial"/>
          <w:lang w:val="fr-FR"/>
        </w:rPr>
      </w:pPr>
      <w:r w:rsidRPr="001F31F1">
        <w:rPr>
          <w:rFonts w:ascii="Arial" w:hAnsi="Arial" w:cs="Arial"/>
        </w:rPr>
        <w:t xml:space="preserve">During the first year of experimentation, the pesticides BOMEC, PACHA and DEAN </w:t>
      </w:r>
      <w:r w:rsidR="00E34182" w:rsidRPr="001F31F1">
        <w:rPr>
          <w:rFonts w:ascii="Arial" w:hAnsi="Arial" w:cs="Arial"/>
        </w:rPr>
        <w:t>were applied respectively at 17th, 47th and 60th</w:t>
      </w:r>
      <w:r w:rsidRPr="001F31F1">
        <w:rPr>
          <w:rFonts w:ascii="Arial" w:hAnsi="Arial" w:cs="Arial"/>
        </w:rPr>
        <w:t xml:space="preserve"> days after transplanting. </w:t>
      </w:r>
      <w:r w:rsidRPr="00224CF2">
        <w:rPr>
          <w:rFonts w:ascii="Arial" w:hAnsi="Arial" w:cs="Arial"/>
          <w:lang w:val="fr-FR"/>
        </w:rPr>
        <w:t>The active substances in these formulations included:</w:t>
      </w:r>
    </w:p>
    <w:p w14:paraId="7834CFEB" w14:textId="77777777" w:rsidR="00224CF2" w:rsidRPr="00224CF2" w:rsidRDefault="00224CF2" w:rsidP="00224CF2">
      <w:pPr>
        <w:pStyle w:val="Body"/>
        <w:rPr>
          <w:rFonts w:ascii="Arial" w:hAnsi="Arial" w:cs="Arial"/>
          <w:lang w:val="fr-FR"/>
        </w:rPr>
      </w:pPr>
    </w:p>
    <w:p w14:paraId="2B0E2E8C" w14:textId="50866D25" w:rsidR="00E34182" w:rsidRPr="001F31F1" w:rsidRDefault="00E34182" w:rsidP="00E34182">
      <w:pPr>
        <w:pStyle w:val="Body"/>
        <w:numPr>
          <w:ilvl w:val="0"/>
          <w:numId w:val="37"/>
        </w:numPr>
        <w:rPr>
          <w:rFonts w:ascii="Arial" w:hAnsi="Arial" w:cs="Arial"/>
        </w:rPr>
      </w:pPr>
      <w:r w:rsidRPr="001F31F1">
        <w:rPr>
          <w:rFonts w:ascii="Arial" w:hAnsi="Arial" w:cs="Arial"/>
        </w:rPr>
        <w:t>Abamectin, a member of the avermectin family,</w:t>
      </w:r>
    </w:p>
    <w:p w14:paraId="5A1C7A83" w14:textId="670FBFDD" w:rsidR="00E34182" w:rsidRPr="001F31F1" w:rsidRDefault="00E34182" w:rsidP="00E34182">
      <w:pPr>
        <w:pStyle w:val="Body"/>
        <w:numPr>
          <w:ilvl w:val="0"/>
          <w:numId w:val="37"/>
        </w:numPr>
        <w:rPr>
          <w:rFonts w:ascii="Arial" w:hAnsi="Arial" w:cs="Arial"/>
        </w:rPr>
      </w:pPr>
      <w:r w:rsidRPr="001F31F1">
        <w:rPr>
          <w:rFonts w:ascii="Arial" w:hAnsi="Arial" w:cs="Arial"/>
        </w:rPr>
        <w:t>Lambda-cyhalothrin, a synthetic pyrethroid,</w:t>
      </w:r>
    </w:p>
    <w:p w14:paraId="1194E2A3" w14:textId="624062EA" w:rsidR="00E34182" w:rsidRPr="00E34182" w:rsidRDefault="00E34182" w:rsidP="00E34182">
      <w:pPr>
        <w:pStyle w:val="Body"/>
        <w:numPr>
          <w:ilvl w:val="0"/>
          <w:numId w:val="37"/>
        </w:numPr>
        <w:rPr>
          <w:rFonts w:ascii="Arial" w:hAnsi="Arial" w:cs="Arial"/>
          <w:lang w:val="fr-FR"/>
        </w:rPr>
      </w:pPr>
      <w:r w:rsidRPr="00E34182">
        <w:rPr>
          <w:rFonts w:ascii="Arial" w:hAnsi="Arial" w:cs="Arial"/>
          <w:lang w:val="fr-FR"/>
        </w:rPr>
        <w:t>Acetamiprid, a neonicotinoid,</w:t>
      </w:r>
    </w:p>
    <w:p w14:paraId="21CFC3FE" w14:textId="5B1F9ED8" w:rsidR="00E34182" w:rsidRDefault="00E34182" w:rsidP="00E34182">
      <w:pPr>
        <w:pStyle w:val="Body"/>
        <w:numPr>
          <w:ilvl w:val="0"/>
          <w:numId w:val="37"/>
        </w:numPr>
        <w:rPr>
          <w:rFonts w:ascii="Arial" w:hAnsi="Arial" w:cs="Arial"/>
          <w:lang w:val="fr-FR"/>
        </w:rPr>
      </w:pPr>
      <w:r w:rsidRPr="00E34182">
        <w:rPr>
          <w:rFonts w:ascii="Arial" w:hAnsi="Arial" w:cs="Arial"/>
          <w:lang w:val="fr-FR"/>
        </w:rPr>
        <w:t>Imidacloprid, also a neonicotinoid.</w:t>
      </w:r>
    </w:p>
    <w:p w14:paraId="61E85096" w14:textId="77777777" w:rsidR="00E34182" w:rsidRPr="001F31F1" w:rsidRDefault="00E34182" w:rsidP="00E34182">
      <w:pPr>
        <w:pStyle w:val="Body"/>
        <w:rPr>
          <w:rFonts w:ascii="Arial" w:hAnsi="Arial" w:cs="Arial"/>
        </w:rPr>
      </w:pPr>
      <w:r w:rsidRPr="001F31F1">
        <w:rPr>
          <w:rFonts w:ascii="Arial" w:hAnsi="Arial" w:cs="Arial"/>
        </w:rPr>
        <w:lastRenderedPageBreak/>
        <w:t>In the second year, the pesticide Cypercal, whose active ingredient is cypermethrin, was used. This compound belongs to the synthetic pyrethroid family. BOMEC was also used in the second year of experimentation.</w:t>
      </w:r>
    </w:p>
    <w:p w14:paraId="3755B7A6" w14:textId="1653782A" w:rsidR="005C764F" w:rsidRPr="001F31F1" w:rsidRDefault="00E34182" w:rsidP="00E34182">
      <w:pPr>
        <w:pStyle w:val="Body"/>
        <w:rPr>
          <w:rFonts w:ascii="Arial" w:hAnsi="Arial" w:cs="Arial"/>
        </w:rPr>
      </w:pPr>
      <w:r w:rsidRPr="001F31F1">
        <w:rPr>
          <w:rFonts w:ascii="Arial" w:hAnsi="Arial" w:cs="Arial"/>
        </w:rPr>
        <w:t>These pesticides are mainly neurotoxic insecticides targeting various pests, notably aphids, whiteflies, beetles and termites, by disrupting their central nervous system. The pesticides were applied at a rate of 0.5 l/ha.</w:t>
      </w:r>
    </w:p>
    <w:p w14:paraId="5CDF2D09" w14:textId="77777777" w:rsidR="00E34182" w:rsidRPr="001F31F1" w:rsidRDefault="003A08A2" w:rsidP="00E34182">
      <w:pPr>
        <w:pStyle w:val="Body"/>
        <w:jc w:val="left"/>
        <w:rPr>
          <w:rFonts w:ascii="Arial" w:hAnsi="Arial" w:cs="Arial"/>
          <w:b/>
          <w:bCs/>
          <w:sz w:val="22"/>
          <w:szCs w:val="22"/>
        </w:rPr>
      </w:pPr>
      <w:r w:rsidRPr="001F31F1">
        <w:rPr>
          <w:rFonts w:ascii="Arial" w:hAnsi="Arial" w:cs="Arial"/>
          <w:b/>
          <w:bCs/>
          <w:sz w:val="22"/>
          <w:szCs w:val="22"/>
        </w:rPr>
        <w:t xml:space="preserve">2.4. </w:t>
      </w:r>
      <w:r w:rsidR="00E34182" w:rsidRPr="001F31F1">
        <w:rPr>
          <w:rFonts w:ascii="Arial" w:hAnsi="Arial" w:cs="Arial"/>
          <w:b/>
          <w:bCs/>
          <w:sz w:val="22"/>
          <w:szCs w:val="22"/>
        </w:rPr>
        <w:t xml:space="preserve">Soil sampling and analysis of soil </w:t>
      </w:r>
      <w:commentRangeStart w:id="9"/>
      <w:r w:rsidR="00E34182" w:rsidRPr="001F31F1">
        <w:rPr>
          <w:rFonts w:ascii="Arial" w:hAnsi="Arial" w:cs="Arial"/>
          <w:b/>
          <w:bCs/>
          <w:sz w:val="22"/>
          <w:szCs w:val="22"/>
        </w:rPr>
        <w:t>physico-chemical</w:t>
      </w:r>
      <w:commentRangeEnd w:id="9"/>
      <w:r w:rsidR="00C61A99">
        <w:rPr>
          <w:rStyle w:val="CommentReference"/>
          <w:rFonts w:ascii="Times New Roman" w:hAnsi="Times New Roman"/>
          <w:lang w:val="nb-NO" w:eastAsia="nb-NO"/>
        </w:rPr>
        <w:commentReference w:id="9"/>
      </w:r>
      <w:r w:rsidR="00E34182" w:rsidRPr="001F31F1">
        <w:rPr>
          <w:rFonts w:ascii="Arial" w:hAnsi="Arial" w:cs="Arial"/>
          <w:b/>
          <w:bCs/>
          <w:sz w:val="22"/>
          <w:szCs w:val="22"/>
        </w:rPr>
        <w:t xml:space="preserve"> parameters</w:t>
      </w:r>
    </w:p>
    <w:p w14:paraId="260902A8" w14:textId="4B97D726" w:rsidR="003A08A2" w:rsidRPr="001F31F1" w:rsidRDefault="00E34182" w:rsidP="003A08A2">
      <w:pPr>
        <w:pStyle w:val="Body"/>
        <w:rPr>
          <w:rFonts w:ascii="Arial" w:hAnsi="Arial" w:cs="Arial"/>
        </w:rPr>
      </w:pPr>
      <w:r>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441EF117" wp14:editId="4D9E4A5C">
                <wp:simplePos x="0" y="0"/>
                <wp:positionH relativeFrom="margin">
                  <wp:posOffset>12277</wp:posOffset>
                </wp:positionH>
                <wp:positionV relativeFrom="paragraph">
                  <wp:posOffset>697865</wp:posOffset>
                </wp:positionV>
                <wp:extent cx="3130550" cy="1729105"/>
                <wp:effectExtent l="0" t="0" r="12700" b="23495"/>
                <wp:wrapNone/>
                <wp:docPr id="446714314" name="Groupe 3"/>
                <wp:cNvGraphicFramePr/>
                <a:graphic xmlns:a="http://schemas.openxmlformats.org/drawingml/2006/main">
                  <a:graphicData uri="http://schemas.microsoft.com/office/word/2010/wordprocessingGroup">
                    <wpg:wgp>
                      <wpg:cNvGrpSpPr/>
                      <wpg:grpSpPr>
                        <a:xfrm>
                          <a:off x="0" y="0"/>
                          <a:ext cx="3130550" cy="1729105"/>
                          <a:chOff x="0" y="0"/>
                          <a:chExt cx="3130826" cy="1729408"/>
                        </a:xfrm>
                      </wpg:grpSpPr>
                      <wps:wsp>
                        <wps:cNvPr id="359490665" name="Rectangle 1"/>
                        <wps:cNvSpPr/>
                        <wps:spPr>
                          <a:xfrm>
                            <a:off x="0" y="0"/>
                            <a:ext cx="3130826" cy="172940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506261" name="Ellipse 2"/>
                        <wps:cNvSpPr/>
                        <wps:spPr>
                          <a:xfrm>
                            <a:off x="313083" y="188843"/>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78845" name="Ellipse 2"/>
                        <wps:cNvSpPr/>
                        <wps:spPr>
                          <a:xfrm>
                            <a:off x="1466022" y="1306995"/>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17112" name="Ellipse 2"/>
                        <wps:cNvSpPr/>
                        <wps:spPr>
                          <a:xfrm>
                            <a:off x="392596" y="1306995"/>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2519243" name="Ellipse 2"/>
                        <wps:cNvSpPr/>
                        <wps:spPr>
                          <a:xfrm>
                            <a:off x="1475961" y="795130"/>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0170423" name="Ellipse 2"/>
                        <wps:cNvSpPr/>
                        <wps:spPr>
                          <a:xfrm>
                            <a:off x="1436204" y="168965"/>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0785163" name="Ellipse 2"/>
                        <wps:cNvSpPr/>
                        <wps:spPr>
                          <a:xfrm>
                            <a:off x="357809" y="780221"/>
                            <a:ext cx="337930" cy="154057"/>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6651654" name="Ellipse 2"/>
                        <wps:cNvSpPr/>
                        <wps:spPr>
                          <a:xfrm>
                            <a:off x="2584174" y="1252330"/>
                            <a:ext cx="337820" cy="15367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845241" name="Ellipse 2"/>
                        <wps:cNvSpPr/>
                        <wps:spPr>
                          <a:xfrm>
                            <a:off x="2569265" y="134178"/>
                            <a:ext cx="337820" cy="15367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776765" name="Ellipse 2"/>
                        <wps:cNvSpPr/>
                        <wps:spPr>
                          <a:xfrm>
                            <a:off x="2579204" y="740465"/>
                            <a:ext cx="337820" cy="15367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6012EC" id="Groupe 3" o:spid="_x0000_s1026" style="position:absolute;margin-left:.95pt;margin-top:54.95pt;width:246.5pt;height:136.15pt;z-index:251658240;mso-position-horizontal-relative:margin" coordsize="31308,17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">
                <v:rect id="Rectangle 1" o:spid="_x0000_s1027" style="position:absolute;width:31308;height:17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ww8oA&#10;AADiAAAADwAAAGRycy9kb3ducmV2LnhtbESPT2vCQBTE7wW/w/IK3uqmfwwmuooEiqU9GfXg7ZF9&#10;TUKzb0N2GxM/vVsoeBxm5jfMajOYRvTUudqygudZBIK4sLrmUsHx8P60AOE8ssbGMikYycFmPXlY&#10;YarthffU574UAcIuRQWV920qpSsqMuhmtiUO3rftDPogu1LqDi8Bbhr5EkWxNFhzWKiwpayi4if/&#10;NQq+Run74ylOrn1Wjzo/Z7tPypSaPg7bJQhPg7+H/9sfWsHrPHlLojiew9+lcAfk+gY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TK8MPKAAAA4gAAAA8AAAAAAAAAAAAAAAAAmAIA&#10;AGRycy9kb3ducmV2LnhtbFBLBQYAAAAABAAEAPUAAACPAwAAAAA=&#10;" fillcolor="white [3201]" strokecolor="black [3200]" strokeweight="2pt"/>
                <v:oval id="Ellipse 2" o:spid="_x0000_s1028" style="position:absolute;left:3130;top:1888;width:3380;height:1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528oA&#10;AADiAAAADwAAAGRycy9kb3ducmV2LnhtbESPQUvDQBSE74L/YXlCb+1uSo0auy0itEgPgmlFj4/s&#10;MxvMvg3ZbZP++65Q8DjMzDfMcj26VpyoD41nDdlMgSCuvGm41nDYb6aPIEJENth6Jg1nCrBe3d4s&#10;sTB+4A86lbEWCcKhQA02xq6QMlSWHIaZ74iT9+N7hzHJvpamxyHBXSvnSuXSYcNpwWJHr5aq3/Lo&#10;NJjMlufP770agqm/HraLd7U7kNaTu/HlGUSkMf6Hr+03o+EpW9yrfJ5n8Hcp3QG5u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LJedvKAAAA4gAAAA8AAAAAAAAAAAAAAAAAmAIA&#10;AGRycy9kb3ducmV2LnhtbFBLBQYAAAAABAAEAPUAAACPAwAAAAA=&#10;" fillcolor="black [3200]" strokecolor="black [480]" strokeweight="2pt"/>
                <v:oval id="Ellipse 2" o:spid="_x0000_s1029" style="position:absolute;left:14660;top:13069;width:3379;height:1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0Y8kA&#10;AADhAAAADwAAAGRycy9kb3ducmV2LnhtbESPQWsCMRSE74X+h/AEbzWx2rpsjVIKltJDwdWix8fm&#10;dbO4eVk20V3/fVMoeBxm5htmuR5cIy7UhdqzhulEgSAuvam50rDfbR4yECEiG2w8k4YrBViv7u+W&#10;mBvf85YuRaxEgnDIUYONsc2lDKUlh2HiW+Lk/fjOYUyyq6TpsE9w18hHpZ6lw5rTgsWW3iyVp+Ls&#10;NJipLa7fx53qg6kOi/f5l/rck9bj0fD6AiLSEG/h//aH0TBT2SLL5k/w9yi9Abn6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W10Y8kAAADhAAAADwAAAAAAAAAAAAAAAACYAgAA&#10;ZHJzL2Rvd25yZXYueG1sUEsFBgAAAAAEAAQA9QAAAI4DAAAAAA==&#10;" fillcolor="black [3200]" strokecolor="black [480]" strokeweight="2pt"/>
                <v:oval id="Ellipse 2" o:spid="_x0000_s1030" style="position:absolute;left:3925;top:13069;width:3380;height:1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tG8kA&#10;AADhAAAADwAAAGRycy9kb3ducmV2LnhtbESPQUsDMRSE70L/Q3gFbzbJorasTUspKOJBcFvR42Pz&#10;3CxuXpZN7G7/vRGEHoeZ+YZZbyffiRMNsQ1sQC8UCOI62JYbA8fD480KREzIFrvAZOBMEbab2dUa&#10;SxtGfqNTlRqRIRxLNOBS6kspY+3IY1yEnjh7X2HwmLIcGmkHHDPcd7JQ6l56bDkvOOxp76j+rn68&#10;AatddX7/PKgx2uZj+XT7ql6OZMz1fNo9gEg0pUv4v/1sDdytCr3UuoC/R/kNyM0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hgtG8kAAADhAAAADwAAAAAAAAAAAAAAAACYAgAA&#10;ZHJzL2Rvd25yZXYueG1sUEsFBgAAAAAEAAQA9QAAAI4DAAAAAA==&#10;" fillcolor="black [3200]" strokecolor="black [480]" strokeweight="2pt"/>
                <v:oval id="Ellipse 2" o:spid="_x0000_s1031" style="position:absolute;left:14759;top:7951;width:3379;height:1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0asgA&#10;AADjAAAADwAAAGRycy9kb3ducmV2LnhtbERPX0vDMBB/F/wO4Qa+uaS1blqXDREU8UGwm2yPR3Nr&#10;is2lNHHtvr0RBB/v9/9Wm8l14kRDaD1ryOYKBHHtTcuNht32+foORIjIBjvPpOFMATbry4sVlsaP&#10;/EGnKjYihXAoUYONsS+lDLUlh2Hue+LEHf3gMKZzaKQZcEzhrpO5UgvpsOXUYLGnJ0v1V/XtNJjM&#10;VufPw1aNwTT75Uvxrt52pPXVbHp8ABFpiv/iP/erSfOLIr/N7vPiBn5/SgD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brRqyAAAAOMAAAAPAAAAAAAAAAAAAAAAAJgCAABk&#10;cnMvZG93bnJldi54bWxQSwUGAAAAAAQABAD1AAAAjQMAAAAA&#10;" fillcolor="black [3200]" strokecolor="black [480]" strokeweight="2pt"/>
                <v:oval id="Ellipse 2" o:spid="_x0000_s1032" style="position:absolute;left:14362;top:1689;width:3379;height:1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fGskA&#10;AADiAAAADwAAAGRycy9kb3ducmV2LnhtbESPQWsCMRSE74X+h/AK3mqyKlVWoxRBEQ+Frpb2+Ng8&#10;N0s3L8smuuu/bwqFHoeZ+YZZbQbXiBt1ofasIRsrEMSlNzVXGs6n3fMCRIjIBhvPpOFOATbrx4cV&#10;5sb3/E63IlYiQTjkqMHG2OZShtKSwzD2LXHyLr5zGJPsKmk67BPcNXKi1It0WHNasNjS1lL5XVyd&#10;BpPZ4v7xdVJ9MNXnfD97U8czaT16Gl6XICIN8T/81z4YDQulsrmaTabweyndAbn+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REfGskAAADiAAAADwAAAAAAAAAAAAAAAACYAgAA&#10;ZHJzL2Rvd25yZXYueG1sUEsFBgAAAAAEAAQA9QAAAI4DAAAAAA==&#10;" fillcolor="black [3200]" strokecolor="black [480]" strokeweight="2pt"/>
                <v:oval id="Ellipse 2" o:spid="_x0000_s1033" style="position:absolute;left:3578;top:7802;width:3379;height:1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9MgA&#10;AADjAAAADwAAAGRycy9kb3ducmV2LnhtbERPX0vDMBB/F/wO4QTfXNI5t1KXDRko4oOwbmN7PJqz&#10;KTaX0sS1+/aLIPh4v/+3XI+uFWfqQ+NZQzZRIIgrbxquNex3rw85iBCRDbaeScOFAqxXtzdLLIwf&#10;eEvnMtYihXAoUIONsSukDJUlh2HiO+LEffneYUxnX0vT45DCXSunSs2lw4ZTg8WONpaq7/LHaTCZ&#10;LS+H004NwdTHxdvsU33sSev7u/HlGUSkMf6L/9zvJs3PcrXIn7L5I/z+lAC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Yqz0yAAAAOMAAAAPAAAAAAAAAAAAAAAAAJgCAABk&#10;cnMvZG93bnJldi54bWxQSwUGAAAAAAQABAD1AAAAjQMAAAAA&#10;" fillcolor="black [3200]" strokecolor="black [480]" strokeweight="2pt"/>
                <v:oval id="Ellipse 2" o:spid="_x0000_s1034" style="position:absolute;left:25841;top:12523;width:3378;height:1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30ZccA&#10;AADjAAAADwAAAGRycy9kb3ducmV2LnhtbERPX0vDMBB/F/Ydwg18c0llrdItGyIo4oNgN3GPR3Nr&#10;yppLaeLafXsjCHu83/9bbyfXiTMNofWsIVsoEMS1Ny03Gva7l7tHECEiG+w8k4YLBdhuZjdrLI0f&#10;+ZPOVWxECuFQogYbY19KGWpLDsPC98SJO/rBYUzn0Egz4JjCXSfvlSqkw5ZTg8Weni3Vp+rHaTCZ&#10;rS5fh50ag2m+H16XH+p9T1rfzqenFYhIU7yK/91vJs3P8qLIsyJfwt9PCQC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N9GXHAAAA4wAAAA8AAAAAAAAAAAAAAAAAmAIAAGRy&#10;cy9kb3ducmV2LnhtbFBLBQYAAAAABAAEAPUAAACMAwAAAAA=&#10;" fillcolor="black [3200]" strokecolor="black [480]" strokeweight="2pt"/>
                <v:oval id="Ellipse 2" o:spid="_x0000_s1035" style="position:absolute;left:25692;top:1341;width:3378;height:1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sw8ssA&#10;AADiAAAADwAAAGRycy9kb3ducmV2LnhtbESPT0vDQBTE74LfYXmCN7ubGvsndluKoIgHoWnFHh/Z&#10;ZzY0+zZk1yb99q4geBxm5jfMajO6VpypD41nDdlEgSCuvGm41nDYP98tQISIbLD1TBouFGCzvr5a&#10;YWH8wDs6l7EWCcKhQA02xq6QMlSWHIaJ74iT9+V7hzHJvpamxyHBXSunSs2kw4bTgsWOnixVp/Lb&#10;aTCZLS8fx70agqk/5y/5u3o7kNa3N+P2EUSkMf6H/9qvRsP8frnIH6Z5Br+X0h2Q6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4ezDyywAAAOIAAAAPAAAAAAAAAAAAAAAAAJgC&#10;AABkcnMvZG93bnJldi54bWxQSwUGAAAAAAQABAD1AAAAkAMAAAAA&#10;" fillcolor="black [3200]" strokecolor="black [480]" strokeweight="2pt"/>
                <v:oval id="Ellipse 2" o:spid="_x0000_s1036" style="position:absolute;left:25792;top:7404;width:3378;height:1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gZcoA&#10;AADiAAAADwAAAGRycy9kb3ducmV2LnhtbESPQUvDQBSE70L/w/IK3uxuqiYl7baIoIgHwbTSHh/Z&#10;ZzaYfRuya5P+e1cQPA4z8w2z2U2uE2caQutZQ7ZQIIhrb1puNBz2TzcrECEiG+w8k4YLBdhtZ1cb&#10;LI0f+Z3OVWxEgnAoUYONsS+lDLUlh2Hhe+LkffrBYUxyaKQZcExw18mlUrl02HJasNjTo6X6q/p2&#10;Gkxmq8vHaa/GYJpj8Xz3pl4PpPX1fHpYg4g0xf/wX/vFaLhdZkWRF/k9/F5Kd0B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KzoGXKAAAA4gAAAA8AAAAAAAAAAAAAAAAAmAIA&#10;AGRycy9kb3ducmV2LnhtbFBLBQYAAAAABAAEAPUAAACPAwAAAAA=&#10;" fillcolor="black [3200]" strokecolor="black [480]" strokeweight="2pt"/>
                <w10:wrap anchorx="margin"/>
              </v:group>
            </w:pict>
          </mc:Fallback>
        </mc:AlternateContent>
      </w:r>
      <w:r w:rsidRPr="001F31F1">
        <w:rPr>
          <w:rFonts w:ascii="Arial" w:hAnsi="Arial" w:cs="Arial"/>
        </w:rPr>
        <w:t>Before treatments were applied, soil samples were taken with a soil auger at a depth of 0-20 cm, using the diagonal and median methods. The samples were pooled to form a representative composite sample for analysis of the soil's initial physical, chemical and biological properties.</w:t>
      </w:r>
    </w:p>
    <w:p w14:paraId="42B7B269" w14:textId="2883E96E" w:rsidR="003A08A2" w:rsidRPr="001F31F1" w:rsidRDefault="001F31F1" w:rsidP="003A08A2">
      <w:pPr>
        <w:pStyle w:val="Body"/>
        <w:rPr>
          <w:rFonts w:ascii="Arial" w:hAnsi="Arial" w:cs="Arial"/>
        </w:rPr>
      </w:pPr>
      <w:r>
        <w:rPr>
          <w:rFonts w:ascii="Times New Roman" w:hAnsi="Times New Roman"/>
          <w:noProof/>
          <w:sz w:val="24"/>
          <w:szCs w:val="24"/>
        </w:rPr>
        <mc:AlternateContent>
          <mc:Choice Requires="wpg">
            <w:drawing>
              <wp:anchor distT="0" distB="0" distL="114300" distR="114300" simplePos="0" relativeHeight="251668480" behindDoc="0" locked="0" layoutInCell="1" allowOverlap="1" wp14:anchorId="694ECFD4" wp14:editId="39C1871B">
                <wp:simplePos x="0" y="0"/>
                <wp:positionH relativeFrom="column">
                  <wp:posOffset>4096630</wp:posOffset>
                </wp:positionH>
                <wp:positionV relativeFrom="paragraph">
                  <wp:posOffset>113963</wp:posOffset>
                </wp:positionV>
                <wp:extent cx="2114304" cy="914102"/>
                <wp:effectExtent l="0" t="0" r="635" b="635"/>
                <wp:wrapNone/>
                <wp:docPr id="1567150230" name="Groupe 16"/>
                <wp:cNvGraphicFramePr/>
                <a:graphic xmlns:a="http://schemas.openxmlformats.org/drawingml/2006/main">
                  <a:graphicData uri="http://schemas.microsoft.com/office/word/2010/wordprocessingGroup">
                    <wpg:wgp>
                      <wpg:cNvGrpSpPr/>
                      <wpg:grpSpPr>
                        <a:xfrm>
                          <a:off x="0" y="0"/>
                          <a:ext cx="2114304" cy="914102"/>
                          <a:chOff x="719138" y="709613"/>
                          <a:chExt cx="2114550" cy="914400"/>
                        </a:xfrm>
                      </wpg:grpSpPr>
                      <wps:wsp>
                        <wps:cNvPr id="1069075379" name="Zone de texte 6"/>
                        <wps:cNvSpPr txBox="1"/>
                        <wps:spPr>
                          <a:xfrm>
                            <a:off x="719138" y="709613"/>
                            <a:ext cx="2114550" cy="91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DCC7570" w14:textId="77777777" w:rsidR="007E241F" w:rsidRDefault="007E241F" w:rsidP="00E61D32">
                              <w:pPr>
                                <w:rPr>
                                  <w:lang w:val="fr-FR"/>
                                </w:rPr>
                              </w:pPr>
                              <w:bookmarkStart w:id="10" w:name="_Hlk199847940"/>
                              <w:bookmarkEnd w:id="10"/>
                              <w:r w:rsidRPr="00E61D32">
                                <w:rPr>
                                  <w:lang w:val="fr-FR"/>
                                </w:rPr>
                                <w:t>Légende</w:t>
                              </w:r>
                            </w:p>
                            <w:p w14:paraId="7ACEB536" w14:textId="77777777" w:rsidR="007E241F" w:rsidRPr="00E61D32" w:rsidRDefault="007E241F" w:rsidP="00E61D32">
                              <w:pPr>
                                <w:rPr>
                                  <w:lang w:val="fr-FR"/>
                                </w:rPr>
                              </w:pPr>
                            </w:p>
                            <w:p w14:paraId="67C20E78" w14:textId="29F166B8" w:rsidR="007E241F" w:rsidRPr="00913F31" w:rsidRDefault="007E241F" w:rsidP="00E34182">
                              <w:pPr>
                                <w:pStyle w:val="ListParagraph"/>
                                <w:numPr>
                                  <w:ilvl w:val="0"/>
                                  <w:numId w:val="32"/>
                                </w:numPr>
                                <w:rPr>
                                  <w:lang w:val="fr-FR"/>
                                </w:rPr>
                              </w:pPr>
                              <w:r w:rsidRPr="00913F31">
                                <w:rPr>
                                  <w:lang w:val="fr-FR"/>
                                </w:rPr>
                                <w:t xml:space="preserve">: </w:t>
                              </w:r>
                              <w:r w:rsidR="00E34182" w:rsidRPr="00E34182">
                                <w:rPr>
                                  <w:lang w:val="fr-FR"/>
                                </w:rPr>
                                <w:t>Sampling point</w:t>
                              </w:r>
                            </w:p>
                            <w:p w14:paraId="1AB2080F" w14:textId="77777777" w:rsidR="007E241F" w:rsidRPr="00E61D32" w:rsidRDefault="007E241F" w:rsidP="00E61D32">
                              <w:pPr>
                                <w:rPr>
                                  <w:lang w:val="fr-FR"/>
                                </w:rPr>
                              </w:pPr>
                              <w:r w:rsidRPr="00E61D32">
                                <w:rPr>
                                  <w:lang w:val="fr-FR"/>
                                </w:rPr>
                                <w:tab/>
                              </w:r>
                            </w:p>
                            <w:p w14:paraId="3AEBE198" w14:textId="6471D309" w:rsidR="007E241F" w:rsidRPr="00E61D32" w:rsidRDefault="007E241F" w:rsidP="00E61D32">
                              <w:pPr>
                                <w:rPr>
                                  <w:lang w:val="fr-FR"/>
                                </w:rPr>
                              </w:pPr>
                              <w:r w:rsidRPr="00E61D32">
                                <w:rPr>
                                  <w:lang w:val="fr-FR"/>
                                </w:rPr>
                                <w:tab/>
                                <w:t xml:space="preserve">: </w:t>
                              </w:r>
                              <w:r w:rsidR="00E34182" w:rsidRPr="00E34182">
                                <w:rPr>
                                  <w:rFonts w:ascii="Arial" w:hAnsi="Arial" w:cs="Arial"/>
                                  <w:lang w:val="fr-FR"/>
                                </w:rPr>
                                <w:t>Operating perimeter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6896116" name="Rectangle 15"/>
                        <wps:cNvSpPr/>
                        <wps:spPr>
                          <a:xfrm>
                            <a:off x="833524" y="1333723"/>
                            <a:ext cx="395287" cy="22383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4ECFD4" id="Groupe 16" o:spid="_x0000_s1026" style="position:absolute;left:0;text-align:left;margin-left:322.55pt;margin-top:8.95pt;width:166.5pt;height:1in;z-index:251668480;mso-width-relative:margin;mso-height-relative:margin" coordorigin="7191,7096" coordsize="2114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">
                <v:shapetype id="_x0000_t202" coordsize="21600,21600" o:spt="202" path="m,l,21600r21600,l21600,xe">
                  <v:stroke joinstyle="miter"/>
                  <v:path gradientshapeok="t" o:connecttype="rect"/>
                </v:shapetype>
                <v:shape id="_x0000_s1027" type="#_x0000_t202" style="position:absolute;left:7191;top:7096;width:2114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" fillcolor="white [3201]" stroked="f" strokeweight="2pt">
                  <v:textbox>
                    <w:txbxContent>
                      <w:p w14:paraId="3DCC7570" w14:textId="77777777" w:rsidR="007E241F" w:rsidRDefault="007E241F" w:rsidP="00E61D32">
                        <w:pPr>
                          <w:rPr>
                            <w:lang w:val="fr-FR"/>
                          </w:rPr>
                        </w:pPr>
                        <w:bookmarkStart w:id="1" w:name="_Hlk199847940"/>
                        <w:bookmarkEnd w:id="1"/>
                        <w:r w:rsidRPr="00E61D32">
                          <w:rPr>
                            <w:lang w:val="fr-FR"/>
                          </w:rPr>
                          <w:t>Légende</w:t>
                        </w:r>
                      </w:p>
                      <w:p w14:paraId="7ACEB536" w14:textId="77777777" w:rsidR="007E241F" w:rsidRPr="00E61D32" w:rsidRDefault="007E241F" w:rsidP="00E61D32">
                        <w:pPr>
                          <w:rPr>
                            <w:lang w:val="fr-FR"/>
                          </w:rPr>
                        </w:pPr>
                      </w:p>
                      <w:p w14:paraId="67C20E78" w14:textId="29F166B8" w:rsidR="007E241F" w:rsidRPr="00913F31" w:rsidRDefault="007E241F" w:rsidP="00E34182">
                        <w:pPr>
                          <w:pStyle w:val="ListParagraph"/>
                          <w:numPr>
                            <w:ilvl w:val="0"/>
                            <w:numId w:val="32"/>
                          </w:numPr>
                          <w:rPr>
                            <w:lang w:val="fr-FR"/>
                          </w:rPr>
                        </w:pPr>
                        <w:r w:rsidRPr="00913F31">
                          <w:rPr>
                            <w:lang w:val="fr-FR"/>
                          </w:rPr>
                          <w:t xml:space="preserve">: </w:t>
                        </w:r>
                        <w:r w:rsidR="00E34182" w:rsidRPr="00E34182">
                          <w:rPr>
                            <w:lang w:val="fr-FR"/>
                          </w:rPr>
                          <w:t>Sampling point</w:t>
                        </w:r>
                      </w:p>
                      <w:p w14:paraId="1AB2080F" w14:textId="77777777" w:rsidR="007E241F" w:rsidRPr="00E61D32" w:rsidRDefault="007E241F" w:rsidP="00E61D32">
                        <w:pPr>
                          <w:rPr>
                            <w:lang w:val="fr-FR"/>
                          </w:rPr>
                        </w:pPr>
                        <w:r w:rsidRPr="00E61D32">
                          <w:rPr>
                            <w:lang w:val="fr-FR"/>
                          </w:rPr>
                          <w:tab/>
                        </w:r>
                      </w:p>
                      <w:p w14:paraId="3AEBE198" w14:textId="6471D309" w:rsidR="007E241F" w:rsidRPr="00E61D32" w:rsidRDefault="007E241F" w:rsidP="00E61D32">
                        <w:pPr>
                          <w:rPr>
                            <w:lang w:val="fr-FR"/>
                          </w:rPr>
                        </w:pPr>
                        <w:r w:rsidRPr="00E61D32">
                          <w:rPr>
                            <w:lang w:val="fr-FR"/>
                          </w:rPr>
                          <w:tab/>
                          <w:t xml:space="preserve">: </w:t>
                        </w:r>
                        <w:r w:rsidR="00E34182" w:rsidRPr="00E34182">
                          <w:rPr>
                            <w:rFonts w:ascii="Arial" w:hAnsi="Arial" w:cs="Arial"/>
                            <w:lang w:val="fr-FR"/>
                          </w:rPr>
                          <w:t>Operating perimeter</w:t>
                        </w:r>
                      </w:p>
                    </w:txbxContent>
                  </v:textbox>
                </v:shape>
                <v:rect id="Rectangle 15" o:spid="_x0000_s1028" style="position:absolute;left:8335;top:13337;width:3953;height:2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" filled="f" strokecolor="black [3200]" strokeweight="2pt"/>
              </v:group>
            </w:pict>
          </mc:Fallback>
        </mc:AlternateContent>
      </w:r>
    </w:p>
    <w:p w14:paraId="0DEFC112" w14:textId="25BEEC81" w:rsidR="00E61D32" w:rsidRPr="001F31F1" w:rsidRDefault="00E61D32" w:rsidP="003A08A2">
      <w:pPr>
        <w:pStyle w:val="Body"/>
        <w:rPr>
          <w:rFonts w:ascii="Arial" w:hAnsi="Arial" w:cs="Arial"/>
        </w:rPr>
      </w:pPr>
    </w:p>
    <w:p w14:paraId="0BE1A704" w14:textId="0B70EF8C" w:rsidR="00E61D32" w:rsidRPr="001F31F1" w:rsidRDefault="00E61D32" w:rsidP="003A08A2">
      <w:pPr>
        <w:pStyle w:val="Body"/>
        <w:rPr>
          <w:rFonts w:ascii="Arial" w:hAnsi="Arial" w:cs="Arial"/>
        </w:rPr>
      </w:pPr>
    </w:p>
    <w:p w14:paraId="36B2946C" w14:textId="18D6ED75" w:rsidR="00E61D32" w:rsidRPr="001F31F1" w:rsidRDefault="00E61D32" w:rsidP="003A08A2">
      <w:pPr>
        <w:pStyle w:val="Body"/>
        <w:rPr>
          <w:rFonts w:ascii="Arial" w:hAnsi="Arial" w:cs="Arial"/>
        </w:rPr>
      </w:pPr>
    </w:p>
    <w:p w14:paraId="20BBABB5" w14:textId="77777777" w:rsidR="00E61D32" w:rsidRPr="001F31F1" w:rsidRDefault="00E61D32" w:rsidP="003A08A2">
      <w:pPr>
        <w:pStyle w:val="Body"/>
        <w:rPr>
          <w:rFonts w:ascii="Arial" w:hAnsi="Arial" w:cs="Arial"/>
        </w:rPr>
      </w:pPr>
    </w:p>
    <w:p w14:paraId="06CF56E1" w14:textId="77777777" w:rsidR="00E61D32" w:rsidRPr="001F31F1" w:rsidRDefault="00E61D32" w:rsidP="003A08A2">
      <w:pPr>
        <w:pStyle w:val="Body"/>
        <w:rPr>
          <w:rFonts w:ascii="Arial" w:hAnsi="Arial" w:cs="Arial"/>
        </w:rPr>
      </w:pPr>
    </w:p>
    <w:p w14:paraId="3499B662" w14:textId="77777777" w:rsidR="003A08A2" w:rsidRPr="001F31F1" w:rsidRDefault="003A08A2" w:rsidP="003A08A2">
      <w:pPr>
        <w:pStyle w:val="Body"/>
        <w:rPr>
          <w:rFonts w:ascii="Arial" w:hAnsi="Arial" w:cs="Arial"/>
        </w:rPr>
      </w:pPr>
    </w:p>
    <w:p w14:paraId="07F69A42" w14:textId="3FB2D022" w:rsidR="003A08A2" w:rsidRPr="001F31F1" w:rsidRDefault="003A08A2" w:rsidP="003A08A2">
      <w:pPr>
        <w:pStyle w:val="Body"/>
        <w:rPr>
          <w:rFonts w:ascii="Arial" w:hAnsi="Arial" w:cs="Arial"/>
        </w:rPr>
      </w:pPr>
      <w:r w:rsidRPr="001F31F1">
        <w:rPr>
          <w:rFonts w:ascii="Arial" w:hAnsi="Arial" w:cs="Arial"/>
        </w:rPr>
        <w:t xml:space="preserve"> </w:t>
      </w:r>
      <w:r w:rsidR="00E34182" w:rsidRPr="001F31F1">
        <w:rPr>
          <w:rFonts w:ascii="Arial" w:hAnsi="Arial" w:cs="Arial"/>
        </w:rPr>
        <w:t>Figure 1: Sampling method at the experimental site</w:t>
      </w:r>
    </w:p>
    <w:p w14:paraId="0202A4D8" w14:textId="754D5707" w:rsidR="003A08A2" w:rsidRDefault="00E34182" w:rsidP="003A08A2">
      <w:pPr>
        <w:pStyle w:val="Body"/>
        <w:rPr>
          <w:rFonts w:ascii="Arial" w:hAnsi="Arial" w:cs="Arial"/>
        </w:rPr>
      </w:pPr>
      <w:r w:rsidRPr="001F31F1">
        <w:rPr>
          <w:rFonts w:ascii="Arial" w:hAnsi="Arial" w:cs="Arial"/>
        </w:rPr>
        <w:t xml:space="preserve">At the end of each campaign, new composite samples were taken from each sub-plot, at the same depth, to assess the effect of </w:t>
      </w:r>
      <w:commentRangeStart w:id="11"/>
      <w:r w:rsidRPr="001F31F1">
        <w:rPr>
          <w:rFonts w:ascii="Arial" w:hAnsi="Arial" w:cs="Arial"/>
        </w:rPr>
        <w:t>treatments combining different doses of irrigation and compost</w:t>
      </w:r>
      <w:commentRangeEnd w:id="11"/>
      <w:r w:rsidR="00B435B1">
        <w:rPr>
          <w:rStyle w:val="CommentReference"/>
          <w:rFonts w:ascii="Times New Roman" w:hAnsi="Times New Roman"/>
          <w:lang w:val="nb-NO" w:eastAsia="nb-NO"/>
        </w:rPr>
        <w:commentReference w:id="11"/>
      </w:r>
      <w:r w:rsidRPr="001F31F1">
        <w:rPr>
          <w:rFonts w:ascii="Arial" w:hAnsi="Arial" w:cs="Arial"/>
        </w:rPr>
        <w:t>.</w:t>
      </w:r>
    </w:p>
    <w:p w14:paraId="3DECB0F2" w14:textId="0BD24435" w:rsidR="00127AC5" w:rsidRPr="001F31F1" w:rsidRDefault="00127AC5" w:rsidP="003A08A2">
      <w:pPr>
        <w:pStyle w:val="Body"/>
        <w:rPr>
          <w:rFonts w:ascii="Arial" w:hAnsi="Arial" w:cs="Arial"/>
        </w:rPr>
      </w:pPr>
      <w:r w:rsidRPr="00E61D32">
        <w:rPr>
          <w:rFonts w:ascii="Times New Roman" w:hAnsi="Times New Roman"/>
          <w:noProof/>
          <w:kern w:val="2"/>
          <w:sz w:val="24"/>
          <w:szCs w:val="24"/>
          <w14:ligatures w14:val="standardContextual"/>
        </w:rPr>
        <mc:AlternateContent>
          <mc:Choice Requires="wps">
            <w:drawing>
              <wp:anchor distT="0" distB="0" distL="114300" distR="114300" simplePos="0" relativeHeight="251661312" behindDoc="0" locked="0" layoutInCell="1" allowOverlap="1" wp14:anchorId="02F5AF99" wp14:editId="36AABEC4">
                <wp:simplePos x="0" y="0"/>
                <wp:positionH relativeFrom="column">
                  <wp:posOffset>201974</wp:posOffset>
                </wp:positionH>
                <wp:positionV relativeFrom="paragraph">
                  <wp:posOffset>169545</wp:posOffset>
                </wp:positionV>
                <wp:extent cx="1809115" cy="1257300"/>
                <wp:effectExtent l="0" t="0" r="19685" b="19050"/>
                <wp:wrapNone/>
                <wp:docPr id="1609344841" name="Rectangle 4"/>
                <wp:cNvGraphicFramePr/>
                <a:graphic xmlns:a="http://schemas.openxmlformats.org/drawingml/2006/main">
                  <a:graphicData uri="http://schemas.microsoft.com/office/word/2010/wordprocessingShape">
                    <wps:wsp>
                      <wps:cNvSpPr/>
                      <wps:spPr>
                        <a:xfrm>
                          <a:off x="0" y="0"/>
                          <a:ext cx="1809115" cy="1257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2D161A" id="Rectangle 4" o:spid="_x0000_s1026" style="position:absolute;margin-left:15.9pt;margin-top:13.35pt;width:142.4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" fillcolor="window" strokecolor="windowText" strokeweight="1pt"/>
            </w:pict>
          </mc:Fallback>
        </mc:AlternateContent>
      </w:r>
      <w:r w:rsidRPr="00E61D32">
        <w:rPr>
          <w:rFonts w:ascii="Times New Roman" w:hAnsi="Times New Roman"/>
          <w:noProof/>
          <w:kern w:val="2"/>
          <w:sz w:val="24"/>
          <w:szCs w:val="24"/>
          <w14:ligatures w14:val="standardContextual"/>
        </w:rPr>
        <mc:AlternateContent>
          <mc:Choice Requires="wps">
            <w:drawing>
              <wp:anchor distT="0" distB="0" distL="114300" distR="114300" simplePos="0" relativeHeight="251662336" behindDoc="0" locked="0" layoutInCell="1" allowOverlap="1" wp14:anchorId="080B491A" wp14:editId="0AB3AC40">
                <wp:simplePos x="0" y="0"/>
                <wp:positionH relativeFrom="column">
                  <wp:posOffset>2579819</wp:posOffset>
                </wp:positionH>
                <wp:positionV relativeFrom="paragraph">
                  <wp:posOffset>70913</wp:posOffset>
                </wp:positionV>
                <wp:extent cx="1781175" cy="1042987"/>
                <wp:effectExtent l="0" t="0" r="9525" b="5080"/>
                <wp:wrapNone/>
                <wp:docPr id="483507732" name="Zone de texte 6"/>
                <wp:cNvGraphicFramePr/>
                <a:graphic xmlns:a="http://schemas.openxmlformats.org/drawingml/2006/main">
                  <a:graphicData uri="http://schemas.microsoft.com/office/word/2010/wordprocessingShape">
                    <wps:wsp>
                      <wps:cNvSpPr txBox="1"/>
                      <wps:spPr>
                        <a:xfrm>
                          <a:off x="0" y="0"/>
                          <a:ext cx="1781175" cy="1042987"/>
                        </a:xfrm>
                        <a:prstGeom prst="rect">
                          <a:avLst/>
                        </a:prstGeom>
                        <a:solidFill>
                          <a:sysClr val="window" lastClr="FFFFFF"/>
                        </a:solidFill>
                        <a:ln w="12700" cap="flat" cmpd="sng" algn="ctr">
                          <a:noFill/>
                          <a:prstDash val="solid"/>
                          <a:miter lim="800000"/>
                        </a:ln>
                        <a:effectLst/>
                      </wps:spPr>
                      <wps:txbx>
                        <w:txbxContent>
                          <w:p w14:paraId="1A3210A4" w14:textId="2253E1DA" w:rsidR="007E241F" w:rsidRPr="00E61D32" w:rsidRDefault="005C10B9" w:rsidP="00E61D32">
                            <w:pPr>
                              <w:rPr>
                                <w:lang w:val="fr-FR"/>
                              </w:rPr>
                            </w:pPr>
                            <w:r w:rsidRPr="005C10B9">
                              <w:rPr>
                                <w:lang w:val="fr-FR"/>
                              </w:rPr>
                              <w:t>Legend</w:t>
                            </w:r>
                          </w:p>
                          <w:p w14:paraId="4195CC1D" w14:textId="6DE94828" w:rsidR="007E241F" w:rsidRPr="00E61D32" w:rsidRDefault="007E241F" w:rsidP="005C10B9">
                            <w:pPr>
                              <w:pStyle w:val="ListParagraph"/>
                              <w:numPr>
                                <w:ilvl w:val="0"/>
                                <w:numId w:val="31"/>
                              </w:numPr>
                              <w:rPr>
                                <w:lang w:val="fr-FR"/>
                              </w:rPr>
                            </w:pPr>
                            <w:r w:rsidRPr="00E61D32">
                              <w:rPr>
                                <w:lang w:val="fr-FR"/>
                              </w:rPr>
                              <w:t xml:space="preserve">: </w:t>
                            </w:r>
                            <w:r w:rsidR="005C10B9" w:rsidRPr="005C10B9">
                              <w:rPr>
                                <w:lang w:val="fr-FR"/>
                              </w:rPr>
                              <w:t>Sampling point</w:t>
                            </w:r>
                          </w:p>
                          <w:p w14:paraId="2AC440BD" w14:textId="77777777" w:rsidR="007E241F" w:rsidRPr="00E61D32" w:rsidRDefault="007E241F" w:rsidP="00E61D32">
                            <w:pPr>
                              <w:rPr>
                                <w:lang w:val="fr-FR"/>
                              </w:rPr>
                            </w:pPr>
                            <w:r w:rsidRPr="00E61D32">
                              <w:rPr>
                                <w:lang w:val="fr-FR"/>
                              </w:rPr>
                              <w:tab/>
                            </w:r>
                          </w:p>
                          <w:p w14:paraId="45F46216" w14:textId="6676370B" w:rsidR="007E241F" w:rsidRPr="00E61D32" w:rsidRDefault="005C10B9" w:rsidP="00E61D32">
                            <w:pPr>
                              <w:rPr>
                                <w:lang w:val="fr-FR"/>
                              </w:rPr>
                            </w:pPr>
                            <w:r w:rsidRPr="00C54371">
                              <w:rPr>
                                <w:noProof/>
                              </w:rPr>
                              <w:drawing>
                                <wp:inline distT="0" distB="0" distL="0" distR="0" wp14:anchorId="56E950D4" wp14:editId="4FCEAE41">
                                  <wp:extent cx="439420" cy="246380"/>
                                  <wp:effectExtent l="0" t="0" r="0" b="1270"/>
                                  <wp:docPr id="116697686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9420" cy="246380"/>
                                          </a:xfrm>
                                          <a:prstGeom prst="rect">
                                            <a:avLst/>
                                          </a:prstGeom>
                                          <a:noFill/>
                                          <a:ln>
                                            <a:noFill/>
                                          </a:ln>
                                        </pic:spPr>
                                      </pic:pic>
                                    </a:graphicData>
                                  </a:graphic>
                                </wp:inline>
                              </w:drawing>
                            </w:r>
                            <w:r w:rsidR="007E241F" w:rsidRPr="00E61D32">
                              <w:rPr>
                                <w:lang w:val="fr-FR"/>
                              </w:rPr>
                              <w:tab/>
                              <w:t xml:space="preserve">: </w:t>
                            </w:r>
                            <w:r w:rsidRPr="005C10B9">
                              <w:rPr>
                                <w:lang w:val="fr-FR"/>
                              </w:rPr>
                              <w:t>Sub plot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0B491A" id="Zone de texte 6" o:spid="_x0000_s1029" type="#_x0000_t202" style="position:absolute;left:0;text-align:left;margin-left:203.15pt;margin-top:5.6pt;width:140.25pt;height:8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" fillcolor="window" stroked="f" strokeweight="1pt">
                <v:textbox>
                  <w:txbxContent>
                    <w:p w14:paraId="1A3210A4" w14:textId="2253E1DA" w:rsidR="007E241F" w:rsidRPr="00E61D32" w:rsidRDefault="005C10B9" w:rsidP="00E61D32">
                      <w:pPr>
                        <w:rPr>
                          <w:lang w:val="fr-FR"/>
                        </w:rPr>
                      </w:pPr>
                      <w:r w:rsidRPr="005C10B9">
                        <w:rPr>
                          <w:lang w:val="fr-FR"/>
                        </w:rPr>
                        <w:t>Legend</w:t>
                      </w:r>
                    </w:p>
                    <w:p w14:paraId="4195CC1D" w14:textId="6DE94828" w:rsidR="007E241F" w:rsidRPr="00E61D32" w:rsidRDefault="007E241F" w:rsidP="005C10B9">
                      <w:pPr>
                        <w:pStyle w:val="ListParagraph"/>
                        <w:numPr>
                          <w:ilvl w:val="0"/>
                          <w:numId w:val="31"/>
                        </w:numPr>
                        <w:rPr>
                          <w:lang w:val="fr-FR"/>
                        </w:rPr>
                      </w:pPr>
                      <w:r w:rsidRPr="00E61D32">
                        <w:rPr>
                          <w:lang w:val="fr-FR"/>
                        </w:rPr>
                        <w:t xml:space="preserve">: </w:t>
                      </w:r>
                      <w:r w:rsidR="005C10B9" w:rsidRPr="005C10B9">
                        <w:rPr>
                          <w:lang w:val="fr-FR"/>
                        </w:rPr>
                        <w:t>Sampling point</w:t>
                      </w:r>
                    </w:p>
                    <w:p w14:paraId="2AC440BD" w14:textId="77777777" w:rsidR="007E241F" w:rsidRPr="00E61D32" w:rsidRDefault="007E241F" w:rsidP="00E61D32">
                      <w:pPr>
                        <w:rPr>
                          <w:lang w:val="fr-FR"/>
                        </w:rPr>
                      </w:pPr>
                      <w:r w:rsidRPr="00E61D32">
                        <w:rPr>
                          <w:lang w:val="fr-FR"/>
                        </w:rPr>
                        <w:tab/>
                      </w:r>
                    </w:p>
                    <w:p w14:paraId="45F46216" w14:textId="6676370B" w:rsidR="007E241F" w:rsidRPr="00E61D32" w:rsidRDefault="005C10B9" w:rsidP="00E61D32">
                      <w:pPr>
                        <w:rPr>
                          <w:lang w:val="fr-FR"/>
                        </w:rPr>
                      </w:pPr>
                      <w:r w:rsidRPr="00C54371">
                        <w:rPr>
                          <w:noProof/>
                          <w:lang w:val="fr-FR" w:eastAsia="fr-FR"/>
                        </w:rPr>
                        <w:drawing>
                          <wp:inline distT="0" distB="0" distL="0" distR="0" wp14:anchorId="56E950D4" wp14:editId="4FCEAE41">
                            <wp:extent cx="439420" cy="246380"/>
                            <wp:effectExtent l="0" t="0" r="0" b="1270"/>
                            <wp:docPr id="116697686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9420" cy="246380"/>
                                    </a:xfrm>
                                    <a:prstGeom prst="rect">
                                      <a:avLst/>
                                    </a:prstGeom>
                                    <a:noFill/>
                                    <a:ln>
                                      <a:noFill/>
                                    </a:ln>
                                  </pic:spPr>
                                </pic:pic>
                              </a:graphicData>
                            </a:graphic>
                          </wp:inline>
                        </w:drawing>
                      </w:r>
                      <w:r w:rsidR="007E241F" w:rsidRPr="00E61D32">
                        <w:rPr>
                          <w:lang w:val="fr-FR"/>
                        </w:rPr>
                        <w:tab/>
                        <w:t xml:space="preserve">: </w:t>
                      </w:r>
                      <w:r w:rsidRPr="005C10B9">
                        <w:rPr>
                          <w:lang w:val="fr-FR"/>
                        </w:rPr>
                        <w:t>Sub plot</w:t>
                      </w:r>
                    </w:p>
                  </w:txbxContent>
                </v:textbox>
              </v:shape>
            </w:pict>
          </mc:Fallback>
        </mc:AlternateContent>
      </w:r>
    </w:p>
    <w:p w14:paraId="3A7AA51F" w14:textId="56EB2B58" w:rsidR="003A08A2" w:rsidRPr="001F31F1" w:rsidRDefault="005C10B9" w:rsidP="003A08A2">
      <w:pPr>
        <w:pStyle w:val="Body"/>
        <w:rPr>
          <w:rFonts w:ascii="Arial" w:hAnsi="Arial" w:cs="Arial"/>
        </w:rPr>
      </w:pPr>
      <w:r w:rsidRPr="00C54371">
        <w:rPr>
          <w:noProof/>
        </w:rPr>
        <w:drawing>
          <wp:anchor distT="0" distB="0" distL="114300" distR="114300" simplePos="0" relativeHeight="251664384" behindDoc="0" locked="0" layoutInCell="1" allowOverlap="1" wp14:anchorId="2716AD2C" wp14:editId="471973B0">
            <wp:simplePos x="0" y="0"/>
            <wp:positionH relativeFrom="column">
              <wp:posOffset>1403985</wp:posOffset>
            </wp:positionH>
            <wp:positionV relativeFrom="paragraph">
              <wp:posOffset>251460</wp:posOffset>
            </wp:positionV>
            <wp:extent cx="354330" cy="170180"/>
            <wp:effectExtent l="0" t="0" r="7620" b="1270"/>
            <wp:wrapNone/>
            <wp:docPr id="92129883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330" cy="17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371">
        <w:rPr>
          <w:noProof/>
        </w:rPr>
        <w:drawing>
          <wp:anchor distT="0" distB="0" distL="114300" distR="114300" simplePos="0" relativeHeight="251663360" behindDoc="0" locked="0" layoutInCell="1" allowOverlap="1" wp14:anchorId="5B17E38F" wp14:editId="16EAB027">
            <wp:simplePos x="0" y="0"/>
            <wp:positionH relativeFrom="column">
              <wp:posOffset>322157</wp:posOffset>
            </wp:positionH>
            <wp:positionV relativeFrom="paragraph">
              <wp:posOffset>189230</wp:posOffset>
            </wp:positionV>
            <wp:extent cx="354330" cy="170180"/>
            <wp:effectExtent l="0" t="0" r="7620" b="1270"/>
            <wp:wrapNone/>
            <wp:docPr id="97557008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330" cy="17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D6804" w14:textId="0114DF18" w:rsidR="003A08A2" w:rsidRPr="001F31F1" w:rsidRDefault="003A08A2" w:rsidP="003A08A2">
      <w:pPr>
        <w:pStyle w:val="Body"/>
        <w:rPr>
          <w:rFonts w:ascii="Arial" w:hAnsi="Arial" w:cs="Arial"/>
        </w:rPr>
      </w:pP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r w:rsidRPr="001F31F1">
        <w:rPr>
          <w:rFonts w:ascii="Arial" w:hAnsi="Arial" w:cs="Arial"/>
        </w:rPr>
        <w:tab/>
      </w:r>
    </w:p>
    <w:p w14:paraId="192C0C17" w14:textId="23043BC3" w:rsidR="003A08A2" w:rsidRPr="001F31F1" w:rsidRDefault="005C10B9" w:rsidP="003A08A2">
      <w:pPr>
        <w:pStyle w:val="Body"/>
        <w:rPr>
          <w:rFonts w:ascii="Arial" w:hAnsi="Arial" w:cs="Arial"/>
        </w:rPr>
      </w:pPr>
      <w:r w:rsidRPr="00C54371">
        <w:rPr>
          <w:noProof/>
        </w:rPr>
        <w:drawing>
          <wp:anchor distT="0" distB="0" distL="114300" distR="114300" simplePos="0" relativeHeight="251665408" behindDoc="0" locked="0" layoutInCell="1" allowOverlap="1" wp14:anchorId="6BB1CB91" wp14:editId="0E1C4A76">
            <wp:simplePos x="0" y="0"/>
            <wp:positionH relativeFrom="column">
              <wp:posOffset>308479</wp:posOffset>
            </wp:positionH>
            <wp:positionV relativeFrom="paragraph">
              <wp:posOffset>159385</wp:posOffset>
            </wp:positionV>
            <wp:extent cx="354330" cy="170180"/>
            <wp:effectExtent l="0" t="0" r="7620" b="1270"/>
            <wp:wrapNone/>
            <wp:docPr id="9025034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330" cy="17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371">
        <w:rPr>
          <w:noProof/>
        </w:rPr>
        <w:drawing>
          <wp:anchor distT="0" distB="0" distL="114300" distR="114300" simplePos="0" relativeHeight="251666432" behindDoc="0" locked="0" layoutInCell="1" allowOverlap="1" wp14:anchorId="7866D0AB" wp14:editId="548476A0">
            <wp:simplePos x="0" y="0"/>
            <wp:positionH relativeFrom="column">
              <wp:posOffset>1454785</wp:posOffset>
            </wp:positionH>
            <wp:positionV relativeFrom="paragraph">
              <wp:posOffset>144780</wp:posOffset>
            </wp:positionV>
            <wp:extent cx="354330" cy="170180"/>
            <wp:effectExtent l="0" t="0" r="7620" b="1270"/>
            <wp:wrapNone/>
            <wp:docPr id="46385300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330" cy="17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88F65" w14:textId="77777777" w:rsidR="003A08A2" w:rsidRPr="001F31F1" w:rsidRDefault="003A08A2" w:rsidP="003A08A2">
      <w:pPr>
        <w:pStyle w:val="Body"/>
        <w:rPr>
          <w:rFonts w:ascii="Arial" w:hAnsi="Arial" w:cs="Arial"/>
        </w:rPr>
      </w:pPr>
    </w:p>
    <w:p w14:paraId="1401E2A5" w14:textId="77777777" w:rsidR="003A08A2" w:rsidRPr="001F31F1" w:rsidRDefault="003A08A2" w:rsidP="003A08A2">
      <w:pPr>
        <w:pStyle w:val="Body"/>
        <w:rPr>
          <w:rFonts w:ascii="Arial" w:hAnsi="Arial" w:cs="Arial"/>
        </w:rPr>
      </w:pPr>
    </w:p>
    <w:p w14:paraId="532B4661" w14:textId="10FF6BCB" w:rsidR="003A08A2" w:rsidRPr="001F31F1" w:rsidRDefault="005C10B9" w:rsidP="003A08A2">
      <w:pPr>
        <w:pStyle w:val="Body"/>
        <w:rPr>
          <w:rFonts w:ascii="Arial" w:hAnsi="Arial" w:cs="Arial"/>
        </w:rPr>
      </w:pPr>
      <w:r w:rsidRPr="001F31F1">
        <w:rPr>
          <w:rFonts w:ascii="Arial" w:hAnsi="Arial" w:cs="Arial"/>
        </w:rPr>
        <w:t>Figure 2: Subplot sampling method</w:t>
      </w:r>
    </w:p>
    <w:p w14:paraId="64C3A3D3" w14:textId="77777777" w:rsidR="005C10B9" w:rsidRPr="001F31F1" w:rsidRDefault="005C10B9" w:rsidP="005C10B9">
      <w:pPr>
        <w:pStyle w:val="Body"/>
        <w:rPr>
          <w:rFonts w:ascii="Arial" w:hAnsi="Arial" w:cs="Arial"/>
        </w:rPr>
      </w:pPr>
      <w:r w:rsidRPr="001F31F1">
        <w:rPr>
          <w:rFonts w:ascii="Arial" w:hAnsi="Arial" w:cs="Arial"/>
        </w:rPr>
        <w:t>Table 1 shows the physico-chemical parameters analyzed and the methods used.</w:t>
      </w:r>
    </w:p>
    <w:p w14:paraId="3C2B7486" w14:textId="4070B962" w:rsidR="003A08A2" w:rsidRPr="001F31F1" w:rsidRDefault="005C10B9" w:rsidP="005C10B9">
      <w:pPr>
        <w:pStyle w:val="Body"/>
        <w:rPr>
          <w:rFonts w:ascii="Arial" w:hAnsi="Arial" w:cs="Arial"/>
        </w:rPr>
      </w:pPr>
      <w:r w:rsidRPr="001F31F1">
        <w:rPr>
          <w:rFonts w:ascii="Arial" w:hAnsi="Arial" w:cs="Arial"/>
        </w:rPr>
        <w:t>Table 1. Summary of chemical parameters analyzed and methods used for analysis</w:t>
      </w:r>
    </w:p>
    <w:tbl>
      <w:tblPr>
        <w:tblW w:w="8398" w:type="dxa"/>
        <w:jc w:val="center"/>
        <w:tblLook w:val="04A0" w:firstRow="1" w:lastRow="0" w:firstColumn="1" w:lastColumn="0" w:noHBand="0" w:noVBand="1"/>
      </w:tblPr>
      <w:tblGrid>
        <w:gridCol w:w="4678"/>
        <w:gridCol w:w="3720"/>
      </w:tblGrid>
      <w:tr w:rsidR="00E61D32" w:rsidRPr="00E61D32" w14:paraId="201AD5E3" w14:textId="77777777" w:rsidTr="007E241F">
        <w:trPr>
          <w:trHeight w:val="293"/>
          <w:jc w:val="center"/>
        </w:trPr>
        <w:tc>
          <w:tcPr>
            <w:tcW w:w="4678" w:type="dxa"/>
            <w:tcBorders>
              <w:top w:val="single" w:sz="8" w:space="0" w:color="auto"/>
              <w:left w:val="nil"/>
              <w:bottom w:val="single" w:sz="8" w:space="0" w:color="auto"/>
              <w:right w:val="nil"/>
            </w:tcBorders>
            <w:shd w:val="clear" w:color="auto" w:fill="auto"/>
            <w:vAlign w:val="center"/>
            <w:hideMark/>
          </w:tcPr>
          <w:p w14:paraId="48560CDF" w14:textId="294336EC" w:rsidR="00E61D32" w:rsidRPr="00E61D32" w:rsidRDefault="003E3180" w:rsidP="00E61D32">
            <w:pPr>
              <w:spacing w:line="360" w:lineRule="auto"/>
              <w:jc w:val="both"/>
              <w:rPr>
                <w:rFonts w:ascii="Arial" w:hAnsi="Arial" w:cs="Arial"/>
                <w:b/>
                <w:bCs/>
                <w:color w:val="000000"/>
              </w:rPr>
            </w:pPr>
            <w:commentRangeStart w:id="12"/>
            <w:r w:rsidRPr="003E3180">
              <w:rPr>
                <w:rFonts w:ascii="Arial" w:hAnsi="Arial" w:cs="Arial"/>
                <w:b/>
                <w:bCs/>
                <w:color w:val="000000"/>
              </w:rPr>
              <w:lastRenderedPageBreak/>
              <w:t>Physico chemical parameter</w:t>
            </w:r>
            <w:commentRangeEnd w:id="12"/>
            <w:r w:rsidR="00134E89">
              <w:rPr>
                <w:rStyle w:val="CommentReference"/>
                <w:rFonts w:ascii="Times New Roman" w:hAnsi="Times New Roman"/>
                <w:lang w:val="nb-NO" w:eastAsia="nb-NO"/>
              </w:rPr>
              <w:commentReference w:id="12"/>
            </w:r>
          </w:p>
        </w:tc>
        <w:tc>
          <w:tcPr>
            <w:tcW w:w="3720" w:type="dxa"/>
            <w:tcBorders>
              <w:top w:val="single" w:sz="8" w:space="0" w:color="auto"/>
              <w:left w:val="nil"/>
              <w:bottom w:val="single" w:sz="8" w:space="0" w:color="auto"/>
              <w:right w:val="nil"/>
            </w:tcBorders>
            <w:shd w:val="clear" w:color="auto" w:fill="auto"/>
            <w:vAlign w:val="center"/>
            <w:hideMark/>
          </w:tcPr>
          <w:p w14:paraId="2838A4E6" w14:textId="5FA3B137" w:rsidR="00E61D32" w:rsidRPr="00E61D32" w:rsidRDefault="003E3180" w:rsidP="00E61D32">
            <w:pPr>
              <w:spacing w:line="360" w:lineRule="auto"/>
              <w:jc w:val="both"/>
              <w:rPr>
                <w:rFonts w:ascii="Arial" w:hAnsi="Arial" w:cs="Arial"/>
                <w:b/>
                <w:bCs/>
                <w:color w:val="000000"/>
              </w:rPr>
            </w:pPr>
            <w:r w:rsidRPr="003E3180">
              <w:rPr>
                <w:rFonts w:ascii="Arial" w:hAnsi="Arial" w:cs="Arial"/>
                <w:b/>
                <w:bCs/>
                <w:color w:val="000000"/>
              </w:rPr>
              <w:t>Analysis method</w:t>
            </w:r>
          </w:p>
        </w:tc>
      </w:tr>
      <w:tr w:rsidR="00E61D32" w:rsidRPr="00E61D32" w14:paraId="1D74C49A" w14:textId="77777777" w:rsidTr="007E241F">
        <w:trPr>
          <w:trHeight w:val="480"/>
          <w:jc w:val="center"/>
        </w:trPr>
        <w:tc>
          <w:tcPr>
            <w:tcW w:w="4678" w:type="dxa"/>
            <w:tcBorders>
              <w:top w:val="nil"/>
              <w:left w:val="nil"/>
              <w:bottom w:val="nil"/>
              <w:right w:val="nil"/>
            </w:tcBorders>
            <w:shd w:val="clear" w:color="auto" w:fill="auto"/>
            <w:vAlign w:val="center"/>
            <w:hideMark/>
          </w:tcPr>
          <w:p w14:paraId="408C2022" w14:textId="23905CDC" w:rsidR="00E61D32" w:rsidRPr="00E61D32" w:rsidRDefault="003E3180" w:rsidP="00E61D32">
            <w:pPr>
              <w:spacing w:line="360" w:lineRule="auto"/>
              <w:jc w:val="both"/>
              <w:rPr>
                <w:rFonts w:ascii="Arial" w:hAnsi="Arial" w:cs="Arial"/>
                <w:color w:val="000000"/>
              </w:rPr>
            </w:pPr>
            <w:r w:rsidRPr="003E3180">
              <w:rPr>
                <w:rFonts w:ascii="Arial" w:hAnsi="Arial" w:cs="Arial"/>
                <w:color w:val="000000"/>
              </w:rPr>
              <w:t>Granulometry five fractions</w:t>
            </w:r>
          </w:p>
        </w:tc>
        <w:tc>
          <w:tcPr>
            <w:tcW w:w="3720" w:type="dxa"/>
            <w:tcBorders>
              <w:top w:val="nil"/>
              <w:left w:val="nil"/>
              <w:bottom w:val="nil"/>
              <w:right w:val="nil"/>
            </w:tcBorders>
            <w:shd w:val="clear" w:color="auto" w:fill="auto"/>
            <w:vAlign w:val="center"/>
            <w:hideMark/>
          </w:tcPr>
          <w:p w14:paraId="5AB99ACE"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 </w:t>
            </w:r>
          </w:p>
        </w:tc>
      </w:tr>
      <w:tr w:rsidR="00E61D32" w:rsidRPr="00E61D32" w14:paraId="4C871F23" w14:textId="77777777" w:rsidTr="007E241F">
        <w:trPr>
          <w:trHeight w:val="480"/>
          <w:jc w:val="center"/>
        </w:trPr>
        <w:tc>
          <w:tcPr>
            <w:tcW w:w="4678" w:type="dxa"/>
            <w:tcBorders>
              <w:top w:val="nil"/>
              <w:left w:val="nil"/>
              <w:bottom w:val="nil"/>
              <w:right w:val="nil"/>
            </w:tcBorders>
            <w:shd w:val="clear" w:color="auto" w:fill="auto"/>
            <w:vAlign w:val="center"/>
            <w:hideMark/>
          </w:tcPr>
          <w:p w14:paraId="23A713C6"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pHeau</w:t>
            </w:r>
          </w:p>
        </w:tc>
        <w:tc>
          <w:tcPr>
            <w:tcW w:w="3720" w:type="dxa"/>
            <w:tcBorders>
              <w:top w:val="nil"/>
              <w:left w:val="nil"/>
              <w:bottom w:val="nil"/>
              <w:right w:val="nil"/>
            </w:tcBorders>
            <w:shd w:val="clear" w:color="auto" w:fill="auto"/>
            <w:vAlign w:val="center"/>
            <w:hideMark/>
          </w:tcPr>
          <w:p w14:paraId="5BAE65E0" w14:textId="290E7F3E" w:rsidR="00E61D32" w:rsidRPr="00E61D32" w:rsidRDefault="003E3180" w:rsidP="00E61D32">
            <w:pPr>
              <w:spacing w:line="360" w:lineRule="auto"/>
              <w:jc w:val="both"/>
              <w:rPr>
                <w:rFonts w:ascii="Arial" w:hAnsi="Arial" w:cs="Arial"/>
                <w:color w:val="000000"/>
              </w:rPr>
            </w:pPr>
            <w:r w:rsidRPr="003E3180">
              <w:rPr>
                <w:rFonts w:ascii="Arial" w:hAnsi="Arial" w:cs="Arial"/>
                <w:color w:val="000000"/>
              </w:rPr>
              <w:t>Potentiometric</w:t>
            </w:r>
            <w:r w:rsidR="00E61D32" w:rsidRPr="00E61D32">
              <w:rPr>
                <w:rFonts w:ascii="Arial" w:hAnsi="Arial" w:cs="Arial"/>
                <w:color w:val="000000"/>
              </w:rPr>
              <w:t xml:space="preserve"> (AFNOR, 1981).</w:t>
            </w:r>
          </w:p>
        </w:tc>
      </w:tr>
      <w:tr w:rsidR="00E61D32" w:rsidRPr="00E61D32" w14:paraId="38D0F895" w14:textId="77777777" w:rsidTr="007E241F">
        <w:trPr>
          <w:trHeight w:val="480"/>
          <w:jc w:val="center"/>
        </w:trPr>
        <w:tc>
          <w:tcPr>
            <w:tcW w:w="4678" w:type="dxa"/>
            <w:tcBorders>
              <w:top w:val="nil"/>
              <w:left w:val="nil"/>
              <w:bottom w:val="nil"/>
              <w:right w:val="nil"/>
            </w:tcBorders>
            <w:shd w:val="clear" w:color="auto" w:fill="auto"/>
            <w:vAlign w:val="center"/>
            <w:hideMark/>
          </w:tcPr>
          <w:p w14:paraId="76C2569B" w14:textId="0C1C00CF" w:rsidR="00E61D32" w:rsidRPr="00E61D32" w:rsidRDefault="00FE6D66" w:rsidP="00E61D32">
            <w:pPr>
              <w:spacing w:line="360" w:lineRule="auto"/>
              <w:jc w:val="both"/>
              <w:rPr>
                <w:rFonts w:ascii="Arial" w:hAnsi="Arial" w:cs="Arial"/>
                <w:color w:val="000000"/>
              </w:rPr>
            </w:pPr>
            <w:r w:rsidRPr="00FE6D66">
              <w:rPr>
                <w:rFonts w:ascii="Arial" w:hAnsi="Arial" w:cs="Arial"/>
                <w:color w:val="000000"/>
              </w:rPr>
              <w:t>Organic matter (OM)</w:t>
            </w:r>
          </w:p>
        </w:tc>
        <w:tc>
          <w:tcPr>
            <w:tcW w:w="3720" w:type="dxa"/>
            <w:tcBorders>
              <w:top w:val="nil"/>
              <w:left w:val="nil"/>
              <w:bottom w:val="nil"/>
              <w:right w:val="nil"/>
            </w:tcBorders>
            <w:shd w:val="clear" w:color="auto" w:fill="auto"/>
            <w:vAlign w:val="center"/>
            <w:hideMark/>
          </w:tcPr>
          <w:p w14:paraId="188170CC"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Walkley et Black (1934).</w:t>
            </w:r>
          </w:p>
        </w:tc>
      </w:tr>
      <w:tr w:rsidR="00E61D32" w:rsidRPr="00E61D32" w14:paraId="28ADBFA4" w14:textId="77777777" w:rsidTr="007E241F">
        <w:trPr>
          <w:trHeight w:val="480"/>
          <w:jc w:val="center"/>
        </w:trPr>
        <w:tc>
          <w:tcPr>
            <w:tcW w:w="4678" w:type="dxa"/>
            <w:tcBorders>
              <w:top w:val="nil"/>
              <w:left w:val="nil"/>
              <w:bottom w:val="nil"/>
              <w:right w:val="nil"/>
            </w:tcBorders>
            <w:shd w:val="clear" w:color="auto" w:fill="auto"/>
            <w:vAlign w:val="center"/>
            <w:hideMark/>
          </w:tcPr>
          <w:p w14:paraId="43DD47FE" w14:textId="6747740F" w:rsidR="00E61D32" w:rsidRPr="00E61D32" w:rsidRDefault="00FE6D66" w:rsidP="00E61D32">
            <w:pPr>
              <w:spacing w:line="360" w:lineRule="auto"/>
              <w:jc w:val="both"/>
              <w:rPr>
                <w:rFonts w:ascii="Arial" w:hAnsi="Arial" w:cs="Arial"/>
                <w:color w:val="000000"/>
              </w:rPr>
            </w:pPr>
            <w:r w:rsidRPr="00FE6D66">
              <w:rPr>
                <w:rFonts w:ascii="Arial" w:hAnsi="Arial" w:cs="Arial"/>
                <w:color w:val="000000"/>
              </w:rPr>
              <w:t>Cation exchange capacity (CEC)</w:t>
            </w:r>
          </w:p>
        </w:tc>
        <w:tc>
          <w:tcPr>
            <w:tcW w:w="3720" w:type="dxa"/>
            <w:tcBorders>
              <w:top w:val="nil"/>
              <w:left w:val="nil"/>
              <w:bottom w:val="nil"/>
              <w:right w:val="nil"/>
            </w:tcBorders>
            <w:shd w:val="clear" w:color="auto" w:fill="auto"/>
            <w:vAlign w:val="center"/>
            <w:hideMark/>
          </w:tcPr>
          <w:p w14:paraId="1B1FA947" w14:textId="77777777" w:rsidR="00E61D32" w:rsidRPr="00E61D32" w:rsidRDefault="00E61D32" w:rsidP="00E61D32">
            <w:pPr>
              <w:spacing w:line="360" w:lineRule="auto"/>
              <w:jc w:val="both"/>
              <w:rPr>
                <w:rFonts w:ascii="Arial" w:hAnsi="Arial" w:cs="Arial"/>
                <w:color w:val="000000"/>
              </w:rPr>
            </w:pPr>
            <w:r w:rsidRPr="00E61D32">
              <w:rPr>
                <w:rFonts w:ascii="Arial" w:eastAsia="Calibri" w:hAnsi="Arial" w:cs="Arial"/>
                <w:color w:val="000000"/>
              </w:rPr>
              <w:t>(METSON A.J ; 1956)</w:t>
            </w:r>
          </w:p>
        </w:tc>
      </w:tr>
      <w:tr w:rsidR="00E61D32" w:rsidRPr="00E61D32" w14:paraId="59F0EA12" w14:textId="77777777" w:rsidTr="007E241F">
        <w:trPr>
          <w:trHeight w:val="480"/>
          <w:jc w:val="center"/>
        </w:trPr>
        <w:tc>
          <w:tcPr>
            <w:tcW w:w="4678" w:type="dxa"/>
            <w:tcBorders>
              <w:top w:val="nil"/>
              <w:left w:val="nil"/>
              <w:bottom w:val="nil"/>
              <w:right w:val="nil"/>
            </w:tcBorders>
            <w:shd w:val="clear" w:color="auto" w:fill="auto"/>
            <w:vAlign w:val="center"/>
            <w:hideMark/>
          </w:tcPr>
          <w:p w14:paraId="2C9DCEEC" w14:textId="53C9CF5D" w:rsidR="00E61D32" w:rsidRPr="00E61D32" w:rsidRDefault="00FE6D66" w:rsidP="00E61D32">
            <w:pPr>
              <w:spacing w:line="360" w:lineRule="auto"/>
              <w:jc w:val="both"/>
              <w:rPr>
                <w:rFonts w:ascii="Arial" w:hAnsi="Arial" w:cs="Arial"/>
                <w:color w:val="000000"/>
              </w:rPr>
            </w:pPr>
            <w:r w:rsidRPr="00FE6D66">
              <w:rPr>
                <w:rFonts w:ascii="Arial" w:hAnsi="Arial" w:cs="Arial"/>
                <w:color w:val="000000"/>
              </w:rPr>
              <w:t>Exchangeable bases</w:t>
            </w:r>
          </w:p>
        </w:tc>
        <w:tc>
          <w:tcPr>
            <w:tcW w:w="3720" w:type="dxa"/>
            <w:tcBorders>
              <w:top w:val="nil"/>
              <w:left w:val="nil"/>
              <w:bottom w:val="nil"/>
              <w:right w:val="nil"/>
            </w:tcBorders>
            <w:shd w:val="clear" w:color="auto" w:fill="auto"/>
            <w:vAlign w:val="center"/>
            <w:hideMark/>
          </w:tcPr>
          <w:p w14:paraId="3D17ED21" w14:textId="77777777" w:rsidR="00E61D32" w:rsidRPr="00E61D32" w:rsidRDefault="00E61D32" w:rsidP="00E61D32">
            <w:pPr>
              <w:spacing w:line="360" w:lineRule="auto"/>
              <w:jc w:val="both"/>
              <w:rPr>
                <w:rFonts w:ascii="Arial" w:hAnsi="Arial" w:cs="Arial"/>
                <w:color w:val="000000"/>
              </w:rPr>
            </w:pPr>
            <w:r w:rsidRPr="00E61D32">
              <w:rPr>
                <w:rFonts w:ascii="Arial" w:eastAsia="Calibri" w:hAnsi="Arial" w:cs="Arial"/>
                <w:color w:val="000000"/>
              </w:rPr>
              <w:t>METSON A.J ; 1956</w:t>
            </w:r>
          </w:p>
        </w:tc>
      </w:tr>
      <w:tr w:rsidR="00E61D32" w:rsidRPr="00E61D32" w14:paraId="3C4141EF" w14:textId="77777777" w:rsidTr="007E241F">
        <w:trPr>
          <w:trHeight w:val="480"/>
          <w:jc w:val="center"/>
        </w:trPr>
        <w:tc>
          <w:tcPr>
            <w:tcW w:w="4678" w:type="dxa"/>
            <w:tcBorders>
              <w:top w:val="nil"/>
              <w:left w:val="nil"/>
              <w:bottom w:val="nil"/>
              <w:right w:val="nil"/>
            </w:tcBorders>
            <w:shd w:val="clear" w:color="auto" w:fill="auto"/>
            <w:vAlign w:val="center"/>
            <w:hideMark/>
          </w:tcPr>
          <w:p w14:paraId="0A50A1A3" w14:textId="73260D9A" w:rsidR="00E61D32" w:rsidRPr="00E61D32" w:rsidRDefault="00FE6D66" w:rsidP="00E61D32">
            <w:pPr>
              <w:spacing w:line="360" w:lineRule="auto"/>
              <w:jc w:val="both"/>
              <w:rPr>
                <w:rFonts w:ascii="Arial" w:hAnsi="Arial" w:cs="Arial"/>
                <w:color w:val="000000"/>
              </w:rPr>
            </w:pPr>
            <w:r w:rsidRPr="00FE6D66">
              <w:rPr>
                <w:rFonts w:ascii="Arial" w:hAnsi="Arial" w:cs="Arial"/>
                <w:color w:val="000000"/>
              </w:rPr>
              <w:t>Total nitrogen</w:t>
            </w:r>
          </w:p>
        </w:tc>
        <w:tc>
          <w:tcPr>
            <w:tcW w:w="3720" w:type="dxa"/>
            <w:tcBorders>
              <w:top w:val="nil"/>
              <w:left w:val="nil"/>
              <w:bottom w:val="nil"/>
              <w:right w:val="nil"/>
            </w:tcBorders>
            <w:shd w:val="clear" w:color="auto" w:fill="auto"/>
            <w:vAlign w:val="center"/>
            <w:hideMark/>
          </w:tcPr>
          <w:p w14:paraId="5255AFAC"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 xml:space="preserve">Hillebrand </w:t>
            </w:r>
            <w:r w:rsidRPr="00E61D32">
              <w:rPr>
                <w:rFonts w:ascii="Arial" w:hAnsi="Arial" w:cs="Arial"/>
                <w:i/>
                <w:iCs/>
                <w:color w:val="000000"/>
              </w:rPr>
              <w:t>et al</w:t>
            </w:r>
            <w:r w:rsidRPr="00E61D32">
              <w:rPr>
                <w:rFonts w:ascii="Arial" w:hAnsi="Arial" w:cs="Arial"/>
                <w:color w:val="000000"/>
              </w:rPr>
              <w:t>., 1953</w:t>
            </w:r>
          </w:p>
        </w:tc>
      </w:tr>
      <w:tr w:rsidR="00E61D32" w:rsidRPr="00E61D32" w14:paraId="28162BC3" w14:textId="77777777" w:rsidTr="007E241F">
        <w:trPr>
          <w:trHeight w:val="480"/>
          <w:jc w:val="center"/>
        </w:trPr>
        <w:tc>
          <w:tcPr>
            <w:tcW w:w="4678" w:type="dxa"/>
            <w:tcBorders>
              <w:top w:val="nil"/>
              <w:left w:val="nil"/>
              <w:bottom w:val="nil"/>
              <w:right w:val="nil"/>
            </w:tcBorders>
            <w:shd w:val="clear" w:color="auto" w:fill="auto"/>
            <w:vAlign w:val="center"/>
            <w:hideMark/>
          </w:tcPr>
          <w:p w14:paraId="2E8B4F9B" w14:textId="2AF0E01B" w:rsidR="00E61D32" w:rsidRPr="00E61D32" w:rsidRDefault="00FE6D66" w:rsidP="00FE6D66">
            <w:pPr>
              <w:spacing w:line="360" w:lineRule="auto"/>
              <w:jc w:val="both"/>
              <w:rPr>
                <w:rFonts w:ascii="Arial" w:hAnsi="Arial" w:cs="Arial"/>
                <w:color w:val="000000"/>
              </w:rPr>
            </w:pPr>
            <w:r>
              <w:rPr>
                <w:rFonts w:ascii="Arial" w:hAnsi="Arial" w:cs="Arial"/>
                <w:color w:val="000000"/>
              </w:rPr>
              <w:t>Total p</w:t>
            </w:r>
            <w:r w:rsidR="00E61D32" w:rsidRPr="00E61D32">
              <w:rPr>
                <w:rFonts w:ascii="Arial" w:hAnsi="Arial" w:cs="Arial"/>
                <w:color w:val="000000"/>
              </w:rPr>
              <w:t>hosphore</w:t>
            </w:r>
          </w:p>
        </w:tc>
        <w:tc>
          <w:tcPr>
            <w:tcW w:w="3720" w:type="dxa"/>
            <w:tcBorders>
              <w:top w:val="nil"/>
              <w:left w:val="nil"/>
              <w:bottom w:val="nil"/>
              <w:right w:val="nil"/>
            </w:tcBorders>
            <w:shd w:val="clear" w:color="auto" w:fill="auto"/>
            <w:vAlign w:val="center"/>
            <w:hideMark/>
          </w:tcPr>
          <w:p w14:paraId="3179C8B9"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 xml:space="preserve">Hillebrand </w:t>
            </w:r>
            <w:r w:rsidRPr="00E61D32">
              <w:rPr>
                <w:rFonts w:ascii="Arial" w:hAnsi="Arial" w:cs="Arial"/>
                <w:i/>
                <w:iCs/>
                <w:color w:val="000000"/>
              </w:rPr>
              <w:t>et al</w:t>
            </w:r>
            <w:r w:rsidRPr="00E61D32">
              <w:rPr>
                <w:rFonts w:ascii="Arial" w:hAnsi="Arial" w:cs="Arial"/>
                <w:color w:val="000000"/>
              </w:rPr>
              <w:t>., 1953</w:t>
            </w:r>
          </w:p>
        </w:tc>
      </w:tr>
      <w:tr w:rsidR="00E61D32" w:rsidRPr="00E61D32" w14:paraId="16D1D98C" w14:textId="77777777" w:rsidTr="007E241F">
        <w:trPr>
          <w:trHeight w:val="480"/>
          <w:jc w:val="center"/>
        </w:trPr>
        <w:tc>
          <w:tcPr>
            <w:tcW w:w="4678" w:type="dxa"/>
            <w:tcBorders>
              <w:top w:val="nil"/>
              <w:left w:val="nil"/>
              <w:bottom w:val="nil"/>
              <w:right w:val="nil"/>
            </w:tcBorders>
            <w:shd w:val="clear" w:color="auto" w:fill="auto"/>
            <w:vAlign w:val="center"/>
            <w:hideMark/>
          </w:tcPr>
          <w:p w14:paraId="7599A769" w14:textId="14AF73E4" w:rsidR="00E61D32" w:rsidRPr="00E61D32" w:rsidRDefault="00FE6D66" w:rsidP="00E61D32">
            <w:pPr>
              <w:spacing w:line="360" w:lineRule="auto"/>
              <w:jc w:val="both"/>
              <w:rPr>
                <w:rFonts w:ascii="Arial" w:hAnsi="Arial" w:cs="Arial"/>
                <w:color w:val="000000"/>
              </w:rPr>
            </w:pPr>
            <w:r>
              <w:rPr>
                <w:rFonts w:ascii="Arial" w:hAnsi="Arial" w:cs="Arial"/>
                <w:color w:val="000000"/>
              </w:rPr>
              <w:t>Total potassium</w:t>
            </w:r>
          </w:p>
        </w:tc>
        <w:tc>
          <w:tcPr>
            <w:tcW w:w="3720" w:type="dxa"/>
            <w:tcBorders>
              <w:top w:val="nil"/>
              <w:left w:val="nil"/>
              <w:bottom w:val="nil"/>
              <w:right w:val="nil"/>
            </w:tcBorders>
            <w:shd w:val="clear" w:color="auto" w:fill="auto"/>
            <w:vAlign w:val="center"/>
            <w:hideMark/>
          </w:tcPr>
          <w:p w14:paraId="22B8639A"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 xml:space="preserve">Hillebrand </w:t>
            </w:r>
            <w:r w:rsidRPr="00E61D32">
              <w:rPr>
                <w:rFonts w:ascii="Arial" w:hAnsi="Arial" w:cs="Arial"/>
                <w:i/>
                <w:iCs/>
                <w:color w:val="000000"/>
              </w:rPr>
              <w:t>et al</w:t>
            </w:r>
            <w:r w:rsidRPr="00E61D32">
              <w:rPr>
                <w:rFonts w:ascii="Arial" w:hAnsi="Arial" w:cs="Arial"/>
                <w:color w:val="000000"/>
              </w:rPr>
              <w:t>., 1953</w:t>
            </w:r>
          </w:p>
        </w:tc>
      </w:tr>
      <w:tr w:rsidR="00E61D32" w:rsidRPr="00E61D32" w14:paraId="51F7BD1C" w14:textId="77777777" w:rsidTr="007E241F">
        <w:trPr>
          <w:trHeight w:val="480"/>
          <w:jc w:val="center"/>
        </w:trPr>
        <w:tc>
          <w:tcPr>
            <w:tcW w:w="4678" w:type="dxa"/>
            <w:tcBorders>
              <w:top w:val="nil"/>
              <w:left w:val="nil"/>
              <w:bottom w:val="nil"/>
              <w:right w:val="nil"/>
            </w:tcBorders>
            <w:shd w:val="clear" w:color="auto" w:fill="auto"/>
            <w:vAlign w:val="center"/>
            <w:hideMark/>
          </w:tcPr>
          <w:p w14:paraId="0B939818" w14:textId="2CAD18A6" w:rsidR="00E61D32" w:rsidRPr="00FE6D66" w:rsidRDefault="00FE6D66" w:rsidP="00FE6D66">
            <w:pPr>
              <w:spacing w:before="100" w:beforeAutospacing="1" w:after="100" w:afterAutospacing="1"/>
              <w:rPr>
                <w:rFonts w:ascii="Arial" w:hAnsi="Arial" w:cs="Arial"/>
                <w:sz w:val="24"/>
                <w:szCs w:val="24"/>
                <w:lang w:val="fr-FR" w:eastAsia="fr-FR"/>
              </w:rPr>
            </w:pPr>
            <w:r w:rsidRPr="00FE6D66">
              <w:rPr>
                <w:rFonts w:ascii="Arial" w:hAnsi="Arial" w:cs="Arial"/>
                <w:szCs w:val="24"/>
                <w:lang w:val="fr-FR" w:eastAsia="fr-FR"/>
              </w:rPr>
              <w:t>Assimilable phosphorus</w:t>
            </w:r>
          </w:p>
        </w:tc>
        <w:tc>
          <w:tcPr>
            <w:tcW w:w="3720" w:type="dxa"/>
            <w:tcBorders>
              <w:top w:val="nil"/>
              <w:left w:val="nil"/>
              <w:bottom w:val="nil"/>
              <w:right w:val="nil"/>
            </w:tcBorders>
            <w:shd w:val="clear" w:color="auto" w:fill="auto"/>
            <w:vAlign w:val="center"/>
            <w:hideMark/>
          </w:tcPr>
          <w:p w14:paraId="383E8817"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Bray et Kurtz, 1945</w:t>
            </w:r>
          </w:p>
        </w:tc>
      </w:tr>
      <w:tr w:rsidR="00E61D32" w:rsidRPr="00E61D32" w14:paraId="5A7A18B4" w14:textId="77777777" w:rsidTr="007E241F">
        <w:trPr>
          <w:trHeight w:val="480"/>
          <w:jc w:val="center"/>
        </w:trPr>
        <w:tc>
          <w:tcPr>
            <w:tcW w:w="4678" w:type="dxa"/>
            <w:tcBorders>
              <w:top w:val="nil"/>
              <w:left w:val="nil"/>
              <w:bottom w:val="nil"/>
              <w:right w:val="nil"/>
            </w:tcBorders>
            <w:shd w:val="clear" w:color="auto" w:fill="auto"/>
            <w:vAlign w:val="center"/>
            <w:hideMark/>
          </w:tcPr>
          <w:p w14:paraId="281EC473" w14:textId="25F35C8E" w:rsidR="00E61D32" w:rsidRPr="00E61D32" w:rsidRDefault="005C10B9" w:rsidP="00E61D32">
            <w:pPr>
              <w:spacing w:line="360" w:lineRule="auto"/>
              <w:jc w:val="both"/>
              <w:rPr>
                <w:rFonts w:ascii="Arial" w:hAnsi="Arial" w:cs="Arial"/>
                <w:color w:val="000000"/>
              </w:rPr>
            </w:pPr>
            <w:r w:rsidRPr="005C10B9">
              <w:rPr>
                <w:rFonts w:ascii="Arial" w:hAnsi="Arial" w:cs="Arial"/>
                <w:color w:val="000000"/>
              </w:rPr>
              <w:t>Potassium available</w:t>
            </w:r>
          </w:p>
        </w:tc>
        <w:tc>
          <w:tcPr>
            <w:tcW w:w="3720" w:type="dxa"/>
            <w:tcBorders>
              <w:top w:val="nil"/>
              <w:left w:val="nil"/>
              <w:bottom w:val="nil"/>
              <w:right w:val="nil"/>
            </w:tcBorders>
            <w:shd w:val="clear" w:color="auto" w:fill="auto"/>
            <w:vAlign w:val="center"/>
            <w:hideMark/>
          </w:tcPr>
          <w:p w14:paraId="3F632B1F" w14:textId="77777777" w:rsidR="00E61D32" w:rsidRPr="00E61D32" w:rsidRDefault="00E61D32" w:rsidP="00E61D32">
            <w:pPr>
              <w:spacing w:line="360" w:lineRule="auto"/>
              <w:jc w:val="both"/>
              <w:rPr>
                <w:rFonts w:ascii="Arial" w:hAnsi="Arial" w:cs="Arial"/>
                <w:color w:val="000000"/>
              </w:rPr>
            </w:pPr>
            <w:r w:rsidRPr="00E61D32">
              <w:rPr>
                <w:rFonts w:ascii="Arial" w:eastAsia="Calibri" w:hAnsi="Arial" w:cs="Arial"/>
                <w:color w:val="000000"/>
              </w:rPr>
              <w:t xml:space="preserve">Walinga </w:t>
            </w:r>
            <w:r w:rsidRPr="00E61D32">
              <w:rPr>
                <w:rFonts w:ascii="Arial" w:eastAsia="Calibri" w:hAnsi="Arial" w:cs="Arial"/>
                <w:i/>
                <w:iCs/>
                <w:color w:val="000000"/>
              </w:rPr>
              <w:t>et al</w:t>
            </w:r>
            <w:r w:rsidRPr="00E61D32">
              <w:rPr>
                <w:rFonts w:ascii="Arial" w:eastAsia="Calibri" w:hAnsi="Arial" w:cs="Arial"/>
                <w:color w:val="000000"/>
              </w:rPr>
              <w:t>., 1989</w:t>
            </w:r>
          </w:p>
        </w:tc>
      </w:tr>
      <w:tr w:rsidR="00E61D32" w:rsidRPr="00E61D32" w14:paraId="1C0B9383" w14:textId="77777777" w:rsidTr="007E241F">
        <w:trPr>
          <w:trHeight w:val="480"/>
          <w:jc w:val="center"/>
        </w:trPr>
        <w:tc>
          <w:tcPr>
            <w:tcW w:w="4678" w:type="dxa"/>
            <w:tcBorders>
              <w:top w:val="nil"/>
              <w:left w:val="nil"/>
              <w:bottom w:val="nil"/>
              <w:right w:val="nil"/>
            </w:tcBorders>
            <w:shd w:val="clear" w:color="auto" w:fill="auto"/>
            <w:vAlign w:val="center"/>
            <w:hideMark/>
          </w:tcPr>
          <w:p w14:paraId="1912A66E" w14:textId="32666B5C" w:rsidR="00E61D32" w:rsidRPr="00E61D32" w:rsidRDefault="005C10B9" w:rsidP="00E61D32">
            <w:pPr>
              <w:spacing w:line="360" w:lineRule="auto"/>
              <w:jc w:val="both"/>
              <w:rPr>
                <w:rFonts w:ascii="Arial" w:hAnsi="Arial" w:cs="Arial"/>
                <w:color w:val="000000"/>
              </w:rPr>
            </w:pPr>
            <w:r w:rsidRPr="005C10B9">
              <w:rPr>
                <w:rFonts w:ascii="Arial" w:hAnsi="Arial" w:cs="Arial"/>
                <w:color w:val="000000"/>
              </w:rPr>
              <w:t>Cation exchange capacity</w:t>
            </w:r>
          </w:p>
        </w:tc>
        <w:tc>
          <w:tcPr>
            <w:tcW w:w="3720" w:type="dxa"/>
            <w:tcBorders>
              <w:top w:val="nil"/>
              <w:left w:val="nil"/>
              <w:bottom w:val="nil"/>
              <w:right w:val="nil"/>
            </w:tcBorders>
            <w:shd w:val="clear" w:color="auto" w:fill="auto"/>
            <w:vAlign w:val="center"/>
            <w:hideMark/>
          </w:tcPr>
          <w:p w14:paraId="7B879928" w14:textId="77777777" w:rsidR="00E61D32" w:rsidRPr="00E61D32" w:rsidRDefault="00E61D32" w:rsidP="00E61D32">
            <w:pPr>
              <w:spacing w:line="360" w:lineRule="auto"/>
              <w:jc w:val="both"/>
              <w:rPr>
                <w:rFonts w:ascii="Arial" w:hAnsi="Arial" w:cs="Arial"/>
                <w:color w:val="000000"/>
              </w:rPr>
            </w:pPr>
            <w:r w:rsidRPr="00E61D32">
              <w:rPr>
                <w:rFonts w:ascii="Arial" w:eastAsia="Calibri" w:hAnsi="Arial" w:cs="Arial"/>
                <w:color w:val="000000"/>
              </w:rPr>
              <w:t>METSON A.J ; 1956</w:t>
            </w:r>
          </w:p>
        </w:tc>
      </w:tr>
      <w:tr w:rsidR="00E61D32" w:rsidRPr="00E61D32" w14:paraId="77E10DAA" w14:textId="77777777" w:rsidTr="007E241F">
        <w:trPr>
          <w:trHeight w:val="480"/>
          <w:jc w:val="center"/>
        </w:trPr>
        <w:tc>
          <w:tcPr>
            <w:tcW w:w="4678" w:type="dxa"/>
            <w:tcBorders>
              <w:top w:val="nil"/>
              <w:left w:val="nil"/>
              <w:bottom w:val="nil"/>
              <w:right w:val="nil"/>
            </w:tcBorders>
            <w:shd w:val="clear" w:color="auto" w:fill="auto"/>
            <w:vAlign w:val="center"/>
            <w:hideMark/>
          </w:tcPr>
          <w:p w14:paraId="0326C55C" w14:textId="4531A37C" w:rsidR="00E61D32" w:rsidRPr="00E61D32" w:rsidRDefault="005C10B9" w:rsidP="00E61D32">
            <w:pPr>
              <w:spacing w:line="360" w:lineRule="auto"/>
              <w:jc w:val="both"/>
              <w:rPr>
                <w:rFonts w:ascii="Arial" w:hAnsi="Arial" w:cs="Arial"/>
                <w:color w:val="000000"/>
              </w:rPr>
            </w:pPr>
            <w:r w:rsidRPr="005C10B9">
              <w:rPr>
                <w:rFonts w:ascii="Arial" w:hAnsi="Arial" w:cs="Arial"/>
                <w:color w:val="000000"/>
              </w:rPr>
              <w:t>Saturation rate</w:t>
            </w:r>
          </w:p>
        </w:tc>
        <w:tc>
          <w:tcPr>
            <w:tcW w:w="3720" w:type="dxa"/>
            <w:tcBorders>
              <w:top w:val="nil"/>
              <w:left w:val="nil"/>
              <w:bottom w:val="nil"/>
              <w:right w:val="nil"/>
            </w:tcBorders>
            <w:shd w:val="clear" w:color="auto" w:fill="auto"/>
            <w:vAlign w:val="center"/>
            <w:hideMark/>
          </w:tcPr>
          <w:p w14:paraId="016E19D1" w14:textId="77777777" w:rsidR="00E61D32" w:rsidRPr="00E61D32" w:rsidRDefault="00E61D32" w:rsidP="00E61D32">
            <w:pPr>
              <w:spacing w:line="360" w:lineRule="auto"/>
              <w:jc w:val="both"/>
              <w:rPr>
                <w:rFonts w:ascii="Arial" w:hAnsi="Arial" w:cs="Arial"/>
                <w:color w:val="000000"/>
              </w:rPr>
            </w:pPr>
          </w:p>
        </w:tc>
      </w:tr>
      <w:tr w:rsidR="00E61D32" w:rsidRPr="00E61D32" w14:paraId="263F34C5" w14:textId="77777777" w:rsidTr="00E61D32">
        <w:trPr>
          <w:trHeight w:val="480"/>
          <w:jc w:val="center"/>
        </w:trPr>
        <w:tc>
          <w:tcPr>
            <w:tcW w:w="4678" w:type="dxa"/>
            <w:tcBorders>
              <w:top w:val="nil"/>
              <w:left w:val="nil"/>
              <w:right w:val="nil"/>
            </w:tcBorders>
            <w:shd w:val="clear" w:color="auto" w:fill="auto"/>
            <w:vAlign w:val="center"/>
            <w:hideMark/>
          </w:tcPr>
          <w:p w14:paraId="0FD62013" w14:textId="0142DD31" w:rsidR="00E61D32" w:rsidRPr="00E61D32" w:rsidRDefault="005C10B9" w:rsidP="00E61D32">
            <w:pPr>
              <w:spacing w:line="360" w:lineRule="auto"/>
              <w:jc w:val="both"/>
              <w:rPr>
                <w:rFonts w:ascii="Arial" w:hAnsi="Arial" w:cs="Arial"/>
                <w:color w:val="000000"/>
              </w:rPr>
            </w:pPr>
            <w:commentRangeStart w:id="13"/>
            <w:r w:rsidRPr="005C10B9">
              <w:rPr>
                <w:rFonts w:ascii="Arial" w:hAnsi="Arial" w:cs="Arial"/>
                <w:color w:val="000000"/>
              </w:rPr>
              <w:t>Soil breathing</w:t>
            </w:r>
            <w:commentRangeEnd w:id="13"/>
            <w:r w:rsidR="00875FB9">
              <w:rPr>
                <w:rStyle w:val="CommentReference"/>
                <w:rFonts w:ascii="Times New Roman" w:hAnsi="Times New Roman"/>
                <w:lang w:val="nb-NO" w:eastAsia="nb-NO"/>
              </w:rPr>
              <w:commentReference w:id="13"/>
            </w:r>
          </w:p>
        </w:tc>
        <w:tc>
          <w:tcPr>
            <w:tcW w:w="3720" w:type="dxa"/>
            <w:tcBorders>
              <w:top w:val="nil"/>
              <w:left w:val="nil"/>
              <w:right w:val="nil"/>
            </w:tcBorders>
            <w:shd w:val="clear" w:color="auto" w:fill="auto"/>
            <w:vAlign w:val="center"/>
            <w:hideMark/>
          </w:tcPr>
          <w:p w14:paraId="24994029"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Dommergue 1960</w:t>
            </w:r>
          </w:p>
        </w:tc>
      </w:tr>
      <w:tr w:rsidR="00E61D32" w:rsidRPr="00E61D32" w14:paraId="4CBAAA4E" w14:textId="77777777" w:rsidTr="00E61D32">
        <w:trPr>
          <w:trHeight w:val="480"/>
          <w:jc w:val="center"/>
        </w:trPr>
        <w:tc>
          <w:tcPr>
            <w:tcW w:w="4678" w:type="dxa"/>
            <w:tcBorders>
              <w:top w:val="nil"/>
              <w:left w:val="nil"/>
              <w:bottom w:val="single" w:sz="4" w:space="0" w:color="auto"/>
              <w:right w:val="nil"/>
            </w:tcBorders>
            <w:shd w:val="clear" w:color="auto" w:fill="auto"/>
            <w:vAlign w:val="center"/>
            <w:hideMark/>
          </w:tcPr>
          <w:p w14:paraId="61D8352B" w14:textId="0A563DA8" w:rsidR="00E61D32" w:rsidRPr="00E61D32" w:rsidRDefault="005C10B9" w:rsidP="00E61D32">
            <w:pPr>
              <w:spacing w:line="360" w:lineRule="auto"/>
              <w:jc w:val="both"/>
              <w:rPr>
                <w:rFonts w:ascii="Arial" w:hAnsi="Arial" w:cs="Arial"/>
                <w:color w:val="000000"/>
              </w:rPr>
            </w:pPr>
            <w:commentRangeStart w:id="14"/>
            <w:r w:rsidRPr="005C10B9">
              <w:rPr>
                <w:rFonts w:ascii="Arial" w:hAnsi="Arial" w:cs="Arial"/>
                <w:color w:val="000000"/>
              </w:rPr>
              <w:t>Pesticide extraction and detection</w:t>
            </w:r>
            <w:commentRangeEnd w:id="14"/>
            <w:r w:rsidR="00E12275">
              <w:rPr>
                <w:rStyle w:val="CommentReference"/>
                <w:rFonts w:ascii="Times New Roman" w:hAnsi="Times New Roman"/>
                <w:lang w:val="nb-NO" w:eastAsia="nb-NO"/>
              </w:rPr>
              <w:commentReference w:id="14"/>
            </w:r>
          </w:p>
        </w:tc>
        <w:tc>
          <w:tcPr>
            <w:tcW w:w="3720" w:type="dxa"/>
            <w:tcBorders>
              <w:top w:val="nil"/>
              <w:left w:val="nil"/>
              <w:bottom w:val="single" w:sz="4" w:space="0" w:color="auto"/>
              <w:right w:val="nil"/>
            </w:tcBorders>
            <w:shd w:val="clear" w:color="auto" w:fill="auto"/>
            <w:vAlign w:val="center"/>
            <w:hideMark/>
          </w:tcPr>
          <w:p w14:paraId="3E7C9707" w14:textId="77777777" w:rsidR="00E61D32" w:rsidRPr="00E61D32" w:rsidRDefault="00E61D32" w:rsidP="00E61D32">
            <w:pPr>
              <w:spacing w:line="360" w:lineRule="auto"/>
              <w:jc w:val="both"/>
              <w:rPr>
                <w:rFonts w:ascii="Arial" w:hAnsi="Arial" w:cs="Arial"/>
                <w:color w:val="000000"/>
              </w:rPr>
            </w:pPr>
            <w:r w:rsidRPr="00E61D32">
              <w:rPr>
                <w:rFonts w:ascii="Arial" w:hAnsi="Arial" w:cs="Arial"/>
                <w:color w:val="000000"/>
              </w:rPr>
              <w:t>QuEChERS NF 15662  GC-µECD</w:t>
            </w:r>
          </w:p>
        </w:tc>
      </w:tr>
    </w:tbl>
    <w:p w14:paraId="51DECEE4" w14:textId="73F840DD" w:rsidR="00636C24" w:rsidRDefault="003A08A2" w:rsidP="003A08A2">
      <w:pPr>
        <w:pStyle w:val="Body"/>
        <w:rPr>
          <w:rFonts w:ascii="Arial" w:hAnsi="Arial" w:cs="Arial"/>
          <w:lang w:val="fr-FR"/>
        </w:rPr>
      </w:pPr>
      <w:r w:rsidRPr="003A08A2">
        <w:rPr>
          <w:rFonts w:ascii="Arial" w:hAnsi="Arial" w:cs="Arial"/>
          <w:lang w:val="fr-FR"/>
        </w:rPr>
        <w:t> </w:t>
      </w:r>
      <w:r w:rsidR="00636C24">
        <w:rPr>
          <w:rFonts w:ascii="Arial" w:hAnsi="Arial" w:cs="Arial"/>
          <w:lang w:val="fr-FR"/>
        </w:rPr>
        <w:br w:type="page"/>
      </w:r>
    </w:p>
    <w:p w14:paraId="6BB3EB26" w14:textId="25873EA9" w:rsidR="003A08A2" w:rsidRPr="001F31F1" w:rsidRDefault="003A08A2" w:rsidP="00E61D32">
      <w:pPr>
        <w:pStyle w:val="Body"/>
        <w:jc w:val="left"/>
        <w:rPr>
          <w:rFonts w:ascii="Arial" w:hAnsi="Arial" w:cs="Arial"/>
          <w:b/>
          <w:bCs/>
          <w:sz w:val="22"/>
          <w:szCs w:val="22"/>
        </w:rPr>
      </w:pPr>
      <w:r w:rsidRPr="001F31F1">
        <w:rPr>
          <w:rFonts w:ascii="Arial" w:hAnsi="Arial" w:cs="Arial"/>
          <w:b/>
          <w:bCs/>
          <w:sz w:val="22"/>
          <w:szCs w:val="22"/>
        </w:rPr>
        <w:lastRenderedPageBreak/>
        <w:t xml:space="preserve"> 3. </w:t>
      </w:r>
      <w:r w:rsidR="00541FCD" w:rsidRPr="001F31F1">
        <w:rPr>
          <w:rFonts w:ascii="Arial" w:hAnsi="Arial" w:cs="Arial"/>
          <w:b/>
          <w:bCs/>
          <w:sz w:val="22"/>
          <w:szCs w:val="22"/>
        </w:rPr>
        <w:t>RESULTS AND DISCUSSION</w:t>
      </w:r>
    </w:p>
    <w:p w14:paraId="70510757" w14:textId="424F1C29" w:rsidR="003A08A2" w:rsidRPr="001F31F1" w:rsidRDefault="003A08A2" w:rsidP="00E61D32">
      <w:pPr>
        <w:pStyle w:val="Body"/>
        <w:jc w:val="left"/>
        <w:rPr>
          <w:rFonts w:ascii="Arial" w:hAnsi="Arial" w:cs="Arial"/>
          <w:b/>
          <w:bCs/>
          <w:sz w:val="22"/>
          <w:szCs w:val="22"/>
        </w:rPr>
      </w:pPr>
      <w:r w:rsidRPr="001F31F1">
        <w:rPr>
          <w:rFonts w:ascii="Arial" w:hAnsi="Arial" w:cs="Arial"/>
          <w:b/>
          <w:bCs/>
          <w:sz w:val="22"/>
          <w:szCs w:val="22"/>
        </w:rPr>
        <w:t xml:space="preserve">3.1 </w:t>
      </w:r>
      <w:r w:rsidR="00541FCD" w:rsidRPr="001F31F1">
        <w:rPr>
          <w:rFonts w:ascii="Arial" w:hAnsi="Arial" w:cs="Arial"/>
          <w:b/>
          <w:bCs/>
          <w:sz w:val="22"/>
          <w:szCs w:val="22"/>
        </w:rPr>
        <w:t>Results</w:t>
      </w:r>
    </w:p>
    <w:p w14:paraId="6F937C3B" w14:textId="18DB0D15" w:rsidR="003A08A2" w:rsidRPr="001F31F1" w:rsidRDefault="003A08A2" w:rsidP="003A08A2">
      <w:pPr>
        <w:pStyle w:val="Body"/>
        <w:rPr>
          <w:rFonts w:ascii="Arial" w:hAnsi="Arial" w:cs="Arial"/>
          <w:b/>
          <w:bCs/>
          <w:u w:val="single"/>
        </w:rPr>
      </w:pPr>
      <w:r w:rsidRPr="001F31F1">
        <w:rPr>
          <w:rFonts w:ascii="Arial" w:hAnsi="Arial" w:cs="Arial"/>
          <w:b/>
          <w:bCs/>
          <w:u w:val="single"/>
        </w:rPr>
        <w:t>3.1.</w:t>
      </w:r>
      <w:r w:rsidR="00E61D32" w:rsidRPr="001F31F1">
        <w:rPr>
          <w:rFonts w:ascii="Arial" w:hAnsi="Arial" w:cs="Arial"/>
          <w:b/>
          <w:bCs/>
          <w:u w:val="single"/>
        </w:rPr>
        <w:t>1</w:t>
      </w:r>
      <w:r w:rsidRPr="001F31F1">
        <w:rPr>
          <w:rFonts w:ascii="Arial" w:hAnsi="Arial" w:cs="Arial"/>
          <w:b/>
          <w:bCs/>
          <w:u w:val="single"/>
        </w:rPr>
        <w:t xml:space="preserve"> </w:t>
      </w:r>
      <w:r w:rsidR="00541FCD" w:rsidRPr="001F31F1">
        <w:rPr>
          <w:rFonts w:ascii="Arial" w:hAnsi="Arial" w:cs="Arial"/>
          <w:b/>
          <w:bCs/>
          <w:u w:val="single"/>
        </w:rPr>
        <w:t>Climate data</w:t>
      </w:r>
    </w:p>
    <w:p w14:paraId="081117D7" w14:textId="417B7749" w:rsidR="00541FCD" w:rsidRPr="001F31F1" w:rsidRDefault="00541FCD" w:rsidP="00541FCD">
      <w:pPr>
        <w:pStyle w:val="Body"/>
        <w:rPr>
          <w:rFonts w:ascii="Arial" w:hAnsi="Arial" w:cs="Arial"/>
        </w:rPr>
      </w:pPr>
      <w:r w:rsidRPr="001F31F1">
        <w:rPr>
          <w:rFonts w:ascii="Arial" w:hAnsi="Arial" w:cs="Arial"/>
        </w:rPr>
        <w:t xml:space="preserve">Figure 3 shows the monthly evolution of effective rainfall and evapotranspiration between May and October for the years 2023 (a) and 2024 (b). Analysis of the curves shows that in 2024, monthly evapotranspiration was 4% lower than effective rainfall, while in 2023, effective </w:t>
      </w:r>
      <w:r w:rsidR="00482F66" w:rsidRPr="001F31F1">
        <w:rPr>
          <w:rFonts w:ascii="Arial" w:hAnsi="Arial" w:cs="Arial"/>
        </w:rPr>
        <w:t>rain</w:t>
      </w:r>
      <w:r w:rsidRPr="001F31F1">
        <w:rPr>
          <w:rFonts w:ascii="Arial" w:hAnsi="Arial" w:cs="Arial"/>
        </w:rPr>
        <w:t xml:space="preserve"> was 48% lower than evapotranspiration. These results indicate that the period from May to October 2024 was characterized by higher humidity and relatively more moderate temperatures, compared to 2023.</w:t>
      </w:r>
    </w:p>
    <w:p w14:paraId="2CCD6A36" w14:textId="7D0588C8" w:rsidR="003A08A2" w:rsidRPr="001F31F1" w:rsidRDefault="00A15EEF" w:rsidP="003A08A2">
      <w:pPr>
        <w:pStyle w:val="Body"/>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120C77D7" wp14:editId="02A91E5A">
                <wp:simplePos x="0" y="0"/>
                <wp:positionH relativeFrom="margin">
                  <wp:posOffset>3853815</wp:posOffset>
                </wp:positionH>
                <wp:positionV relativeFrom="paragraph">
                  <wp:posOffset>473393</wp:posOffset>
                </wp:positionV>
                <wp:extent cx="418783" cy="233362"/>
                <wp:effectExtent l="0" t="0" r="635" b="0"/>
                <wp:wrapNone/>
                <wp:docPr id="915655367" name="Zone de texte 17"/>
                <wp:cNvGraphicFramePr/>
                <a:graphic xmlns:a="http://schemas.openxmlformats.org/drawingml/2006/main">
                  <a:graphicData uri="http://schemas.microsoft.com/office/word/2010/wordprocessingShape">
                    <wps:wsp>
                      <wps:cNvSpPr txBox="1"/>
                      <wps:spPr>
                        <a:xfrm>
                          <a:off x="0" y="0"/>
                          <a:ext cx="418783" cy="233362"/>
                        </a:xfrm>
                        <a:prstGeom prst="rect">
                          <a:avLst/>
                        </a:prstGeom>
                        <a:solidFill>
                          <a:schemeClr val="lt1"/>
                        </a:solidFill>
                        <a:ln w="6350">
                          <a:noFill/>
                        </a:ln>
                      </wps:spPr>
                      <wps:txbx>
                        <w:txbxContent>
                          <w:p w14:paraId="4AE21D81" w14:textId="13787517" w:rsidR="00A15EEF" w:rsidRDefault="00A15EEF">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0C77D7" id="Zone de texte 17" o:spid="_x0000_s1030" type="#_x0000_t202" style="position:absolute;left:0;text-align:left;margin-left:303.45pt;margin-top:37.3pt;width:33pt;height:18.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" fillcolor="white [3201]" stroked="f" strokeweight=".5pt">
                <v:textbox>
                  <w:txbxContent>
                    <w:p w14:paraId="4AE21D81" w14:textId="13787517" w:rsidR="00A15EEF" w:rsidRDefault="00A15EEF">
                      <w:r>
                        <w:t>(a)</w:t>
                      </w:r>
                    </w:p>
                  </w:txbxContent>
                </v:textbox>
                <w10:wrap anchorx="margin"/>
              </v:shape>
            </w:pict>
          </mc:Fallback>
        </mc:AlternateContent>
      </w:r>
      <w:r w:rsidR="00482F66" w:rsidRPr="001F31F1">
        <w:rPr>
          <w:rFonts w:ascii="Arial" w:hAnsi="Arial" w:cs="Arial"/>
        </w:rPr>
        <w:br w:type="textWrapping" w:clear="all"/>
      </w:r>
      <w:r>
        <w:rPr>
          <w:noProof/>
        </w:rPr>
        <w:drawing>
          <wp:inline distT="0" distB="0" distL="0" distR="0" wp14:anchorId="3910DA90" wp14:editId="65C1F2D7">
            <wp:extent cx="5238750" cy="2290762"/>
            <wp:effectExtent l="0" t="0" r="0" b="0"/>
            <wp:docPr id="1825917363" name="Graphique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A877345-E3BB-A568-CB56-377B481A24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F7062E5" w14:textId="4BB7A4EB" w:rsidR="003A08A2" w:rsidRPr="00BB1757" w:rsidRDefault="002A617C" w:rsidP="003A08A2">
      <w:pPr>
        <w:pStyle w:val="Body"/>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31D46518" wp14:editId="574BC056">
                <wp:simplePos x="0" y="0"/>
                <wp:positionH relativeFrom="column">
                  <wp:posOffset>3853498</wp:posOffset>
                </wp:positionH>
                <wp:positionV relativeFrom="paragraph">
                  <wp:posOffset>172403</wp:posOffset>
                </wp:positionV>
                <wp:extent cx="366712" cy="252413"/>
                <wp:effectExtent l="0" t="0" r="0" b="0"/>
                <wp:wrapNone/>
                <wp:docPr id="1685108212" name="Zone de texte 16"/>
                <wp:cNvGraphicFramePr/>
                <a:graphic xmlns:a="http://schemas.openxmlformats.org/drawingml/2006/main">
                  <a:graphicData uri="http://schemas.microsoft.com/office/word/2010/wordprocessingShape">
                    <wps:wsp>
                      <wps:cNvSpPr txBox="1"/>
                      <wps:spPr>
                        <a:xfrm>
                          <a:off x="0" y="0"/>
                          <a:ext cx="366712" cy="252413"/>
                        </a:xfrm>
                        <a:prstGeom prst="rect">
                          <a:avLst/>
                        </a:prstGeom>
                        <a:solidFill>
                          <a:schemeClr val="lt1"/>
                        </a:solidFill>
                        <a:ln w="6350">
                          <a:noFill/>
                        </a:ln>
                      </wps:spPr>
                      <wps:txbx>
                        <w:txbxContent>
                          <w:p w14:paraId="256E6279" w14:textId="2FE96ACE" w:rsidR="002A617C" w:rsidRDefault="002A617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D46518" id="Zone de texte 16" o:spid="_x0000_s1031" type="#_x0000_t202" style="position:absolute;left:0;text-align:left;margin-left:303.45pt;margin-top:13.6pt;width:28.8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" fillcolor="white [3201]" stroked="f" strokeweight=".5pt">
                <v:textbox>
                  <w:txbxContent>
                    <w:p w14:paraId="256E6279" w14:textId="2FE96ACE" w:rsidR="002A617C" w:rsidRDefault="002A617C">
                      <w:r>
                        <w:t>(b)</w:t>
                      </w:r>
                    </w:p>
                  </w:txbxContent>
                </v:textbox>
              </v:shape>
            </w:pict>
          </mc:Fallback>
        </mc:AlternateContent>
      </w:r>
      <w:r w:rsidR="003A08A2" w:rsidRPr="001F31F1">
        <w:rPr>
          <w:rFonts w:ascii="Arial" w:hAnsi="Arial" w:cs="Arial"/>
        </w:rPr>
        <w:t xml:space="preserve"> </w:t>
      </w:r>
      <w:r w:rsidR="00C51C55">
        <w:rPr>
          <w:noProof/>
        </w:rPr>
        <w:drawing>
          <wp:inline distT="0" distB="0" distL="0" distR="0" wp14:anchorId="465291FB" wp14:editId="5389F366">
            <wp:extent cx="4376737" cy="2154555"/>
            <wp:effectExtent l="0" t="0" r="5080" b="0"/>
            <wp:docPr id="1722314672" name="Graphique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38113E-94B7-70EA-74B9-F93D2005F5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B3549EF" w14:textId="77777777" w:rsidR="00B0113E" w:rsidRPr="001F31F1" w:rsidRDefault="00B0113E" w:rsidP="00977367">
      <w:pPr>
        <w:pStyle w:val="Body"/>
        <w:jc w:val="left"/>
        <w:rPr>
          <w:rFonts w:ascii="Arial" w:hAnsi="Arial" w:cs="Arial"/>
        </w:rPr>
      </w:pPr>
      <w:r w:rsidRPr="001F31F1">
        <w:rPr>
          <w:rFonts w:ascii="Arial" w:hAnsi="Arial" w:cs="Arial"/>
        </w:rPr>
        <w:t>Figure 3. Effective rainfall and monthly evapotranspiration in 2023 (a) and 2024 (b)</w:t>
      </w:r>
    </w:p>
    <w:p w14:paraId="1BA8B7B0" w14:textId="32E0FDFB" w:rsidR="003A08A2" w:rsidRPr="001F31F1" w:rsidRDefault="003A08A2" w:rsidP="00977367">
      <w:pPr>
        <w:pStyle w:val="Body"/>
        <w:jc w:val="left"/>
        <w:rPr>
          <w:rFonts w:ascii="Arial" w:hAnsi="Arial" w:cs="Arial"/>
          <w:b/>
          <w:bCs/>
          <w:u w:val="single"/>
        </w:rPr>
      </w:pPr>
      <w:r w:rsidRPr="001F31F1">
        <w:rPr>
          <w:rFonts w:ascii="Arial" w:hAnsi="Arial" w:cs="Arial"/>
          <w:b/>
          <w:bCs/>
          <w:u w:val="single"/>
        </w:rPr>
        <w:t xml:space="preserve">3.1.2. </w:t>
      </w:r>
      <w:r w:rsidR="00367B59" w:rsidRPr="001F31F1">
        <w:rPr>
          <w:rFonts w:ascii="Arial" w:hAnsi="Arial" w:cs="Arial"/>
          <w:b/>
          <w:bCs/>
          <w:u w:val="single"/>
        </w:rPr>
        <w:t>Effect of treatments on carbon and organic matter content</w:t>
      </w:r>
    </w:p>
    <w:p w14:paraId="79BBD089" w14:textId="77777777" w:rsidR="00367B59" w:rsidRPr="001F31F1" w:rsidRDefault="00367B59" w:rsidP="00367B59">
      <w:pPr>
        <w:pStyle w:val="Body"/>
        <w:rPr>
          <w:rFonts w:ascii="Arial" w:hAnsi="Arial" w:cs="Arial"/>
        </w:rPr>
      </w:pPr>
      <w:r w:rsidRPr="001F31F1">
        <w:rPr>
          <w:rFonts w:ascii="Arial" w:hAnsi="Arial" w:cs="Arial"/>
        </w:rPr>
        <w:t xml:space="preserve">Table 2 below shows the effects of the various treatments on carbon and OM content. The results show that the treatments only had a significant effect on carbon and OM levels in the </w:t>
      </w:r>
      <w:r w:rsidRPr="001F31F1">
        <w:rPr>
          <w:rFonts w:ascii="Arial" w:hAnsi="Arial" w:cs="Arial"/>
        </w:rPr>
        <w:lastRenderedPageBreak/>
        <w:t>second year. Furthermore, at each irrigation level D50%, D75%, D100%, the addition of compost at 10T/ha resulted in a significant increase in carbon and organic matter content of 43.79% and 23% respectively.  Moreover, an increase in carbon content was observed from one year to the next, even in plots treated without compost. These results suggest that the variability of carbon and OM levels depends on the time elapsed since compost application. Moreover, after two years of experimentation, the application of compost at 5 and 10 T/ha resulted in an increase in carbon and OM levels, irrespective of the irrigation rate applied. This increase was statistically greater in the plots amended at 10 T/ha.</w:t>
      </w:r>
    </w:p>
    <w:p w14:paraId="353C1DAB" w14:textId="77777777" w:rsidR="00367B59" w:rsidRDefault="00367B59" w:rsidP="00367B59">
      <w:pPr>
        <w:pStyle w:val="Body"/>
        <w:rPr>
          <w:rFonts w:ascii="Arial" w:hAnsi="Arial" w:cs="Arial"/>
        </w:rPr>
      </w:pPr>
    </w:p>
    <w:p w14:paraId="38C878E9" w14:textId="77777777" w:rsidR="00D008D0" w:rsidRDefault="00D008D0" w:rsidP="00367B59">
      <w:pPr>
        <w:pStyle w:val="Body"/>
        <w:rPr>
          <w:rFonts w:ascii="Arial" w:hAnsi="Arial" w:cs="Arial"/>
        </w:rPr>
      </w:pPr>
    </w:p>
    <w:p w14:paraId="5955201E" w14:textId="77777777" w:rsidR="00D008D0" w:rsidRDefault="00D008D0" w:rsidP="00367B59">
      <w:pPr>
        <w:pStyle w:val="Body"/>
        <w:rPr>
          <w:rFonts w:ascii="Arial" w:hAnsi="Arial" w:cs="Arial"/>
        </w:rPr>
      </w:pPr>
    </w:p>
    <w:p w14:paraId="645E3160" w14:textId="77777777" w:rsidR="00D008D0" w:rsidRPr="001F31F1" w:rsidRDefault="00D008D0" w:rsidP="00367B59">
      <w:pPr>
        <w:pStyle w:val="Body"/>
        <w:rPr>
          <w:rFonts w:ascii="Arial" w:hAnsi="Arial" w:cs="Arial"/>
        </w:rPr>
      </w:pPr>
    </w:p>
    <w:p w14:paraId="56296F25" w14:textId="3BF6DE5D" w:rsidR="003A08A2" w:rsidRDefault="00367B59" w:rsidP="003A08A2">
      <w:pPr>
        <w:pStyle w:val="Body"/>
        <w:rPr>
          <w:rFonts w:ascii="Arial" w:hAnsi="Arial" w:cs="Arial"/>
        </w:rPr>
      </w:pPr>
      <w:r w:rsidRPr="001F31F1">
        <w:rPr>
          <w:rFonts w:ascii="Arial" w:hAnsi="Arial" w:cs="Arial"/>
        </w:rPr>
        <w:t>Table 2. Effect of treatments on carbon and organic matter content (%)</w:t>
      </w:r>
    </w:p>
    <w:tbl>
      <w:tblPr>
        <w:tblW w:w="6245" w:type="dxa"/>
        <w:tblLook w:val="04A0" w:firstRow="1" w:lastRow="0" w:firstColumn="1" w:lastColumn="0" w:noHBand="0" w:noVBand="1"/>
      </w:tblPr>
      <w:tblGrid>
        <w:gridCol w:w="1543"/>
        <w:gridCol w:w="1105"/>
        <w:gridCol w:w="1327"/>
        <w:gridCol w:w="1105"/>
        <w:gridCol w:w="1327"/>
      </w:tblGrid>
      <w:tr w:rsidR="00D008D0" w:rsidRPr="00D008D0" w14:paraId="48D2BA7C" w14:textId="77777777" w:rsidTr="00D008D0">
        <w:trPr>
          <w:trHeight w:val="397"/>
        </w:trPr>
        <w:tc>
          <w:tcPr>
            <w:tcW w:w="1295" w:type="dxa"/>
            <w:tcBorders>
              <w:top w:val="single" w:sz="8" w:space="0" w:color="000000"/>
              <w:left w:val="nil"/>
              <w:bottom w:val="single" w:sz="8" w:space="0" w:color="000000"/>
              <w:right w:val="nil"/>
            </w:tcBorders>
            <w:shd w:val="clear" w:color="auto" w:fill="auto"/>
            <w:vAlign w:val="bottom"/>
            <w:hideMark/>
          </w:tcPr>
          <w:p w14:paraId="4F4A075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Treatments</w:t>
            </w:r>
          </w:p>
        </w:tc>
        <w:tc>
          <w:tcPr>
            <w:tcW w:w="1110" w:type="dxa"/>
            <w:tcBorders>
              <w:top w:val="single" w:sz="8" w:space="0" w:color="000000"/>
              <w:left w:val="nil"/>
              <w:bottom w:val="single" w:sz="8" w:space="0" w:color="000000"/>
              <w:right w:val="nil"/>
            </w:tcBorders>
            <w:shd w:val="clear" w:color="auto" w:fill="auto"/>
            <w:vAlign w:val="bottom"/>
            <w:hideMark/>
          </w:tcPr>
          <w:p w14:paraId="6608C48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C-2023</w:t>
            </w:r>
          </w:p>
        </w:tc>
        <w:tc>
          <w:tcPr>
            <w:tcW w:w="1327" w:type="dxa"/>
            <w:tcBorders>
              <w:top w:val="single" w:sz="8" w:space="0" w:color="000000"/>
              <w:left w:val="nil"/>
              <w:bottom w:val="single" w:sz="8" w:space="0" w:color="000000"/>
              <w:right w:val="nil"/>
            </w:tcBorders>
            <w:shd w:val="clear" w:color="auto" w:fill="auto"/>
            <w:vAlign w:val="bottom"/>
            <w:hideMark/>
          </w:tcPr>
          <w:p w14:paraId="7968A87D" w14:textId="77777777" w:rsidR="00D008D0" w:rsidRPr="00D008D0" w:rsidRDefault="00D008D0" w:rsidP="00D008D0">
            <w:pPr>
              <w:jc w:val="both"/>
              <w:rPr>
                <w:rFonts w:ascii="Arial" w:hAnsi="Arial" w:cs="Arial"/>
                <w:color w:val="000000"/>
              </w:rPr>
            </w:pPr>
            <w:r w:rsidRPr="00D008D0">
              <w:rPr>
                <w:rFonts w:ascii="Arial" w:hAnsi="Arial" w:cs="Arial"/>
                <w:color w:val="000000"/>
              </w:rPr>
              <w:t>C-2024</w:t>
            </w:r>
          </w:p>
        </w:tc>
        <w:tc>
          <w:tcPr>
            <w:tcW w:w="1186" w:type="dxa"/>
            <w:tcBorders>
              <w:top w:val="single" w:sz="8" w:space="0" w:color="000000"/>
              <w:left w:val="nil"/>
              <w:bottom w:val="single" w:sz="8" w:space="0" w:color="000000"/>
              <w:right w:val="nil"/>
            </w:tcBorders>
            <w:shd w:val="clear" w:color="auto" w:fill="auto"/>
            <w:vAlign w:val="bottom"/>
            <w:hideMark/>
          </w:tcPr>
          <w:p w14:paraId="3F14B2C1" w14:textId="77777777" w:rsidR="00D008D0" w:rsidRPr="00D008D0" w:rsidRDefault="00D008D0" w:rsidP="00D008D0">
            <w:pPr>
              <w:jc w:val="both"/>
              <w:rPr>
                <w:rFonts w:ascii="Arial" w:hAnsi="Arial" w:cs="Arial"/>
                <w:color w:val="000000"/>
              </w:rPr>
            </w:pPr>
            <w:commentRangeStart w:id="15"/>
            <w:r w:rsidRPr="00D008D0">
              <w:rPr>
                <w:rFonts w:ascii="Arial" w:hAnsi="Arial" w:cs="Arial"/>
                <w:color w:val="000000"/>
                <w:kern w:val="24"/>
              </w:rPr>
              <w:t>MO-2023</w:t>
            </w:r>
          </w:p>
        </w:tc>
        <w:tc>
          <w:tcPr>
            <w:tcW w:w="1327" w:type="dxa"/>
            <w:tcBorders>
              <w:top w:val="single" w:sz="8" w:space="0" w:color="000000"/>
              <w:left w:val="nil"/>
              <w:bottom w:val="single" w:sz="8" w:space="0" w:color="000000"/>
              <w:right w:val="nil"/>
            </w:tcBorders>
            <w:shd w:val="clear" w:color="auto" w:fill="auto"/>
            <w:vAlign w:val="bottom"/>
            <w:hideMark/>
          </w:tcPr>
          <w:p w14:paraId="181A6CF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MO-2024</w:t>
            </w:r>
            <w:commentRangeEnd w:id="15"/>
            <w:r w:rsidR="00C44B90">
              <w:rPr>
                <w:rStyle w:val="CommentReference"/>
                <w:rFonts w:ascii="Times New Roman" w:hAnsi="Times New Roman"/>
                <w:lang w:val="nb-NO" w:eastAsia="nb-NO"/>
              </w:rPr>
              <w:commentReference w:id="15"/>
            </w:r>
          </w:p>
        </w:tc>
      </w:tr>
      <w:tr w:rsidR="00D008D0" w:rsidRPr="00D008D0" w14:paraId="5034A37F" w14:textId="77777777" w:rsidTr="00D008D0">
        <w:trPr>
          <w:trHeight w:val="397"/>
        </w:trPr>
        <w:tc>
          <w:tcPr>
            <w:tcW w:w="1295" w:type="dxa"/>
            <w:tcBorders>
              <w:top w:val="nil"/>
              <w:left w:val="nil"/>
              <w:bottom w:val="nil"/>
              <w:right w:val="nil"/>
            </w:tcBorders>
            <w:shd w:val="clear" w:color="auto" w:fill="auto"/>
            <w:vAlign w:val="center"/>
            <w:hideMark/>
          </w:tcPr>
          <w:p w14:paraId="57490BD3" w14:textId="77777777" w:rsidR="00D008D0" w:rsidRPr="00D008D0" w:rsidRDefault="00D008D0" w:rsidP="00D008D0">
            <w:pPr>
              <w:rPr>
                <w:rFonts w:ascii="Arial" w:hAnsi="Arial" w:cs="Arial"/>
                <w:color w:val="000000"/>
              </w:rPr>
            </w:pPr>
            <w:r w:rsidRPr="00D008D0">
              <w:rPr>
                <w:rFonts w:ascii="Arial" w:hAnsi="Arial" w:cs="Arial"/>
                <w:color w:val="000000"/>
                <w:lang w:val="fr-FR"/>
              </w:rPr>
              <w:t>Witness</w:t>
            </w:r>
          </w:p>
        </w:tc>
        <w:tc>
          <w:tcPr>
            <w:tcW w:w="1110" w:type="dxa"/>
            <w:tcBorders>
              <w:top w:val="nil"/>
              <w:left w:val="nil"/>
              <w:bottom w:val="nil"/>
              <w:right w:val="nil"/>
            </w:tcBorders>
            <w:shd w:val="clear" w:color="auto" w:fill="auto"/>
            <w:vAlign w:val="bottom"/>
            <w:hideMark/>
          </w:tcPr>
          <w:p w14:paraId="28578342"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0.68±0.05</w:t>
            </w:r>
          </w:p>
        </w:tc>
        <w:tc>
          <w:tcPr>
            <w:tcW w:w="1327" w:type="dxa"/>
            <w:tcBorders>
              <w:top w:val="nil"/>
              <w:left w:val="nil"/>
              <w:bottom w:val="nil"/>
              <w:right w:val="nil"/>
            </w:tcBorders>
            <w:shd w:val="clear" w:color="auto" w:fill="auto"/>
            <w:vAlign w:val="bottom"/>
            <w:hideMark/>
          </w:tcPr>
          <w:p w14:paraId="40533A2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0.68±0.05b</w:t>
            </w:r>
          </w:p>
        </w:tc>
        <w:tc>
          <w:tcPr>
            <w:tcW w:w="1186" w:type="dxa"/>
            <w:tcBorders>
              <w:top w:val="nil"/>
              <w:left w:val="nil"/>
              <w:bottom w:val="nil"/>
              <w:right w:val="nil"/>
            </w:tcBorders>
            <w:shd w:val="clear" w:color="auto" w:fill="auto"/>
            <w:vAlign w:val="bottom"/>
            <w:hideMark/>
          </w:tcPr>
          <w:p w14:paraId="53EA55A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1.16±0.08</w:t>
            </w:r>
          </w:p>
        </w:tc>
        <w:tc>
          <w:tcPr>
            <w:tcW w:w="1327" w:type="dxa"/>
            <w:tcBorders>
              <w:top w:val="nil"/>
              <w:left w:val="nil"/>
              <w:bottom w:val="nil"/>
              <w:right w:val="nil"/>
            </w:tcBorders>
            <w:shd w:val="clear" w:color="auto" w:fill="auto"/>
            <w:vAlign w:val="bottom"/>
            <w:hideMark/>
          </w:tcPr>
          <w:p w14:paraId="5FE430E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1.16±0.08b</w:t>
            </w:r>
          </w:p>
        </w:tc>
      </w:tr>
      <w:tr w:rsidR="00D008D0" w:rsidRPr="00D008D0" w14:paraId="7E3D7D7A" w14:textId="77777777" w:rsidTr="00D008D0">
        <w:trPr>
          <w:trHeight w:val="397"/>
        </w:trPr>
        <w:tc>
          <w:tcPr>
            <w:tcW w:w="1295" w:type="dxa"/>
            <w:tcBorders>
              <w:top w:val="nil"/>
              <w:left w:val="nil"/>
              <w:bottom w:val="nil"/>
              <w:right w:val="nil"/>
            </w:tcBorders>
            <w:shd w:val="clear" w:color="auto" w:fill="auto"/>
            <w:vAlign w:val="bottom"/>
            <w:hideMark/>
          </w:tcPr>
          <w:p w14:paraId="0E7124F8" w14:textId="77777777" w:rsidR="00D008D0" w:rsidRPr="00D008D0" w:rsidRDefault="00D008D0" w:rsidP="00D008D0">
            <w:pPr>
              <w:jc w:val="both"/>
              <w:rPr>
                <w:rFonts w:ascii="Arial" w:hAnsi="Arial" w:cs="Arial"/>
                <w:color w:val="000000"/>
              </w:rPr>
            </w:pPr>
            <w:commentRangeStart w:id="16"/>
            <w:r w:rsidRPr="00D008D0">
              <w:rPr>
                <w:rFonts w:ascii="Arial" w:hAnsi="Arial" w:cs="Arial"/>
                <w:color w:val="000000"/>
                <w:kern w:val="24"/>
              </w:rPr>
              <w:t>C10+D100</w:t>
            </w:r>
            <w:commentRangeEnd w:id="16"/>
            <w:r w:rsidR="00965CC6">
              <w:rPr>
                <w:rStyle w:val="CommentReference"/>
                <w:rFonts w:ascii="Times New Roman" w:hAnsi="Times New Roman"/>
                <w:lang w:val="nb-NO" w:eastAsia="nb-NO"/>
              </w:rPr>
              <w:commentReference w:id="16"/>
            </w:r>
          </w:p>
        </w:tc>
        <w:tc>
          <w:tcPr>
            <w:tcW w:w="1110" w:type="dxa"/>
            <w:tcBorders>
              <w:top w:val="nil"/>
              <w:left w:val="nil"/>
              <w:bottom w:val="nil"/>
              <w:right w:val="nil"/>
            </w:tcBorders>
            <w:shd w:val="clear" w:color="auto" w:fill="auto"/>
            <w:vAlign w:val="bottom"/>
            <w:hideMark/>
          </w:tcPr>
          <w:p w14:paraId="25A3EBC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0.7±0.06</w:t>
            </w:r>
          </w:p>
        </w:tc>
        <w:tc>
          <w:tcPr>
            <w:tcW w:w="1327" w:type="dxa"/>
            <w:tcBorders>
              <w:top w:val="nil"/>
              <w:left w:val="nil"/>
              <w:bottom w:val="nil"/>
              <w:right w:val="nil"/>
            </w:tcBorders>
            <w:shd w:val="clear" w:color="auto" w:fill="auto"/>
            <w:vAlign w:val="bottom"/>
            <w:hideMark/>
          </w:tcPr>
          <w:p w14:paraId="1C99E9A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1.09±0.12ab</w:t>
            </w:r>
          </w:p>
        </w:tc>
        <w:tc>
          <w:tcPr>
            <w:tcW w:w="1186" w:type="dxa"/>
            <w:tcBorders>
              <w:top w:val="nil"/>
              <w:left w:val="nil"/>
              <w:bottom w:val="nil"/>
              <w:right w:val="nil"/>
            </w:tcBorders>
            <w:shd w:val="clear" w:color="auto" w:fill="auto"/>
            <w:vAlign w:val="bottom"/>
            <w:hideMark/>
          </w:tcPr>
          <w:p w14:paraId="57A628E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1.2±0.1</w:t>
            </w:r>
          </w:p>
        </w:tc>
        <w:tc>
          <w:tcPr>
            <w:tcW w:w="1327" w:type="dxa"/>
            <w:tcBorders>
              <w:top w:val="nil"/>
              <w:left w:val="nil"/>
              <w:bottom w:val="nil"/>
              <w:right w:val="nil"/>
            </w:tcBorders>
            <w:shd w:val="clear" w:color="auto" w:fill="auto"/>
            <w:vAlign w:val="bottom"/>
            <w:hideMark/>
          </w:tcPr>
          <w:p w14:paraId="1C7CE3D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1.88±0.21ab</w:t>
            </w:r>
          </w:p>
        </w:tc>
      </w:tr>
      <w:tr w:rsidR="00D008D0" w:rsidRPr="00D008D0" w14:paraId="740E079D" w14:textId="77777777" w:rsidTr="00D008D0">
        <w:trPr>
          <w:trHeight w:val="397"/>
        </w:trPr>
        <w:tc>
          <w:tcPr>
            <w:tcW w:w="1295" w:type="dxa"/>
            <w:tcBorders>
              <w:top w:val="nil"/>
              <w:left w:val="nil"/>
              <w:bottom w:val="nil"/>
              <w:right w:val="nil"/>
            </w:tcBorders>
            <w:shd w:val="clear" w:color="auto" w:fill="auto"/>
            <w:vAlign w:val="bottom"/>
            <w:hideMark/>
          </w:tcPr>
          <w:p w14:paraId="1803B16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C5+D100</w:t>
            </w:r>
          </w:p>
        </w:tc>
        <w:tc>
          <w:tcPr>
            <w:tcW w:w="1110" w:type="dxa"/>
            <w:tcBorders>
              <w:top w:val="nil"/>
              <w:left w:val="nil"/>
              <w:bottom w:val="nil"/>
              <w:right w:val="nil"/>
            </w:tcBorders>
            <w:shd w:val="clear" w:color="auto" w:fill="auto"/>
            <w:vAlign w:val="bottom"/>
            <w:hideMark/>
          </w:tcPr>
          <w:p w14:paraId="60B873A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0.63±0.07</w:t>
            </w:r>
          </w:p>
        </w:tc>
        <w:tc>
          <w:tcPr>
            <w:tcW w:w="1327" w:type="dxa"/>
            <w:tcBorders>
              <w:top w:val="nil"/>
              <w:left w:val="nil"/>
              <w:bottom w:val="nil"/>
              <w:right w:val="nil"/>
            </w:tcBorders>
            <w:shd w:val="clear" w:color="auto" w:fill="auto"/>
            <w:vAlign w:val="bottom"/>
            <w:hideMark/>
          </w:tcPr>
          <w:p w14:paraId="1F3AE92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1.59±0.2a</w:t>
            </w:r>
          </w:p>
        </w:tc>
        <w:tc>
          <w:tcPr>
            <w:tcW w:w="1186" w:type="dxa"/>
            <w:tcBorders>
              <w:top w:val="nil"/>
              <w:left w:val="nil"/>
              <w:bottom w:val="nil"/>
              <w:right w:val="nil"/>
            </w:tcBorders>
            <w:shd w:val="clear" w:color="auto" w:fill="auto"/>
            <w:vAlign w:val="bottom"/>
            <w:hideMark/>
          </w:tcPr>
          <w:p w14:paraId="32102CB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1.08±0.11</w:t>
            </w:r>
          </w:p>
        </w:tc>
        <w:tc>
          <w:tcPr>
            <w:tcW w:w="1327" w:type="dxa"/>
            <w:tcBorders>
              <w:top w:val="nil"/>
              <w:left w:val="nil"/>
              <w:bottom w:val="nil"/>
              <w:right w:val="nil"/>
            </w:tcBorders>
            <w:shd w:val="clear" w:color="auto" w:fill="auto"/>
            <w:vAlign w:val="bottom"/>
            <w:hideMark/>
          </w:tcPr>
          <w:p w14:paraId="318FC89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2.74±0.35a</w:t>
            </w:r>
          </w:p>
        </w:tc>
      </w:tr>
      <w:tr w:rsidR="00D008D0" w:rsidRPr="00D008D0" w14:paraId="43BC4417" w14:textId="77777777" w:rsidTr="00D008D0">
        <w:trPr>
          <w:trHeight w:val="397"/>
        </w:trPr>
        <w:tc>
          <w:tcPr>
            <w:tcW w:w="1295" w:type="dxa"/>
            <w:tcBorders>
              <w:top w:val="nil"/>
              <w:left w:val="nil"/>
              <w:bottom w:val="nil"/>
              <w:right w:val="nil"/>
            </w:tcBorders>
            <w:shd w:val="clear" w:color="auto" w:fill="auto"/>
            <w:vAlign w:val="bottom"/>
            <w:hideMark/>
          </w:tcPr>
          <w:p w14:paraId="594700E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C0+D100</w:t>
            </w:r>
          </w:p>
        </w:tc>
        <w:tc>
          <w:tcPr>
            <w:tcW w:w="1110" w:type="dxa"/>
            <w:tcBorders>
              <w:top w:val="nil"/>
              <w:left w:val="nil"/>
              <w:bottom w:val="nil"/>
              <w:right w:val="nil"/>
            </w:tcBorders>
            <w:shd w:val="clear" w:color="auto" w:fill="auto"/>
            <w:vAlign w:val="bottom"/>
            <w:hideMark/>
          </w:tcPr>
          <w:p w14:paraId="13FB7DB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0.55±0.05</w:t>
            </w:r>
          </w:p>
        </w:tc>
        <w:tc>
          <w:tcPr>
            <w:tcW w:w="1327" w:type="dxa"/>
            <w:tcBorders>
              <w:top w:val="nil"/>
              <w:left w:val="nil"/>
              <w:bottom w:val="nil"/>
              <w:right w:val="nil"/>
            </w:tcBorders>
            <w:shd w:val="clear" w:color="auto" w:fill="auto"/>
            <w:vAlign w:val="bottom"/>
            <w:hideMark/>
          </w:tcPr>
          <w:p w14:paraId="32125B0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0.88±0.04ab</w:t>
            </w:r>
          </w:p>
        </w:tc>
        <w:tc>
          <w:tcPr>
            <w:tcW w:w="1186" w:type="dxa"/>
            <w:tcBorders>
              <w:top w:val="nil"/>
              <w:left w:val="nil"/>
              <w:bottom w:val="nil"/>
              <w:right w:val="nil"/>
            </w:tcBorders>
            <w:shd w:val="clear" w:color="auto" w:fill="auto"/>
            <w:vAlign w:val="bottom"/>
            <w:hideMark/>
          </w:tcPr>
          <w:p w14:paraId="053ADFF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0.95±0.09</w:t>
            </w:r>
          </w:p>
        </w:tc>
        <w:tc>
          <w:tcPr>
            <w:tcW w:w="1327" w:type="dxa"/>
            <w:tcBorders>
              <w:top w:val="nil"/>
              <w:left w:val="nil"/>
              <w:bottom w:val="nil"/>
              <w:right w:val="nil"/>
            </w:tcBorders>
            <w:shd w:val="clear" w:color="auto" w:fill="auto"/>
            <w:vAlign w:val="bottom"/>
            <w:hideMark/>
          </w:tcPr>
          <w:p w14:paraId="3EAE674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1.52±0.06ab</w:t>
            </w:r>
          </w:p>
        </w:tc>
      </w:tr>
      <w:tr w:rsidR="00D008D0" w:rsidRPr="00D008D0" w14:paraId="6C730CE0" w14:textId="77777777" w:rsidTr="00D008D0">
        <w:trPr>
          <w:trHeight w:val="397"/>
        </w:trPr>
        <w:tc>
          <w:tcPr>
            <w:tcW w:w="1295" w:type="dxa"/>
            <w:tcBorders>
              <w:top w:val="nil"/>
              <w:left w:val="nil"/>
              <w:bottom w:val="nil"/>
              <w:right w:val="nil"/>
            </w:tcBorders>
            <w:shd w:val="clear" w:color="auto" w:fill="auto"/>
            <w:vAlign w:val="bottom"/>
            <w:hideMark/>
          </w:tcPr>
          <w:p w14:paraId="288CFC8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C10+D75</w:t>
            </w:r>
          </w:p>
        </w:tc>
        <w:tc>
          <w:tcPr>
            <w:tcW w:w="1110" w:type="dxa"/>
            <w:tcBorders>
              <w:top w:val="nil"/>
              <w:left w:val="nil"/>
              <w:bottom w:val="nil"/>
              <w:right w:val="nil"/>
            </w:tcBorders>
            <w:shd w:val="clear" w:color="auto" w:fill="auto"/>
            <w:vAlign w:val="bottom"/>
            <w:hideMark/>
          </w:tcPr>
          <w:p w14:paraId="43C0762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0.76±0.11</w:t>
            </w:r>
          </w:p>
        </w:tc>
        <w:tc>
          <w:tcPr>
            <w:tcW w:w="1327" w:type="dxa"/>
            <w:tcBorders>
              <w:top w:val="nil"/>
              <w:left w:val="nil"/>
              <w:bottom w:val="nil"/>
              <w:right w:val="nil"/>
            </w:tcBorders>
            <w:shd w:val="clear" w:color="auto" w:fill="auto"/>
            <w:vAlign w:val="bottom"/>
            <w:hideMark/>
          </w:tcPr>
          <w:p w14:paraId="4982597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1.45±0.15ab</w:t>
            </w:r>
          </w:p>
        </w:tc>
        <w:tc>
          <w:tcPr>
            <w:tcW w:w="1186" w:type="dxa"/>
            <w:tcBorders>
              <w:top w:val="nil"/>
              <w:left w:val="nil"/>
              <w:bottom w:val="nil"/>
              <w:right w:val="nil"/>
            </w:tcBorders>
            <w:shd w:val="clear" w:color="auto" w:fill="auto"/>
            <w:vAlign w:val="bottom"/>
            <w:hideMark/>
          </w:tcPr>
          <w:p w14:paraId="28AFF2A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1.31±0.19</w:t>
            </w:r>
          </w:p>
        </w:tc>
        <w:tc>
          <w:tcPr>
            <w:tcW w:w="1327" w:type="dxa"/>
            <w:tcBorders>
              <w:top w:val="nil"/>
              <w:left w:val="nil"/>
              <w:bottom w:val="nil"/>
              <w:right w:val="nil"/>
            </w:tcBorders>
            <w:shd w:val="clear" w:color="auto" w:fill="auto"/>
            <w:vAlign w:val="bottom"/>
            <w:hideMark/>
          </w:tcPr>
          <w:p w14:paraId="00FC5C7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2.51±0.27ab</w:t>
            </w:r>
          </w:p>
        </w:tc>
      </w:tr>
      <w:tr w:rsidR="00D008D0" w:rsidRPr="00D008D0" w14:paraId="47F92F02" w14:textId="77777777" w:rsidTr="00D008D0">
        <w:trPr>
          <w:trHeight w:val="397"/>
        </w:trPr>
        <w:tc>
          <w:tcPr>
            <w:tcW w:w="1295" w:type="dxa"/>
            <w:tcBorders>
              <w:top w:val="nil"/>
              <w:left w:val="nil"/>
              <w:bottom w:val="nil"/>
              <w:right w:val="nil"/>
            </w:tcBorders>
            <w:shd w:val="clear" w:color="auto" w:fill="auto"/>
            <w:vAlign w:val="bottom"/>
            <w:hideMark/>
          </w:tcPr>
          <w:p w14:paraId="14C1E59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C5+D75</w:t>
            </w:r>
          </w:p>
        </w:tc>
        <w:tc>
          <w:tcPr>
            <w:tcW w:w="1110" w:type="dxa"/>
            <w:tcBorders>
              <w:top w:val="nil"/>
              <w:left w:val="nil"/>
              <w:bottom w:val="nil"/>
              <w:right w:val="nil"/>
            </w:tcBorders>
            <w:shd w:val="clear" w:color="auto" w:fill="auto"/>
            <w:vAlign w:val="bottom"/>
            <w:hideMark/>
          </w:tcPr>
          <w:p w14:paraId="6D9091D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0.59±0.09</w:t>
            </w:r>
          </w:p>
        </w:tc>
        <w:tc>
          <w:tcPr>
            <w:tcW w:w="1327" w:type="dxa"/>
            <w:tcBorders>
              <w:top w:val="nil"/>
              <w:left w:val="nil"/>
              <w:bottom w:val="nil"/>
              <w:right w:val="nil"/>
            </w:tcBorders>
            <w:shd w:val="clear" w:color="auto" w:fill="auto"/>
            <w:vAlign w:val="bottom"/>
            <w:hideMark/>
          </w:tcPr>
          <w:p w14:paraId="5E36C3D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1.29±0.26ab</w:t>
            </w:r>
          </w:p>
        </w:tc>
        <w:tc>
          <w:tcPr>
            <w:tcW w:w="1186" w:type="dxa"/>
            <w:tcBorders>
              <w:top w:val="nil"/>
              <w:left w:val="nil"/>
              <w:bottom w:val="nil"/>
              <w:right w:val="nil"/>
            </w:tcBorders>
            <w:shd w:val="clear" w:color="auto" w:fill="auto"/>
            <w:vAlign w:val="bottom"/>
            <w:hideMark/>
          </w:tcPr>
          <w:p w14:paraId="7604ACF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1.02±0.15</w:t>
            </w:r>
          </w:p>
        </w:tc>
        <w:tc>
          <w:tcPr>
            <w:tcW w:w="1327" w:type="dxa"/>
            <w:tcBorders>
              <w:top w:val="nil"/>
              <w:left w:val="nil"/>
              <w:bottom w:val="nil"/>
              <w:right w:val="nil"/>
            </w:tcBorders>
            <w:shd w:val="clear" w:color="auto" w:fill="auto"/>
            <w:vAlign w:val="bottom"/>
            <w:hideMark/>
          </w:tcPr>
          <w:p w14:paraId="2C6C0B4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2.23±0.45ab</w:t>
            </w:r>
          </w:p>
        </w:tc>
      </w:tr>
      <w:tr w:rsidR="00D008D0" w:rsidRPr="00D008D0" w14:paraId="28A4340D" w14:textId="77777777" w:rsidTr="00D008D0">
        <w:trPr>
          <w:trHeight w:val="397"/>
        </w:trPr>
        <w:tc>
          <w:tcPr>
            <w:tcW w:w="1295" w:type="dxa"/>
            <w:tcBorders>
              <w:top w:val="nil"/>
              <w:left w:val="nil"/>
              <w:bottom w:val="nil"/>
              <w:right w:val="nil"/>
            </w:tcBorders>
            <w:shd w:val="clear" w:color="auto" w:fill="auto"/>
            <w:vAlign w:val="bottom"/>
            <w:hideMark/>
          </w:tcPr>
          <w:p w14:paraId="3D8D2A8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C0+D75</w:t>
            </w:r>
          </w:p>
        </w:tc>
        <w:tc>
          <w:tcPr>
            <w:tcW w:w="1110" w:type="dxa"/>
            <w:tcBorders>
              <w:top w:val="nil"/>
              <w:left w:val="nil"/>
              <w:bottom w:val="nil"/>
              <w:right w:val="nil"/>
            </w:tcBorders>
            <w:shd w:val="clear" w:color="auto" w:fill="auto"/>
            <w:vAlign w:val="bottom"/>
            <w:hideMark/>
          </w:tcPr>
          <w:p w14:paraId="6BA47B5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0.55±0.07</w:t>
            </w:r>
          </w:p>
        </w:tc>
        <w:tc>
          <w:tcPr>
            <w:tcW w:w="1327" w:type="dxa"/>
            <w:tcBorders>
              <w:top w:val="nil"/>
              <w:left w:val="nil"/>
              <w:bottom w:val="nil"/>
              <w:right w:val="nil"/>
            </w:tcBorders>
            <w:shd w:val="clear" w:color="auto" w:fill="auto"/>
            <w:vAlign w:val="bottom"/>
            <w:hideMark/>
          </w:tcPr>
          <w:p w14:paraId="201CA8B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0.81±0.23ab</w:t>
            </w:r>
          </w:p>
        </w:tc>
        <w:tc>
          <w:tcPr>
            <w:tcW w:w="1186" w:type="dxa"/>
            <w:tcBorders>
              <w:top w:val="nil"/>
              <w:left w:val="nil"/>
              <w:bottom w:val="nil"/>
              <w:right w:val="nil"/>
            </w:tcBorders>
            <w:shd w:val="clear" w:color="auto" w:fill="auto"/>
            <w:vAlign w:val="bottom"/>
            <w:hideMark/>
          </w:tcPr>
          <w:p w14:paraId="0680AAA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0.94±0.11</w:t>
            </w:r>
          </w:p>
        </w:tc>
        <w:tc>
          <w:tcPr>
            <w:tcW w:w="1327" w:type="dxa"/>
            <w:tcBorders>
              <w:top w:val="nil"/>
              <w:left w:val="nil"/>
              <w:bottom w:val="nil"/>
              <w:right w:val="nil"/>
            </w:tcBorders>
            <w:shd w:val="clear" w:color="auto" w:fill="auto"/>
            <w:vAlign w:val="bottom"/>
            <w:hideMark/>
          </w:tcPr>
          <w:p w14:paraId="11208BE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1.4±0.4ab</w:t>
            </w:r>
          </w:p>
        </w:tc>
      </w:tr>
      <w:tr w:rsidR="00D008D0" w:rsidRPr="00D008D0" w14:paraId="6F6BBF89" w14:textId="77777777" w:rsidTr="00D008D0">
        <w:trPr>
          <w:trHeight w:val="397"/>
        </w:trPr>
        <w:tc>
          <w:tcPr>
            <w:tcW w:w="1295" w:type="dxa"/>
            <w:tcBorders>
              <w:top w:val="nil"/>
              <w:left w:val="nil"/>
              <w:bottom w:val="nil"/>
              <w:right w:val="nil"/>
            </w:tcBorders>
            <w:shd w:val="clear" w:color="auto" w:fill="auto"/>
            <w:vAlign w:val="bottom"/>
            <w:hideMark/>
          </w:tcPr>
          <w:p w14:paraId="3E6D985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C10+D50</w:t>
            </w:r>
          </w:p>
        </w:tc>
        <w:tc>
          <w:tcPr>
            <w:tcW w:w="1110" w:type="dxa"/>
            <w:tcBorders>
              <w:top w:val="nil"/>
              <w:left w:val="nil"/>
              <w:bottom w:val="nil"/>
              <w:right w:val="nil"/>
            </w:tcBorders>
            <w:shd w:val="clear" w:color="auto" w:fill="auto"/>
            <w:vAlign w:val="bottom"/>
            <w:hideMark/>
          </w:tcPr>
          <w:p w14:paraId="0D7ADFC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0.82±0.06</w:t>
            </w:r>
          </w:p>
        </w:tc>
        <w:tc>
          <w:tcPr>
            <w:tcW w:w="1327" w:type="dxa"/>
            <w:tcBorders>
              <w:top w:val="nil"/>
              <w:left w:val="nil"/>
              <w:bottom w:val="nil"/>
              <w:right w:val="nil"/>
            </w:tcBorders>
            <w:shd w:val="clear" w:color="auto" w:fill="auto"/>
            <w:vAlign w:val="bottom"/>
            <w:hideMark/>
          </w:tcPr>
          <w:p w14:paraId="3DE6E34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1.22±0.11ab</w:t>
            </w:r>
          </w:p>
        </w:tc>
        <w:tc>
          <w:tcPr>
            <w:tcW w:w="1186" w:type="dxa"/>
            <w:tcBorders>
              <w:top w:val="nil"/>
              <w:left w:val="nil"/>
              <w:bottom w:val="nil"/>
              <w:right w:val="nil"/>
            </w:tcBorders>
            <w:shd w:val="clear" w:color="auto" w:fill="auto"/>
            <w:vAlign w:val="bottom"/>
            <w:hideMark/>
          </w:tcPr>
          <w:p w14:paraId="5DA8FCE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1.41±0.11</w:t>
            </w:r>
          </w:p>
        </w:tc>
        <w:tc>
          <w:tcPr>
            <w:tcW w:w="1327" w:type="dxa"/>
            <w:tcBorders>
              <w:top w:val="nil"/>
              <w:left w:val="nil"/>
              <w:bottom w:val="nil"/>
              <w:right w:val="nil"/>
            </w:tcBorders>
            <w:shd w:val="clear" w:color="auto" w:fill="auto"/>
            <w:vAlign w:val="bottom"/>
            <w:hideMark/>
          </w:tcPr>
          <w:p w14:paraId="36FBA81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2.1±0.19ab</w:t>
            </w:r>
          </w:p>
        </w:tc>
      </w:tr>
      <w:tr w:rsidR="00D008D0" w:rsidRPr="00D008D0" w14:paraId="30C7315B" w14:textId="77777777" w:rsidTr="00D008D0">
        <w:trPr>
          <w:trHeight w:val="397"/>
        </w:trPr>
        <w:tc>
          <w:tcPr>
            <w:tcW w:w="1295" w:type="dxa"/>
            <w:tcBorders>
              <w:top w:val="nil"/>
              <w:left w:val="nil"/>
              <w:bottom w:val="nil"/>
              <w:right w:val="nil"/>
            </w:tcBorders>
            <w:shd w:val="clear" w:color="auto" w:fill="auto"/>
            <w:vAlign w:val="bottom"/>
            <w:hideMark/>
          </w:tcPr>
          <w:p w14:paraId="139FD46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C5+D50</w:t>
            </w:r>
          </w:p>
        </w:tc>
        <w:tc>
          <w:tcPr>
            <w:tcW w:w="1110" w:type="dxa"/>
            <w:tcBorders>
              <w:top w:val="nil"/>
              <w:left w:val="nil"/>
              <w:bottom w:val="nil"/>
              <w:right w:val="nil"/>
            </w:tcBorders>
            <w:shd w:val="clear" w:color="auto" w:fill="auto"/>
            <w:vAlign w:val="bottom"/>
            <w:hideMark/>
          </w:tcPr>
          <w:p w14:paraId="75A4EB3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0.67±0.06</w:t>
            </w:r>
          </w:p>
        </w:tc>
        <w:tc>
          <w:tcPr>
            <w:tcW w:w="1327" w:type="dxa"/>
            <w:tcBorders>
              <w:top w:val="nil"/>
              <w:left w:val="nil"/>
              <w:bottom w:val="nil"/>
              <w:right w:val="nil"/>
            </w:tcBorders>
            <w:shd w:val="clear" w:color="auto" w:fill="auto"/>
            <w:vAlign w:val="bottom"/>
            <w:hideMark/>
          </w:tcPr>
          <w:p w14:paraId="52E01E0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1.39±0.14ab</w:t>
            </w:r>
          </w:p>
        </w:tc>
        <w:tc>
          <w:tcPr>
            <w:tcW w:w="1186" w:type="dxa"/>
            <w:tcBorders>
              <w:top w:val="nil"/>
              <w:left w:val="nil"/>
              <w:bottom w:val="nil"/>
              <w:right w:val="nil"/>
            </w:tcBorders>
            <w:shd w:val="clear" w:color="auto" w:fill="auto"/>
            <w:vAlign w:val="bottom"/>
            <w:hideMark/>
          </w:tcPr>
          <w:p w14:paraId="7AECE15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1.16±0.11</w:t>
            </w:r>
          </w:p>
        </w:tc>
        <w:tc>
          <w:tcPr>
            <w:tcW w:w="1327" w:type="dxa"/>
            <w:tcBorders>
              <w:top w:val="nil"/>
              <w:left w:val="nil"/>
              <w:bottom w:val="nil"/>
              <w:right w:val="nil"/>
            </w:tcBorders>
            <w:shd w:val="clear" w:color="auto" w:fill="auto"/>
            <w:vAlign w:val="bottom"/>
            <w:hideMark/>
          </w:tcPr>
          <w:p w14:paraId="6C8E790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2.4±0.24ab</w:t>
            </w:r>
          </w:p>
        </w:tc>
      </w:tr>
      <w:tr w:rsidR="00D008D0" w:rsidRPr="00D008D0" w14:paraId="59A72FA8" w14:textId="77777777" w:rsidTr="00D008D0">
        <w:trPr>
          <w:trHeight w:val="397"/>
        </w:trPr>
        <w:tc>
          <w:tcPr>
            <w:tcW w:w="1295" w:type="dxa"/>
            <w:tcBorders>
              <w:top w:val="nil"/>
              <w:left w:val="nil"/>
              <w:bottom w:val="nil"/>
              <w:right w:val="nil"/>
            </w:tcBorders>
            <w:shd w:val="clear" w:color="auto" w:fill="auto"/>
            <w:vAlign w:val="bottom"/>
            <w:hideMark/>
          </w:tcPr>
          <w:p w14:paraId="64BD421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C0+D50</w:t>
            </w:r>
          </w:p>
        </w:tc>
        <w:tc>
          <w:tcPr>
            <w:tcW w:w="1110" w:type="dxa"/>
            <w:tcBorders>
              <w:top w:val="nil"/>
              <w:left w:val="nil"/>
              <w:bottom w:val="nil"/>
              <w:right w:val="nil"/>
            </w:tcBorders>
            <w:shd w:val="clear" w:color="auto" w:fill="auto"/>
            <w:vAlign w:val="bottom"/>
            <w:hideMark/>
          </w:tcPr>
          <w:p w14:paraId="4B9DDBA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0.57±0.07</w:t>
            </w:r>
          </w:p>
        </w:tc>
        <w:tc>
          <w:tcPr>
            <w:tcW w:w="1327" w:type="dxa"/>
            <w:tcBorders>
              <w:top w:val="nil"/>
              <w:left w:val="nil"/>
              <w:bottom w:val="nil"/>
              <w:right w:val="nil"/>
            </w:tcBorders>
            <w:shd w:val="clear" w:color="auto" w:fill="auto"/>
            <w:vAlign w:val="bottom"/>
            <w:hideMark/>
          </w:tcPr>
          <w:p w14:paraId="02015BD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0.85±0.18ab</w:t>
            </w:r>
          </w:p>
        </w:tc>
        <w:tc>
          <w:tcPr>
            <w:tcW w:w="1186" w:type="dxa"/>
            <w:tcBorders>
              <w:top w:val="nil"/>
              <w:left w:val="nil"/>
              <w:bottom w:val="nil"/>
              <w:right w:val="nil"/>
            </w:tcBorders>
            <w:shd w:val="clear" w:color="auto" w:fill="auto"/>
            <w:vAlign w:val="bottom"/>
            <w:hideMark/>
          </w:tcPr>
          <w:p w14:paraId="092CC802"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0.98±0.12</w:t>
            </w:r>
          </w:p>
        </w:tc>
        <w:tc>
          <w:tcPr>
            <w:tcW w:w="1327" w:type="dxa"/>
            <w:tcBorders>
              <w:top w:val="nil"/>
              <w:left w:val="nil"/>
              <w:bottom w:val="nil"/>
              <w:right w:val="nil"/>
            </w:tcBorders>
            <w:shd w:val="clear" w:color="auto" w:fill="auto"/>
            <w:vAlign w:val="bottom"/>
            <w:hideMark/>
          </w:tcPr>
          <w:p w14:paraId="1601AF1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1.46±0.32ab</w:t>
            </w:r>
          </w:p>
        </w:tc>
      </w:tr>
      <w:tr w:rsidR="00D008D0" w:rsidRPr="00D008D0" w14:paraId="13854EC0" w14:textId="77777777" w:rsidTr="00D008D0">
        <w:trPr>
          <w:trHeight w:val="397"/>
        </w:trPr>
        <w:tc>
          <w:tcPr>
            <w:tcW w:w="1295" w:type="dxa"/>
            <w:tcBorders>
              <w:top w:val="nil"/>
              <w:left w:val="nil"/>
              <w:bottom w:val="nil"/>
              <w:right w:val="nil"/>
            </w:tcBorders>
            <w:shd w:val="clear" w:color="auto" w:fill="auto"/>
            <w:vAlign w:val="bottom"/>
            <w:hideMark/>
          </w:tcPr>
          <w:p w14:paraId="7DDC2BF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P</w:t>
            </w:r>
          </w:p>
        </w:tc>
        <w:tc>
          <w:tcPr>
            <w:tcW w:w="1110" w:type="dxa"/>
            <w:tcBorders>
              <w:top w:val="nil"/>
              <w:left w:val="nil"/>
              <w:bottom w:val="nil"/>
              <w:right w:val="nil"/>
            </w:tcBorders>
            <w:shd w:val="clear" w:color="auto" w:fill="auto"/>
            <w:vAlign w:val="bottom"/>
            <w:hideMark/>
          </w:tcPr>
          <w:p w14:paraId="028F827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0.151</w:t>
            </w:r>
          </w:p>
        </w:tc>
        <w:tc>
          <w:tcPr>
            <w:tcW w:w="1327" w:type="dxa"/>
            <w:tcBorders>
              <w:top w:val="nil"/>
              <w:left w:val="nil"/>
              <w:bottom w:val="nil"/>
              <w:right w:val="nil"/>
            </w:tcBorders>
            <w:shd w:val="clear" w:color="auto" w:fill="auto"/>
            <w:vAlign w:val="bottom"/>
            <w:hideMark/>
          </w:tcPr>
          <w:p w14:paraId="568DD4A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0.014</w:t>
            </w:r>
          </w:p>
        </w:tc>
        <w:tc>
          <w:tcPr>
            <w:tcW w:w="1186" w:type="dxa"/>
            <w:tcBorders>
              <w:top w:val="nil"/>
              <w:left w:val="nil"/>
              <w:bottom w:val="nil"/>
              <w:right w:val="nil"/>
            </w:tcBorders>
            <w:shd w:val="clear" w:color="auto" w:fill="auto"/>
            <w:vAlign w:val="bottom"/>
            <w:hideMark/>
          </w:tcPr>
          <w:p w14:paraId="1A23929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0.15</w:t>
            </w:r>
          </w:p>
        </w:tc>
        <w:tc>
          <w:tcPr>
            <w:tcW w:w="1327" w:type="dxa"/>
            <w:tcBorders>
              <w:top w:val="nil"/>
              <w:left w:val="nil"/>
              <w:bottom w:val="nil"/>
              <w:right w:val="nil"/>
            </w:tcBorders>
            <w:shd w:val="clear" w:color="auto" w:fill="auto"/>
            <w:vAlign w:val="bottom"/>
            <w:hideMark/>
          </w:tcPr>
          <w:p w14:paraId="61BC654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0.014</w:t>
            </w:r>
          </w:p>
        </w:tc>
      </w:tr>
      <w:tr w:rsidR="00D008D0" w:rsidRPr="00D008D0" w14:paraId="5914B8C0" w14:textId="77777777" w:rsidTr="00D008D0">
        <w:trPr>
          <w:trHeight w:val="397"/>
        </w:trPr>
        <w:tc>
          <w:tcPr>
            <w:tcW w:w="1295" w:type="dxa"/>
            <w:tcBorders>
              <w:top w:val="nil"/>
              <w:left w:val="nil"/>
              <w:bottom w:val="single" w:sz="8" w:space="0" w:color="000000"/>
              <w:right w:val="nil"/>
            </w:tcBorders>
            <w:shd w:val="clear" w:color="auto" w:fill="auto"/>
            <w:vAlign w:val="bottom"/>
            <w:hideMark/>
          </w:tcPr>
          <w:p w14:paraId="7C2AD0F2"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Significance</w:t>
            </w:r>
          </w:p>
        </w:tc>
        <w:tc>
          <w:tcPr>
            <w:tcW w:w="1110" w:type="dxa"/>
            <w:tcBorders>
              <w:top w:val="nil"/>
              <w:left w:val="nil"/>
              <w:bottom w:val="single" w:sz="8" w:space="0" w:color="000000"/>
              <w:right w:val="nil"/>
            </w:tcBorders>
            <w:shd w:val="clear" w:color="auto" w:fill="auto"/>
            <w:vAlign w:val="bottom"/>
            <w:hideMark/>
          </w:tcPr>
          <w:p w14:paraId="119ED2C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327" w:type="dxa"/>
            <w:tcBorders>
              <w:top w:val="nil"/>
              <w:left w:val="nil"/>
              <w:bottom w:val="single" w:sz="8" w:space="0" w:color="000000"/>
              <w:right w:val="nil"/>
            </w:tcBorders>
            <w:shd w:val="clear" w:color="auto" w:fill="auto"/>
            <w:vAlign w:val="bottom"/>
            <w:hideMark/>
          </w:tcPr>
          <w:p w14:paraId="150896F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w:t>
            </w:r>
          </w:p>
        </w:tc>
        <w:tc>
          <w:tcPr>
            <w:tcW w:w="1186" w:type="dxa"/>
            <w:tcBorders>
              <w:top w:val="nil"/>
              <w:left w:val="nil"/>
              <w:bottom w:val="single" w:sz="8" w:space="0" w:color="000000"/>
              <w:right w:val="nil"/>
            </w:tcBorders>
            <w:shd w:val="clear" w:color="auto" w:fill="auto"/>
            <w:vAlign w:val="bottom"/>
            <w:hideMark/>
          </w:tcPr>
          <w:p w14:paraId="0594AC4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327" w:type="dxa"/>
            <w:tcBorders>
              <w:top w:val="nil"/>
              <w:left w:val="nil"/>
              <w:bottom w:val="single" w:sz="8" w:space="0" w:color="000000"/>
              <w:right w:val="nil"/>
            </w:tcBorders>
            <w:shd w:val="clear" w:color="auto" w:fill="auto"/>
            <w:vAlign w:val="bottom"/>
            <w:hideMark/>
          </w:tcPr>
          <w:p w14:paraId="33A1966E" w14:textId="772AF6F3" w:rsidR="00D008D0" w:rsidRPr="00D008D0" w:rsidRDefault="00965CC6" w:rsidP="00D008D0">
            <w:pPr>
              <w:jc w:val="both"/>
              <w:rPr>
                <w:rFonts w:ascii="Arial" w:hAnsi="Arial" w:cs="Arial"/>
                <w:color w:val="000000"/>
              </w:rPr>
            </w:pPr>
            <w:r w:rsidRPr="00D008D0">
              <w:rPr>
                <w:rFonts w:ascii="Arial" w:hAnsi="Arial" w:cs="Arial"/>
                <w:color w:val="000000"/>
                <w:kern w:val="24"/>
              </w:rPr>
              <w:t>N</w:t>
            </w:r>
            <w:r w:rsidR="00D008D0" w:rsidRPr="00D008D0">
              <w:rPr>
                <w:rFonts w:ascii="Arial" w:hAnsi="Arial" w:cs="Arial"/>
                <w:color w:val="000000"/>
                <w:kern w:val="24"/>
              </w:rPr>
              <w:t>s</w:t>
            </w:r>
          </w:p>
        </w:tc>
      </w:tr>
    </w:tbl>
    <w:p w14:paraId="4F6CC9B6" w14:textId="2B72B2E0" w:rsidR="003A08A2" w:rsidRPr="003A08A2" w:rsidRDefault="003A08A2" w:rsidP="00864A10">
      <w:pPr>
        <w:pStyle w:val="Body"/>
        <w:spacing w:after="0"/>
        <w:rPr>
          <w:rFonts w:ascii="Arial" w:hAnsi="Arial" w:cs="Arial"/>
          <w:lang w:val="fr-FR"/>
        </w:rPr>
      </w:pPr>
      <w:r w:rsidRPr="003A08A2">
        <w:rPr>
          <w:rFonts w:ascii="Arial" w:hAnsi="Arial" w:cs="Arial"/>
          <w:lang w:val="fr-FR"/>
        </w:rPr>
        <w:t xml:space="preserve">ns: </w:t>
      </w:r>
      <w:r w:rsidR="00187D4F">
        <w:rPr>
          <w:rFonts w:ascii="Arial" w:hAnsi="Arial" w:cs="Arial"/>
          <w:lang w:val="fr-FR"/>
        </w:rPr>
        <w:t>non significative</w:t>
      </w:r>
    </w:p>
    <w:p w14:paraId="1B8327E2" w14:textId="6241A5D7" w:rsidR="003A08A2" w:rsidRPr="003A08A2" w:rsidRDefault="00187D4F" w:rsidP="00864A10">
      <w:pPr>
        <w:pStyle w:val="Body"/>
        <w:spacing w:after="0"/>
        <w:rPr>
          <w:rFonts w:ascii="Arial" w:hAnsi="Arial" w:cs="Arial"/>
          <w:lang w:val="fr-FR"/>
        </w:rPr>
      </w:pPr>
      <w:r>
        <w:rPr>
          <w:rFonts w:ascii="Arial" w:hAnsi="Arial" w:cs="Arial"/>
          <w:lang w:val="fr-FR"/>
        </w:rPr>
        <w:t>*: significative with p˂0.</w:t>
      </w:r>
      <w:r w:rsidR="003A08A2" w:rsidRPr="003A08A2">
        <w:rPr>
          <w:rFonts w:ascii="Arial" w:hAnsi="Arial" w:cs="Arial"/>
          <w:lang w:val="fr-FR"/>
        </w:rPr>
        <w:t>05</w:t>
      </w:r>
    </w:p>
    <w:p w14:paraId="119DB7A3" w14:textId="77777777" w:rsidR="003A08A2" w:rsidRPr="003A08A2" w:rsidRDefault="003A08A2" w:rsidP="003A08A2">
      <w:pPr>
        <w:pStyle w:val="Body"/>
        <w:rPr>
          <w:rFonts w:ascii="Arial" w:hAnsi="Arial" w:cs="Arial"/>
          <w:lang w:val="fr-FR"/>
        </w:rPr>
      </w:pPr>
    </w:p>
    <w:p w14:paraId="6A9A93F8" w14:textId="77B58BE5" w:rsidR="003A08A2" w:rsidRPr="001F31F1" w:rsidRDefault="003A08A2" w:rsidP="00977367">
      <w:pPr>
        <w:pStyle w:val="Body"/>
        <w:jc w:val="left"/>
        <w:rPr>
          <w:rFonts w:ascii="Arial" w:hAnsi="Arial" w:cs="Arial"/>
          <w:b/>
          <w:bCs/>
          <w:u w:val="single"/>
        </w:rPr>
      </w:pPr>
      <w:r w:rsidRPr="001F31F1">
        <w:rPr>
          <w:rFonts w:ascii="Arial" w:hAnsi="Arial" w:cs="Arial"/>
          <w:b/>
          <w:bCs/>
          <w:u w:val="single"/>
        </w:rPr>
        <w:t>3.1.3</w:t>
      </w:r>
      <w:r w:rsidR="00187D4F" w:rsidRPr="001F31F1">
        <w:rPr>
          <w:rFonts w:ascii="Arial" w:hAnsi="Arial" w:cs="Arial"/>
          <w:b/>
          <w:bCs/>
          <w:u w:val="single"/>
        </w:rPr>
        <w:t>. Effect of treatments on total nitrogen, total phosphorus and available potassium</w:t>
      </w:r>
    </w:p>
    <w:p w14:paraId="0003492D" w14:textId="37FDE6F6" w:rsidR="003A08A2" w:rsidRPr="001F31F1" w:rsidRDefault="00187D4F" w:rsidP="003A08A2">
      <w:pPr>
        <w:pStyle w:val="Body"/>
        <w:rPr>
          <w:rFonts w:ascii="Arial" w:hAnsi="Arial" w:cs="Arial"/>
        </w:rPr>
      </w:pPr>
      <w:r w:rsidRPr="001F31F1">
        <w:rPr>
          <w:rFonts w:ascii="Arial" w:hAnsi="Arial" w:cs="Arial"/>
        </w:rPr>
        <w:t xml:space="preserve">The effect of the different treatments on nitrogen (N), phosphorus (P) and potassium (K) levels is shown in the table below. Statistical analysis reveals that in year 1, the different treatments did not significantly influence soil nitrogen, phosphorus and potassium levels. However, in the second year, a significant effect was observed on available nitrogen and potassium levels. In the second year of the experiment, for irrigation rates D50%, D75% and D100%, compost </w:t>
      </w:r>
      <w:r w:rsidRPr="001F31F1">
        <w:rPr>
          <w:rFonts w:ascii="Arial" w:hAnsi="Arial" w:cs="Arial"/>
        </w:rPr>
        <w:lastRenderedPageBreak/>
        <w:t>application at 5 and 10T/ha respectively resulted in an average increase in nitrogen of 50, 125 and 62% compared with the unamended plots. In the case of potassium, although a significant effect was noted, the resulting increase was not systematic. In addition, nitrogen, phosphorus and potassium levels decreased from one year to the next. The results therefore suggest that the variability of NPK levels is a function of compost application time. The results also show that, for the same compost rate, the irrigation rate would also affect the amount of nitrogen available in the soil.</w:t>
      </w:r>
    </w:p>
    <w:p w14:paraId="29756234" w14:textId="3415C612" w:rsidR="003A08A2" w:rsidRDefault="00187D4F" w:rsidP="003A08A2">
      <w:pPr>
        <w:pStyle w:val="Body"/>
        <w:rPr>
          <w:rFonts w:ascii="Arial" w:hAnsi="Arial" w:cs="Arial"/>
        </w:rPr>
      </w:pPr>
      <w:r w:rsidRPr="001F31F1">
        <w:rPr>
          <w:rFonts w:ascii="Arial" w:hAnsi="Arial" w:cs="Arial"/>
        </w:rPr>
        <w:t>Table 3. Effect of treatments on total nitrogen, total phosphorus and available potassium</w:t>
      </w:r>
    </w:p>
    <w:tbl>
      <w:tblPr>
        <w:tblW w:w="9880" w:type="dxa"/>
        <w:tblLook w:val="04A0" w:firstRow="1" w:lastRow="0" w:firstColumn="1" w:lastColumn="0" w:noHBand="0" w:noVBand="1"/>
      </w:tblPr>
      <w:tblGrid>
        <w:gridCol w:w="1295"/>
        <w:gridCol w:w="1183"/>
        <w:gridCol w:w="1438"/>
        <w:gridCol w:w="1216"/>
        <w:gridCol w:w="1184"/>
        <w:gridCol w:w="1688"/>
        <w:gridCol w:w="1876"/>
      </w:tblGrid>
      <w:tr w:rsidR="00D008D0" w:rsidRPr="00D008D0" w14:paraId="3D5C1F86" w14:textId="77777777" w:rsidTr="00D008D0">
        <w:trPr>
          <w:trHeight w:val="293"/>
        </w:trPr>
        <w:tc>
          <w:tcPr>
            <w:tcW w:w="1200" w:type="dxa"/>
            <w:tcBorders>
              <w:top w:val="single" w:sz="8" w:space="0" w:color="000000"/>
              <w:left w:val="nil"/>
              <w:bottom w:val="single" w:sz="8" w:space="0" w:color="000000"/>
              <w:right w:val="nil"/>
            </w:tcBorders>
            <w:shd w:val="clear" w:color="auto" w:fill="auto"/>
            <w:vAlign w:val="bottom"/>
            <w:hideMark/>
          </w:tcPr>
          <w:p w14:paraId="177891D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Treatments</w:t>
            </w:r>
          </w:p>
        </w:tc>
        <w:tc>
          <w:tcPr>
            <w:tcW w:w="1200" w:type="dxa"/>
            <w:tcBorders>
              <w:top w:val="single" w:sz="8" w:space="0" w:color="000000"/>
              <w:left w:val="nil"/>
              <w:bottom w:val="single" w:sz="8" w:space="0" w:color="000000"/>
              <w:right w:val="nil"/>
            </w:tcBorders>
            <w:shd w:val="clear" w:color="auto" w:fill="auto"/>
            <w:vAlign w:val="bottom"/>
            <w:hideMark/>
          </w:tcPr>
          <w:p w14:paraId="078062B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N%-2023</w:t>
            </w:r>
          </w:p>
        </w:tc>
        <w:tc>
          <w:tcPr>
            <w:tcW w:w="1440" w:type="dxa"/>
            <w:tcBorders>
              <w:top w:val="single" w:sz="8" w:space="0" w:color="000000"/>
              <w:left w:val="nil"/>
              <w:bottom w:val="single" w:sz="8" w:space="0" w:color="000000"/>
              <w:right w:val="nil"/>
            </w:tcBorders>
            <w:shd w:val="clear" w:color="auto" w:fill="auto"/>
            <w:vAlign w:val="bottom"/>
            <w:hideMark/>
          </w:tcPr>
          <w:p w14:paraId="6358C0E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N%-2024</w:t>
            </w:r>
          </w:p>
        </w:tc>
        <w:tc>
          <w:tcPr>
            <w:tcW w:w="1200" w:type="dxa"/>
            <w:tcBorders>
              <w:top w:val="single" w:sz="8" w:space="0" w:color="000000"/>
              <w:left w:val="nil"/>
              <w:bottom w:val="single" w:sz="8" w:space="0" w:color="000000"/>
              <w:right w:val="nil"/>
            </w:tcBorders>
            <w:shd w:val="clear" w:color="auto" w:fill="auto"/>
            <w:vAlign w:val="bottom"/>
            <w:hideMark/>
          </w:tcPr>
          <w:p w14:paraId="5EEC57D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P%-2023</w:t>
            </w:r>
          </w:p>
        </w:tc>
        <w:tc>
          <w:tcPr>
            <w:tcW w:w="1200" w:type="dxa"/>
            <w:tcBorders>
              <w:top w:val="single" w:sz="8" w:space="0" w:color="000000"/>
              <w:left w:val="nil"/>
              <w:bottom w:val="single" w:sz="8" w:space="0" w:color="000000"/>
              <w:right w:val="nil"/>
            </w:tcBorders>
            <w:shd w:val="clear" w:color="auto" w:fill="auto"/>
            <w:vAlign w:val="bottom"/>
            <w:hideMark/>
          </w:tcPr>
          <w:p w14:paraId="2BF3E19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P%-2024</w:t>
            </w:r>
          </w:p>
        </w:tc>
        <w:tc>
          <w:tcPr>
            <w:tcW w:w="1740" w:type="dxa"/>
            <w:tcBorders>
              <w:top w:val="single" w:sz="8" w:space="0" w:color="000000"/>
              <w:left w:val="nil"/>
              <w:bottom w:val="single" w:sz="8" w:space="0" w:color="000000"/>
              <w:right w:val="nil"/>
            </w:tcBorders>
            <w:shd w:val="clear" w:color="auto" w:fill="auto"/>
            <w:vAlign w:val="bottom"/>
            <w:hideMark/>
          </w:tcPr>
          <w:p w14:paraId="46219CE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K%-2023</w:t>
            </w:r>
          </w:p>
        </w:tc>
        <w:tc>
          <w:tcPr>
            <w:tcW w:w="1900" w:type="dxa"/>
            <w:tcBorders>
              <w:top w:val="single" w:sz="8" w:space="0" w:color="000000"/>
              <w:left w:val="nil"/>
              <w:bottom w:val="single" w:sz="8" w:space="0" w:color="000000"/>
              <w:right w:val="nil"/>
            </w:tcBorders>
            <w:shd w:val="clear" w:color="auto" w:fill="auto"/>
            <w:vAlign w:val="bottom"/>
            <w:hideMark/>
          </w:tcPr>
          <w:p w14:paraId="128CC48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K%-2024</w:t>
            </w:r>
          </w:p>
        </w:tc>
      </w:tr>
      <w:tr w:rsidR="00D008D0" w:rsidRPr="00D008D0" w14:paraId="0ED5CA29" w14:textId="77777777" w:rsidTr="00D008D0">
        <w:trPr>
          <w:trHeight w:val="525"/>
        </w:trPr>
        <w:tc>
          <w:tcPr>
            <w:tcW w:w="1200" w:type="dxa"/>
            <w:tcBorders>
              <w:top w:val="nil"/>
              <w:left w:val="nil"/>
              <w:bottom w:val="nil"/>
              <w:right w:val="nil"/>
            </w:tcBorders>
            <w:shd w:val="clear" w:color="auto" w:fill="auto"/>
            <w:vAlign w:val="bottom"/>
            <w:hideMark/>
          </w:tcPr>
          <w:p w14:paraId="12321F2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Witness</w:t>
            </w:r>
          </w:p>
        </w:tc>
        <w:tc>
          <w:tcPr>
            <w:tcW w:w="1200" w:type="dxa"/>
            <w:tcBorders>
              <w:top w:val="nil"/>
              <w:left w:val="nil"/>
              <w:bottom w:val="nil"/>
              <w:right w:val="nil"/>
            </w:tcBorders>
            <w:shd w:val="clear" w:color="auto" w:fill="auto"/>
            <w:vAlign w:val="bottom"/>
            <w:hideMark/>
          </w:tcPr>
          <w:p w14:paraId="27E24CA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0.06±0.01</w:t>
            </w:r>
          </w:p>
        </w:tc>
        <w:tc>
          <w:tcPr>
            <w:tcW w:w="1440" w:type="dxa"/>
            <w:tcBorders>
              <w:top w:val="nil"/>
              <w:left w:val="nil"/>
              <w:bottom w:val="nil"/>
              <w:right w:val="nil"/>
            </w:tcBorders>
            <w:shd w:val="clear" w:color="auto" w:fill="auto"/>
            <w:vAlign w:val="bottom"/>
            <w:hideMark/>
          </w:tcPr>
          <w:p w14:paraId="2FA4481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0.06±0.01a</w:t>
            </w:r>
          </w:p>
        </w:tc>
        <w:tc>
          <w:tcPr>
            <w:tcW w:w="1200" w:type="dxa"/>
            <w:tcBorders>
              <w:top w:val="nil"/>
              <w:left w:val="nil"/>
              <w:bottom w:val="nil"/>
              <w:right w:val="nil"/>
            </w:tcBorders>
            <w:shd w:val="clear" w:color="auto" w:fill="auto"/>
            <w:vAlign w:val="bottom"/>
            <w:hideMark/>
          </w:tcPr>
          <w:p w14:paraId="4C6E598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4.59±1.14</w:t>
            </w:r>
          </w:p>
        </w:tc>
        <w:tc>
          <w:tcPr>
            <w:tcW w:w="1200" w:type="dxa"/>
            <w:tcBorders>
              <w:top w:val="nil"/>
              <w:left w:val="nil"/>
              <w:bottom w:val="nil"/>
              <w:right w:val="nil"/>
            </w:tcBorders>
            <w:shd w:val="clear" w:color="auto" w:fill="auto"/>
            <w:vAlign w:val="bottom"/>
            <w:hideMark/>
          </w:tcPr>
          <w:p w14:paraId="406D21E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4.59±1.14</w:t>
            </w:r>
          </w:p>
        </w:tc>
        <w:tc>
          <w:tcPr>
            <w:tcW w:w="1740" w:type="dxa"/>
            <w:tcBorders>
              <w:top w:val="nil"/>
              <w:left w:val="nil"/>
              <w:bottom w:val="nil"/>
              <w:right w:val="nil"/>
            </w:tcBorders>
            <w:shd w:val="clear" w:color="auto" w:fill="auto"/>
            <w:vAlign w:val="bottom"/>
            <w:hideMark/>
          </w:tcPr>
          <w:p w14:paraId="35B9710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95.18±10.25</w:t>
            </w:r>
          </w:p>
        </w:tc>
        <w:tc>
          <w:tcPr>
            <w:tcW w:w="1900" w:type="dxa"/>
            <w:tcBorders>
              <w:top w:val="nil"/>
              <w:left w:val="nil"/>
              <w:bottom w:val="nil"/>
              <w:right w:val="nil"/>
            </w:tcBorders>
            <w:shd w:val="clear" w:color="auto" w:fill="auto"/>
            <w:vAlign w:val="bottom"/>
            <w:hideMark/>
          </w:tcPr>
          <w:p w14:paraId="2633086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95.18±10.25a</w:t>
            </w:r>
          </w:p>
        </w:tc>
      </w:tr>
      <w:tr w:rsidR="00D008D0" w:rsidRPr="00D008D0" w14:paraId="2A405511" w14:textId="77777777" w:rsidTr="00D008D0">
        <w:trPr>
          <w:trHeight w:val="525"/>
        </w:trPr>
        <w:tc>
          <w:tcPr>
            <w:tcW w:w="1200" w:type="dxa"/>
            <w:tcBorders>
              <w:top w:val="nil"/>
              <w:left w:val="nil"/>
              <w:bottom w:val="nil"/>
              <w:right w:val="nil"/>
            </w:tcBorders>
            <w:shd w:val="clear" w:color="auto" w:fill="auto"/>
            <w:vAlign w:val="bottom"/>
            <w:hideMark/>
          </w:tcPr>
          <w:p w14:paraId="3AB9349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C10+D100</w:t>
            </w:r>
          </w:p>
        </w:tc>
        <w:tc>
          <w:tcPr>
            <w:tcW w:w="1200" w:type="dxa"/>
            <w:tcBorders>
              <w:top w:val="nil"/>
              <w:left w:val="nil"/>
              <w:bottom w:val="nil"/>
              <w:right w:val="nil"/>
            </w:tcBorders>
            <w:shd w:val="clear" w:color="auto" w:fill="auto"/>
            <w:vAlign w:val="bottom"/>
            <w:hideMark/>
          </w:tcPr>
          <w:p w14:paraId="6E23CA2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0.18±0.03</w:t>
            </w:r>
          </w:p>
        </w:tc>
        <w:tc>
          <w:tcPr>
            <w:tcW w:w="1440" w:type="dxa"/>
            <w:tcBorders>
              <w:top w:val="nil"/>
              <w:left w:val="nil"/>
              <w:bottom w:val="nil"/>
              <w:right w:val="nil"/>
            </w:tcBorders>
            <w:shd w:val="clear" w:color="auto" w:fill="auto"/>
            <w:vAlign w:val="bottom"/>
            <w:hideMark/>
          </w:tcPr>
          <w:p w14:paraId="6E0EAAE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0.11±0.01abc</w:t>
            </w:r>
          </w:p>
        </w:tc>
        <w:tc>
          <w:tcPr>
            <w:tcW w:w="1200" w:type="dxa"/>
            <w:tcBorders>
              <w:top w:val="nil"/>
              <w:left w:val="nil"/>
              <w:bottom w:val="nil"/>
              <w:right w:val="nil"/>
            </w:tcBorders>
            <w:shd w:val="clear" w:color="auto" w:fill="auto"/>
            <w:vAlign w:val="bottom"/>
            <w:hideMark/>
          </w:tcPr>
          <w:p w14:paraId="43BE77D8"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15.39±8.77</w:t>
            </w:r>
          </w:p>
        </w:tc>
        <w:tc>
          <w:tcPr>
            <w:tcW w:w="1200" w:type="dxa"/>
            <w:tcBorders>
              <w:top w:val="nil"/>
              <w:left w:val="nil"/>
              <w:bottom w:val="nil"/>
              <w:right w:val="nil"/>
            </w:tcBorders>
            <w:shd w:val="clear" w:color="auto" w:fill="auto"/>
            <w:vAlign w:val="bottom"/>
            <w:hideMark/>
          </w:tcPr>
          <w:p w14:paraId="7D0867E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9.53±3.18</w:t>
            </w:r>
          </w:p>
        </w:tc>
        <w:tc>
          <w:tcPr>
            <w:tcW w:w="1740" w:type="dxa"/>
            <w:tcBorders>
              <w:top w:val="nil"/>
              <w:left w:val="nil"/>
              <w:bottom w:val="nil"/>
              <w:right w:val="nil"/>
            </w:tcBorders>
            <w:shd w:val="clear" w:color="auto" w:fill="auto"/>
            <w:vAlign w:val="bottom"/>
            <w:hideMark/>
          </w:tcPr>
          <w:p w14:paraId="4687830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139.57±9.08</w:t>
            </w:r>
          </w:p>
        </w:tc>
        <w:tc>
          <w:tcPr>
            <w:tcW w:w="1900" w:type="dxa"/>
            <w:tcBorders>
              <w:top w:val="nil"/>
              <w:left w:val="nil"/>
              <w:bottom w:val="nil"/>
              <w:right w:val="nil"/>
            </w:tcBorders>
            <w:shd w:val="clear" w:color="auto" w:fill="auto"/>
            <w:vAlign w:val="bottom"/>
            <w:hideMark/>
          </w:tcPr>
          <w:p w14:paraId="57BA89A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147.49±10.37abc</w:t>
            </w:r>
          </w:p>
        </w:tc>
      </w:tr>
      <w:tr w:rsidR="00D008D0" w:rsidRPr="00D008D0" w14:paraId="6C4572F3" w14:textId="77777777" w:rsidTr="00D008D0">
        <w:trPr>
          <w:trHeight w:val="525"/>
        </w:trPr>
        <w:tc>
          <w:tcPr>
            <w:tcW w:w="1200" w:type="dxa"/>
            <w:tcBorders>
              <w:top w:val="nil"/>
              <w:left w:val="nil"/>
              <w:bottom w:val="nil"/>
              <w:right w:val="nil"/>
            </w:tcBorders>
            <w:shd w:val="clear" w:color="auto" w:fill="auto"/>
            <w:vAlign w:val="bottom"/>
            <w:hideMark/>
          </w:tcPr>
          <w:p w14:paraId="010C2EE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C5+D100</w:t>
            </w:r>
          </w:p>
        </w:tc>
        <w:tc>
          <w:tcPr>
            <w:tcW w:w="1200" w:type="dxa"/>
            <w:tcBorders>
              <w:top w:val="nil"/>
              <w:left w:val="nil"/>
              <w:bottom w:val="nil"/>
              <w:right w:val="nil"/>
            </w:tcBorders>
            <w:shd w:val="clear" w:color="auto" w:fill="auto"/>
            <w:vAlign w:val="bottom"/>
            <w:hideMark/>
          </w:tcPr>
          <w:p w14:paraId="4B6F9FC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0.18±0.01</w:t>
            </w:r>
          </w:p>
        </w:tc>
        <w:tc>
          <w:tcPr>
            <w:tcW w:w="1440" w:type="dxa"/>
            <w:tcBorders>
              <w:top w:val="nil"/>
              <w:left w:val="nil"/>
              <w:bottom w:val="nil"/>
              <w:right w:val="nil"/>
            </w:tcBorders>
            <w:shd w:val="clear" w:color="auto" w:fill="auto"/>
            <w:vAlign w:val="bottom"/>
            <w:hideMark/>
          </w:tcPr>
          <w:p w14:paraId="1451123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0.15±0.02d</w:t>
            </w:r>
          </w:p>
        </w:tc>
        <w:tc>
          <w:tcPr>
            <w:tcW w:w="1200" w:type="dxa"/>
            <w:tcBorders>
              <w:top w:val="nil"/>
              <w:left w:val="nil"/>
              <w:bottom w:val="nil"/>
              <w:right w:val="nil"/>
            </w:tcBorders>
            <w:shd w:val="clear" w:color="auto" w:fill="auto"/>
            <w:vAlign w:val="bottom"/>
            <w:hideMark/>
          </w:tcPr>
          <w:p w14:paraId="0534E8D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8.61±3.22</w:t>
            </w:r>
          </w:p>
        </w:tc>
        <w:tc>
          <w:tcPr>
            <w:tcW w:w="1200" w:type="dxa"/>
            <w:tcBorders>
              <w:top w:val="nil"/>
              <w:left w:val="nil"/>
              <w:bottom w:val="nil"/>
              <w:right w:val="nil"/>
            </w:tcBorders>
            <w:shd w:val="clear" w:color="auto" w:fill="auto"/>
            <w:vAlign w:val="bottom"/>
            <w:hideMark/>
          </w:tcPr>
          <w:p w14:paraId="59D5CC5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8.89±1.73</w:t>
            </w:r>
          </w:p>
        </w:tc>
        <w:tc>
          <w:tcPr>
            <w:tcW w:w="1740" w:type="dxa"/>
            <w:tcBorders>
              <w:top w:val="nil"/>
              <w:left w:val="nil"/>
              <w:bottom w:val="nil"/>
              <w:right w:val="nil"/>
            </w:tcBorders>
            <w:shd w:val="clear" w:color="auto" w:fill="auto"/>
            <w:vAlign w:val="bottom"/>
            <w:hideMark/>
          </w:tcPr>
          <w:p w14:paraId="7A0DC51A"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158.32±46.24</w:t>
            </w:r>
          </w:p>
        </w:tc>
        <w:tc>
          <w:tcPr>
            <w:tcW w:w="1900" w:type="dxa"/>
            <w:tcBorders>
              <w:top w:val="nil"/>
              <w:left w:val="nil"/>
              <w:bottom w:val="nil"/>
              <w:right w:val="nil"/>
            </w:tcBorders>
            <w:shd w:val="clear" w:color="auto" w:fill="auto"/>
            <w:vAlign w:val="bottom"/>
            <w:hideMark/>
          </w:tcPr>
          <w:p w14:paraId="7D4F74E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106.24±12.33c</w:t>
            </w:r>
          </w:p>
        </w:tc>
      </w:tr>
      <w:tr w:rsidR="00D008D0" w:rsidRPr="00D008D0" w14:paraId="16F79BF8" w14:textId="77777777" w:rsidTr="00D008D0">
        <w:trPr>
          <w:trHeight w:val="525"/>
        </w:trPr>
        <w:tc>
          <w:tcPr>
            <w:tcW w:w="1200" w:type="dxa"/>
            <w:tcBorders>
              <w:top w:val="nil"/>
              <w:left w:val="nil"/>
              <w:bottom w:val="nil"/>
              <w:right w:val="nil"/>
            </w:tcBorders>
            <w:shd w:val="clear" w:color="auto" w:fill="auto"/>
            <w:vAlign w:val="bottom"/>
            <w:hideMark/>
          </w:tcPr>
          <w:p w14:paraId="3F57BFC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C0+D100</w:t>
            </w:r>
          </w:p>
        </w:tc>
        <w:tc>
          <w:tcPr>
            <w:tcW w:w="1200" w:type="dxa"/>
            <w:tcBorders>
              <w:top w:val="nil"/>
              <w:left w:val="nil"/>
              <w:bottom w:val="nil"/>
              <w:right w:val="nil"/>
            </w:tcBorders>
            <w:shd w:val="clear" w:color="auto" w:fill="auto"/>
            <w:vAlign w:val="bottom"/>
            <w:hideMark/>
          </w:tcPr>
          <w:p w14:paraId="2465E82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0.23±0.03</w:t>
            </w:r>
          </w:p>
        </w:tc>
        <w:tc>
          <w:tcPr>
            <w:tcW w:w="1440" w:type="dxa"/>
            <w:tcBorders>
              <w:top w:val="nil"/>
              <w:left w:val="nil"/>
              <w:bottom w:val="nil"/>
              <w:right w:val="nil"/>
            </w:tcBorders>
            <w:shd w:val="clear" w:color="auto" w:fill="auto"/>
            <w:vAlign w:val="bottom"/>
            <w:hideMark/>
          </w:tcPr>
          <w:p w14:paraId="7486E67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0.08±0ab</w:t>
            </w:r>
          </w:p>
        </w:tc>
        <w:tc>
          <w:tcPr>
            <w:tcW w:w="1200" w:type="dxa"/>
            <w:tcBorders>
              <w:top w:val="nil"/>
              <w:left w:val="nil"/>
              <w:bottom w:val="nil"/>
              <w:right w:val="nil"/>
            </w:tcBorders>
            <w:shd w:val="clear" w:color="auto" w:fill="auto"/>
            <w:vAlign w:val="bottom"/>
            <w:hideMark/>
          </w:tcPr>
          <w:p w14:paraId="76456BE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24.46±8.14</w:t>
            </w:r>
          </w:p>
        </w:tc>
        <w:tc>
          <w:tcPr>
            <w:tcW w:w="1200" w:type="dxa"/>
            <w:tcBorders>
              <w:top w:val="nil"/>
              <w:left w:val="nil"/>
              <w:bottom w:val="nil"/>
              <w:right w:val="nil"/>
            </w:tcBorders>
            <w:shd w:val="clear" w:color="auto" w:fill="auto"/>
            <w:vAlign w:val="bottom"/>
            <w:hideMark/>
          </w:tcPr>
          <w:p w14:paraId="604A628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9.73±3.64</w:t>
            </w:r>
          </w:p>
        </w:tc>
        <w:tc>
          <w:tcPr>
            <w:tcW w:w="1740" w:type="dxa"/>
            <w:tcBorders>
              <w:top w:val="nil"/>
              <w:left w:val="nil"/>
              <w:bottom w:val="nil"/>
              <w:right w:val="nil"/>
            </w:tcBorders>
            <w:shd w:val="clear" w:color="auto" w:fill="auto"/>
            <w:vAlign w:val="bottom"/>
            <w:hideMark/>
          </w:tcPr>
          <w:p w14:paraId="20B3940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136.45±26.7</w:t>
            </w:r>
          </w:p>
        </w:tc>
        <w:tc>
          <w:tcPr>
            <w:tcW w:w="1900" w:type="dxa"/>
            <w:tcBorders>
              <w:top w:val="nil"/>
              <w:left w:val="nil"/>
              <w:bottom w:val="nil"/>
              <w:right w:val="nil"/>
            </w:tcBorders>
            <w:shd w:val="clear" w:color="auto" w:fill="auto"/>
            <w:vAlign w:val="bottom"/>
            <w:hideMark/>
          </w:tcPr>
          <w:p w14:paraId="24421A4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117.49±20.87ab</w:t>
            </w:r>
          </w:p>
        </w:tc>
      </w:tr>
      <w:tr w:rsidR="00D008D0" w:rsidRPr="00D008D0" w14:paraId="0CCCD056" w14:textId="77777777" w:rsidTr="00D008D0">
        <w:trPr>
          <w:trHeight w:val="525"/>
        </w:trPr>
        <w:tc>
          <w:tcPr>
            <w:tcW w:w="1200" w:type="dxa"/>
            <w:tcBorders>
              <w:top w:val="nil"/>
              <w:left w:val="nil"/>
              <w:bottom w:val="nil"/>
              <w:right w:val="nil"/>
            </w:tcBorders>
            <w:shd w:val="clear" w:color="auto" w:fill="auto"/>
            <w:vAlign w:val="bottom"/>
            <w:hideMark/>
          </w:tcPr>
          <w:p w14:paraId="3427421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C10+D75</w:t>
            </w:r>
          </w:p>
        </w:tc>
        <w:tc>
          <w:tcPr>
            <w:tcW w:w="1200" w:type="dxa"/>
            <w:tcBorders>
              <w:top w:val="nil"/>
              <w:left w:val="nil"/>
              <w:bottom w:val="nil"/>
              <w:right w:val="nil"/>
            </w:tcBorders>
            <w:shd w:val="clear" w:color="auto" w:fill="auto"/>
            <w:vAlign w:val="bottom"/>
            <w:hideMark/>
          </w:tcPr>
          <w:p w14:paraId="611EA998"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0.15±0.01</w:t>
            </w:r>
          </w:p>
        </w:tc>
        <w:tc>
          <w:tcPr>
            <w:tcW w:w="1440" w:type="dxa"/>
            <w:tcBorders>
              <w:top w:val="nil"/>
              <w:left w:val="nil"/>
              <w:bottom w:val="nil"/>
              <w:right w:val="nil"/>
            </w:tcBorders>
            <w:shd w:val="clear" w:color="auto" w:fill="auto"/>
            <w:vAlign w:val="bottom"/>
            <w:hideMark/>
          </w:tcPr>
          <w:p w14:paraId="705D0C2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0.13±0.02cd</w:t>
            </w:r>
          </w:p>
        </w:tc>
        <w:tc>
          <w:tcPr>
            <w:tcW w:w="1200" w:type="dxa"/>
            <w:tcBorders>
              <w:top w:val="nil"/>
              <w:left w:val="nil"/>
              <w:bottom w:val="nil"/>
              <w:right w:val="nil"/>
            </w:tcBorders>
            <w:shd w:val="clear" w:color="auto" w:fill="auto"/>
            <w:vAlign w:val="bottom"/>
            <w:hideMark/>
          </w:tcPr>
          <w:p w14:paraId="3CA714A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17.09±4.1</w:t>
            </w:r>
          </w:p>
        </w:tc>
        <w:tc>
          <w:tcPr>
            <w:tcW w:w="1200" w:type="dxa"/>
            <w:tcBorders>
              <w:top w:val="nil"/>
              <w:left w:val="nil"/>
              <w:bottom w:val="nil"/>
              <w:right w:val="nil"/>
            </w:tcBorders>
            <w:shd w:val="clear" w:color="auto" w:fill="auto"/>
            <w:vAlign w:val="bottom"/>
            <w:hideMark/>
          </w:tcPr>
          <w:p w14:paraId="70CFE2D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8.29±1</w:t>
            </w:r>
          </w:p>
        </w:tc>
        <w:tc>
          <w:tcPr>
            <w:tcW w:w="1740" w:type="dxa"/>
            <w:tcBorders>
              <w:top w:val="nil"/>
              <w:left w:val="nil"/>
              <w:bottom w:val="nil"/>
              <w:right w:val="nil"/>
            </w:tcBorders>
            <w:shd w:val="clear" w:color="auto" w:fill="auto"/>
            <w:vAlign w:val="bottom"/>
            <w:hideMark/>
          </w:tcPr>
          <w:p w14:paraId="723F522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119.79±8.05</w:t>
            </w:r>
          </w:p>
        </w:tc>
        <w:tc>
          <w:tcPr>
            <w:tcW w:w="1900" w:type="dxa"/>
            <w:tcBorders>
              <w:top w:val="nil"/>
              <w:left w:val="nil"/>
              <w:bottom w:val="nil"/>
              <w:right w:val="nil"/>
            </w:tcBorders>
            <w:shd w:val="clear" w:color="auto" w:fill="auto"/>
            <w:vAlign w:val="bottom"/>
            <w:hideMark/>
          </w:tcPr>
          <w:p w14:paraId="0240D8E1"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102.49±3.88bc</w:t>
            </w:r>
          </w:p>
        </w:tc>
      </w:tr>
      <w:tr w:rsidR="00D008D0" w:rsidRPr="00D008D0" w14:paraId="3B7BB05D" w14:textId="77777777" w:rsidTr="00D008D0">
        <w:trPr>
          <w:trHeight w:val="525"/>
        </w:trPr>
        <w:tc>
          <w:tcPr>
            <w:tcW w:w="1200" w:type="dxa"/>
            <w:tcBorders>
              <w:top w:val="nil"/>
              <w:left w:val="nil"/>
              <w:bottom w:val="nil"/>
              <w:right w:val="nil"/>
            </w:tcBorders>
            <w:shd w:val="clear" w:color="auto" w:fill="auto"/>
            <w:vAlign w:val="bottom"/>
            <w:hideMark/>
          </w:tcPr>
          <w:p w14:paraId="2861273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C5+D75</w:t>
            </w:r>
          </w:p>
        </w:tc>
        <w:tc>
          <w:tcPr>
            <w:tcW w:w="1200" w:type="dxa"/>
            <w:tcBorders>
              <w:top w:val="nil"/>
              <w:left w:val="nil"/>
              <w:bottom w:val="nil"/>
              <w:right w:val="nil"/>
            </w:tcBorders>
            <w:shd w:val="clear" w:color="auto" w:fill="auto"/>
            <w:vAlign w:val="bottom"/>
            <w:hideMark/>
          </w:tcPr>
          <w:p w14:paraId="322B689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0.15±0.04</w:t>
            </w:r>
          </w:p>
        </w:tc>
        <w:tc>
          <w:tcPr>
            <w:tcW w:w="1440" w:type="dxa"/>
            <w:tcBorders>
              <w:top w:val="nil"/>
              <w:left w:val="nil"/>
              <w:bottom w:val="nil"/>
              <w:right w:val="nil"/>
            </w:tcBorders>
            <w:shd w:val="clear" w:color="auto" w:fill="auto"/>
            <w:vAlign w:val="bottom"/>
            <w:hideMark/>
          </w:tcPr>
          <w:p w14:paraId="4658CCE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0.14±0.02cd</w:t>
            </w:r>
          </w:p>
        </w:tc>
        <w:tc>
          <w:tcPr>
            <w:tcW w:w="1200" w:type="dxa"/>
            <w:tcBorders>
              <w:top w:val="nil"/>
              <w:left w:val="nil"/>
              <w:bottom w:val="nil"/>
              <w:right w:val="nil"/>
            </w:tcBorders>
            <w:shd w:val="clear" w:color="auto" w:fill="auto"/>
            <w:vAlign w:val="bottom"/>
            <w:hideMark/>
          </w:tcPr>
          <w:p w14:paraId="57B979C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11.63±2.1</w:t>
            </w:r>
          </w:p>
        </w:tc>
        <w:tc>
          <w:tcPr>
            <w:tcW w:w="1200" w:type="dxa"/>
            <w:tcBorders>
              <w:top w:val="nil"/>
              <w:left w:val="nil"/>
              <w:bottom w:val="nil"/>
              <w:right w:val="nil"/>
            </w:tcBorders>
            <w:shd w:val="clear" w:color="auto" w:fill="auto"/>
            <w:vAlign w:val="bottom"/>
            <w:hideMark/>
          </w:tcPr>
          <w:p w14:paraId="0182480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8.33±1.35</w:t>
            </w:r>
          </w:p>
        </w:tc>
        <w:tc>
          <w:tcPr>
            <w:tcW w:w="1740" w:type="dxa"/>
            <w:tcBorders>
              <w:top w:val="nil"/>
              <w:left w:val="nil"/>
              <w:bottom w:val="nil"/>
              <w:right w:val="nil"/>
            </w:tcBorders>
            <w:shd w:val="clear" w:color="auto" w:fill="auto"/>
            <w:vAlign w:val="bottom"/>
            <w:hideMark/>
          </w:tcPr>
          <w:p w14:paraId="7E10E70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133.32±20.05</w:t>
            </w:r>
          </w:p>
        </w:tc>
        <w:tc>
          <w:tcPr>
            <w:tcW w:w="1900" w:type="dxa"/>
            <w:tcBorders>
              <w:top w:val="nil"/>
              <w:left w:val="nil"/>
              <w:bottom w:val="nil"/>
              <w:right w:val="nil"/>
            </w:tcBorders>
            <w:shd w:val="clear" w:color="auto" w:fill="auto"/>
            <w:vAlign w:val="bottom"/>
            <w:hideMark/>
          </w:tcPr>
          <w:p w14:paraId="697B551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136.66±11.49bc</w:t>
            </w:r>
          </w:p>
        </w:tc>
      </w:tr>
      <w:tr w:rsidR="00D008D0" w:rsidRPr="00D008D0" w14:paraId="5517E5B0" w14:textId="77777777" w:rsidTr="00D008D0">
        <w:trPr>
          <w:trHeight w:val="525"/>
        </w:trPr>
        <w:tc>
          <w:tcPr>
            <w:tcW w:w="1200" w:type="dxa"/>
            <w:tcBorders>
              <w:top w:val="nil"/>
              <w:left w:val="nil"/>
              <w:bottom w:val="nil"/>
              <w:right w:val="nil"/>
            </w:tcBorders>
            <w:shd w:val="clear" w:color="auto" w:fill="auto"/>
            <w:vAlign w:val="bottom"/>
            <w:hideMark/>
          </w:tcPr>
          <w:p w14:paraId="1329C04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C0+D75</w:t>
            </w:r>
          </w:p>
        </w:tc>
        <w:tc>
          <w:tcPr>
            <w:tcW w:w="1200" w:type="dxa"/>
            <w:tcBorders>
              <w:top w:val="nil"/>
              <w:left w:val="nil"/>
              <w:bottom w:val="nil"/>
              <w:right w:val="nil"/>
            </w:tcBorders>
            <w:shd w:val="clear" w:color="auto" w:fill="auto"/>
            <w:vAlign w:val="bottom"/>
            <w:hideMark/>
          </w:tcPr>
          <w:p w14:paraId="43C2D54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0.18±0.02</w:t>
            </w:r>
          </w:p>
        </w:tc>
        <w:tc>
          <w:tcPr>
            <w:tcW w:w="1440" w:type="dxa"/>
            <w:tcBorders>
              <w:top w:val="nil"/>
              <w:left w:val="nil"/>
              <w:bottom w:val="nil"/>
              <w:right w:val="nil"/>
            </w:tcBorders>
            <w:shd w:val="clear" w:color="auto" w:fill="auto"/>
            <w:vAlign w:val="bottom"/>
            <w:hideMark/>
          </w:tcPr>
          <w:p w14:paraId="247D3BC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0.06±0a</w:t>
            </w:r>
          </w:p>
        </w:tc>
        <w:tc>
          <w:tcPr>
            <w:tcW w:w="1200" w:type="dxa"/>
            <w:tcBorders>
              <w:top w:val="nil"/>
              <w:left w:val="nil"/>
              <w:bottom w:val="nil"/>
              <w:right w:val="nil"/>
            </w:tcBorders>
            <w:shd w:val="clear" w:color="auto" w:fill="auto"/>
            <w:vAlign w:val="bottom"/>
            <w:hideMark/>
          </w:tcPr>
          <w:p w14:paraId="736ABDC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12.34±2.19</w:t>
            </w:r>
          </w:p>
        </w:tc>
        <w:tc>
          <w:tcPr>
            <w:tcW w:w="1200" w:type="dxa"/>
            <w:tcBorders>
              <w:top w:val="nil"/>
              <w:left w:val="nil"/>
              <w:bottom w:val="nil"/>
              <w:right w:val="nil"/>
            </w:tcBorders>
            <w:shd w:val="clear" w:color="auto" w:fill="auto"/>
            <w:vAlign w:val="bottom"/>
            <w:hideMark/>
          </w:tcPr>
          <w:p w14:paraId="60FF1A2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6.68±2.21</w:t>
            </w:r>
          </w:p>
        </w:tc>
        <w:tc>
          <w:tcPr>
            <w:tcW w:w="1740" w:type="dxa"/>
            <w:tcBorders>
              <w:top w:val="nil"/>
              <w:left w:val="nil"/>
              <w:bottom w:val="nil"/>
              <w:right w:val="nil"/>
            </w:tcBorders>
            <w:shd w:val="clear" w:color="auto" w:fill="auto"/>
            <w:vAlign w:val="bottom"/>
            <w:hideMark/>
          </w:tcPr>
          <w:p w14:paraId="359B90C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134.37±14.87</w:t>
            </w:r>
          </w:p>
        </w:tc>
        <w:tc>
          <w:tcPr>
            <w:tcW w:w="1900" w:type="dxa"/>
            <w:tcBorders>
              <w:top w:val="nil"/>
              <w:left w:val="nil"/>
              <w:bottom w:val="nil"/>
              <w:right w:val="nil"/>
            </w:tcBorders>
            <w:shd w:val="clear" w:color="auto" w:fill="auto"/>
            <w:vAlign w:val="bottom"/>
            <w:hideMark/>
          </w:tcPr>
          <w:p w14:paraId="2C0EF69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137.91±4.43a</w:t>
            </w:r>
          </w:p>
        </w:tc>
      </w:tr>
      <w:tr w:rsidR="00D008D0" w:rsidRPr="00D008D0" w14:paraId="42DFCAB9" w14:textId="77777777" w:rsidTr="00D008D0">
        <w:trPr>
          <w:trHeight w:val="525"/>
        </w:trPr>
        <w:tc>
          <w:tcPr>
            <w:tcW w:w="1200" w:type="dxa"/>
            <w:tcBorders>
              <w:top w:val="nil"/>
              <w:left w:val="nil"/>
              <w:bottom w:val="nil"/>
              <w:right w:val="nil"/>
            </w:tcBorders>
            <w:shd w:val="clear" w:color="auto" w:fill="auto"/>
            <w:vAlign w:val="bottom"/>
            <w:hideMark/>
          </w:tcPr>
          <w:p w14:paraId="10D3660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C10+D50</w:t>
            </w:r>
          </w:p>
        </w:tc>
        <w:tc>
          <w:tcPr>
            <w:tcW w:w="1200" w:type="dxa"/>
            <w:tcBorders>
              <w:top w:val="nil"/>
              <w:left w:val="nil"/>
              <w:bottom w:val="nil"/>
              <w:right w:val="nil"/>
            </w:tcBorders>
            <w:shd w:val="clear" w:color="auto" w:fill="auto"/>
            <w:vAlign w:val="bottom"/>
            <w:hideMark/>
          </w:tcPr>
          <w:p w14:paraId="18FF0E1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0.17±0.03</w:t>
            </w:r>
          </w:p>
        </w:tc>
        <w:tc>
          <w:tcPr>
            <w:tcW w:w="1440" w:type="dxa"/>
            <w:tcBorders>
              <w:top w:val="nil"/>
              <w:left w:val="nil"/>
              <w:bottom w:val="nil"/>
              <w:right w:val="nil"/>
            </w:tcBorders>
            <w:shd w:val="clear" w:color="auto" w:fill="auto"/>
            <w:vAlign w:val="bottom"/>
            <w:hideMark/>
          </w:tcPr>
          <w:p w14:paraId="0BCD3F0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0.12±0.01cd</w:t>
            </w:r>
          </w:p>
        </w:tc>
        <w:tc>
          <w:tcPr>
            <w:tcW w:w="1200" w:type="dxa"/>
            <w:tcBorders>
              <w:top w:val="nil"/>
              <w:left w:val="nil"/>
              <w:bottom w:val="nil"/>
              <w:right w:val="nil"/>
            </w:tcBorders>
            <w:shd w:val="clear" w:color="auto" w:fill="auto"/>
            <w:vAlign w:val="bottom"/>
            <w:hideMark/>
          </w:tcPr>
          <w:p w14:paraId="5BF70CB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12.6±6.14</w:t>
            </w:r>
          </w:p>
        </w:tc>
        <w:tc>
          <w:tcPr>
            <w:tcW w:w="1200" w:type="dxa"/>
            <w:tcBorders>
              <w:top w:val="nil"/>
              <w:left w:val="nil"/>
              <w:bottom w:val="nil"/>
              <w:right w:val="nil"/>
            </w:tcBorders>
            <w:shd w:val="clear" w:color="auto" w:fill="auto"/>
            <w:vAlign w:val="bottom"/>
            <w:hideMark/>
          </w:tcPr>
          <w:p w14:paraId="2FAF8BEB"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10.6±0.66</w:t>
            </w:r>
          </w:p>
        </w:tc>
        <w:tc>
          <w:tcPr>
            <w:tcW w:w="1740" w:type="dxa"/>
            <w:tcBorders>
              <w:top w:val="nil"/>
              <w:left w:val="nil"/>
              <w:bottom w:val="nil"/>
              <w:right w:val="nil"/>
            </w:tcBorders>
            <w:shd w:val="clear" w:color="auto" w:fill="auto"/>
            <w:vAlign w:val="bottom"/>
            <w:hideMark/>
          </w:tcPr>
          <w:p w14:paraId="7C977C20"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123.95±15.9</w:t>
            </w:r>
          </w:p>
        </w:tc>
        <w:tc>
          <w:tcPr>
            <w:tcW w:w="1900" w:type="dxa"/>
            <w:tcBorders>
              <w:top w:val="nil"/>
              <w:left w:val="nil"/>
              <w:bottom w:val="nil"/>
              <w:right w:val="nil"/>
            </w:tcBorders>
            <w:shd w:val="clear" w:color="auto" w:fill="auto"/>
            <w:vAlign w:val="bottom"/>
            <w:hideMark/>
          </w:tcPr>
          <w:p w14:paraId="5A81DBF2"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121.66±10.95abc</w:t>
            </w:r>
          </w:p>
        </w:tc>
      </w:tr>
      <w:tr w:rsidR="00D008D0" w:rsidRPr="00D008D0" w14:paraId="3905A123" w14:textId="77777777" w:rsidTr="00D008D0">
        <w:trPr>
          <w:trHeight w:val="525"/>
        </w:trPr>
        <w:tc>
          <w:tcPr>
            <w:tcW w:w="1200" w:type="dxa"/>
            <w:tcBorders>
              <w:top w:val="nil"/>
              <w:left w:val="nil"/>
              <w:bottom w:val="nil"/>
              <w:right w:val="nil"/>
            </w:tcBorders>
            <w:shd w:val="clear" w:color="auto" w:fill="auto"/>
            <w:vAlign w:val="bottom"/>
            <w:hideMark/>
          </w:tcPr>
          <w:p w14:paraId="1E71060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C5+D50</w:t>
            </w:r>
          </w:p>
        </w:tc>
        <w:tc>
          <w:tcPr>
            <w:tcW w:w="1200" w:type="dxa"/>
            <w:tcBorders>
              <w:top w:val="nil"/>
              <w:left w:val="nil"/>
              <w:bottom w:val="nil"/>
              <w:right w:val="nil"/>
            </w:tcBorders>
            <w:shd w:val="clear" w:color="auto" w:fill="auto"/>
            <w:vAlign w:val="bottom"/>
            <w:hideMark/>
          </w:tcPr>
          <w:p w14:paraId="710221A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0.16±0.02</w:t>
            </w:r>
          </w:p>
        </w:tc>
        <w:tc>
          <w:tcPr>
            <w:tcW w:w="1440" w:type="dxa"/>
            <w:tcBorders>
              <w:top w:val="nil"/>
              <w:left w:val="nil"/>
              <w:bottom w:val="nil"/>
              <w:right w:val="nil"/>
            </w:tcBorders>
            <w:shd w:val="clear" w:color="auto" w:fill="auto"/>
            <w:vAlign w:val="bottom"/>
            <w:hideMark/>
          </w:tcPr>
          <w:p w14:paraId="79D2B479"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0.12±0.01cd</w:t>
            </w:r>
          </w:p>
        </w:tc>
        <w:tc>
          <w:tcPr>
            <w:tcW w:w="1200" w:type="dxa"/>
            <w:tcBorders>
              <w:top w:val="nil"/>
              <w:left w:val="nil"/>
              <w:bottom w:val="nil"/>
              <w:right w:val="nil"/>
            </w:tcBorders>
            <w:shd w:val="clear" w:color="auto" w:fill="auto"/>
            <w:vAlign w:val="bottom"/>
            <w:hideMark/>
          </w:tcPr>
          <w:p w14:paraId="236282DD"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14.18±3.01</w:t>
            </w:r>
          </w:p>
        </w:tc>
        <w:tc>
          <w:tcPr>
            <w:tcW w:w="1200" w:type="dxa"/>
            <w:tcBorders>
              <w:top w:val="nil"/>
              <w:left w:val="nil"/>
              <w:bottom w:val="nil"/>
              <w:right w:val="nil"/>
            </w:tcBorders>
            <w:shd w:val="clear" w:color="auto" w:fill="auto"/>
            <w:vAlign w:val="bottom"/>
            <w:hideMark/>
          </w:tcPr>
          <w:p w14:paraId="15432A5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7.36±0.27</w:t>
            </w:r>
          </w:p>
        </w:tc>
        <w:tc>
          <w:tcPr>
            <w:tcW w:w="1740" w:type="dxa"/>
            <w:tcBorders>
              <w:top w:val="nil"/>
              <w:left w:val="nil"/>
              <w:bottom w:val="nil"/>
              <w:right w:val="nil"/>
            </w:tcBorders>
            <w:shd w:val="clear" w:color="auto" w:fill="auto"/>
            <w:vAlign w:val="bottom"/>
            <w:hideMark/>
          </w:tcPr>
          <w:p w14:paraId="4CBBD4B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88.54±2.62</w:t>
            </w:r>
          </w:p>
        </w:tc>
        <w:tc>
          <w:tcPr>
            <w:tcW w:w="1900" w:type="dxa"/>
            <w:tcBorders>
              <w:top w:val="nil"/>
              <w:left w:val="nil"/>
              <w:bottom w:val="nil"/>
              <w:right w:val="nil"/>
            </w:tcBorders>
            <w:shd w:val="clear" w:color="auto" w:fill="auto"/>
            <w:vAlign w:val="bottom"/>
            <w:hideMark/>
          </w:tcPr>
          <w:p w14:paraId="5CDD835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111.66±11.44abc</w:t>
            </w:r>
          </w:p>
        </w:tc>
      </w:tr>
      <w:tr w:rsidR="00D008D0" w:rsidRPr="00D008D0" w14:paraId="3C0468FB" w14:textId="77777777" w:rsidTr="00D008D0">
        <w:trPr>
          <w:trHeight w:val="525"/>
        </w:trPr>
        <w:tc>
          <w:tcPr>
            <w:tcW w:w="1200" w:type="dxa"/>
            <w:tcBorders>
              <w:top w:val="nil"/>
              <w:left w:val="nil"/>
              <w:bottom w:val="nil"/>
              <w:right w:val="nil"/>
            </w:tcBorders>
            <w:shd w:val="clear" w:color="auto" w:fill="auto"/>
            <w:vAlign w:val="bottom"/>
            <w:hideMark/>
          </w:tcPr>
          <w:p w14:paraId="28039C7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C0+D50</w:t>
            </w:r>
          </w:p>
        </w:tc>
        <w:tc>
          <w:tcPr>
            <w:tcW w:w="1200" w:type="dxa"/>
            <w:tcBorders>
              <w:top w:val="nil"/>
              <w:left w:val="nil"/>
              <w:bottom w:val="nil"/>
              <w:right w:val="nil"/>
            </w:tcBorders>
            <w:shd w:val="clear" w:color="auto" w:fill="auto"/>
            <w:vAlign w:val="bottom"/>
            <w:hideMark/>
          </w:tcPr>
          <w:p w14:paraId="2D95AE5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0.17±0.02</w:t>
            </w:r>
          </w:p>
        </w:tc>
        <w:tc>
          <w:tcPr>
            <w:tcW w:w="1440" w:type="dxa"/>
            <w:tcBorders>
              <w:top w:val="nil"/>
              <w:left w:val="nil"/>
              <w:bottom w:val="nil"/>
              <w:right w:val="nil"/>
            </w:tcBorders>
            <w:shd w:val="clear" w:color="auto" w:fill="auto"/>
            <w:vAlign w:val="bottom"/>
            <w:hideMark/>
          </w:tcPr>
          <w:p w14:paraId="624EDD4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0.08±0.01ab</w:t>
            </w:r>
          </w:p>
        </w:tc>
        <w:tc>
          <w:tcPr>
            <w:tcW w:w="1200" w:type="dxa"/>
            <w:tcBorders>
              <w:top w:val="nil"/>
              <w:left w:val="nil"/>
              <w:bottom w:val="nil"/>
              <w:right w:val="nil"/>
            </w:tcBorders>
            <w:shd w:val="clear" w:color="auto" w:fill="auto"/>
            <w:vAlign w:val="bottom"/>
            <w:hideMark/>
          </w:tcPr>
          <w:p w14:paraId="068CEA08"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12.47±4.92</w:t>
            </w:r>
          </w:p>
        </w:tc>
        <w:tc>
          <w:tcPr>
            <w:tcW w:w="1200" w:type="dxa"/>
            <w:tcBorders>
              <w:top w:val="nil"/>
              <w:left w:val="nil"/>
              <w:bottom w:val="nil"/>
              <w:right w:val="nil"/>
            </w:tcBorders>
            <w:shd w:val="clear" w:color="auto" w:fill="auto"/>
            <w:vAlign w:val="bottom"/>
            <w:hideMark/>
          </w:tcPr>
          <w:p w14:paraId="66FAEF9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5.43±0.29</w:t>
            </w:r>
          </w:p>
        </w:tc>
        <w:tc>
          <w:tcPr>
            <w:tcW w:w="1740" w:type="dxa"/>
            <w:tcBorders>
              <w:top w:val="nil"/>
              <w:left w:val="nil"/>
              <w:bottom w:val="nil"/>
              <w:right w:val="nil"/>
            </w:tcBorders>
            <w:shd w:val="clear" w:color="auto" w:fill="auto"/>
            <w:vAlign w:val="bottom"/>
            <w:hideMark/>
          </w:tcPr>
          <w:p w14:paraId="43C5BCD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140.62±32.91</w:t>
            </w:r>
          </w:p>
        </w:tc>
        <w:tc>
          <w:tcPr>
            <w:tcW w:w="1900" w:type="dxa"/>
            <w:tcBorders>
              <w:top w:val="nil"/>
              <w:left w:val="nil"/>
              <w:bottom w:val="nil"/>
              <w:right w:val="nil"/>
            </w:tcBorders>
            <w:shd w:val="clear" w:color="auto" w:fill="auto"/>
            <w:vAlign w:val="bottom"/>
            <w:hideMark/>
          </w:tcPr>
          <w:p w14:paraId="13EB115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86.25±4.48ab</w:t>
            </w:r>
          </w:p>
        </w:tc>
      </w:tr>
      <w:tr w:rsidR="00D008D0" w:rsidRPr="00D008D0" w14:paraId="4C52E557" w14:textId="77777777" w:rsidTr="00D008D0">
        <w:trPr>
          <w:trHeight w:val="285"/>
        </w:trPr>
        <w:tc>
          <w:tcPr>
            <w:tcW w:w="1200" w:type="dxa"/>
            <w:tcBorders>
              <w:top w:val="nil"/>
              <w:left w:val="nil"/>
              <w:bottom w:val="nil"/>
              <w:right w:val="nil"/>
            </w:tcBorders>
            <w:shd w:val="clear" w:color="auto" w:fill="auto"/>
            <w:vAlign w:val="bottom"/>
            <w:hideMark/>
          </w:tcPr>
          <w:p w14:paraId="103C3822"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P</w:t>
            </w:r>
          </w:p>
        </w:tc>
        <w:tc>
          <w:tcPr>
            <w:tcW w:w="1200" w:type="dxa"/>
            <w:tcBorders>
              <w:top w:val="nil"/>
              <w:left w:val="nil"/>
              <w:bottom w:val="nil"/>
              <w:right w:val="nil"/>
            </w:tcBorders>
            <w:shd w:val="clear" w:color="auto" w:fill="auto"/>
            <w:vAlign w:val="bottom"/>
            <w:hideMark/>
          </w:tcPr>
          <w:p w14:paraId="714226BF"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0.057</w:t>
            </w:r>
          </w:p>
        </w:tc>
        <w:tc>
          <w:tcPr>
            <w:tcW w:w="1440" w:type="dxa"/>
            <w:tcBorders>
              <w:top w:val="nil"/>
              <w:left w:val="nil"/>
              <w:bottom w:val="nil"/>
              <w:right w:val="nil"/>
            </w:tcBorders>
            <w:shd w:val="clear" w:color="auto" w:fill="auto"/>
            <w:vAlign w:val="bottom"/>
            <w:hideMark/>
          </w:tcPr>
          <w:p w14:paraId="11D568A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w:t>
            </w:r>
          </w:p>
        </w:tc>
        <w:tc>
          <w:tcPr>
            <w:tcW w:w="1200" w:type="dxa"/>
            <w:tcBorders>
              <w:top w:val="nil"/>
              <w:left w:val="nil"/>
              <w:bottom w:val="nil"/>
              <w:right w:val="nil"/>
            </w:tcBorders>
            <w:shd w:val="clear" w:color="auto" w:fill="auto"/>
            <w:vAlign w:val="bottom"/>
            <w:hideMark/>
          </w:tcPr>
          <w:p w14:paraId="431C542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0.0575</w:t>
            </w:r>
          </w:p>
        </w:tc>
        <w:tc>
          <w:tcPr>
            <w:tcW w:w="1200" w:type="dxa"/>
            <w:tcBorders>
              <w:top w:val="nil"/>
              <w:left w:val="nil"/>
              <w:bottom w:val="nil"/>
              <w:right w:val="nil"/>
            </w:tcBorders>
            <w:shd w:val="clear" w:color="auto" w:fill="auto"/>
            <w:vAlign w:val="bottom"/>
            <w:hideMark/>
          </w:tcPr>
          <w:p w14:paraId="30D4A68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0.603</w:t>
            </w:r>
          </w:p>
        </w:tc>
        <w:tc>
          <w:tcPr>
            <w:tcW w:w="1740" w:type="dxa"/>
            <w:tcBorders>
              <w:top w:val="nil"/>
              <w:left w:val="nil"/>
              <w:bottom w:val="nil"/>
              <w:right w:val="nil"/>
            </w:tcBorders>
            <w:shd w:val="clear" w:color="auto" w:fill="auto"/>
            <w:vAlign w:val="bottom"/>
            <w:hideMark/>
          </w:tcPr>
          <w:p w14:paraId="6905140E"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0.0674</w:t>
            </w:r>
          </w:p>
        </w:tc>
        <w:tc>
          <w:tcPr>
            <w:tcW w:w="1900" w:type="dxa"/>
            <w:tcBorders>
              <w:top w:val="nil"/>
              <w:left w:val="nil"/>
              <w:bottom w:val="nil"/>
              <w:right w:val="nil"/>
            </w:tcBorders>
            <w:shd w:val="clear" w:color="auto" w:fill="auto"/>
            <w:vAlign w:val="bottom"/>
            <w:hideMark/>
          </w:tcPr>
          <w:p w14:paraId="02DF51D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0.013</w:t>
            </w:r>
          </w:p>
        </w:tc>
      </w:tr>
      <w:tr w:rsidR="00D008D0" w:rsidRPr="00D008D0" w14:paraId="53C60C7D" w14:textId="77777777" w:rsidTr="00D008D0">
        <w:trPr>
          <w:trHeight w:val="293"/>
        </w:trPr>
        <w:tc>
          <w:tcPr>
            <w:tcW w:w="1200" w:type="dxa"/>
            <w:tcBorders>
              <w:top w:val="nil"/>
              <w:left w:val="nil"/>
              <w:bottom w:val="single" w:sz="8" w:space="0" w:color="000000"/>
              <w:right w:val="nil"/>
            </w:tcBorders>
            <w:shd w:val="clear" w:color="auto" w:fill="auto"/>
            <w:vAlign w:val="bottom"/>
            <w:hideMark/>
          </w:tcPr>
          <w:p w14:paraId="233524B5"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Significance</w:t>
            </w:r>
          </w:p>
        </w:tc>
        <w:tc>
          <w:tcPr>
            <w:tcW w:w="1200" w:type="dxa"/>
            <w:tcBorders>
              <w:top w:val="nil"/>
              <w:left w:val="nil"/>
              <w:bottom w:val="single" w:sz="8" w:space="0" w:color="000000"/>
              <w:right w:val="nil"/>
            </w:tcBorders>
            <w:shd w:val="clear" w:color="auto" w:fill="auto"/>
            <w:vAlign w:val="bottom"/>
            <w:hideMark/>
          </w:tcPr>
          <w:p w14:paraId="48CE0606"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440" w:type="dxa"/>
            <w:tcBorders>
              <w:top w:val="nil"/>
              <w:left w:val="nil"/>
              <w:bottom w:val="single" w:sz="8" w:space="0" w:color="000000"/>
              <w:right w:val="nil"/>
            </w:tcBorders>
            <w:shd w:val="clear" w:color="auto" w:fill="auto"/>
            <w:vAlign w:val="bottom"/>
            <w:hideMark/>
          </w:tcPr>
          <w:p w14:paraId="22C9FEF4"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w:t>
            </w:r>
          </w:p>
        </w:tc>
        <w:tc>
          <w:tcPr>
            <w:tcW w:w="1200" w:type="dxa"/>
            <w:tcBorders>
              <w:top w:val="nil"/>
              <w:left w:val="nil"/>
              <w:bottom w:val="single" w:sz="8" w:space="0" w:color="000000"/>
              <w:right w:val="nil"/>
            </w:tcBorders>
            <w:shd w:val="clear" w:color="auto" w:fill="auto"/>
            <w:vAlign w:val="bottom"/>
            <w:hideMark/>
          </w:tcPr>
          <w:p w14:paraId="3A46AA43"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200" w:type="dxa"/>
            <w:tcBorders>
              <w:top w:val="nil"/>
              <w:left w:val="nil"/>
              <w:bottom w:val="single" w:sz="8" w:space="0" w:color="000000"/>
              <w:right w:val="nil"/>
            </w:tcBorders>
            <w:shd w:val="clear" w:color="auto" w:fill="auto"/>
            <w:vAlign w:val="bottom"/>
            <w:hideMark/>
          </w:tcPr>
          <w:p w14:paraId="43FE9B1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740" w:type="dxa"/>
            <w:tcBorders>
              <w:top w:val="nil"/>
              <w:left w:val="nil"/>
              <w:bottom w:val="single" w:sz="8" w:space="0" w:color="000000"/>
              <w:right w:val="nil"/>
            </w:tcBorders>
            <w:shd w:val="clear" w:color="auto" w:fill="auto"/>
            <w:vAlign w:val="bottom"/>
            <w:hideMark/>
          </w:tcPr>
          <w:p w14:paraId="19909787"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ns</w:t>
            </w:r>
          </w:p>
        </w:tc>
        <w:tc>
          <w:tcPr>
            <w:tcW w:w="1900" w:type="dxa"/>
            <w:tcBorders>
              <w:top w:val="nil"/>
              <w:left w:val="nil"/>
              <w:bottom w:val="single" w:sz="8" w:space="0" w:color="000000"/>
              <w:right w:val="nil"/>
            </w:tcBorders>
            <w:shd w:val="clear" w:color="auto" w:fill="auto"/>
            <w:vAlign w:val="bottom"/>
            <w:hideMark/>
          </w:tcPr>
          <w:p w14:paraId="5B11C52C" w14:textId="77777777" w:rsidR="00D008D0" w:rsidRPr="00D008D0" w:rsidRDefault="00D008D0" w:rsidP="00D008D0">
            <w:pPr>
              <w:jc w:val="both"/>
              <w:rPr>
                <w:rFonts w:ascii="Arial" w:hAnsi="Arial" w:cs="Arial"/>
                <w:color w:val="000000"/>
              </w:rPr>
            </w:pPr>
            <w:r w:rsidRPr="00D008D0">
              <w:rPr>
                <w:rFonts w:ascii="Arial" w:hAnsi="Arial" w:cs="Arial"/>
                <w:color w:val="000000"/>
                <w:kern w:val="24"/>
              </w:rPr>
              <w:t>*</w:t>
            </w:r>
          </w:p>
        </w:tc>
      </w:tr>
    </w:tbl>
    <w:p w14:paraId="6A1B6AE8" w14:textId="5E41A1DE" w:rsidR="003A08A2" w:rsidRPr="003A08A2" w:rsidRDefault="00480F4D" w:rsidP="003A6B7B">
      <w:pPr>
        <w:pStyle w:val="Body"/>
        <w:spacing w:after="0"/>
        <w:rPr>
          <w:rFonts w:ascii="Arial" w:hAnsi="Arial" w:cs="Arial"/>
          <w:lang w:val="fr-FR"/>
        </w:rPr>
      </w:pPr>
      <w:r>
        <w:rPr>
          <w:rFonts w:ascii="Arial" w:hAnsi="Arial" w:cs="Arial"/>
          <w:lang w:val="fr-FR"/>
        </w:rPr>
        <w:t>ns : non significative</w:t>
      </w:r>
    </w:p>
    <w:p w14:paraId="38E1261E" w14:textId="5AEC1D56" w:rsidR="003A08A2" w:rsidRPr="003A08A2" w:rsidRDefault="00480F4D" w:rsidP="003A6B7B">
      <w:pPr>
        <w:pStyle w:val="Body"/>
        <w:spacing w:after="0"/>
        <w:rPr>
          <w:rFonts w:ascii="Arial" w:hAnsi="Arial" w:cs="Arial"/>
          <w:lang w:val="fr-FR"/>
        </w:rPr>
      </w:pPr>
      <w:r>
        <w:rPr>
          <w:rFonts w:ascii="Arial" w:hAnsi="Arial" w:cs="Arial"/>
          <w:lang w:val="fr-FR"/>
        </w:rPr>
        <w:t>***: significative</w:t>
      </w:r>
      <w:r w:rsidR="003A08A2" w:rsidRPr="003A08A2">
        <w:rPr>
          <w:rFonts w:ascii="Arial" w:hAnsi="Arial" w:cs="Arial"/>
          <w:lang w:val="fr-FR"/>
        </w:rPr>
        <w:t xml:space="preserve"> </w:t>
      </w:r>
      <w:r>
        <w:rPr>
          <w:rFonts w:ascii="Arial" w:hAnsi="Arial" w:cs="Arial"/>
          <w:lang w:val="fr-FR"/>
        </w:rPr>
        <w:t>with</w:t>
      </w:r>
      <w:r w:rsidR="003A08A2" w:rsidRPr="003A08A2">
        <w:rPr>
          <w:rFonts w:ascii="Arial" w:hAnsi="Arial" w:cs="Arial"/>
          <w:lang w:val="fr-FR"/>
        </w:rPr>
        <w:t xml:space="preserve"> p˂0,001</w:t>
      </w:r>
    </w:p>
    <w:p w14:paraId="30800C97" w14:textId="4FF0597C" w:rsidR="003A08A2" w:rsidRDefault="00480F4D" w:rsidP="003A6B7B">
      <w:pPr>
        <w:pStyle w:val="Body"/>
        <w:spacing w:after="0"/>
        <w:rPr>
          <w:rFonts w:ascii="Arial" w:hAnsi="Arial" w:cs="Arial"/>
          <w:lang w:val="fr-FR"/>
        </w:rPr>
      </w:pPr>
      <w:r>
        <w:rPr>
          <w:rFonts w:ascii="Arial" w:hAnsi="Arial" w:cs="Arial"/>
          <w:lang w:val="fr-FR"/>
        </w:rPr>
        <w:t>*: significative</w:t>
      </w:r>
      <w:r w:rsidR="003A08A2" w:rsidRPr="003A08A2">
        <w:rPr>
          <w:rFonts w:ascii="Arial" w:hAnsi="Arial" w:cs="Arial"/>
          <w:lang w:val="fr-FR"/>
        </w:rPr>
        <w:t xml:space="preserve"> </w:t>
      </w:r>
      <w:r>
        <w:rPr>
          <w:rFonts w:ascii="Arial" w:hAnsi="Arial" w:cs="Arial"/>
          <w:lang w:val="fr-FR"/>
        </w:rPr>
        <w:t>with</w:t>
      </w:r>
      <w:r w:rsidR="003A08A2" w:rsidRPr="003A08A2">
        <w:rPr>
          <w:rFonts w:ascii="Arial" w:hAnsi="Arial" w:cs="Arial"/>
          <w:lang w:val="fr-FR"/>
        </w:rPr>
        <w:t xml:space="preserve"> p˂0,05</w:t>
      </w:r>
    </w:p>
    <w:p w14:paraId="3347BD30" w14:textId="77777777" w:rsidR="005A53FE" w:rsidRPr="003A08A2" w:rsidRDefault="005A53FE" w:rsidP="003A6B7B">
      <w:pPr>
        <w:pStyle w:val="Body"/>
        <w:spacing w:after="0"/>
        <w:rPr>
          <w:rFonts w:ascii="Arial" w:hAnsi="Arial" w:cs="Arial"/>
          <w:lang w:val="fr-FR"/>
        </w:rPr>
      </w:pPr>
    </w:p>
    <w:p w14:paraId="4911246D" w14:textId="2CDDB7FA" w:rsidR="003A08A2" w:rsidRPr="001F31F1" w:rsidRDefault="003A08A2" w:rsidP="00977367">
      <w:pPr>
        <w:pStyle w:val="Body"/>
        <w:jc w:val="left"/>
        <w:rPr>
          <w:rFonts w:ascii="Arial" w:hAnsi="Arial" w:cs="Arial"/>
          <w:b/>
          <w:bCs/>
          <w:u w:val="single"/>
        </w:rPr>
      </w:pPr>
      <w:r w:rsidRPr="001F31F1">
        <w:rPr>
          <w:rFonts w:ascii="Arial" w:hAnsi="Arial" w:cs="Arial"/>
          <w:b/>
          <w:bCs/>
          <w:u w:val="single"/>
        </w:rPr>
        <w:t xml:space="preserve">3.1.4. </w:t>
      </w:r>
      <w:r w:rsidR="00480F4D" w:rsidRPr="001F31F1">
        <w:rPr>
          <w:rFonts w:ascii="Arial" w:hAnsi="Arial" w:cs="Arial"/>
          <w:b/>
          <w:bCs/>
          <w:u w:val="single"/>
        </w:rPr>
        <w:t>Effect of treatments on exchangeable bases</w:t>
      </w:r>
    </w:p>
    <w:p w14:paraId="02181A4A" w14:textId="77777777" w:rsidR="003F5349" w:rsidRDefault="00480F4D" w:rsidP="00480F4D">
      <w:pPr>
        <w:pStyle w:val="Body"/>
        <w:rPr>
          <w:rFonts w:ascii="Arial" w:hAnsi="Arial" w:cs="Arial"/>
        </w:rPr>
        <w:sectPr w:rsidR="003F5349" w:rsidSect="00111842">
          <w:type w:val="continuous"/>
          <w:pgSz w:w="12240" w:h="15840"/>
          <w:pgMar w:top="2016" w:right="2016" w:bottom="1440" w:left="2016" w:header="720" w:footer="1123" w:gutter="0"/>
          <w:cols w:space="720"/>
          <w:docGrid w:linePitch="272"/>
        </w:sectPr>
      </w:pPr>
      <w:r w:rsidRPr="001F31F1">
        <w:rPr>
          <w:rFonts w:ascii="Arial" w:hAnsi="Arial" w:cs="Arial"/>
        </w:rPr>
        <w:t xml:space="preserve">Table 4 shows the effects of the various treatments on exchangeable bases. Statistical analysis reveals that treatments only significantly impacted calcium and magnesium minerals and the sum of exchangeable bases during the second year of experimentation. Moreover, Duncan's test shows that at each irrigation level D50%; D75% and D100%, the addition of </w:t>
      </w:r>
      <w:commentRangeStart w:id="17"/>
      <w:r w:rsidRPr="001F31F1">
        <w:rPr>
          <w:rFonts w:ascii="Arial" w:hAnsi="Arial" w:cs="Arial"/>
        </w:rPr>
        <w:t>organic matter</w:t>
      </w:r>
      <w:commentRangeEnd w:id="17"/>
      <w:r w:rsidR="00AB4E6C">
        <w:rPr>
          <w:rStyle w:val="CommentReference"/>
          <w:rFonts w:ascii="Times New Roman" w:hAnsi="Times New Roman"/>
          <w:lang w:val="nb-NO" w:eastAsia="nb-NO"/>
        </w:rPr>
        <w:commentReference w:id="17"/>
      </w:r>
      <w:r w:rsidRPr="001F31F1">
        <w:rPr>
          <w:rFonts w:ascii="Arial" w:hAnsi="Arial" w:cs="Arial"/>
        </w:rPr>
        <w:t xml:space="preserve"> at 5 and 10 t/ha resulted in an average increase of 102%, 92% and 93% respectively for calcium, and 80%, 68% and 41% for magnesium. The sum of exchangeable bases increased significantly by around 40% compared with the unamended controls, for each irrigation level.  However, this increase was not systematic for potassium and sodium minerals. On the other hand, there was a relative decrease in all the minerals studied from </w:t>
      </w:r>
      <w:commentRangeStart w:id="18"/>
      <w:r w:rsidRPr="001F31F1">
        <w:rPr>
          <w:rFonts w:ascii="Arial" w:hAnsi="Arial" w:cs="Arial"/>
        </w:rPr>
        <w:t>one</w:t>
      </w:r>
      <w:commentRangeEnd w:id="18"/>
      <w:r w:rsidR="007F2570">
        <w:rPr>
          <w:rStyle w:val="CommentReference"/>
          <w:rFonts w:ascii="Times New Roman" w:hAnsi="Times New Roman"/>
          <w:lang w:val="nb-NO" w:eastAsia="nb-NO"/>
        </w:rPr>
        <w:commentReference w:id="18"/>
      </w:r>
      <w:r w:rsidRPr="001F31F1">
        <w:rPr>
          <w:rFonts w:ascii="Arial" w:hAnsi="Arial" w:cs="Arial"/>
        </w:rPr>
        <w:t xml:space="preserve"> year to the next. The results therefore suggest that mineral availability in supplemental irrigation </w:t>
      </w:r>
      <w:r w:rsidRPr="001F31F1">
        <w:rPr>
          <w:rFonts w:ascii="Arial" w:hAnsi="Arial" w:cs="Arial"/>
        </w:rPr>
        <w:lastRenderedPageBreak/>
        <w:t>depends on the compost application period. Compost application also guarantees a significant increase in calcium and magnesium minerals, whatever the irrigation dose applied.</w:t>
      </w:r>
    </w:p>
    <w:p w14:paraId="6E42AE49" w14:textId="77777777" w:rsidR="003F5349" w:rsidRDefault="003F5349" w:rsidP="003F5349">
      <w:pPr>
        <w:pStyle w:val="Body"/>
        <w:rPr>
          <w:rFonts w:ascii="Arial" w:hAnsi="Arial" w:cs="Arial"/>
        </w:rPr>
      </w:pPr>
      <w:r w:rsidRPr="001F31F1">
        <w:rPr>
          <w:rFonts w:ascii="Arial" w:hAnsi="Arial" w:cs="Arial"/>
        </w:rPr>
        <w:lastRenderedPageBreak/>
        <w:t>Table 4. Effect of treatments on exchangeable bases</w:t>
      </w:r>
    </w:p>
    <w:p w14:paraId="26BEE9FD" w14:textId="31ED45B7" w:rsidR="00D008D0" w:rsidRDefault="00D008D0" w:rsidP="003A08A2">
      <w:pPr>
        <w:pStyle w:val="Body"/>
        <w:rPr>
          <w:rFonts w:ascii="Arial" w:hAnsi="Arial" w:cs="Arial"/>
        </w:rPr>
      </w:pPr>
    </w:p>
    <w:tbl>
      <w:tblPr>
        <w:tblpPr w:leftFromText="180" w:rightFromText="180" w:vertAnchor="page" w:horzAnchor="margin" w:tblpXSpec="center" w:tblpY="3099"/>
        <w:tblW w:w="13566" w:type="dxa"/>
        <w:tblLook w:val="04A0" w:firstRow="1" w:lastRow="0" w:firstColumn="1" w:lastColumn="0" w:noHBand="0" w:noVBand="1"/>
      </w:tblPr>
      <w:tblGrid>
        <w:gridCol w:w="1295"/>
        <w:gridCol w:w="1105"/>
        <w:gridCol w:w="1216"/>
        <w:gridCol w:w="1105"/>
        <w:gridCol w:w="1327"/>
        <w:gridCol w:w="1216"/>
        <w:gridCol w:w="1216"/>
        <w:gridCol w:w="1216"/>
        <w:gridCol w:w="1216"/>
        <w:gridCol w:w="1327"/>
        <w:gridCol w:w="1327"/>
      </w:tblGrid>
      <w:tr w:rsidR="00F17F2B" w:rsidRPr="00F17F2B" w14:paraId="61D0E08B" w14:textId="77777777" w:rsidTr="003F5349">
        <w:trPr>
          <w:trHeight w:val="346"/>
        </w:trPr>
        <w:tc>
          <w:tcPr>
            <w:tcW w:w="1295" w:type="dxa"/>
            <w:tcBorders>
              <w:top w:val="single" w:sz="8" w:space="0" w:color="000000"/>
              <w:left w:val="nil"/>
              <w:bottom w:val="single" w:sz="8" w:space="0" w:color="000000"/>
              <w:right w:val="nil"/>
            </w:tcBorders>
            <w:shd w:val="clear" w:color="auto" w:fill="auto"/>
            <w:vAlign w:val="center"/>
            <w:hideMark/>
          </w:tcPr>
          <w:p w14:paraId="483F303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Treatments</w:t>
            </w:r>
          </w:p>
        </w:tc>
        <w:tc>
          <w:tcPr>
            <w:tcW w:w="1105" w:type="dxa"/>
            <w:tcBorders>
              <w:top w:val="single" w:sz="8" w:space="0" w:color="000000"/>
              <w:left w:val="nil"/>
              <w:bottom w:val="single" w:sz="8" w:space="0" w:color="000000"/>
              <w:right w:val="nil"/>
            </w:tcBorders>
            <w:shd w:val="clear" w:color="auto" w:fill="auto"/>
            <w:vAlign w:val="center"/>
            <w:hideMark/>
          </w:tcPr>
          <w:p w14:paraId="3B2A6DA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ca2+-2023</w:t>
            </w:r>
          </w:p>
        </w:tc>
        <w:tc>
          <w:tcPr>
            <w:tcW w:w="1216" w:type="dxa"/>
            <w:tcBorders>
              <w:top w:val="single" w:sz="8" w:space="0" w:color="000000"/>
              <w:left w:val="nil"/>
              <w:bottom w:val="single" w:sz="8" w:space="0" w:color="000000"/>
              <w:right w:val="nil"/>
            </w:tcBorders>
            <w:shd w:val="clear" w:color="auto" w:fill="auto"/>
            <w:vAlign w:val="center"/>
            <w:hideMark/>
          </w:tcPr>
          <w:p w14:paraId="65BC73C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Ca2+-2024</w:t>
            </w:r>
          </w:p>
        </w:tc>
        <w:tc>
          <w:tcPr>
            <w:tcW w:w="1105" w:type="dxa"/>
            <w:tcBorders>
              <w:top w:val="single" w:sz="8" w:space="0" w:color="000000"/>
              <w:left w:val="nil"/>
              <w:bottom w:val="single" w:sz="8" w:space="0" w:color="000000"/>
              <w:right w:val="nil"/>
            </w:tcBorders>
            <w:shd w:val="clear" w:color="auto" w:fill="auto"/>
            <w:vAlign w:val="center"/>
            <w:hideMark/>
          </w:tcPr>
          <w:p w14:paraId="09B2A5A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Mg2+-2023</w:t>
            </w:r>
          </w:p>
        </w:tc>
        <w:tc>
          <w:tcPr>
            <w:tcW w:w="1327" w:type="dxa"/>
            <w:tcBorders>
              <w:top w:val="single" w:sz="8" w:space="0" w:color="000000"/>
              <w:left w:val="nil"/>
              <w:bottom w:val="single" w:sz="8" w:space="0" w:color="000000"/>
              <w:right w:val="nil"/>
            </w:tcBorders>
            <w:shd w:val="clear" w:color="auto" w:fill="auto"/>
            <w:vAlign w:val="center"/>
            <w:hideMark/>
          </w:tcPr>
          <w:p w14:paraId="258919D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Mg2+-2024</w:t>
            </w:r>
          </w:p>
        </w:tc>
        <w:tc>
          <w:tcPr>
            <w:tcW w:w="1216" w:type="dxa"/>
            <w:tcBorders>
              <w:top w:val="single" w:sz="8" w:space="0" w:color="000000"/>
              <w:left w:val="nil"/>
              <w:bottom w:val="single" w:sz="8" w:space="0" w:color="000000"/>
              <w:right w:val="nil"/>
            </w:tcBorders>
            <w:shd w:val="clear" w:color="auto" w:fill="auto"/>
            <w:vAlign w:val="center"/>
            <w:hideMark/>
          </w:tcPr>
          <w:p w14:paraId="17B1D6E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K+-2023</w:t>
            </w:r>
          </w:p>
        </w:tc>
        <w:tc>
          <w:tcPr>
            <w:tcW w:w="1216" w:type="dxa"/>
            <w:tcBorders>
              <w:top w:val="single" w:sz="8" w:space="0" w:color="000000"/>
              <w:left w:val="nil"/>
              <w:bottom w:val="single" w:sz="8" w:space="0" w:color="000000"/>
              <w:right w:val="nil"/>
            </w:tcBorders>
            <w:shd w:val="clear" w:color="auto" w:fill="auto"/>
            <w:vAlign w:val="center"/>
            <w:hideMark/>
          </w:tcPr>
          <w:p w14:paraId="1C8D33E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K+-2024</w:t>
            </w:r>
          </w:p>
        </w:tc>
        <w:tc>
          <w:tcPr>
            <w:tcW w:w="1216" w:type="dxa"/>
            <w:tcBorders>
              <w:top w:val="single" w:sz="8" w:space="0" w:color="000000"/>
              <w:left w:val="nil"/>
              <w:bottom w:val="single" w:sz="8" w:space="0" w:color="000000"/>
              <w:right w:val="nil"/>
            </w:tcBorders>
            <w:shd w:val="clear" w:color="auto" w:fill="auto"/>
            <w:vAlign w:val="center"/>
            <w:hideMark/>
          </w:tcPr>
          <w:p w14:paraId="700E022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Na+-2023</w:t>
            </w:r>
          </w:p>
        </w:tc>
        <w:tc>
          <w:tcPr>
            <w:tcW w:w="1216" w:type="dxa"/>
            <w:tcBorders>
              <w:top w:val="single" w:sz="8" w:space="0" w:color="000000"/>
              <w:left w:val="nil"/>
              <w:bottom w:val="single" w:sz="8" w:space="0" w:color="000000"/>
              <w:right w:val="nil"/>
            </w:tcBorders>
            <w:shd w:val="clear" w:color="auto" w:fill="auto"/>
            <w:vAlign w:val="center"/>
            <w:hideMark/>
          </w:tcPr>
          <w:p w14:paraId="6475AA6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Na+ -2024</w:t>
            </w:r>
          </w:p>
        </w:tc>
        <w:tc>
          <w:tcPr>
            <w:tcW w:w="1327" w:type="dxa"/>
            <w:tcBorders>
              <w:top w:val="single" w:sz="8" w:space="0" w:color="000000"/>
              <w:left w:val="nil"/>
              <w:bottom w:val="single" w:sz="8" w:space="0" w:color="000000"/>
              <w:right w:val="nil"/>
            </w:tcBorders>
            <w:shd w:val="clear" w:color="auto" w:fill="auto"/>
            <w:vAlign w:val="center"/>
            <w:hideMark/>
          </w:tcPr>
          <w:p w14:paraId="1117CEA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SB-2023</w:t>
            </w:r>
          </w:p>
        </w:tc>
        <w:tc>
          <w:tcPr>
            <w:tcW w:w="1327" w:type="dxa"/>
            <w:tcBorders>
              <w:top w:val="single" w:sz="8" w:space="0" w:color="000000"/>
              <w:left w:val="nil"/>
              <w:bottom w:val="single" w:sz="8" w:space="0" w:color="000000"/>
              <w:right w:val="nil"/>
            </w:tcBorders>
            <w:shd w:val="clear" w:color="auto" w:fill="auto"/>
            <w:vAlign w:val="center"/>
            <w:hideMark/>
          </w:tcPr>
          <w:p w14:paraId="5960635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SB-2024</w:t>
            </w:r>
          </w:p>
        </w:tc>
      </w:tr>
      <w:tr w:rsidR="00F17F2B" w:rsidRPr="00F17F2B" w14:paraId="3CB7079F" w14:textId="77777777" w:rsidTr="003F5349">
        <w:trPr>
          <w:trHeight w:val="346"/>
        </w:trPr>
        <w:tc>
          <w:tcPr>
            <w:tcW w:w="1295" w:type="dxa"/>
            <w:tcBorders>
              <w:top w:val="nil"/>
              <w:left w:val="nil"/>
              <w:bottom w:val="nil"/>
              <w:right w:val="nil"/>
            </w:tcBorders>
            <w:shd w:val="clear" w:color="auto" w:fill="auto"/>
            <w:vAlign w:val="center"/>
            <w:hideMark/>
          </w:tcPr>
          <w:p w14:paraId="254314B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Witness</w:t>
            </w:r>
          </w:p>
        </w:tc>
        <w:tc>
          <w:tcPr>
            <w:tcW w:w="1105" w:type="dxa"/>
            <w:tcBorders>
              <w:top w:val="nil"/>
              <w:left w:val="nil"/>
              <w:bottom w:val="nil"/>
              <w:right w:val="nil"/>
            </w:tcBorders>
            <w:shd w:val="clear" w:color="auto" w:fill="auto"/>
            <w:vAlign w:val="center"/>
            <w:hideMark/>
          </w:tcPr>
          <w:p w14:paraId="197E1FE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2.16±0.35</w:t>
            </w:r>
          </w:p>
        </w:tc>
        <w:tc>
          <w:tcPr>
            <w:tcW w:w="1216" w:type="dxa"/>
            <w:tcBorders>
              <w:top w:val="nil"/>
              <w:left w:val="nil"/>
              <w:bottom w:val="nil"/>
              <w:right w:val="nil"/>
            </w:tcBorders>
            <w:shd w:val="clear" w:color="auto" w:fill="auto"/>
            <w:vAlign w:val="center"/>
            <w:hideMark/>
          </w:tcPr>
          <w:p w14:paraId="169B751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2.16±0.35b</w:t>
            </w:r>
          </w:p>
        </w:tc>
        <w:tc>
          <w:tcPr>
            <w:tcW w:w="1105" w:type="dxa"/>
            <w:tcBorders>
              <w:top w:val="nil"/>
              <w:left w:val="nil"/>
              <w:bottom w:val="nil"/>
              <w:right w:val="nil"/>
            </w:tcBorders>
            <w:shd w:val="clear" w:color="auto" w:fill="auto"/>
            <w:vAlign w:val="center"/>
            <w:hideMark/>
          </w:tcPr>
          <w:p w14:paraId="64E8548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1.35±0.03</w:t>
            </w:r>
          </w:p>
        </w:tc>
        <w:tc>
          <w:tcPr>
            <w:tcW w:w="1327" w:type="dxa"/>
            <w:tcBorders>
              <w:top w:val="nil"/>
              <w:left w:val="nil"/>
              <w:bottom w:val="nil"/>
              <w:right w:val="nil"/>
            </w:tcBorders>
            <w:shd w:val="clear" w:color="auto" w:fill="auto"/>
            <w:vAlign w:val="center"/>
            <w:hideMark/>
          </w:tcPr>
          <w:p w14:paraId="3FFF1F4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1.35±0.03b</w:t>
            </w:r>
          </w:p>
        </w:tc>
        <w:tc>
          <w:tcPr>
            <w:tcW w:w="1216" w:type="dxa"/>
            <w:tcBorders>
              <w:top w:val="nil"/>
              <w:left w:val="nil"/>
              <w:bottom w:val="nil"/>
              <w:right w:val="nil"/>
            </w:tcBorders>
            <w:shd w:val="clear" w:color="auto" w:fill="auto"/>
            <w:vAlign w:val="center"/>
            <w:hideMark/>
          </w:tcPr>
          <w:p w14:paraId="395F99A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0.08±0.02a</w:t>
            </w:r>
          </w:p>
        </w:tc>
        <w:tc>
          <w:tcPr>
            <w:tcW w:w="1216" w:type="dxa"/>
            <w:tcBorders>
              <w:top w:val="nil"/>
              <w:left w:val="nil"/>
              <w:bottom w:val="nil"/>
              <w:right w:val="nil"/>
            </w:tcBorders>
            <w:shd w:val="clear" w:color="auto" w:fill="auto"/>
            <w:vAlign w:val="center"/>
            <w:hideMark/>
          </w:tcPr>
          <w:p w14:paraId="23971BC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0.08±0.02b</w:t>
            </w:r>
          </w:p>
        </w:tc>
        <w:tc>
          <w:tcPr>
            <w:tcW w:w="1216" w:type="dxa"/>
            <w:tcBorders>
              <w:top w:val="nil"/>
              <w:left w:val="nil"/>
              <w:bottom w:val="nil"/>
              <w:right w:val="nil"/>
            </w:tcBorders>
            <w:shd w:val="clear" w:color="auto" w:fill="auto"/>
            <w:vAlign w:val="center"/>
            <w:hideMark/>
          </w:tcPr>
          <w:p w14:paraId="77114EE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0.06±0.01a</w:t>
            </w:r>
          </w:p>
        </w:tc>
        <w:tc>
          <w:tcPr>
            <w:tcW w:w="1216" w:type="dxa"/>
            <w:tcBorders>
              <w:top w:val="nil"/>
              <w:left w:val="nil"/>
              <w:bottom w:val="nil"/>
              <w:right w:val="nil"/>
            </w:tcBorders>
            <w:shd w:val="clear" w:color="auto" w:fill="auto"/>
            <w:vAlign w:val="center"/>
            <w:hideMark/>
          </w:tcPr>
          <w:p w14:paraId="6E0DA55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0.06±0.01a</w:t>
            </w:r>
          </w:p>
        </w:tc>
        <w:tc>
          <w:tcPr>
            <w:tcW w:w="1327" w:type="dxa"/>
            <w:tcBorders>
              <w:top w:val="nil"/>
              <w:left w:val="nil"/>
              <w:bottom w:val="nil"/>
              <w:right w:val="nil"/>
            </w:tcBorders>
            <w:shd w:val="clear" w:color="auto" w:fill="auto"/>
            <w:vAlign w:val="center"/>
            <w:hideMark/>
          </w:tcPr>
          <w:p w14:paraId="1C8C491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3.64±0.29a</w:t>
            </w:r>
          </w:p>
        </w:tc>
        <w:tc>
          <w:tcPr>
            <w:tcW w:w="1327" w:type="dxa"/>
            <w:tcBorders>
              <w:top w:val="nil"/>
              <w:left w:val="nil"/>
              <w:bottom w:val="nil"/>
              <w:right w:val="nil"/>
            </w:tcBorders>
            <w:shd w:val="clear" w:color="auto" w:fill="auto"/>
            <w:vAlign w:val="center"/>
            <w:hideMark/>
          </w:tcPr>
          <w:p w14:paraId="4CDC5BB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3.64±0.29ab</w:t>
            </w:r>
          </w:p>
        </w:tc>
      </w:tr>
      <w:tr w:rsidR="00F17F2B" w:rsidRPr="00F17F2B" w14:paraId="51A7EC55" w14:textId="77777777" w:rsidTr="003F5349">
        <w:trPr>
          <w:trHeight w:val="346"/>
        </w:trPr>
        <w:tc>
          <w:tcPr>
            <w:tcW w:w="1295" w:type="dxa"/>
            <w:tcBorders>
              <w:top w:val="nil"/>
              <w:left w:val="nil"/>
              <w:bottom w:val="nil"/>
              <w:right w:val="nil"/>
            </w:tcBorders>
            <w:shd w:val="clear" w:color="auto" w:fill="auto"/>
            <w:vAlign w:val="center"/>
            <w:hideMark/>
          </w:tcPr>
          <w:p w14:paraId="54AC229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C10+D100</w:t>
            </w:r>
          </w:p>
        </w:tc>
        <w:tc>
          <w:tcPr>
            <w:tcW w:w="1105" w:type="dxa"/>
            <w:tcBorders>
              <w:top w:val="nil"/>
              <w:left w:val="nil"/>
              <w:bottom w:val="nil"/>
              <w:right w:val="nil"/>
            </w:tcBorders>
            <w:shd w:val="clear" w:color="auto" w:fill="auto"/>
            <w:vAlign w:val="center"/>
            <w:hideMark/>
          </w:tcPr>
          <w:p w14:paraId="6AB723A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2.65±0.18</w:t>
            </w:r>
          </w:p>
        </w:tc>
        <w:tc>
          <w:tcPr>
            <w:tcW w:w="1216" w:type="dxa"/>
            <w:tcBorders>
              <w:top w:val="nil"/>
              <w:left w:val="nil"/>
              <w:bottom w:val="nil"/>
              <w:right w:val="nil"/>
            </w:tcBorders>
            <w:shd w:val="clear" w:color="auto" w:fill="auto"/>
            <w:vAlign w:val="center"/>
            <w:hideMark/>
          </w:tcPr>
          <w:p w14:paraId="0EDF13F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2.14±0.1b</w:t>
            </w:r>
          </w:p>
        </w:tc>
        <w:tc>
          <w:tcPr>
            <w:tcW w:w="1105" w:type="dxa"/>
            <w:tcBorders>
              <w:top w:val="nil"/>
              <w:left w:val="nil"/>
              <w:bottom w:val="nil"/>
              <w:right w:val="nil"/>
            </w:tcBorders>
            <w:shd w:val="clear" w:color="auto" w:fill="auto"/>
            <w:vAlign w:val="center"/>
            <w:hideMark/>
          </w:tcPr>
          <w:p w14:paraId="1F0C8AF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1.1±0.19</w:t>
            </w:r>
          </w:p>
        </w:tc>
        <w:tc>
          <w:tcPr>
            <w:tcW w:w="1327" w:type="dxa"/>
            <w:tcBorders>
              <w:top w:val="nil"/>
              <w:left w:val="nil"/>
              <w:bottom w:val="nil"/>
              <w:right w:val="nil"/>
            </w:tcBorders>
            <w:shd w:val="clear" w:color="auto" w:fill="auto"/>
            <w:vAlign w:val="center"/>
            <w:hideMark/>
          </w:tcPr>
          <w:p w14:paraId="3F3D23F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1.23±0.13ab</w:t>
            </w:r>
          </w:p>
        </w:tc>
        <w:tc>
          <w:tcPr>
            <w:tcW w:w="1216" w:type="dxa"/>
            <w:tcBorders>
              <w:top w:val="nil"/>
              <w:left w:val="nil"/>
              <w:bottom w:val="nil"/>
              <w:right w:val="nil"/>
            </w:tcBorders>
            <w:shd w:val="clear" w:color="auto" w:fill="auto"/>
            <w:vAlign w:val="center"/>
            <w:hideMark/>
          </w:tcPr>
          <w:p w14:paraId="27989D1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1.09±0.05b</w:t>
            </w:r>
          </w:p>
        </w:tc>
        <w:tc>
          <w:tcPr>
            <w:tcW w:w="1216" w:type="dxa"/>
            <w:tcBorders>
              <w:top w:val="nil"/>
              <w:left w:val="nil"/>
              <w:bottom w:val="nil"/>
              <w:right w:val="nil"/>
            </w:tcBorders>
            <w:shd w:val="clear" w:color="auto" w:fill="auto"/>
            <w:vAlign w:val="center"/>
            <w:hideMark/>
          </w:tcPr>
          <w:p w14:paraId="24CF01E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0.94±0.12a</w:t>
            </w:r>
          </w:p>
        </w:tc>
        <w:tc>
          <w:tcPr>
            <w:tcW w:w="1216" w:type="dxa"/>
            <w:tcBorders>
              <w:top w:val="nil"/>
              <w:left w:val="nil"/>
              <w:bottom w:val="nil"/>
              <w:right w:val="nil"/>
            </w:tcBorders>
            <w:shd w:val="clear" w:color="auto" w:fill="auto"/>
            <w:vAlign w:val="center"/>
            <w:hideMark/>
          </w:tcPr>
          <w:p w14:paraId="3487C0A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0.41±0.02b</w:t>
            </w:r>
          </w:p>
        </w:tc>
        <w:tc>
          <w:tcPr>
            <w:tcW w:w="1216" w:type="dxa"/>
            <w:tcBorders>
              <w:top w:val="nil"/>
              <w:left w:val="nil"/>
              <w:bottom w:val="nil"/>
              <w:right w:val="nil"/>
            </w:tcBorders>
            <w:shd w:val="clear" w:color="auto" w:fill="auto"/>
            <w:vAlign w:val="center"/>
            <w:hideMark/>
          </w:tcPr>
          <w:p w14:paraId="56F664B7"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0.25±0.05b</w:t>
            </w:r>
          </w:p>
        </w:tc>
        <w:tc>
          <w:tcPr>
            <w:tcW w:w="1327" w:type="dxa"/>
            <w:tcBorders>
              <w:top w:val="nil"/>
              <w:left w:val="nil"/>
              <w:bottom w:val="nil"/>
              <w:right w:val="nil"/>
            </w:tcBorders>
            <w:shd w:val="clear" w:color="auto" w:fill="auto"/>
            <w:vAlign w:val="center"/>
            <w:hideMark/>
          </w:tcPr>
          <w:p w14:paraId="4582941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5.25±0.25b</w:t>
            </w:r>
          </w:p>
        </w:tc>
        <w:tc>
          <w:tcPr>
            <w:tcW w:w="1327" w:type="dxa"/>
            <w:tcBorders>
              <w:top w:val="nil"/>
              <w:left w:val="nil"/>
              <w:bottom w:val="nil"/>
              <w:right w:val="nil"/>
            </w:tcBorders>
            <w:shd w:val="clear" w:color="auto" w:fill="auto"/>
            <w:vAlign w:val="center"/>
            <w:hideMark/>
          </w:tcPr>
          <w:p w14:paraId="3D78783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4.56±0.13c</w:t>
            </w:r>
          </w:p>
        </w:tc>
      </w:tr>
      <w:tr w:rsidR="00F17F2B" w:rsidRPr="00F17F2B" w14:paraId="6F26039E" w14:textId="77777777" w:rsidTr="003F5349">
        <w:trPr>
          <w:trHeight w:val="346"/>
        </w:trPr>
        <w:tc>
          <w:tcPr>
            <w:tcW w:w="1295" w:type="dxa"/>
            <w:tcBorders>
              <w:top w:val="nil"/>
              <w:left w:val="nil"/>
              <w:bottom w:val="nil"/>
              <w:right w:val="nil"/>
            </w:tcBorders>
            <w:shd w:val="clear" w:color="auto" w:fill="auto"/>
            <w:vAlign w:val="center"/>
            <w:hideMark/>
          </w:tcPr>
          <w:p w14:paraId="32224E6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C5+D100</w:t>
            </w:r>
          </w:p>
        </w:tc>
        <w:tc>
          <w:tcPr>
            <w:tcW w:w="1105" w:type="dxa"/>
            <w:tcBorders>
              <w:top w:val="nil"/>
              <w:left w:val="nil"/>
              <w:bottom w:val="nil"/>
              <w:right w:val="nil"/>
            </w:tcBorders>
            <w:shd w:val="clear" w:color="auto" w:fill="auto"/>
            <w:vAlign w:val="center"/>
            <w:hideMark/>
          </w:tcPr>
          <w:p w14:paraId="6925760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2.42±0.22</w:t>
            </w:r>
          </w:p>
        </w:tc>
        <w:tc>
          <w:tcPr>
            <w:tcW w:w="1216" w:type="dxa"/>
            <w:tcBorders>
              <w:top w:val="nil"/>
              <w:left w:val="nil"/>
              <w:bottom w:val="nil"/>
              <w:right w:val="nil"/>
            </w:tcBorders>
            <w:shd w:val="clear" w:color="auto" w:fill="auto"/>
            <w:vAlign w:val="center"/>
            <w:hideMark/>
          </w:tcPr>
          <w:p w14:paraId="5D2D59A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2.25±0.15b</w:t>
            </w:r>
          </w:p>
        </w:tc>
        <w:tc>
          <w:tcPr>
            <w:tcW w:w="1105" w:type="dxa"/>
            <w:tcBorders>
              <w:top w:val="nil"/>
              <w:left w:val="nil"/>
              <w:bottom w:val="nil"/>
              <w:right w:val="nil"/>
            </w:tcBorders>
            <w:shd w:val="clear" w:color="auto" w:fill="auto"/>
            <w:vAlign w:val="center"/>
            <w:hideMark/>
          </w:tcPr>
          <w:p w14:paraId="2FD66D6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1.03±0.07</w:t>
            </w:r>
          </w:p>
        </w:tc>
        <w:tc>
          <w:tcPr>
            <w:tcW w:w="1327" w:type="dxa"/>
            <w:tcBorders>
              <w:top w:val="nil"/>
              <w:left w:val="nil"/>
              <w:bottom w:val="nil"/>
              <w:right w:val="nil"/>
            </w:tcBorders>
            <w:shd w:val="clear" w:color="auto" w:fill="auto"/>
            <w:vAlign w:val="center"/>
            <w:hideMark/>
          </w:tcPr>
          <w:p w14:paraId="5031138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1.15±0.35ab</w:t>
            </w:r>
          </w:p>
        </w:tc>
        <w:tc>
          <w:tcPr>
            <w:tcW w:w="1216" w:type="dxa"/>
            <w:tcBorders>
              <w:top w:val="nil"/>
              <w:left w:val="nil"/>
              <w:bottom w:val="nil"/>
              <w:right w:val="nil"/>
            </w:tcBorders>
            <w:shd w:val="clear" w:color="auto" w:fill="auto"/>
            <w:vAlign w:val="center"/>
            <w:hideMark/>
          </w:tcPr>
          <w:p w14:paraId="05C680C7"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1.33±0.23b</w:t>
            </w:r>
          </w:p>
        </w:tc>
        <w:tc>
          <w:tcPr>
            <w:tcW w:w="1216" w:type="dxa"/>
            <w:tcBorders>
              <w:top w:val="nil"/>
              <w:left w:val="nil"/>
              <w:bottom w:val="nil"/>
              <w:right w:val="nil"/>
            </w:tcBorders>
            <w:shd w:val="clear" w:color="auto" w:fill="auto"/>
            <w:vAlign w:val="center"/>
            <w:hideMark/>
          </w:tcPr>
          <w:p w14:paraId="2B47134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0.74±0.12a</w:t>
            </w:r>
          </w:p>
        </w:tc>
        <w:tc>
          <w:tcPr>
            <w:tcW w:w="1216" w:type="dxa"/>
            <w:tcBorders>
              <w:top w:val="nil"/>
              <w:left w:val="nil"/>
              <w:bottom w:val="nil"/>
              <w:right w:val="nil"/>
            </w:tcBorders>
            <w:shd w:val="clear" w:color="auto" w:fill="auto"/>
            <w:vAlign w:val="center"/>
            <w:hideMark/>
          </w:tcPr>
          <w:p w14:paraId="60BA90F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0.4±0.05b</w:t>
            </w:r>
          </w:p>
        </w:tc>
        <w:tc>
          <w:tcPr>
            <w:tcW w:w="1216" w:type="dxa"/>
            <w:tcBorders>
              <w:top w:val="nil"/>
              <w:left w:val="nil"/>
              <w:bottom w:val="nil"/>
              <w:right w:val="nil"/>
            </w:tcBorders>
            <w:shd w:val="clear" w:color="auto" w:fill="auto"/>
            <w:vAlign w:val="center"/>
            <w:hideMark/>
          </w:tcPr>
          <w:p w14:paraId="7057F9D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0.2±0.01b</w:t>
            </w:r>
          </w:p>
        </w:tc>
        <w:tc>
          <w:tcPr>
            <w:tcW w:w="1327" w:type="dxa"/>
            <w:tcBorders>
              <w:top w:val="nil"/>
              <w:left w:val="nil"/>
              <w:bottom w:val="nil"/>
              <w:right w:val="nil"/>
            </w:tcBorders>
            <w:shd w:val="clear" w:color="auto" w:fill="auto"/>
            <w:vAlign w:val="center"/>
            <w:hideMark/>
          </w:tcPr>
          <w:p w14:paraId="7A19A4F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5.17±0.14b</w:t>
            </w:r>
          </w:p>
        </w:tc>
        <w:tc>
          <w:tcPr>
            <w:tcW w:w="1327" w:type="dxa"/>
            <w:tcBorders>
              <w:top w:val="nil"/>
              <w:left w:val="nil"/>
              <w:bottom w:val="nil"/>
              <w:right w:val="nil"/>
            </w:tcBorders>
            <w:shd w:val="clear" w:color="auto" w:fill="auto"/>
            <w:vAlign w:val="center"/>
            <w:hideMark/>
          </w:tcPr>
          <w:p w14:paraId="44D9B5F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4.33±0.41c</w:t>
            </w:r>
          </w:p>
        </w:tc>
      </w:tr>
      <w:tr w:rsidR="00F17F2B" w:rsidRPr="00F17F2B" w14:paraId="377C929F" w14:textId="77777777" w:rsidTr="003F5349">
        <w:trPr>
          <w:trHeight w:val="346"/>
        </w:trPr>
        <w:tc>
          <w:tcPr>
            <w:tcW w:w="1295" w:type="dxa"/>
            <w:tcBorders>
              <w:top w:val="nil"/>
              <w:left w:val="nil"/>
              <w:bottom w:val="nil"/>
              <w:right w:val="nil"/>
            </w:tcBorders>
            <w:shd w:val="clear" w:color="auto" w:fill="auto"/>
            <w:vAlign w:val="center"/>
            <w:hideMark/>
          </w:tcPr>
          <w:p w14:paraId="2065A42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C0+D100</w:t>
            </w:r>
          </w:p>
        </w:tc>
        <w:tc>
          <w:tcPr>
            <w:tcW w:w="1105" w:type="dxa"/>
            <w:tcBorders>
              <w:top w:val="nil"/>
              <w:left w:val="nil"/>
              <w:bottom w:val="nil"/>
              <w:right w:val="nil"/>
            </w:tcBorders>
            <w:shd w:val="clear" w:color="auto" w:fill="auto"/>
            <w:vAlign w:val="center"/>
            <w:hideMark/>
          </w:tcPr>
          <w:p w14:paraId="765771C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2.27±0.22</w:t>
            </w:r>
          </w:p>
        </w:tc>
        <w:tc>
          <w:tcPr>
            <w:tcW w:w="1216" w:type="dxa"/>
            <w:tcBorders>
              <w:top w:val="nil"/>
              <w:left w:val="nil"/>
              <w:bottom w:val="nil"/>
              <w:right w:val="nil"/>
            </w:tcBorders>
            <w:shd w:val="clear" w:color="auto" w:fill="auto"/>
            <w:vAlign w:val="center"/>
            <w:hideMark/>
          </w:tcPr>
          <w:p w14:paraId="13B440E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1.14±0.08a</w:t>
            </w:r>
          </w:p>
        </w:tc>
        <w:tc>
          <w:tcPr>
            <w:tcW w:w="1105" w:type="dxa"/>
            <w:tcBorders>
              <w:top w:val="nil"/>
              <w:left w:val="nil"/>
              <w:bottom w:val="nil"/>
              <w:right w:val="nil"/>
            </w:tcBorders>
            <w:shd w:val="clear" w:color="auto" w:fill="auto"/>
            <w:vAlign w:val="center"/>
            <w:hideMark/>
          </w:tcPr>
          <w:p w14:paraId="05298EB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0.88±0.09</w:t>
            </w:r>
          </w:p>
        </w:tc>
        <w:tc>
          <w:tcPr>
            <w:tcW w:w="1327" w:type="dxa"/>
            <w:tcBorders>
              <w:top w:val="nil"/>
              <w:left w:val="nil"/>
              <w:bottom w:val="nil"/>
              <w:right w:val="nil"/>
            </w:tcBorders>
            <w:shd w:val="clear" w:color="auto" w:fill="auto"/>
            <w:vAlign w:val="center"/>
            <w:hideMark/>
          </w:tcPr>
          <w:p w14:paraId="2655DFC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0.84±0.04a</w:t>
            </w:r>
          </w:p>
        </w:tc>
        <w:tc>
          <w:tcPr>
            <w:tcW w:w="1216" w:type="dxa"/>
            <w:tcBorders>
              <w:top w:val="nil"/>
              <w:left w:val="nil"/>
              <w:bottom w:val="nil"/>
              <w:right w:val="nil"/>
            </w:tcBorders>
            <w:shd w:val="clear" w:color="auto" w:fill="auto"/>
            <w:vAlign w:val="center"/>
            <w:hideMark/>
          </w:tcPr>
          <w:p w14:paraId="4777679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1.08±0.05b</w:t>
            </w:r>
          </w:p>
        </w:tc>
        <w:tc>
          <w:tcPr>
            <w:tcW w:w="1216" w:type="dxa"/>
            <w:tcBorders>
              <w:top w:val="nil"/>
              <w:left w:val="nil"/>
              <w:bottom w:val="nil"/>
              <w:right w:val="nil"/>
            </w:tcBorders>
            <w:shd w:val="clear" w:color="auto" w:fill="auto"/>
            <w:vAlign w:val="center"/>
            <w:hideMark/>
          </w:tcPr>
          <w:p w14:paraId="4ACE7E9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0.99±0.06a</w:t>
            </w:r>
          </w:p>
        </w:tc>
        <w:tc>
          <w:tcPr>
            <w:tcW w:w="1216" w:type="dxa"/>
            <w:tcBorders>
              <w:top w:val="nil"/>
              <w:left w:val="nil"/>
              <w:bottom w:val="nil"/>
              <w:right w:val="nil"/>
            </w:tcBorders>
            <w:shd w:val="clear" w:color="auto" w:fill="auto"/>
            <w:vAlign w:val="center"/>
            <w:hideMark/>
          </w:tcPr>
          <w:p w14:paraId="6EDC876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0.46±0.01b</w:t>
            </w:r>
          </w:p>
        </w:tc>
        <w:tc>
          <w:tcPr>
            <w:tcW w:w="1216" w:type="dxa"/>
            <w:tcBorders>
              <w:top w:val="nil"/>
              <w:left w:val="nil"/>
              <w:bottom w:val="nil"/>
              <w:right w:val="nil"/>
            </w:tcBorders>
            <w:shd w:val="clear" w:color="auto" w:fill="auto"/>
            <w:vAlign w:val="center"/>
            <w:hideMark/>
          </w:tcPr>
          <w:p w14:paraId="1D428A7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0.22±0.02b</w:t>
            </w:r>
          </w:p>
        </w:tc>
        <w:tc>
          <w:tcPr>
            <w:tcW w:w="1327" w:type="dxa"/>
            <w:tcBorders>
              <w:top w:val="nil"/>
              <w:left w:val="nil"/>
              <w:bottom w:val="nil"/>
              <w:right w:val="nil"/>
            </w:tcBorders>
            <w:shd w:val="clear" w:color="auto" w:fill="auto"/>
            <w:vAlign w:val="center"/>
            <w:hideMark/>
          </w:tcPr>
          <w:p w14:paraId="1CC7361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4.68±0.21ab</w:t>
            </w:r>
          </w:p>
        </w:tc>
        <w:tc>
          <w:tcPr>
            <w:tcW w:w="1327" w:type="dxa"/>
            <w:tcBorders>
              <w:top w:val="nil"/>
              <w:left w:val="nil"/>
              <w:bottom w:val="nil"/>
              <w:right w:val="nil"/>
            </w:tcBorders>
            <w:shd w:val="clear" w:color="auto" w:fill="auto"/>
            <w:vAlign w:val="center"/>
            <w:hideMark/>
          </w:tcPr>
          <w:p w14:paraId="217242E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3.19±0.16ab</w:t>
            </w:r>
          </w:p>
        </w:tc>
      </w:tr>
      <w:tr w:rsidR="00F17F2B" w:rsidRPr="00F17F2B" w14:paraId="6D138BD1" w14:textId="77777777" w:rsidTr="003F5349">
        <w:trPr>
          <w:trHeight w:val="346"/>
        </w:trPr>
        <w:tc>
          <w:tcPr>
            <w:tcW w:w="1295" w:type="dxa"/>
            <w:tcBorders>
              <w:top w:val="nil"/>
              <w:left w:val="nil"/>
              <w:bottom w:val="nil"/>
              <w:right w:val="nil"/>
            </w:tcBorders>
            <w:shd w:val="clear" w:color="auto" w:fill="auto"/>
            <w:vAlign w:val="center"/>
            <w:hideMark/>
          </w:tcPr>
          <w:p w14:paraId="4111B24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C10+D75</w:t>
            </w:r>
          </w:p>
        </w:tc>
        <w:tc>
          <w:tcPr>
            <w:tcW w:w="1105" w:type="dxa"/>
            <w:tcBorders>
              <w:top w:val="nil"/>
              <w:left w:val="nil"/>
              <w:bottom w:val="nil"/>
              <w:right w:val="nil"/>
            </w:tcBorders>
            <w:shd w:val="clear" w:color="auto" w:fill="auto"/>
            <w:vAlign w:val="center"/>
            <w:hideMark/>
          </w:tcPr>
          <w:p w14:paraId="5EF149C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2.5±0.07</w:t>
            </w:r>
          </w:p>
        </w:tc>
        <w:tc>
          <w:tcPr>
            <w:tcW w:w="1216" w:type="dxa"/>
            <w:tcBorders>
              <w:top w:val="nil"/>
              <w:left w:val="nil"/>
              <w:bottom w:val="nil"/>
              <w:right w:val="nil"/>
            </w:tcBorders>
            <w:shd w:val="clear" w:color="auto" w:fill="auto"/>
            <w:vAlign w:val="center"/>
            <w:hideMark/>
          </w:tcPr>
          <w:p w14:paraId="69A9088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2.05±0.09b</w:t>
            </w:r>
          </w:p>
        </w:tc>
        <w:tc>
          <w:tcPr>
            <w:tcW w:w="1105" w:type="dxa"/>
            <w:tcBorders>
              <w:top w:val="nil"/>
              <w:left w:val="nil"/>
              <w:bottom w:val="nil"/>
              <w:right w:val="nil"/>
            </w:tcBorders>
            <w:shd w:val="clear" w:color="auto" w:fill="auto"/>
            <w:vAlign w:val="center"/>
            <w:hideMark/>
          </w:tcPr>
          <w:p w14:paraId="14B9E337"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0.89±0.11</w:t>
            </w:r>
          </w:p>
        </w:tc>
        <w:tc>
          <w:tcPr>
            <w:tcW w:w="1327" w:type="dxa"/>
            <w:tcBorders>
              <w:top w:val="nil"/>
              <w:left w:val="nil"/>
              <w:bottom w:val="nil"/>
              <w:right w:val="nil"/>
            </w:tcBorders>
            <w:shd w:val="clear" w:color="auto" w:fill="auto"/>
            <w:vAlign w:val="center"/>
            <w:hideMark/>
          </w:tcPr>
          <w:p w14:paraId="3A4E6E3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1.25±0.08ab</w:t>
            </w:r>
          </w:p>
        </w:tc>
        <w:tc>
          <w:tcPr>
            <w:tcW w:w="1216" w:type="dxa"/>
            <w:tcBorders>
              <w:top w:val="nil"/>
              <w:left w:val="nil"/>
              <w:bottom w:val="nil"/>
              <w:right w:val="nil"/>
            </w:tcBorders>
            <w:shd w:val="clear" w:color="auto" w:fill="auto"/>
            <w:vAlign w:val="center"/>
            <w:hideMark/>
          </w:tcPr>
          <w:p w14:paraId="6DE77837"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1.08±0.05b</w:t>
            </w:r>
          </w:p>
        </w:tc>
        <w:tc>
          <w:tcPr>
            <w:tcW w:w="1216" w:type="dxa"/>
            <w:tcBorders>
              <w:top w:val="nil"/>
              <w:left w:val="nil"/>
              <w:bottom w:val="nil"/>
              <w:right w:val="nil"/>
            </w:tcBorders>
            <w:shd w:val="clear" w:color="auto" w:fill="auto"/>
            <w:vAlign w:val="center"/>
            <w:hideMark/>
          </w:tcPr>
          <w:p w14:paraId="63FBCB5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0.93±0.06a</w:t>
            </w:r>
          </w:p>
        </w:tc>
        <w:tc>
          <w:tcPr>
            <w:tcW w:w="1216" w:type="dxa"/>
            <w:tcBorders>
              <w:top w:val="nil"/>
              <w:left w:val="nil"/>
              <w:bottom w:val="nil"/>
              <w:right w:val="nil"/>
            </w:tcBorders>
            <w:shd w:val="clear" w:color="auto" w:fill="auto"/>
            <w:vAlign w:val="center"/>
            <w:hideMark/>
          </w:tcPr>
          <w:p w14:paraId="4DB3CDA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0.36±0.04b</w:t>
            </w:r>
          </w:p>
        </w:tc>
        <w:tc>
          <w:tcPr>
            <w:tcW w:w="1216" w:type="dxa"/>
            <w:tcBorders>
              <w:top w:val="nil"/>
              <w:left w:val="nil"/>
              <w:bottom w:val="nil"/>
              <w:right w:val="nil"/>
            </w:tcBorders>
            <w:shd w:val="clear" w:color="auto" w:fill="auto"/>
            <w:vAlign w:val="center"/>
            <w:hideMark/>
          </w:tcPr>
          <w:p w14:paraId="05E5306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0.24±0.06b</w:t>
            </w:r>
          </w:p>
        </w:tc>
        <w:tc>
          <w:tcPr>
            <w:tcW w:w="1327" w:type="dxa"/>
            <w:tcBorders>
              <w:top w:val="nil"/>
              <w:left w:val="nil"/>
              <w:bottom w:val="nil"/>
              <w:right w:val="nil"/>
            </w:tcBorders>
            <w:shd w:val="clear" w:color="auto" w:fill="auto"/>
            <w:vAlign w:val="center"/>
            <w:hideMark/>
          </w:tcPr>
          <w:p w14:paraId="447D88E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4.82±0.04b</w:t>
            </w:r>
          </w:p>
        </w:tc>
        <w:tc>
          <w:tcPr>
            <w:tcW w:w="1327" w:type="dxa"/>
            <w:tcBorders>
              <w:top w:val="nil"/>
              <w:left w:val="nil"/>
              <w:bottom w:val="nil"/>
              <w:right w:val="nil"/>
            </w:tcBorders>
            <w:shd w:val="clear" w:color="auto" w:fill="auto"/>
            <w:vAlign w:val="center"/>
            <w:hideMark/>
          </w:tcPr>
          <w:p w14:paraId="1EF9B7F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4.46±0.2c</w:t>
            </w:r>
          </w:p>
        </w:tc>
      </w:tr>
      <w:tr w:rsidR="00F17F2B" w:rsidRPr="00F17F2B" w14:paraId="6BC3A5E4" w14:textId="77777777" w:rsidTr="003F5349">
        <w:trPr>
          <w:trHeight w:val="346"/>
        </w:trPr>
        <w:tc>
          <w:tcPr>
            <w:tcW w:w="1295" w:type="dxa"/>
            <w:tcBorders>
              <w:top w:val="nil"/>
              <w:left w:val="nil"/>
              <w:bottom w:val="nil"/>
              <w:right w:val="nil"/>
            </w:tcBorders>
            <w:shd w:val="clear" w:color="auto" w:fill="auto"/>
            <w:vAlign w:val="center"/>
            <w:hideMark/>
          </w:tcPr>
          <w:p w14:paraId="21E7D24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C5+D75</w:t>
            </w:r>
          </w:p>
        </w:tc>
        <w:tc>
          <w:tcPr>
            <w:tcW w:w="1105" w:type="dxa"/>
            <w:tcBorders>
              <w:top w:val="nil"/>
              <w:left w:val="nil"/>
              <w:bottom w:val="nil"/>
              <w:right w:val="nil"/>
            </w:tcBorders>
            <w:shd w:val="clear" w:color="auto" w:fill="auto"/>
            <w:vAlign w:val="center"/>
            <w:hideMark/>
          </w:tcPr>
          <w:p w14:paraId="5579CED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2.47±0.22</w:t>
            </w:r>
          </w:p>
        </w:tc>
        <w:tc>
          <w:tcPr>
            <w:tcW w:w="1216" w:type="dxa"/>
            <w:tcBorders>
              <w:top w:val="nil"/>
              <w:left w:val="nil"/>
              <w:bottom w:val="nil"/>
              <w:right w:val="nil"/>
            </w:tcBorders>
            <w:shd w:val="clear" w:color="auto" w:fill="auto"/>
            <w:vAlign w:val="center"/>
            <w:hideMark/>
          </w:tcPr>
          <w:p w14:paraId="3D0210E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2.01±0.15b</w:t>
            </w:r>
          </w:p>
        </w:tc>
        <w:tc>
          <w:tcPr>
            <w:tcW w:w="1105" w:type="dxa"/>
            <w:tcBorders>
              <w:top w:val="nil"/>
              <w:left w:val="nil"/>
              <w:bottom w:val="nil"/>
              <w:right w:val="nil"/>
            </w:tcBorders>
            <w:shd w:val="clear" w:color="auto" w:fill="auto"/>
            <w:vAlign w:val="center"/>
            <w:hideMark/>
          </w:tcPr>
          <w:p w14:paraId="134EA01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1.26±0.19</w:t>
            </w:r>
          </w:p>
        </w:tc>
        <w:tc>
          <w:tcPr>
            <w:tcW w:w="1327" w:type="dxa"/>
            <w:tcBorders>
              <w:top w:val="nil"/>
              <w:left w:val="nil"/>
              <w:bottom w:val="nil"/>
              <w:right w:val="nil"/>
            </w:tcBorders>
            <w:shd w:val="clear" w:color="auto" w:fill="auto"/>
            <w:vAlign w:val="center"/>
            <w:hideMark/>
          </w:tcPr>
          <w:p w14:paraId="4A5F909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1.52±0.12b</w:t>
            </w:r>
          </w:p>
        </w:tc>
        <w:tc>
          <w:tcPr>
            <w:tcW w:w="1216" w:type="dxa"/>
            <w:tcBorders>
              <w:top w:val="nil"/>
              <w:left w:val="nil"/>
              <w:bottom w:val="nil"/>
              <w:right w:val="nil"/>
            </w:tcBorders>
            <w:shd w:val="clear" w:color="auto" w:fill="auto"/>
            <w:vAlign w:val="center"/>
            <w:hideMark/>
          </w:tcPr>
          <w:p w14:paraId="4F3A66E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1.04±0.04b</w:t>
            </w:r>
          </w:p>
        </w:tc>
        <w:tc>
          <w:tcPr>
            <w:tcW w:w="1216" w:type="dxa"/>
            <w:tcBorders>
              <w:top w:val="nil"/>
              <w:left w:val="nil"/>
              <w:bottom w:val="nil"/>
              <w:right w:val="nil"/>
            </w:tcBorders>
            <w:shd w:val="clear" w:color="auto" w:fill="auto"/>
            <w:vAlign w:val="center"/>
            <w:hideMark/>
          </w:tcPr>
          <w:p w14:paraId="0E8A0C9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0.82±0.13a</w:t>
            </w:r>
          </w:p>
        </w:tc>
        <w:tc>
          <w:tcPr>
            <w:tcW w:w="1216" w:type="dxa"/>
            <w:tcBorders>
              <w:top w:val="nil"/>
              <w:left w:val="nil"/>
              <w:bottom w:val="nil"/>
              <w:right w:val="nil"/>
            </w:tcBorders>
            <w:shd w:val="clear" w:color="auto" w:fill="auto"/>
            <w:vAlign w:val="center"/>
            <w:hideMark/>
          </w:tcPr>
          <w:p w14:paraId="6112264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0.45±0.03b</w:t>
            </w:r>
          </w:p>
        </w:tc>
        <w:tc>
          <w:tcPr>
            <w:tcW w:w="1216" w:type="dxa"/>
            <w:tcBorders>
              <w:top w:val="nil"/>
              <w:left w:val="nil"/>
              <w:bottom w:val="nil"/>
              <w:right w:val="nil"/>
            </w:tcBorders>
            <w:shd w:val="clear" w:color="auto" w:fill="auto"/>
            <w:vAlign w:val="center"/>
            <w:hideMark/>
          </w:tcPr>
          <w:p w14:paraId="1052F2F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0.18±0.02b</w:t>
            </w:r>
          </w:p>
        </w:tc>
        <w:tc>
          <w:tcPr>
            <w:tcW w:w="1327" w:type="dxa"/>
            <w:tcBorders>
              <w:top w:val="nil"/>
              <w:left w:val="nil"/>
              <w:bottom w:val="nil"/>
              <w:right w:val="nil"/>
            </w:tcBorders>
            <w:shd w:val="clear" w:color="auto" w:fill="auto"/>
            <w:vAlign w:val="center"/>
            <w:hideMark/>
          </w:tcPr>
          <w:p w14:paraId="5940D08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5.22±0.4b</w:t>
            </w:r>
          </w:p>
        </w:tc>
        <w:tc>
          <w:tcPr>
            <w:tcW w:w="1327" w:type="dxa"/>
            <w:tcBorders>
              <w:top w:val="nil"/>
              <w:left w:val="nil"/>
              <w:bottom w:val="nil"/>
              <w:right w:val="nil"/>
            </w:tcBorders>
            <w:shd w:val="clear" w:color="auto" w:fill="auto"/>
            <w:vAlign w:val="center"/>
            <w:hideMark/>
          </w:tcPr>
          <w:p w14:paraId="268C346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4.53±0.03c</w:t>
            </w:r>
          </w:p>
        </w:tc>
      </w:tr>
      <w:tr w:rsidR="00F17F2B" w:rsidRPr="00F17F2B" w14:paraId="23856EED" w14:textId="77777777" w:rsidTr="003F5349">
        <w:trPr>
          <w:trHeight w:val="346"/>
        </w:trPr>
        <w:tc>
          <w:tcPr>
            <w:tcW w:w="1295" w:type="dxa"/>
            <w:tcBorders>
              <w:top w:val="nil"/>
              <w:left w:val="nil"/>
              <w:bottom w:val="nil"/>
              <w:right w:val="nil"/>
            </w:tcBorders>
            <w:shd w:val="clear" w:color="auto" w:fill="auto"/>
            <w:vAlign w:val="center"/>
            <w:hideMark/>
          </w:tcPr>
          <w:p w14:paraId="4BBFFE6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C0+D75</w:t>
            </w:r>
          </w:p>
        </w:tc>
        <w:tc>
          <w:tcPr>
            <w:tcW w:w="1105" w:type="dxa"/>
            <w:tcBorders>
              <w:top w:val="nil"/>
              <w:left w:val="nil"/>
              <w:bottom w:val="nil"/>
              <w:right w:val="nil"/>
            </w:tcBorders>
            <w:shd w:val="clear" w:color="auto" w:fill="auto"/>
            <w:vAlign w:val="center"/>
            <w:hideMark/>
          </w:tcPr>
          <w:p w14:paraId="1F90C3A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2.55±0.25</w:t>
            </w:r>
          </w:p>
        </w:tc>
        <w:tc>
          <w:tcPr>
            <w:tcW w:w="1216" w:type="dxa"/>
            <w:tcBorders>
              <w:top w:val="nil"/>
              <w:left w:val="nil"/>
              <w:bottom w:val="nil"/>
              <w:right w:val="nil"/>
            </w:tcBorders>
            <w:shd w:val="clear" w:color="auto" w:fill="auto"/>
            <w:vAlign w:val="center"/>
            <w:hideMark/>
          </w:tcPr>
          <w:p w14:paraId="0FAF145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1.05±0.06a</w:t>
            </w:r>
          </w:p>
        </w:tc>
        <w:tc>
          <w:tcPr>
            <w:tcW w:w="1105" w:type="dxa"/>
            <w:tcBorders>
              <w:top w:val="nil"/>
              <w:left w:val="nil"/>
              <w:bottom w:val="nil"/>
              <w:right w:val="nil"/>
            </w:tcBorders>
            <w:shd w:val="clear" w:color="auto" w:fill="auto"/>
            <w:vAlign w:val="center"/>
            <w:hideMark/>
          </w:tcPr>
          <w:p w14:paraId="4AAC47A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1.22±0.09</w:t>
            </w:r>
          </w:p>
        </w:tc>
        <w:tc>
          <w:tcPr>
            <w:tcW w:w="1327" w:type="dxa"/>
            <w:tcBorders>
              <w:top w:val="nil"/>
              <w:left w:val="nil"/>
              <w:bottom w:val="nil"/>
              <w:right w:val="nil"/>
            </w:tcBorders>
            <w:shd w:val="clear" w:color="auto" w:fill="auto"/>
            <w:vAlign w:val="center"/>
            <w:hideMark/>
          </w:tcPr>
          <w:p w14:paraId="4E461A7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0.82±0.04a</w:t>
            </w:r>
          </w:p>
        </w:tc>
        <w:tc>
          <w:tcPr>
            <w:tcW w:w="1216" w:type="dxa"/>
            <w:tcBorders>
              <w:top w:val="nil"/>
              <w:left w:val="nil"/>
              <w:bottom w:val="nil"/>
              <w:right w:val="nil"/>
            </w:tcBorders>
            <w:shd w:val="clear" w:color="auto" w:fill="auto"/>
            <w:vAlign w:val="center"/>
            <w:hideMark/>
          </w:tcPr>
          <w:p w14:paraId="72728C5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0.91±0.1b</w:t>
            </w:r>
          </w:p>
        </w:tc>
        <w:tc>
          <w:tcPr>
            <w:tcW w:w="1216" w:type="dxa"/>
            <w:tcBorders>
              <w:top w:val="nil"/>
              <w:left w:val="nil"/>
              <w:bottom w:val="nil"/>
              <w:right w:val="nil"/>
            </w:tcBorders>
            <w:shd w:val="clear" w:color="auto" w:fill="auto"/>
            <w:vAlign w:val="center"/>
            <w:hideMark/>
          </w:tcPr>
          <w:p w14:paraId="2F7FC80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0.95±0.03a</w:t>
            </w:r>
          </w:p>
        </w:tc>
        <w:tc>
          <w:tcPr>
            <w:tcW w:w="1216" w:type="dxa"/>
            <w:tcBorders>
              <w:top w:val="nil"/>
              <w:left w:val="nil"/>
              <w:bottom w:val="nil"/>
              <w:right w:val="nil"/>
            </w:tcBorders>
            <w:shd w:val="clear" w:color="auto" w:fill="auto"/>
            <w:vAlign w:val="center"/>
            <w:hideMark/>
          </w:tcPr>
          <w:p w14:paraId="5429219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0.37±0.04b</w:t>
            </w:r>
          </w:p>
        </w:tc>
        <w:tc>
          <w:tcPr>
            <w:tcW w:w="1216" w:type="dxa"/>
            <w:tcBorders>
              <w:top w:val="nil"/>
              <w:left w:val="nil"/>
              <w:bottom w:val="nil"/>
              <w:right w:val="nil"/>
            </w:tcBorders>
            <w:shd w:val="clear" w:color="auto" w:fill="auto"/>
            <w:vAlign w:val="center"/>
            <w:hideMark/>
          </w:tcPr>
          <w:p w14:paraId="48FA530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0.21±0.02b</w:t>
            </w:r>
          </w:p>
        </w:tc>
        <w:tc>
          <w:tcPr>
            <w:tcW w:w="1327" w:type="dxa"/>
            <w:tcBorders>
              <w:top w:val="nil"/>
              <w:left w:val="nil"/>
              <w:bottom w:val="nil"/>
              <w:right w:val="nil"/>
            </w:tcBorders>
            <w:shd w:val="clear" w:color="auto" w:fill="auto"/>
            <w:vAlign w:val="center"/>
            <w:hideMark/>
          </w:tcPr>
          <w:p w14:paraId="4651189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5.05±0.21ab</w:t>
            </w:r>
          </w:p>
        </w:tc>
        <w:tc>
          <w:tcPr>
            <w:tcW w:w="1327" w:type="dxa"/>
            <w:tcBorders>
              <w:top w:val="nil"/>
              <w:left w:val="nil"/>
              <w:bottom w:val="nil"/>
              <w:right w:val="nil"/>
            </w:tcBorders>
            <w:shd w:val="clear" w:color="auto" w:fill="auto"/>
            <w:vAlign w:val="center"/>
            <w:hideMark/>
          </w:tcPr>
          <w:p w14:paraId="3028AD1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3.03±0.03ab</w:t>
            </w:r>
          </w:p>
        </w:tc>
      </w:tr>
      <w:tr w:rsidR="00F17F2B" w:rsidRPr="00F17F2B" w14:paraId="4C340283" w14:textId="77777777" w:rsidTr="003F5349">
        <w:trPr>
          <w:trHeight w:val="346"/>
        </w:trPr>
        <w:tc>
          <w:tcPr>
            <w:tcW w:w="1295" w:type="dxa"/>
            <w:tcBorders>
              <w:top w:val="nil"/>
              <w:left w:val="nil"/>
              <w:bottom w:val="nil"/>
              <w:right w:val="nil"/>
            </w:tcBorders>
            <w:shd w:val="clear" w:color="auto" w:fill="auto"/>
            <w:vAlign w:val="center"/>
            <w:hideMark/>
          </w:tcPr>
          <w:p w14:paraId="50FD419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C10+D50</w:t>
            </w:r>
          </w:p>
        </w:tc>
        <w:tc>
          <w:tcPr>
            <w:tcW w:w="1105" w:type="dxa"/>
            <w:tcBorders>
              <w:top w:val="nil"/>
              <w:left w:val="nil"/>
              <w:bottom w:val="nil"/>
              <w:right w:val="nil"/>
            </w:tcBorders>
            <w:shd w:val="clear" w:color="auto" w:fill="auto"/>
            <w:vAlign w:val="center"/>
            <w:hideMark/>
          </w:tcPr>
          <w:p w14:paraId="1EC9AF8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2.36±0.09</w:t>
            </w:r>
          </w:p>
        </w:tc>
        <w:tc>
          <w:tcPr>
            <w:tcW w:w="1216" w:type="dxa"/>
            <w:tcBorders>
              <w:top w:val="nil"/>
              <w:left w:val="nil"/>
              <w:bottom w:val="nil"/>
              <w:right w:val="nil"/>
            </w:tcBorders>
            <w:shd w:val="clear" w:color="auto" w:fill="auto"/>
            <w:vAlign w:val="center"/>
            <w:hideMark/>
          </w:tcPr>
          <w:p w14:paraId="3A604D1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1.99±0.07b</w:t>
            </w:r>
          </w:p>
        </w:tc>
        <w:tc>
          <w:tcPr>
            <w:tcW w:w="1105" w:type="dxa"/>
            <w:tcBorders>
              <w:top w:val="nil"/>
              <w:left w:val="nil"/>
              <w:bottom w:val="nil"/>
              <w:right w:val="nil"/>
            </w:tcBorders>
            <w:shd w:val="clear" w:color="auto" w:fill="auto"/>
            <w:vAlign w:val="center"/>
            <w:hideMark/>
          </w:tcPr>
          <w:p w14:paraId="1B7A9D9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1.1±0.2</w:t>
            </w:r>
          </w:p>
        </w:tc>
        <w:tc>
          <w:tcPr>
            <w:tcW w:w="1327" w:type="dxa"/>
            <w:tcBorders>
              <w:top w:val="nil"/>
              <w:left w:val="nil"/>
              <w:bottom w:val="nil"/>
              <w:right w:val="nil"/>
            </w:tcBorders>
            <w:shd w:val="clear" w:color="auto" w:fill="auto"/>
            <w:vAlign w:val="center"/>
            <w:hideMark/>
          </w:tcPr>
          <w:p w14:paraId="49FD483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1.4±0.13b</w:t>
            </w:r>
          </w:p>
        </w:tc>
        <w:tc>
          <w:tcPr>
            <w:tcW w:w="1216" w:type="dxa"/>
            <w:tcBorders>
              <w:top w:val="nil"/>
              <w:left w:val="nil"/>
              <w:bottom w:val="nil"/>
              <w:right w:val="nil"/>
            </w:tcBorders>
            <w:shd w:val="clear" w:color="auto" w:fill="auto"/>
            <w:vAlign w:val="center"/>
            <w:hideMark/>
          </w:tcPr>
          <w:p w14:paraId="14C8E21E"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1.1±0.06b</w:t>
            </w:r>
          </w:p>
        </w:tc>
        <w:tc>
          <w:tcPr>
            <w:tcW w:w="1216" w:type="dxa"/>
            <w:tcBorders>
              <w:top w:val="nil"/>
              <w:left w:val="nil"/>
              <w:bottom w:val="nil"/>
              <w:right w:val="nil"/>
            </w:tcBorders>
            <w:shd w:val="clear" w:color="auto" w:fill="auto"/>
            <w:vAlign w:val="center"/>
            <w:hideMark/>
          </w:tcPr>
          <w:p w14:paraId="799754D6"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0.77±0.03a</w:t>
            </w:r>
          </w:p>
        </w:tc>
        <w:tc>
          <w:tcPr>
            <w:tcW w:w="1216" w:type="dxa"/>
            <w:tcBorders>
              <w:top w:val="nil"/>
              <w:left w:val="nil"/>
              <w:bottom w:val="nil"/>
              <w:right w:val="nil"/>
            </w:tcBorders>
            <w:shd w:val="clear" w:color="auto" w:fill="auto"/>
            <w:vAlign w:val="center"/>
            <w:hideMark/>
          </w:tcPr>
          <w:p w14:paraId="3D9EA1E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0.42±0.06b</w:t>
            </w:r>
          </w:p>
        </w:tc>
        <w:tc>
          <w:tcPr>
            <w:tcW w:w="1216" w:type="dxa"/>
            <w:tcBorders>
              <w:top w:val="nil"/>
              <w:left w:val="nil"/>
              <w:bottom w:val="nil"/>
              <w:right w:val="nil"/>
            </w:tcBorders>
            <w:shd w:val="clear" w:color="auto" w:fill="auto"/>
            <w:vAlign w:val="center"/>
            <w:hideMark/>
          </w:tcPr>
          <w:p w14:paraId="09B721F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0.18±0.02b</w:t>
            </w:r>
          </w:p>
        </w:tc>
        <w:tc>
          <w:tcPr>
            <w:tcW w:w="1327" w:type="dxa"/>
            <w:tcBorders>
              <w:top w:val="nil"/>
              <w:left w:val="nil"/>
              <w:bottom w:val="nil"/>
              <w:right w:val="nil"/>
            </w:tcBorders>
            <w:shd w:val="clear" w:color="auto" w:fill="auto"/>
            <w:vAlign w:val="center"/>
            <w:hideMark/>
          </w:tcPr>
          <w:p w14:paraId="519F004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4.97±0.34b</w:t>
            </w:r>
          </w:p>
        </w:tc>
        <w:tc>
          <w:tcPr>
            <w:tcW w:w="1327" w:type="dxa"/>
            <w:tcBorders>
              <w:top w:val="nil"/>
              <w:left w:val="nil"/>
              <w:bottom w:val="nil"/>
              <w:right w:val="nil"/>
            </w:tcBorders>
            <w:shd w:val="clear" w:color="auto" w:fill="auto"/>
            <w:vAlign w:val="center"/>
            <w:hideMark/>
          </w:tcPr>
          <w:p w14:paraId="5BD9C3A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4.33±0.18c</w:t>
            </w:r>
          </w:p>
        </w:tc>
      </w:tr>
      <w:tr w:rsidR="00F17F2B" w:rsidRPr="00F17F2B" w14:paraId="33C64FCF" w14:textId="77777777" w:rsidTr="003F5349">
        <w:trPr>
          <w:trHeight w:val="346"/>
        </w:trPr>
        <w:tc>
          <w:tcPr>
            <w:tcW w:w="1295" w:type="dxa"/>
            <w:tcBorders>
              <w:top w:val="nil"/>
              <w:left w:val="nil"/>
              <w:bottom w:val="nil"/>
              <w:right w:val="nil"/>
            </w:tcBorders>
            <w:shd w:val="clear" w:color="auto" w:fill="auto"/>
            <w:vAlign w:val="center"/>
            <w:hideMark/>
          </w:tcPr>
          <w:p w14:paraId="0251267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C5+D50</w:t>
            </w:r>
          </w:p>
        </w:tc>
        <w:tc>
          <w:tcPr>
            <w:tcW w:w="1105" w:type="dxa"/>
            <w:tcBorders>
              <w:top w:val="nil"/>
              <w:left w:val="nil"/>
              <w:bottom w:val="nil"/>
              <w:right w:val="nil"/>
            </w:tcBorders>
            <w:shd w:val="clear" w:color="auto" w:fill="auto"/>
            <w:vAlign w:val="center"/>
            <w:hideMark/>
          </w:tcPr>
          <w:p w14:paraId="7E3CA87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2.32±0.13</w:t>
            </w:r>
          </w:p>
        </w:tc>
        <w:tc>
          <w:tcPr>
            <w:tcW w:w="1216" w:type="dxa"/>
            <w:tcBorders>
              <w:top w:val="nil"/>
              <w:left w:val="nil"/>
              <w:bottom w:val="nil"/>
              <w:right w:val="nil"/>
            </w:tcBorders>
            <w:shd w:val="clear" w:color="auto" w:fill="auto"/>
            <w:vAlign w:val="center"/>
            <w:hideMark/>
          </w:tcPr>
          <w:p w14:paraId="7818FC1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2.06±0.17b</w:t>
            </w:r>
          </w:p>
        </w:tc>
        <w:tc>
          <w:tcPr>
            <w:tcW w:w="1105" w:type="dxa"/>
            <w:tcBorders>
              <w:top w:val="nil"/>
              <w:left w:val="nil"/>
              <w:bottom w:val="nil"/>
              <w:right w:val="nil"/>
            </w:tcBorders>
            <w:shd w:val="clear" w:color="auto" w:fill="auto"/>
            <w:vAlign w:val="center"/>
            <w:hideMark/>
          </w:tcPr>
          <w:p w14:paraId="718CA53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1.15±0.27</w:t>
            </w:r>
          </w:p>
        </w:tc>
        <w:tc>
          <w:tcPr>
            <w:tcW w:w="1327" w:type="dxa"/>
            <w:tcBorders>
              <w:top w:val="nil"/>
              <w:left w:val="nil"/>
              <w:bottom w:val="nil"/>
              <w:right w:val="nil"/>
            </w:tcBorders>
            <w:shd w:val="clear" w:color="auto" w:fill="auto"/>
            <w:vAlign w:val="center"/>
            <w:hideMark/>
          </w:tcPr>
          <w:p w14:paraId="3BAA661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1.38±0.13b</w:t>
            </w:r>
          </w:p>
        </w:tc>
        <w:tc>
          <w:tcPr>
            <w:tcW w:w="1216" w:type="dxa"/>
            <w:tcBorders>
              <w:top w:val="nil"/>
              <w:left w:val="nil"/>
              <w:bottom w:val="nil"/>
              <w:right w:val="nil"/>
            </w:tcBorders>
            <w:shd w:val="clear" w:color="auto" w:fill="auto"/>
            <w:vAlign w:val="center"/>
            <w:hideMark/>
          </w:tcPr>
          <w:p w14:paraId="131ACAE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1.05±0.03b</w:t>
            </w:r>
          </w:p>
        </w:tc>
        <w:tc>
          <w:tcPr>
            <w:tcW w:w="1216" w:type="dxa"/>
            <w:tcBorders>
              <w:top w:val="nil"/>
              <w:left w:val="nil"/>
              <w:bottom w:val="nil"/>
              <w:right w:val="nil"/>
            </w:tcBorders>
            <w:shd w:val="clear" w:color="auto" w:fill="auto"/>
            <w:vAlign w:val="center"/>
            <w:hideMark/>
          </w:tcPr>
          <w:p w14:paraId="05E7F91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0.72±0.08a</w:t>
            </w:r>
          </w:p>
        </w:tc>
        <w:tc>
          <w:tcPr>
            <w:tcW w:w="1216" w:type="dxa"/>
            <w:tcBorders>
              <w:top w:val="nil"/>
              <w:left w:val="nil"/>
              <w:bottom w:val="nil"/>
              <w:right w:val="nil"/>
            </w:tcBorders>
            <w:shd w:val="clear" w:color="auto" w:fill="auto"/>
            <w:vAlign w:val="center"/>
            <w:hideMark/>
          </w:tcPr>
          <w:p w14:paraId="2F4C692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0.33±0.04b</w:t>
            </w:r>
          </w:p>
        </w:tc>
        <w:tc>
          <w:tcPr>
            <w:tcW w:w="1216" w:type="dxa"/>
            <w:tcBorders>
              <w:top w:val="nil"/>
              <w:left w:val="nil"/>
              <w:bottom w:val="nil"/>
              <w:right w:val="nil"/>
            </w:tcBorders>
            <w:shd w:val="clear" w:color="auto" w:fill="auto"/>
            <w:vAlign w:val="center"/>
            <w:hideMark/>
          </w:tcPr>
          <w:p w14:paraId="216C0AE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0.17±0.02b</w:t>
            </w:r>
          </w:p>
        </w:tc>
        <w:tc>
          <w:tcPr>
            <w:tcW w:w="1327" w:type="dxa"/>
            <w:tcBorders>
              <w:top w:val="nil"/>
              <w:left w:val="nil"/>
              <w:bottom w:val="nil"/>
              <w:right w:val="nil"/>
            </w:tcBorders>
            <w:shd w:val="clear" w:color="auto" w:fill="auto"/>
            <w:vAlign w:val="center"/>
            <w:hideMark/>
          </w:tcPr>
          <w:p w14:paraId="48EA860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4.85±0.21b</w:t>
            </w:r>
          </w:p>
        </w:tc>
        <w:tc>
          <w:tcPr>
            <w:tcW w:w="1327" w:type="dxa"/>
            <w:tcBorders>
              <w:top w:val="nil"/>
              <w:left w:val="nil"/>
              <w:bottom w:val="nil"/>
              <w:right w:val="nil"/>
            </w:tcBorders>
            <w:shd w:val="clear" w:color="auto" w:fill="auto"/>
            <w:vAlign w:val="center"/>
            <w:hideMark/>
          </w:tcPr>
          <w:p w14:paraId="6823782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4.32±0.26c</w:t>
            </w:r>
          </w:p>
        </w:tc>
      </w:tr>
      <w:tr w:rsidR="00F17F2B" w:rsidRPr="00F17F2B" w14:paraId="48CAC21E" w14:textId="77777777" w:rsidTr="003F5349">
        <w:trPr>
          <w:trHeight w:val="346"/>
        </w:trPr>
        <w:tc>
          <w:tcPr>
            <w:tcW w:w="1295" w:type="dxa"/>
            <w:tcBorders>
              <w:top w:val="nil"/>
              <w:left w:val="nil"/>
              <w:bottom w:val="nil"/>
              <w:right w:val="nil"/>
            </w:tcBorders>
            <w:shd w:val="clear" w:color="auto" w:fill="auto"/>
            <w:vAlign w:val="center"/>
            <w:hideMark/>
          </w:tcPr>
          <w:p w14:paraId="59F07C8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C0+D50</w:t>
            </w:r>
          </w:p>
        </w:tc>
        <w:tc>
          <w:tcPr>
            <w:tcW w:w="1105" w:type="dxa"/>
            <w:tcBorders>
              <w:top w:val="nil"/>
              <w:left w:val="nil"/>
              <w:bottom w:val="nil"/>
              <w:right w:val="nil"/>
            </w:tcBorders>
            <w:shd w:val="clear" w:color="auto" w:fill="auto"/>
            <w:vAlign w:val="center"/>
            <w:hideMark/>
          </w:tcPr>
          <w:p w14:paraId="79E6606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2.57±0.08</w:t>
            </w:r>
          </w:p>
        </w:tc>
        <w:tc>
          <w:tcPr>
            <w:tcW w:w="1216" w:type="dxa"/>
            <w:tcBorders>
              <w:top w:val="nil"/>
              <w:left w:val="nil"/>
              <w:bottom w:val="nil"/>
              <w:right w:val="nil"/>
            </w:tcBorders>
            <w:shd w:val="clear" w:color="auto" w:fill="auto"/>
            <w:vAlign w:val="center"/>
            <w:hideMark/>
          </w:tcPr>
          <w:p w14:paraId="160DE21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1±0.07a</w:t>
            </w:r>
          </w:p>
        </w:tc>
        <w:tc>
          <w:tcPr>
            <w:tcW w:w="1105" w:type="dxa"/>
            <w:tcBorders>
              <w:top w:val="nil"/>
              <w:left w:val="nil"/>
              <w:bottom w:val="nil"/>
              <w:right w:val="nil"/>
            </w:tcBorders>
            <w:shd w:val="clear" w:color="auto" w:fill="auto"/>
            <w:vAlign w:val="center"/>
            <w:hideMark/>
          </w:tcPr>
          <w:p w14:paraId="2DA7FBC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1.29±0.25</w:t>
            </w:r>
          </w:p>
        </w:tc>
        <w:tc>
          <w:tcPr>
            <w:tcW w:w="1327" w:type="dxa"/>
            <w:tcBorders>
              <w:top w:val="nil"/>
              <w:left w:val="nil"/>
              <w:bottom w:val="nil"/>
              <w:right w:val="nil"/>
            </w:tcBorders>
            <w:shd w:val="clear" w:color="auto" w:fill="auto"/>
            <w:vAlign w:val="center"/>
            <w:hideMark/>
          </w:tcPr>
          <w:p w14:paraId="2071DBB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0.77±0.05a</w:t>
            </w:r>
          </w:p>
        </w:tc>
        <w:tc>
          <w:tcPr>
            <w:tcW w:w="1216" w:type="dxa"/>
            <w:tcBorders>
              <w:top w:val="nil"/>
              <w:left w:val="nil"/>
              <w:bottom w:val="nil"/>
              <w:right w:val="nil"/>
            </w:tcBorders>
            <w:shd w:val="clear" w:color="auto" w:fill="auto"/>
            <w:vAlign w:val="center"/>
            <w:hideMark/>
          </w:tcPr>
          <w:p w14:paraId="4B0651E5"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0.99±0.13b</w:t>
            </w:r>
          </w:p>
        </w:tc>
        <w:tc>
          <w:tcPr>
            <w:tcW w:w="1216" w:type="dxa"/>
            <w:tcBorders>
              <w:top w:val="nil"/>
              <w:left w:val="nil"/>
              <w:bottom w:val="nil"/>
              <w:right w:val="nil"/>
            </w:tcBorders>
            <w:shd w:val="clear" w:color="auto" w:fill="auto"/>
            <w:vAlign w:val="center"/>
            <w:hideMark/>
          </w:tcPr>
          <w:p w14:paraId="4C809F4C"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0.91±0.08a</w:t>
            </w:r>
          </w:p>
        </w:tc>
        <w:tc>
          <w:tcPr>
            <w:tcW w:w="1216" w:type="dxa"/>
            <w:tcBorders>
              <w:top w:val="nil"/>
              <w:left w:val="nil"/>
              <w:bottom w:val="nil"/>
              <w:right w:val="nil"/>
            </w:tcBorders>
            <w:shd w:val="clear" w:color="auto" w:fill="auto"/>
            <w:vAlign w:val="center"/>
            <w:hideMark/>
          </w:tcPr>
          <w:p w14:paraId="7D6C100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0.4±0.07b</w:t>
            </w:r>
          </w:p>
        </w:tc>
        <w:tc>
          <w:tcPr>
            <w:tcW w:w="1216" w:type="dxa"/>
            <w:tcBorders>
              <w:top w:val="nil"/>
              <w:left w:val="nil"/>
              <w:bottom w:val="nil"/>
              <w:right w:val="nil"/>
            </w:tcBorders>
            <w:shd w:val="clear" w:color="auto" w:fill="auto"/>
            <w:vAlign w:val="center"/>
            <w:hideMark/>
          </w:tcPr>
          <w:p w14:paraId="35AFF28D"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0.24±0.04b</w:t>
            </w:r>
          </w:p>
        </w:tc>
        <w:tc>
          <w:tcPr>
            <w:tcW w:w="1327" w:type="dxa"/>
            <w:tcBorders>
              <w:top w:val="nil"/>
              <w:left w:val="nil"/>
              <w:bottom w:val="nil"/>
              <w:right w:val="nil"/>
            </w:tcBorders>
            <w:shd w:val="clear" w:color="auto" w:fill="auto"/>
            <w:vAlign w:val="center"/>
            <w:hideMark/>
          </w:tcPr>
          <w:p w14:paraId="39F8D793"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5.25±0.27ab</w:t>
            </w:r>
          </w:p>
        </w:tc>
        <w:tc>
          <w:tcPr>
            <w:tcW w:w="1327" w:type="dxa"/>
            <w:tcBorders>
              <w:top w:val="nil"/>
              <w:left w:val="nil"/>
              <w:bottom w:val="nil"/>
              <w:right w:val="nil"/>
            </w:tcBorders>
            <w:shd w:val="clear" w:color="auto" w:fill="auto"/>
            <w:vAlign w:val="center"/>
            <w:hideMark/>
          </w:tcPr>
          <w:p w14:paraId="1A72FFC4"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2.92±0.14a</w:t>
            </w:r>
          </w:p>
        </w:tc>
      </w:tr>
      <w:tr w:rsidR="00F17F2B" w:rsidRPr="00F17F2B" w14:paraId="13DFE6D6" w14:textId="77777777" w:rsidTr="003F5349">
        <w:trPr>
          <w:trHeight w:val="346"/>
        </w:trPr>
        <w:tc>
          <w:tcPr>
            <w:tcW w:w="1295" w:type="dxa"/>
            <w:tcBorders>
              <w:top w:val="nil"/>
              <w:left w:val="nil"/>
              <w:bottom w:val="nil"/>
              <w:right w:val="nil"/>
            </w:tcBorders>
            <w:shd w:val="clear" w:color="auto" w:fill="auto"/>
            <w:vAlign w:val="center"/>
            <w:hideMark/>
          </w:tcPr>
          <w:p w14:paraId="2585D06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P</w:t>
            </w:r>
          </w:p>
        </w:tc>
        <w:tc>
          <w:tcPr>
            <w:tcW w:w="1105" w:type="dxa"/>
            <w:tcBorders>
              <w:top w:val="nil"/>
              <w:left w:val="nil"/>
              <w:bottom w:val="nil"/>
              <w:right w:val="nil"/>
            </w:tcBorders>
            <w:shd w:val="clear" w:color="auto" w:fill="auto"/>
            <w:vAlign w:val="center"/>
            <w:hideMark/>
          </w:tcPr>
          <w:p w14:paraId="1999525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0.77</w:t>
            </w:r>
          </w:p>
        </w:tc>
        <w:tc>
          <w:tcPr>
            <w:tcW w:w="1216" w:type="dxa"/>
            <w:tcBorders>
              <w:top w:val="nil"/>
              <w:left w:val="nil"/>
              <w:bottom w:val="nil"/>
              <w:right w:val="nil"/>
            </w:tcBorders>
            <w:shd w:val="clear" w:color="auto" w:fill="auto"/>
            <w:vAlign w:val="center"/>
            <w:hideMark/>
          </w:tcPr>
          <w:p w14:paraId="29F8B9A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w:t>
            </w:r>
          </w:p>
        </w:tc>
        <w:tc>
          <w:tcPr>
            <w:tcW w:w="1105" w:type="dxa"/>
            <w:tcBorders>
              <w:top w:val="nil"/>
              <w:left w:val="nil"/>
              <w:bottom w:val="nil"/>
              <w:right w:val="nil"/>
            </w:tcBorders>
            <w:shd w:val="clear" w:color="auto" w:fill="auto"/>
            <w:vAlign w:val="center"/>
            <w:hideMark/>
          </w:tcPr>
          <w:p w14:paraId="45F74B0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0.66</w:t>
            </w:r>
          </w:p>
        </w:tc>
        <w:tc>
          <w:tcPr>
            <w:tcW w:w="1327" w:type="dxa"/>
            <w:tcBorders>
              <w:top w:val="nil"/>
              <w:left w:val="nil"/>
              <w:bottom w:val="nil"/>
              <w:right w:val="nil"/>
            </w:tcBorders>
            <w:shd w:val="clear" w:color="auto" w:fill="auto"/>
            <w:vAlign w:val="center"/>
            <w:hideMark/>
          </w:tcPr>
          <w:p w14:paraId="3B05518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0.007</w:t>
            </w:r>
          </w:p>
        </w:tc>
        <w:tc>
          <w:tcPr>
            <w:tcW w:w="1216" w:type="dxa"/>
            <w:tcBorders>
              <w:top w:val="nil"/>
              <w:left w:val="nil"/>
              <w:bottom w:val="nil"/>
              <w:right w:val="nil"/>
            </w:tcBorders>
            <w:shd w:val="clear" w:color="auto" w:fill="auto"/>
            <w:vAlign w:val="center"/>
            <w:hideMark/>
          </w:tcPr>
          <w:p w14:paraId="5616BFE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w:t>
            </w:r>
          </w:p>
        </w:tc>
        <w:tc>
          <w:tcPr>
            <w:tcW w:w="1216" w:type="dxa"/>
            <w:tcBorders>
              <w:top w:val="nil"/>
              <w:left w:val="nil"/>
              <w:bottom w:val="nil"/>
              <w:right w:val="nil"/>
            </w:tcBorders>
            <w:shd w:val="clear" w:color="auto" w:fill="auto"/>
            <w:vAlign w:val="center"/>
            <w:hideMark/>
          </w:tcPr>
          <w:p w14:paraId="41CBE7E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w:t>
            </w:r>
          </w:p>
        </w:tc>
        <w:tc>
          <w:tcPr>
            <w:tcW w:w="1216" w:type="dxa"/>
            <w:tcBorders>
              <w:top w:val="nil"/>
              <w:left w:val="nil"/>
              <w:bottom w:val="nil"/>
              <w:right w:val="nil"/>
            </w:tcBorders>
            <w:shd w:val="clear" w:color="auto" w:fill="auto"/>
            <w:vAlign w:val="center"/>
            <w:hideMark/>
          </w:tcPr>
          <w:p w14:paraId="468CD94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0.002</w:t>
            </w:r>
          </w:p>
        </w:tc>
        <w:tc>
          <w:tcPr>
            <w:tcW w:w="1216" w:type="dxa"/>
            <w:tcBorders>
              <w:top w:val="nil"/>
              <w:left w:val="nil"/>
              <w:bottom w:val="nil"/>
              <w:right w:val="nil"/>
            </w:tcBorders>
            <w:shd w:val="clear" w:color="auto" w:fill="auto"/>
            <w:vAlign w:val="center"/>
            <w:hideMark/>
          </w:tcPr>
          <w:p w14:paraId="2478F18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0.049</w:t>
            </w:r>
          </w:p>
        </w:tc>
        <w:tc>
          <w:tcPr>
            <w:tcW w:w="1327" w:type="dxa"/>
            <w:tcBorders>
              <w:top w:val="nil"/>
              <w:left w:val="nil"/>
              <w:bottom w:val="nil"/>
              <w:right w:val="nil"/>
            </w:tcBorders>
            <w:shd w:val="clear" w:color="auto" w:fill="auto"/>
            <w:vAlign w:val="center"/>
            <w:hideMark/>
          </w:tcPr>
          <w:p w14:paraId="4ED7B03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0.048</w:t>
            </w:r>
          </w:p>
        </w:tc>
        <w:tc>
          <w:tcPr>
            <w:tcW w:w="1327" w:type="dxa"/>
            <w:tcBorders>
              <w:top w:val="nil"/>
              <w:left w:val="nil"/>
              <w:bottom w:val="nil"/>
              <w:right w:val="nil"/>
            </w:tcBorders>
            <w:shd w:val="clear" w:color="auto" w:fill="auto"/>
            <w:vAlign w:val="center"/>
            <w:hideMark/>
          </w:tcPr>
          <w:p w14:paraId="43905A2A"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0</w:t>
            </w:r>
          </w:p>
        </w:tc>
      </w:tr>
      <w:tr w:rsidR="00F17F2B" w:rsidRPr="00F17F2B" w14:paraId="3348A457" w14:textId="77777777" w:rsidTr="003F5349">
        <w:trPr>
          <w:trHeight w:val="346"/>
        </w:trPr>
        <w:tc>
          <w:tcPr>
            <w:tcW w:w="1295" w:type="dxa"/>
            <w:tcBorders>
              <w:top w:val="nil"/>
              <w:left w:val="nil"/>
              <w:bottom w:val="single" w:sz="8" w:space="0" w:color="000000"/>
              <w:right w:val="nil"/>
            </w:tcBorders>
            <w:shd w:val="clear" w:color="auto" w:fill="auto"/>
            <w:vAlign w:val="center"/>
            <w:hideMark/>
          </w:tcPr>
          <w:p w14:paraId="0FA7509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Significance</w:t>
            </w:r>
          </w:p>
        </w:tc>
        <w:tc>
          <w:tcPr>
            <w:tcW w:w="1105" w:type="dxa"/>
            <w:tcBorders>
              <w:top w:val="nil"/>
              <w:left w:val="nil"/>
              <w:bottom w:val="single" w:sz="8" w:space="0" w:color="000000"/>
              <w:right w:val="nil"/>
            </w:tcBorders>
            <w:shd w:val="clear" w:color="auto" w:fill="auto"/>
            <w:vAlign w:val="center"/>
            <w:hideMark/>
          </w:tcPr>
          <w:p w14:paraId="20CBC18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ns</w:t>
            </w:r>
          </w:p>
        </w:tc>
        <w:tc>
          <w:tcPr>
            <w:tcW w:w="1216" w:type="dxa"/>
            <w:tcBorders>
              <w:top w:val="nil"/>
              <w:left w:val="nil"/>
              <w:bottom w:val="single" w:sz="8" w:space="0" w:color="000000"/>
              <w:right w:val="nil"/>
            </w:tcBorders>
            <w:shd w:val="clear" w:color="auto" w:fill="auto"/>
            <w:vAlign w:val="center"/>
            <w:hideMark/>
          </w:tcPr>
          <w:p w14:paraId="43CCC1AB"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105" w:type="dxa"/>
            <w:tcBorders>
              <w:top w:val="nil"/>
              <w:left w:val="nil"/>
              <w:bottom w:val="single" w:sz="8" w:space="0" w:color="000000"/>
              <w:right w:val="nil"/>
            </w:tcBorders>
            <w:shd w:val="clear" w:color="auto" w:fill="auto"/>
            <w:vAlign w:val="center"/>
            <w:hideMark/>
          </w:tcPr>
          <w:p w14:paraId="212EA499"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ns</w:t>
            </w:r>
          </w:p>
        </w:tc>
        <w:tc>
          <w:tcPr>
            <w:tcW w:w="1327" w:type="dxa"/>
            <w:tcBorders>
              <w:top w:val="nil"/>
              <w:left w:val="nil"/>
              <w:bottom w:val="single" w:sz="8" w:space="0" w:color="000000"/>
              <w:right w:val="nil"/>
            </w:tcBorders>
            <w:shd w:val="clear" w:color="auto" w:fill="auto"/>
            <w:vAlign w:val="center"/>
            <w:hideMark/>
          </w:tcPr>
          <w:p w14:paraId="156D5581"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216" w:type="dxa"/>
            <w:tcBorders>
              <w:top w:val="nil"/>
              <w:left w:val="nil"/>
              <w:bottom w:val="single" w:sz="8" w:space="0" w:color="000000"/>
              <w:right w:val="nil"/>
            </w:tcBorders>
            <w:shd w:val="clear" w:color="auto" w:fill="auto"/>
            <w:vAlign w:val="center"/>
            <w:hideMark/>
          </w:tcPr>
          <w:p w14:paraId="1E75FA20"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216" w:type="dxa"/>
            <w:tcBorders>
              <w:top w:val="nil"/>
              <w:left w:val="nil"/>
              <w:bottom w:val="single" w:sz="8" w:space="0" w:color="000000"/>
              <w:right w:val="nil"/>
            </w:tcBorders>
            <w:shd w:val="clear" w:color="auto" w:fill="auto"/>
            <w:vAlign w:val="center"/>
            <w:hideMark/>
          </w:tcPr>
          <w:p w14:paraId="2F09634F"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216" w:type="dxa"/>
            <w:tcBorders>
              <w:top w:val="nil"/>
              <w:left w:val="nil"/>
              <w:bottom w:val="single" w:sz="8" w:space="0" w:color="000000"/>
              <w:right w:val="nil"/>
            </w:tcBorders>
            <w:shd w:val="clear" w:color="auto" w:fill="auto"/>
            <w:vAlign w:val="center"/>
            <w:hideMark/>
          </w:tcPr>
          <w:p w14:paraId="1633A4B2"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216" w:type="dxa"/>
            <w:tcBorders>
              <w:top w:val="nil"/>
              <w:left w:val="nil"/>
              <w:bottom w:val="single" w:sz="8" w:space="0" w:color="000000"/>
              <w:right w:val="nil"/>
            </w:tcBorders>
            <w:shd w:val="clear" w:color="auto" w:fill="auto"/>
            <w:vAlign w:val="center"/>
            <w:hideMark/>
          </w:tcPr>
          <w:p w14:paraId="5641EFB8" w14:textId="77777777" w:rsidR="00F17F2B" w:rsidRPr="00F17F2B" w:rsidRDefault="00F17F2B" w:rsidP="003F5349">
            <w:pPr>
              <w:jc w:val="both"/>
              <w:rPr>
                <w:rFonts w:ascii="Arial" w:hAnsi="Arial" w:cs="Arial"/>
                <w:color w:val="000000"/>
              </w:rPr>
            </w:pPr>
            <w:r w:rsidRPr="00F17F2B">
              <w:rPr>
                <w:rFonts w:ascii="Arial" w:eastAsia="Calibri" w:hAnsi="Arial" w:cs="Arial"/>
                <w:color w:val="000000" w:themeColor="text1"/>
              </w:rPr>
              <w:t>*</w:t>
            </w:r>
          </w:p>
        </w:tc>
        <w:tc>
          <w:tcPr>
            <w:tcW w:w="1327" w:type="dxa"/>
            <w:tcBorders>
              <w:top w:val="nil"/>
              <w:left w:val="nil"/>
              <w:bottom w:val="single" w:sz="8" w:space="0" w:color="000000"/>
              <w:right w:val="nil"/>
            </w:tcBorders>
            <w:shd w:val="clear" w:color="auto" w:fill="auto"/>
            <w:vAlign w:val="center"/>
            <w:hideMark/>
          </w:tcPr>
          <w:p w14:paraId="3A964261" w14:textId="77777777" w:rsidR="00F17F2B" w:rsidRPr="00F17F2B" w:rsidRDefault="00F17F2B" w:rsidP="003F5349">
            <w:pPr>
              <w:jc w:val="both"/>
              <w:rPr>
                <w:rFonts w:ascii="Arial" w:hAnsi="Arial" w:cs="Arial"/>
                <w:color w:val="000000"/>
              </w:rPr>
            </w:pPr>
            <w:r w:rsidRPr="00F17F2B">
              <w:rPr>
                <w:rFonts w:ascii="Arial" w:hAnsi="Arial" w:cs="Arial"/>
                <w:color w:val="000000"/>
                <w:lang w:val="fr-FR"/>
              </w:rPr>
              <w:t>*</w:t>
            </w:r>
          </w:p>
        </w:tc>
        <w:tc>
          <w:tcPr>
            <w:tcW w:w="1327" w:type="dxa"/>
            <w:tcBorders>
              <w:top w:val="nil"/>
              <w:left w:val="nil"/>
              <w:bottom w:val="single" w:sz="8" w:space="0" w:color="000000"/>
              <w:right w:val="nil"/>
            </w:tcBorders>
            <w:shd w:val="clear" w:color="auto" w:fill="auto"/>
            <w:vAlign w:val="center"/>
            <w:hideMark/>
          </w:tcPr>
          <w:p w14:paraId="317D6997" w14:textId="77777777" w:rsidR="00F17F2B" w:rsidRPr="00F17F2B" w:rsidRDefault="00F17F2B" w:rsidP="003F5349">
            <w:pPr>
              <w:jc w:val="both"/>
              <w:rPr>
                <w:rFonts w:ascii="Arial" w:hAnsi="Arial" w:cs="Arial"/>
                <w:color w:val="000000"/>
              </w:rPr>
            </w:pPr>
            <w:r w:rsidRPr="00F17F2B">
              <w:rPr>
                <w:rFonts w:ascii="Arial" w:hAnsi="Arial" w:cs="Arial"/>
                <w:color w:val="000000"/>
                <w:lang w:val="fr-FR"/>
              </w:rPr>
              <w:t>***</w:t>
            </w:r>
          </w:p>
        </w:tc>
      </w:tr>
    </w:tbl>
    <w:p w14:paraId="0C864E2E" w14:textId="2F3662B6" w:rsidR="00194E84" w:rsidRPr="003A08A2" w:rsidRDefault="00480F4D" w:rsidP="009B7A15">
      <w:pPr>
        <w:pStyle w:val="Body"/>
        <w:spacing w:after="0"/>
        <w:rPr>
          <w:rFonts w:ascii="Arial" w:hAnsi="Arial" w:cs="Arial"/>
          <w:lang w:val="fr-FR"/>
        </w:rPr>
      </w:pPr>
      <w:r>
        <w:rPr>
          <w:rFonts w:ascii="Arial" w:hAnsi="Arial" w:cs="Arial"/>
          <w:lang w:val="fr-FR"/>
        </w:rPr>
        <w:t>ns : non significative</w:t>
      </w:r>
    </w:p>
    <w:p w14:paraId="1771E07A" w14:textId="65986FEC" w:rsidR="00194E84" w:rsidRPr="003A08A2" w:rsidRDefault="00194E84" w:rsidP="009B7A15">
      <w:pPr>
        <w:pStyle w:val="Body"/>
        <w:spacing w:after="0"/>
        <w:rPr>
          <w:rFonts w:ascii="Arial" w:hAnsi="Arial" w:cs="Arial"/>
          <w:lang w:val="fr-FR"/>
        </w:rPr>
      </w:pPr>
      <w:r w:rsidRPr="003A08A2">
        <w:rPr>
          <w:rFonts w:ascii="Arial" w:hAnsi="Arial" w:cs="Arial"/>
          <w:lang w:val="fr-FR"/>
        </w:rPr>
        <w:t>***: signif</w:t>
      </w:r>
      <w:r w:rsidR="00480F4D">
        <w:rPr>
          <w:rFonts w:ascii="Arial" w:hAnsi="Arial" w:cs="Arial"/>
          <w:lang w:val="fr-FR"/>
        </w:rPr>
        <w:t>icative with</w:t>
      </w:r>
      <w:r w:rsidRPr="003A08A2">
        <w:rPr>
          <w:rFonts w:ascii="Arial" w:hAnsi="Arial" w:cs="Arial"/>
          <w:lang w:val="fr-FR"/>
        </w:rPr>
        <w:t xml:space="preserve"> p˂0,001</w:t>
      </w:r>
    </w:p>
    <w:p w14:paraId="06BD70C8" w14:textId="12190B30" w:rsidR="00194E84" w:rsidRPr="001F31F1" w:rsidRDefault="00480F4D" w:rsidP="009B7A15">
      <w:pPr>
        <w:pStyle w:val="Body"/>
        <w:spacing w:after="0"/>
        <w:rPr>
          <w:rFonts w:ascii="Arial" w:hAnsi="Arial" w:cs="Arial"/>
        </w:rPr>
      </w:pPr>
      <w:r w:rsidRPr="001F31F1">
        <w:rPr>
          <w:rFonts w:ascii="Arial" w:hAnsi="Arial" w:cs="Arial"/>
        </w:rPr>
        <w:t>**: significative</w:t>
      </w:r>
      <w:r w:rsidR="00194E84" w:rsidRPr="001F31F1">
        <w:rPr>
          <w:rFonts w:ascii="Arial" w:hAnsi="Arial" w:cs="Arial"/>
        </w:rPr>
        <w:t xml:space="preserve"> </w:t>
      </w:r>
      <w:r w:rsidRPr="001F31F1">
        <w:rPr>
          <w:rFonts w:ascii="Arial" w:hAnsi="Arial" w:cs="Arial"/>
        </w:rPr>
        <w:t>with p˂0,01</w:t>
      </w:r>
      <w:r w:rsidRPr="001F31F1">
        <w:rPr>
          <w:rFonts w:ascii="Arial" w:hAnsi="Arial" w:cs="Arial"/>
        </w:rPr>
        <w:tab/>
      </w:r>
      <w:r w:rsidRPr="001F31F1">
        <w:rPr>
          <w:rFonts w:ascii="Arial" w:hAnsi="Arial" w:cs="Arial"/>
        </w:rPr>
        <w:tab/>
        <w:t>*: significative with</w:t>
      </w:r>
      <w:r w:rsidR="00194E84" w:rsidRPr="001F31F1">
        <w:rPr>
          <w:rFonts w:ascii="Arial" w:hAnsi="Arial" w:cs="Arial"/>
        </w:rPr>
        <w:t xml:space="preserve"> p˂0,05 </w:t>
      </w:r>
    </w:p>
    <w:p w14:paraId="4CFBB114" w14:textId="77777777" w:rsidR="00194E84" w:rsidRPr="001F31F1" w:rsidRDefault="00194E84" w:rsidP="003A08A2">
      <w:pPr>
        <w:pStyle w:val="Body"/>
        <w:rPr>
          <w:rFonts w:ascii="Arial" w:hAnsi="Arial" w:cs="Arial"/>
        </w:rPr>
        <w:sectPr w:rsidR="00194E84" w:rsidRPr="001F31F1" w:rsidSect="00111842">
          <w:pgSz w:w="15840" w:h="12240" w:orient="landscape"/>
          <w:pgMar w:top="2016" w:right="1440" w:bottom="2016" w:left="2016" w:header="720" w:footer="1123" w:gutter="0"/>
          <w:cols w:space="720"/>
          <w:docGrid w:linePitch="272"/>
        </w:sectPr>
      </w:pPr>
    </w:p>
    <w:p w14:paraId="7F1794D1" w14:textId="6E1AACB9" w:rsidR="003A08A2" w:rsidRPr="001F31F1" w:rsidRDefault="003A08A2" w:rsidP="00194E84">
      <w:pPr>
        <w:pStyle w:val="Body"/>
        <w:jc w:val="left"/>
        <w:rPr>
          <w:rFonts w:ascii="Arial" w:hAnsi="Arial" w:cs="Arial"/>
          <w:b/>
          <w:bCs/>
          <w:u w:val="single"/>
        </w:rPr>
      </w:pPr>
      <w:r w:rsidRPr="001F31F1">
        <w:rPr>
          <w:rFonts w:ascii="Arial" w:hAnsi="Arial" w:cs="Arial"/>
          <w:b/>
          <w:bCs/>
          <w:u w:val="single"/>
        </w:rPr>
        <w:lastRenderedPageBreak/>
        <w:t xml:space="preserve">3.1.5. </w:t>
      </w:r>
      <w:commentRangeStart w:id="19"/>
      <w:r w:rsidR="00480F4D" w:rsidRPr="001F31F1">
        <w:rPr>
          <w:rFonts w:ascii="Arial" w:hAnsi="Arial" w:cs="Arial"/>
          <w:b/>
          <w:bCs/>
          <w:u w:val="single"/>
        </w:rPr>
        <w:t xml:space="preserve">Effect of treatments on </w:t>
      </w:r>
      <w:r w:rsidR="00400454" w:rsidRPr="00400454">
        <w:rPr>
          <w:rFonts w:ascii="Arial" w:hAnsi="Arial" w:cs="Arial"/>
          <w:b/>
          <w:bCs/>
          <w:color w:val="FF0000"/>
          <w:u w:val="single"/>
        </w:rPr>
        <w:t>C</w:t>
      </w:r>
      <w:r w:rsidR="00400454" w:rsidRPr="001F31F1">
        <w:rPr>
          <w:rFonts w:ascii="Arial" w:hAnsi="Arial" w:cs="Arial"/>
          <w:b/>
          <w:bCs/>
          <w:u w:val="single"/>
        </w:rPr>
        <w:t xml:space="preserve">ation </w:t>
      </w:r>
      <w:r w:rsidR="00400454" w:rsidRPr="00400454">
        <w:rPr>
          <w:rFonts w:ascii="Arial" w:hAnsi="Arial" w:cs="Arial"/>
          <w:b/>
          <w:bCs/>
          <w:color w:val="FF0000"/>
          <w:u w:val="single"/>
        </w:rPr>
        <w:t>E</w:t>
      </w:r>
      <w:r w:rsidR="00400454" w:rsidRPr="001F31F1">
        <w:rPr>
          <w:rFonts w:ascii="Arial" w:hAnsi="Arial" w:cs="Arial"/>
          <w:b/>
          <w:bCs/>
          <w:u w:val="single"/>
        </w:rPr>
        <w:t xml:space="preserve">xchange </w:t>
      </w:r>
      <w:r w:rsidR="00400454" w:rsidRPr="00400454">
        <w:rPr>
          <w:rFonts w:ascii="Arial" w:hAnsi="Arial" w:cs="Arial"/>
          <w:b/>
          <w:bCs/>
          <w:color w:val="FF0000"/>
          <w:u w:val="single"/>
        </w:rPr>
        <w:t>C</w:t>
      </w:r>
      <w:r w:rsidR="00400454" w:rsidRPr="001F31F1">
        <w:rPr>
          <w:rFonts w:ascii="Arial" w:hAnsi="Arial" w:cs="Arial"/>
          <w:b/>
          <w:bCs/>
          <w:u w:val="single"/>
        </w:rPr>
        <w:t>apacity</w:t>
      </w:r>
      <w:r w:rsidR="00400454">
        <w:rPr>
          <w:rFonts w:ascii="Arial" w:hAnsi="Arial" w:cs="Arial"/>
          <w:b/>
          <w:bCs/>
          <w:u w:val="single"/>
        </w:rPr>
        <w:t xml:space="preserve"> </w:t>
      </w:r>
      <w:r w:rsidR="00400454" w:rsidRPr="00400454">
        <w:rPr>
          <w:rFonts w:ascii="Arial" w:hAnsi="Arial" w:cs="Arial"/>
          <w:b/>
          <w:bCs/>
          <w:color w:val="FF0000"/>
          <w:u w:val="single"/>
        </w:rPr>
        <w:t>(CEC)</w:t>
      </w:r>
      <w:commentRangeEnd w:id="19"/>
      <w:r w:rsidR="00400454">
        <w:rPr>
          <w:rStyle w:val="CommentReference"/>
          <w:rFonts w:ascii="Times New Roman" w:hAnsi="Times New Roman"/>
          <w:lang w:val="nb-NO" w:eastAsia="nb-NO"/>
        </w:rPr>
        <w:commentReference w:id="19"/>
      </w:r>
    </w:p>
    <w:p w14:paraId="4B0D037D" w14:textId="77777777" w:rsidR="00480F4D" w:rsidRPr="001F31F1" w:rsidRDefault="00480F4D" w:rsidP="00480F4D">
      <w:pPr>
        <w:pStyle w:val="Body"/>
        <w:rPr>
          <w:rFonts w:ascii="Arial" w:hAnsi="Arial" w:cs="Arial"/>
        </w:rPr>
      </w:pPr>
      <w:r w:rsidRPr="001F31F1">
        <w:rPr>
          <w:rFonts w:ascii="Arial" w:hAnsi="Arial" w:cs="Arial"/>
        </w:rPr>
        <w:t>The effect of treatments on cation exchange capacity is shown in Table 5. Statistical analysis reveals that treatments had a significant impact on CEC only in the second year. Furthermore, at each irrigation level (D50%, D75% and D100%), compost application at 5 and 10T/ha significantly increased CEC by an average of 31%, 38% and 28% (respectively) compared to the no-application controls. The results therefore indicate that in supplemental irrigation, the soil's cation exchange capacity depends on the compost application period. In addition, compost applied at 5 and 10T/ha would guarantee a significant increase in soil cation exchange capacity, regardless of the irrigation rate applied.</w:t>
      </w:r>
    </w:p>
    <w:p w14:paraId="7F74314D" w14:textId="7290E282" w:rsidR="003A08A2" w:rsidRDefault="00480F4D" w:rsidP="003A08A2">
      <w:pPr>
        <w:pStyle w:val="Body"/>
        <w:rPr>
          <w:rFonts w:ascii="Arial" w:hAnsi="Arial" w:cs="Arial"/>
        </w:rPr>
      </w:pPr>
      <w:commentRangeStart w:id="20"/>
      <w:r w:rsidRPr="001F31F1">
        <w:rPr>
          <w:rFonts w:ascii="Arial" w:hAnsi="Arial" w:cs="Arial"/>
        </w:rPr>
        <w:t>Table 5. Effect of treatments on cation exchange capacity in meq/100g</w:t>
      </w:r>
      <w:commentRangeEnd w:id="20"/>
      <w:r w:rsidR="00672115">
        <w:rPr>
          <w:rStyle w:val="CommentReference"/>
          <w:rFonts w:ascii="Times New Roman" w:hAnsi="Times New Roman"/>
          <w:lang w:val="nb-NO" w:eastAsia="nb-NO"/>
        </w:rPr>
        <w:commentReference w:id="20"/>
      </w:r>
    </w:p>
    <w:p w14:paraId="56C34A94" w14:textId="364B7521" w:rsidR="003A08A2" w:rsidRPr="00BB1757" w:rsidRDefault="00480F4D" w:rsidP="003A6B7B">
      <w:pPr>
        <w:pStyle w:val="Body"/>
        <w:spacing w:after="0"/>
        <w:rPr>
          <w:rFonts w:ascii="Arial" w:hAnsi="Arial" w:cs="Arial"/>
        </w:rPr>
      </w:pPr>
      <w:r w:rsidRPr="00BB1757">
        <w:rPr>
          <w:rFonts w:ascii="Arial" w:hAnsi="Arial" w:cs="Arial"/>
        </w:rPr>
        <w:t>Significance</w:t>
      </w:r>
      <w:r w:rsidR="003A08A2" w:rsidRPr="00BB1757">
        <w:rPr>
          <w:rFonts w:ascii="Arial" w:hAnsi="Arial" w:cs="Arial"/>
        </w:rPr>
        <w:tab/>
        <w:t>ns</w:t>
      </w:r>
      <w:r w:rsidR="003A08A2" w:rsidRPr="00BB1757">
        <w:rPr>
          <w:rFonts w:ascii="Arial" w:hAnsi="Arial" w:cs="Arial"/>
        </w:rPr>
        <w:tab/>
        <w:t>***</w:t>
      </w:r>
    </w:p>
    <w:p w14:paraId="1D10FF30" w14:textId="1A1D6A2C" w:rsidR="003A08A2" w:rsidRPr="00BB1757" w:rsidRDefault="00480F4D" w:rsidP="003A6B7B">
      <w:pPr>
        <w:pStyle w:val="Body"/>
        <w:spacing w:after="0"/>
        <w:rPr>
          <w:rFonts w:ascii="Arial" w:hAnsi="Arial" w:cs="Arial"/>
        </w:rPr>
      </w:pPr>
      <w:r w:rsidRPr="00BB1757">
        <w:rPr>
          <w:rFonts w:ascii="Arial" w:hAnsi="Arial" w:cs="Arial"/>
        </w:rPr>
        <w:t>ns : non significative</w:t>
      </w:r>
    </w:p>
    <w:p w14:paraId="301A8BBC" w14:textId="37523407" w:rsidR="003A08A2" w:rsidRPr="00BB1757" w:rsidRDefault="003A08A2" w:rsidP="003A6B7B">
      <w:pPr>
        <w:pStyle w:val="Body"/>
        <w:spacing w:after="0"/>
        <w:rPr>
          <w:rFonts w:ascii="Arial" w:hAnsi="Arial" w:cs="Arial"/>
        </w:rPr>
      </w:pPr>
      <w:r w:rsidRPr="00BB1757">
        <w:rPr>
          <w:rFonts w:ascii="Arial" w:hAnsi="Arial" w:cs="Arial"/>
        </w:rPr>
        <w:t xml:space="preserve">***: significatif </w:t>
      </w:r>
      <w:r w:rsidR="00480F4D" w:rsidRPr="00BB1757">
        <w:rPr>
          <w:rFonts w:ascii="Arial" w:hAnsi="Arial" w:cs="Arial"/>
        </w:rPr>
        <w:t>with</w:t>
      </w:r>
      <w:r w:rsidRPr="00BB1757">
        <w:rPr>
          <w:rFonts w:ascii="Arial" w:hAnsi="Arial" w:cs="Arial"/>
        </w:rPr>
        <w:t xml:space="preserve"> p˂0,001</w:t>
      </w:r>
    </w:p>
    <w:p w14:paraId="1AA575E8" w14:textId="77777777" w:rsidR="003A6B7B" w:rsidRPr="00BB1757" w:rsidRDefault="003A6B7B" w:rsidP="003A6B7B">
      <w:pPr>
        <w:pStyle w:val="Body"/>
        <w:spacing w:after="0"/>
        <w:rPr>
          <w:rFonts w:ascii="Arial" w:hAnsi="Arial" w:cs="Arial"/>
        </w:rPr>
      </w:pPr>
    </w:p>
    <w:p w14:paraId="229E1E07" w14:textId="0C91DE0B" w:rsidR="003A08A2" w:rsidRPr="001F31F1" w:rsidRDefault="003A08A2" w:rsidP="00194E84">
      <w:pPr>
        <w:pStyle w:val="Body"/>
        <w:jc w:val="left"/>
        <w:rPr>
          <w:rFonts w:ascii="Arial" w:hAnsi="Arial" w:cs="Arial"/>
          <w:b/>
          <w:bCs/>
          <w:u w:val="single"/>
        </w:rPr>
      </w:pPr>
      <w:r w:rsidRPr="001F31F1">
        <w:rPr>
          <w:rFonts w:ascii="Arial" w:hAnsi="Arial" w:cs="Arial"/>
          <w:b/>
          <w:bCs/>
          <w:u w:val="single"/>
        </w:rPr>
        <w:t xml:space="preserve">3.1.6. </w:t>
      </w:r>
      <w:r w:rsidR="00480F4D" w:rsidRPr="001F31F1">
        <w:rPr>
          <w:rFonts w:ascii="Arial" w:hAnsi="Arial" w:cs="Arial"/>
          <w:b/>
          <w:bCs/>
          <w:u w:val="single"/>
        </w:rPr>
        <w:t>Effect of treatments on soil biological activity</w:t>
      </w:r>
    </w:p>
    <w:p w14:paraId="10144DF0" w14:textId="564ABFA5" w:rsidR="00480F4D" w:rsidRPr="001F31F1" w:rsidRDefault="00480F4D" w:rsidP="00480F4D">
      <w:pPr>
        <w:pStyle w:val="Body"/>
        <w:rPr>
          <w:rFonts w:ascii="Arial" w:hAnsi="Arial" w:cs="Arial"/>
        </w:rPr>
      </w:pPr>
      <w:r w:rsidRPr="001F31F1">
        <w:rPr>
          <w:rFonts w:ascii="Arial" w:hAnsi="Arial" w:cs="Arial"/>
        </w:rPr>
        <w:t xml:space="preserve">The effect of the different treatments on soil respiration is shown in Table 6. Statistical analysis reveals that the various treatments had no significant impact on soil respiration during the two years of experimentation, despite the 5 and 10T/ha compost inputs. However, there was a 57% drop in soil respiration compared with the control sample during the first year of experimentation. On the other hand, in the second year of experimentation, an average increase of 143% was observed. In addition, the D50% irrigation level induced the greatest rate of respiration compared with the other irrigation doses. These results suggest that, with supplemental irrigation, the effect of compost on soil biological activity is only perceptible in the medium to long term. </w:t>
      </w:r>
      <w:r w:rsidR="00624E58" w:rsidRPr="001F31F1">
        <w:rPr>
          <w:rFonts w:ascii="Arial" w:hAnsi="Arial" w:cs="Arial"/>
        </w:rPr>
        <w:t>Furthermore, this effect would depend on the soil's moisture content</w:t>
      </w:r>
      <w:r w:rsidRPr="001F31F1">
        <w:rPr>
          <w:rFonts w:ascii="Arial" w:hAnsi="Arial" w:cs="Arial"/>
        </w:rPr>
        <w:t>.</w:t>
      </w:r>
    </w:p>
    <w:p w14:paraId="5F20B32E" w14:textId="21693306" w:rsidR="00194E84" w:rsidRPr="001F31F1" w:rsidRDefault="00480F4D" w:rsidP="00194E84">
      <w:pPr>
        <w:pStyle w:val="Body"/>
        <w:rPr>
          <w:rFonts w:ascii="Arial" w:hAnsi="Arial" w:cs="Arial"/>
        </w:rPr>
      </w:pPr>
      <w:r w:rsidRPr="001F31F1">
        <w:rPr>
          <w:rFonts w:ascii="Arial" w:hAnsi="Arial" w:cs="Arial"/>
        </w:rPr>
        <w:t>Table .6. Effect of treatments on soil respiration in mg CO2.g-1 dry soil.h-1</w:t>
      </w:r>
    </w:p>
    <w:tbl>
      <w:tblPr>
        <w:tblW w:w="6585" w:type="dxa"/>
        <w:tblCellMar>
          <w:left w:w="0" w:type="dxa"/>
          <w:right w:w="0" w:type="dxa"/>
        </w:tblCellMar>
        <w:tblLook w:val="0600" w:firstRow="0" w:lastRow="0" w:firstColumn="0" w:lastColumn="0" w:noHBand="1" w:noVBand="1"/>
      </w:tblPr>
      <w:tblGrid>
        <w:gridCol w:w="2195"/>
        <w:gridCol w:w="2195"/>
        <w:gridCol w:w="2195"/>
      </w:tblGrid>
      <w:tr w:rsidR="00194E84" w:rsidRPr="00194E84" w14:paraId="43FBD225" w14:textId="77777777" w:rsidTr="005A53FE">
        <w:trPr>
          <w:trHeight w:val="41"/>
        </w:trPr>
        <w:tc>
          <w:tcPr>
            <w:tcW w:w="219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55FF9B4" w14:textId="68FC07F1" w:rsidR="00194E84" w:rsidRPr="00194E84" w:rsidRDefault="00480F4D" w:rsidP="00194E84">
            <w:pPr>
              <w:spacing w:after="160" w:line="360" w:lineRule="auto"/>
              <w:ind w:left="360"/>
              <w:jc w:val="both"/>
              <w:rPr>
                <w:rFonts w:ascii="Arial" w:eastAsia="Calibri" w:hAnsi="Arial" w:cs="Arial"/>
                <w:kern w:val="2"/>
                <w14:ligatures w14:val="standardContextual"/>
              </w:rPr>
            </w:pPr>
            <w:r w:rsidRPr="00480F4D">
              <w:rPr>
                <w:rFonts w:ascii="Arial" w:eastAsia="Calibri" w:hAnsi="Arial" w:cs="Arial"/>
                <w:kern w:val="2"/>
                <w14:ligatures w14:val="standardContextual"/>
              </w:rPr>
              <w:t>Treatments</w:t>
            </w:r>
          </w:p>
        </w:tc>
        <w:tc>
          <w:tcPr>
            <w:tcW w:w="219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2DFB58B7" w14:textId="76CDA8C1" w:rsidR="00194E84" w:rsidRPr="00194E84" w:rsidRDefault="00480F4D" w:rsidP="00194E84">
            <w:pPr>
              <w:spacing w:after="160" w:line="360" w:lineRule="auto"/>
              <w:ind w:left="360"/>
              <w:jc w:val="both"/>
              <w:rPr>
                <w:rFonts w:ascii="Arial" w:eastAsia="Calibri" w:hAnsi="Arial" w:cs="Arial"/>
                <w:kern w:val="2"/>
                <w14:ligatures w14:val="standardContextual"/>
              </w:rPr>
            </w:pPr>
            <w:r w:rsidRPr="00480F4D">
              <w:rPr>
                <w:rFonts w:ascii="Arial" w:eastAsia="Calibri" w:hAnsi="Arial" w:cs="Arial"/>
                <w:kern w:val="2"/>
                <w14:ligatures w14:val="standardContextual"/>
              </w:rPr>
              <w:t xml:space="preserve">Respirometrics </w:t>
            </w:r>
            <w:r w:rsidR="00194E84" w:rsidRPr="00194E84">
              <w:rPr>
                <w:rFonts w:ascii="Arial" w:eastAsia="Calibri" w:hAnsi="Arial" w:cs="Arial"/>
                <w:kern w:val="2"/>
                <w14:ligatures w14:val="standardContextual"/>
              </w:rPr>
              <w:t>-2023</w:t>
            </w:r>
          </w:p>
        </w:tc>
        <w:tc>
          <w:tcPr>
            <w:tcW w:w="219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E8734A8" w14:textId="1E4684F0" w:rsidR="00194E84" w:rsidRPr="00194E84" w:rsidRDefault="00480F4D" w:rsidP="00194E84">
            <w:pPr>
              <w:spacing w:after="160" w:line="360" w:lineRule="auto"/>
              <w:ind w:left="360"/>
              <w:jc w:val="both"/>
              <w:rPr>
                <w:rFonts w:ascii="Arial" w:eastAsia="Calibri" w:hAnsi="Arial" w:cs="Arial"/>
                <w:kern w:val="2"/>
                <w14:ligatures w14:val="standardContextual"/>
              </w:rPr>
            </w:pPr>
            <w:r w:rsidRPr="00480F4D">
              <w:rPr>
                <w:rFonts w:ascii="Arial" w:eastAsia="Calibri" w:hAnsi="Arial" w:cs="Arial"/>
                <w:kern w:val="2"/>
                <w14:ligatures w14:val="standardContextual"/>
              </w:rPr>
              <w:t>Respirometrics-</w:t>
            </w:r>
            <w:r w:rsidR="00194E84" w:rsidRPr="00194E84">
              <w:rPr>
                <w:rFonts w:ascii="Arial" w:eastAsia="Calibri" w:hAnsi="Arial" w:cs="Arial"/>
                <w:kern w:val="2"/>
                <w14:ligatures w14:val="standardContextual"/>
              </w:rPr>
              <w:t>2024</w:t>
            </w:r>
          </w:p>
        </w:tc>
      </w:tr>
      <w:tr w:rsidR="00194E84" w:rsidRPr="00194E84" w14:paraId="248927FD" w14:textId="77777777" w:rsidTr="005A53FE">
        <w:trPr>
          <w:trHeight w:val="41"/>
        </w:trPr>
        <w:tc>
          <w:tcPr>
            <w:tcW w:w="219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EB9A95D" w14:textId="6285AF3B" w:rsidR="00194E84" w:rsidRPr="00194E84" w:rsidRDefault="00480F4D" w:rsidP="00194E84">
            <w:pPr>
              <w:spacing w:after="160" w:line="360" w:lineRule="auto"/>
              <w:ind w:left="360"/>
              <w:jc w:val="both"/>
              <w:rPr>
                <w:rFonts w:ascii="Arial" w:eastAsia="Calibri" w:hAnsi="Arial" w:cs="Arial"/>
                <w:kern w:val="2"/>
                <w14:ligatures w14:val="standardContextual"/>
              </w:rPr>
            </w:pPr>
            <w:r>
              <w:rPr>
                <w:rFonts w:ascii="Arial" w:eastAsia="Calibri" w:hAnsi="Arial" w:cs="Arial"/>
                <w:kern w:val="2"/>
                <w14:ligatures w14:val="standardContextual"/>
              </w:rPr>
              <w:t>Witness 1</w:t>
            </w:r>
          </w:p>
        </w:tc>
        <w:tc>
          <w:tcPr>
            <w:tcW w:w="219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3A3190C"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6,86</w:t>
            </w:r>
          </w:p>
        </w:tc>
        <w:tc>
          <w:tcPr>
            <w:tcW w:w="219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304A70B"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6,86</w:t>
            </w:r>
          </w:p>
        </w:tc>
      </w:tr>
      <w:tr w:rsidR="00194E84" w:rsidRPr="00194E84" w14:paraId="7E6C6962"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3CCFEA54" w14:textId="52C1EE20" w:rsidR="00194E84" w:rsidRPr="00194E84" w:rsidRDefault="00976044" w:rsidP="00194E84">
            <w:pPr>
              <w:spacing w:after="160" w:line="360" w:lineRule="auto"/>
              <w:ind w:left="360"/>
              <w:jc w:val="both"/>
              <w:rPr>
                <w:rFonts w:ascii="Arial" w:eastAsia="Calibri" w:hAnsi="Arial" w:cs="Arial"/>
                <w:kern w:val="2"/>
                <w14:ligatures w14:val="standardContextual"/>
              </w:rPr>
            </w:pPr>
            <w:r>
              <w:rPr>
                <w:rFonts w:ascii="Arial" w:eastAsia="Calibri" w:hAnsi="Arial" w:cs="Arial"/>
                <w:kern w:val="2"/>
                <w14:ligatures w14:val="standardContextual"/>
              </w:rPr>
              <w:t xml:space="preserve">Witness </w:t>
            </w:r>
            <w:r w:rsidR="00194E84" w:rsidRPr="00194E84">
              <w:rPr>
                <w:rFonts w:ascii="Arial" w:eastAsia="Calibri" w:hAnsi="Arial" w:cs="Arial"/>
                <w:kern w:val="2"/>
                <w14:ligatures w14:val="standardContextual"/>
              </w:rPr>
              <w:t>2</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0F5D750E"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8,23</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0F605A14"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8,23</w:t>
            </w:r>
          </w:p>
        </w:tc>
      </w:tr>
      <w:tr w:rsidR="00194E84" w:rsidRPr="00194E84" w14:paraId="550F28B1"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2013D6AE"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C10+D100%</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341F9147"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3,07±0,5</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3A150FE2"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18,41±3,85</w:t>
            </w:r>
          </w:p>
        </w:tc>
      </w:tr>
      <w:tr w:rsidR="00194E84" w:rsidRPr="00194E84" w14:paraId="53C41762"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4198F51A"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C5+D100%</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23FFC861"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3,14±0,34</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26B6F43A"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16,06±1,48</w:t>
            </w:r>
          </w:p>
        </w:tc>
      </w:tr>
      <w:tr w:rsidR="00194E84" w:rsidRPr="00194E84" w14:paraId="7AB6300D"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24C1DAED"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C0+D100%</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3BF88526"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3,45±0,59</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4818CE7B"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22±5,19</w:t>
            </w:r>
          </w:p>
        </w:tc>
      </w:tr>
      <w:tr w:rsidR="00194E84" w:rsidRPr="00194E84" w14:paraId="48100071"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3A5E6E17"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C10+D75%</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53B23C80"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3,52±0,47</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77C7D3A9"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15,27±2,55</w:t>
            </w:r>
          </w:p>
        </w:tc>
      </w:tr>
      <w:tr w:rsidR="00194E84" w:rsidRPr="00194E84" w14:paraId="63216397"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28EDC73E"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C5+D75%</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45016758"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2,83±0,35</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61E6824B"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15,7±2,8</w:t>
            </w:r>
          </w:p>
        </w:tc>
      </w:tr>
      <w:tr w:rsidR="00194E84" w:rsidRPr="00194E84" w14:paraId="191727CE"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12F68AB9"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C0+D75%</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1734A025"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3,25±0,49</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58F0631D"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20,48±3,54</w:t>
            </w:r>
          </w:p>
        </w:tc>
      </w:tr>
      <w:tr w:rsidR="00194E84" w:rsidRPr="00194E84" w14:paraId="3EB10B53"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285EBC44"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lastRenderedPageBreak/>
              <w:t>C10+D50%</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5569398B"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3,79±0,34</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40D17638"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22,88±2,96</w:t>
            </w:r>
          </w:p>
        </w:tc>
      </w:tr>
      <w:tr w:rsidR="00194E84" w:rsidRPr="00194E84" w14:paraId="4345F00C" w14:textId="77777777" w:rsidTr="005A53FE">
        <w:trPr>
          <w:trHeight w:val="41"/>
        </w:trPr>
        <w:tc>
          <w:tcPr>
            <w:tcW w:w="2195" w:type="dxa"/>
            <w:tcBorders>
              <w:top w:val="nil"/>
              <w:left w:val="nil"/>
              <w:bottom w:val="nil"/>
              <w:right w:val="nil"/>
            </w:tcBorders>
            <w:shd w:val="clear" w:color="auto" w:fill="auto"/>
            <w:tcMar>
              <w:top w:w="15" w:type="dxa"/>
              <w:left w:w="108" w:type="dxa"/>
              <w:bottom w:w="0" w:type="dxa"/>
              <w:right w:w="108" w:type="dxa"/>
            </w:tcMar>
            <w:hideMark/>
          </w:tcPr>
          <w:p w14:paraId="290C45D9"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C5+D50%</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56E04F60"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3,08±0,5</w:t>
            </w:r>
          </w:p>
        </w:tc>
        <w:tc>
          <w:tcPr>
            <w:tcW w:w="2195" w:type="dxa"/>
            <w:tcBorders>
              <w:top w:val="nil"/>
              <w:left w:val="nil"/>
              <w:bottom w:val="nil"/>
              <w:right w:val="nil"/>
            </w:tcBorders>
            <w:shd w:val="clear" w:color="auto" w:fill="auto"/>
            <w:tcMar>
              <w:top w:w="15" w:type="dxa"/>
              <w:left w:w="108" w:type="dxa"/>
              <w:bottom w:w="0" w:type="dxa"/>
              <w:right w:w="108" w:type="dxa"/>
            </w:tcMar>
            <w:hideMark/>
          </w:tcPr>
          <w:p w14:paraId="765202E5"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17,17±3,05</w:t>
            </w:r>
          </w:p>
        </w:tc>
      </w:tr>
      <w:tr w:rsidR="00194E84" w:rsidRPr="00194E84" w14:paraId="65848D9E" w14:textId="77777777" w:rsidTr="005A53FE">
        <w:trPr>
          <w:trHeight w:val="41"/>
        </w:trPr>
        <w:tc>
          <w:tcPr>
            <w:tcW w:w="2195" w:type="dxa"/>
            <w:tcBorders>
              <w:top w:val="nil"/>
              <w:left w:val="nil"/>
              <w:right w:val="nil"/>
            </w:tcBorders>
            <w:shd w:val="clear" w:color="auto" w:fill="auto"/>
            <w:tcMar>
              <w:top w:w="15" w:type="dxa"/>
              <w:left w:w="108" w:type="dxa"/>
              <w:bottom w:w="0" w:type="dxa"/>
              <w:right w:w="108" w:type="dxa"/>
            </w:tcMar>
            <w:hideMark/>
          </w:tcPr>
          <w:p w14:paraId="6D16C2B7"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C0+D50%</w:t>
            </w:r>
          </w:p>
        </w:tc>
        <w:tc>
          <w:tcPr>
            <w:tcW w:w="2195" w:type="dxa"/>
            <w:tcBorders>
              <w:top w:val="nil"/>
              <w:left w:val="nil"/>
              <w:right w:val="nil"/>
            </w:tcBorders>
            <w:shd w:val="clear" w:color="auto" w:fill="auto"/>
            <w:tcMar>
              <w:top w:w="15" w:type="dxa"/>
              <w:left w:w="108" w:type="dxa"/>
              <w:bottom w:w="0" w:type="dxa"/>
              <w:right w:w="108" w:type="dxa"/>
            </w:tcMar>
            <w:hideMark/>
          </w:tcPr>
          <w:p w14:paraId="1D38D5D4"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2,72±0,35</w:t>
            </w:r>
          </w:p>
        </w:tc>
        <w:tc>
          <w:tcPr>
            <w:tcW w:w="2195" w:type="dxa"/>
            <w:tcBorders>
              <w:top w:val="nil"/>
              <w:left w:val="nil"/>
              <w:right w:val="nil"/>
            </w:tcBorders>
            <w:shd w:val="clear" w:color="auto" w:fill="auto"/>
            <w:tcMar>
              <w:top w:w="15" w:type="dxa"/>
              <w:left w:w="108" w:type="dxa"/>
              <w:bottom w:w="0" w:type="dxa"/>
              <w:right w:w="108" w:type="dxa"/>
            </w:tcMar>
            <w:hideMark/>
          </w:tcPr>
          <w:p w14:paraId="286FD67F"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17,57±1,48</w:t>
            </w:r>
          </w:p>
        </w:tc>
      </w:tr>
      <w:tr w:rsidR="00194E84" w:rsidRPr="00194E84" w14:paraId="724A6265" w14:textId="77777777" w:rsidTr="005A53FE">
        <w:trPr>
          <w:trHeight w:val="41"/>
        </w:trPr>
        <w:tc>
          <w:tcPr>
            <w:tcW w:w="2195" w:type="dxa"/>
            <w:tcBorders>
              <w:left w:val="nil"/>
              <w:right w:val="nil"/>
            </w:tcBorders>
            <w:shd w:val="clear" w:color="auto" w:fill="auto"/>
            <w:tcMar>
              <w:top w:w="15" w:type="dxa"/>
              <w:left w:w="108" w:type="dxa"/>
              <w:bottom w:w="0" w:type="dxa"/>
              <w:right w:w="108" w:type="dxa"/>
            </w:tcMar>
            <w:hideMark/>
          </w:tcPr>
          <w:p w14:paraId="2939CB2E"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P</w:t>
            </w:r>
          </w:p>
        </w:tc>
        <w:tc>
          <w:tcPr>
            <w:tcW w:w="2195" w:type="dxa"/>
            <w:tcBorders>
              <w:left w:val="nil"/>
              <w:right w:val="nil"/>
            </w:tcBorders>
            <w:shd w:val="clear" w:color="auto" w:fill="auto"/>
            <w:tcMar>
              <w:top w:w="15" w:type="dxa"/>
              <w:left w:w="108" w:type="dxa"/>
              <w:bottom w:w="0" w:type="dxa"/>
              <w:right w:w="108" w:type="dxa"/>
            </w:tcMar>
            <w:hideMark/>
          </w:tcPr>
          <w:p w14:paraId="293462F4"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0,78</w:t>
            </w:r>
          </w:p>
        </w:tc>
        <w:tc>
          <w:tcPr>
            <w:tcW w:w="2195" w:type="dxa"/>
            <w:tcBorders>
              <w:left w:val="nil"/>
              <w:right w:val="nil"/>
            </w:tcBorders>
            <w:shd w:val="clear" w:color="auto" w:fill="auto"/>
            <w:tcMar>
              <w:top w:w="15" w:type="dxa"/>
              <w:left w:w="108" w:type="dxa"/>
              <w:bottom w:w="0" w:type="dxa"/>
              <w:right w:w="108" w:type="dxa"/>
            </w:tcMar>
            <w:hideMark/>
          </w:tcPr>
          <w:p w14:paraId="59C4E9CE"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0,63</w:t>
            </w:r>
          </w:p>
        </w:tc>
      </w:tr>
      <w:tr w:rsidR="00194E84" w:rsidRPr="00194E84" w14:paraId="2EB6CE13" w14:textId="77777777" w:rsidTr="005A53FE">
        <w:trPr>
          <w:trHeight w:val="41"/>
        </w:trPr>
        <w:tc>
          <w:tcPr>
            <w:tcW w:w="2195" w:type="dxa"/>
            <w:tcBorders>
              <w:left w:val="nil"/>
              <w:bottom w:val="single" w:sz="8" w:space="0" w:color="000000"/>
              <w:right w:val="nil"/>
            </w:tcBorders>
            <w:shd w:val="clear" w:color="auto" w:fill="auto"/>
            <w:tcMar>
              <w:top w:w="15" w:type="dxa"/>
              <w:left w:w="108" w:type="dxa"/>
              <w:bottom w:w="0" w:type="dxa"/>
              <w:right w:w="108" w:type="dxa"/>
            </w:tcMar>
          </w:tcPr>
          <w:p w14:paraId="2AAD9F60" w14:textId="28CFE01A"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Significa</w:t>
            </w:r>
            <w:r w:rsidR="00976044">
              <w:rPr>
                <w:rFonts w:ascii="Arial" w:eastAsia="Calibri" w:hAnsi="Arial" w:cs="Arial"/>
                <w:kern w:val="2"/>
                <w14:ligatures w14:val="standardContextual"/>
              </w:rPr>
              <w:t>nce</w:t>
            </w:r>
          </w:p>
        </w:tc>
        <w:tc>
          <w:tcPr>
            <w:tcW w:w="2195" w:type="dxa"/>
            <w:tcBorders>
              <w:left w:val="nil"/>
              <w:bottom w:val="single" w:sz="8" w:space="0" w:color="000000"/>
              <w:right w:val="nil"/>
            </w:tcBorders>
            <w:shd w:val="clear" w:color="auto" w:fill="auto"/>
            <w:tcMar>
              <w:top w:w="15" w:type="dxa"/>
              <w:left w:w="108" w:type="dxa"/>
              <w:bottom w:w="0" w:type="dxa"/>
              <w:right w:w="108" w:type="dxa"/>
            </w:tcMar>
          </w:tcPr>
          <w:p w14:paraId="61C7E1E4" w14:textId="77777777" w:rsidR="00194E84" w:rsidRPr="00194E84" w:rsidRDefault="00194E84"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ns</w:t>
            </w:r>
          </w:p>
        </w:tc>
        <w:tc>
          <w:tcPr>
            <w:tcW w:w="2195" w:type="dxa"/>
            <w:tcBorders>
              <w:left w:val="nil"/>
              <w:bottom w:val="single" w:sz="8" w:space="0" w:color="000000"/>
              <w:right w:val="nil"/>
            </w:tcBorders>
            <w:shd w:val="clear" w:color="auto" w:fill="auto"/>
            <w:tcMar>
              <w:top w:w="15" w:type="dxa"/>
              <w:left w:w="108" w:type="dxa"/>
              <w:bottom w:w="0" w:type="dxa"/>
              <w:right w:w="108" w:type="dxa"/>
            </w:tcMar>
          </w:tcPr>
          <w:p w14:paraId="4C31D4A0" w14:textId="68EB2F8C" w:rsidR="00194E84" w:rsidRPr="00194E84" w:rsidRDefault="00BF71D8" w:rsidP="00194E84">
            <w:pPr>
              <w:spacing w:after="160" w:line="360" w:lineRule="auto"/>
              <w:ind w:left="360"/>
              <w:jc w:val="both"/>
              <w:rPr>
                <w:rFonts w:ascii="Arial" w:eastAsia="Calibri" w:hAnsi="Arial" w:cs="Arial"/>
                <w:kern w:val="2"/>
                <w14:ligatures w14:val="standardContextual"/>
              </w:rPr>
            </w:pPr>
            <w:r w:rsidRPr="00194E84">
              <w:rPr>
                <w:rFonts w:ascii="Arial" w:eastAsia="Calibri" w:hAnsi="Arial" w:cs="Arial"/>
                <w:kern w:val="2"/>
                <w14:ligatures w14:val="standardContextual"/>
              </w:rPr>
              <w:t>N</w:t>
            </w:r>
            <w:r w:rsidR="00194E84" w:rsidRPr="00194E84">
              <w:rPr>
                <w:rFonts w:ascii="Arial" w:eastAsia="Calibri" w:hAnsi="Arial" w:cs="Arial"/>
                <w:kern w:val="2"/>
                <w14:ligatures w14:val="standardContextual"/>
              </w:rPr>
              <w:t>s</w:t>
            </w:r>
          </w:p>
        </w:tc>
      </w:tr>
    </w:tbl>
    <w:p w14:paraId="6CD80A2F" w14:textId="7BFD2B8D" w:rsidR="003A08A2" w:rsidRPr="003A08A2" w:rsidRDefault="00976044" w:rsidP="003A08A2">
      <w:pPr>
        <w:pStyle w:val="Body"/>
        <w:rPr>
          <w:rFonts w:ascii="Arial" w:hAnsi="Arial" w:cs="Arial"/>
          <w:lang w:val="fr-FR"/>
        </w:rPr>
      </w:pPr>
      <w:r>
        <w:rPr>
          <w:rFonts w:ascii="Arial" w:hAnsi="Arial" w:cs="Arial"/>
          <w:lang w:val="fr-FR"/>
        </w:rPr>
        <w:t>ns : non significative</w:t>
      </w:r>
    </w:p>
    <w:p w14:paraId="352E000B" w14:textId="77777777" w:rsidR="00976044" w:rsidRPr="001F31F1" w:rsidRDefault="003A08A2" w:rsidP="003A08A2">
      <w:pPr>
        <w:pStyle w:val="Body"/>
        <w:rPr>
          <w:rFonts w:ascii="Arial" w:hAnsi="Arial" w:cs="Arial"/>
        </w:rPr>
      </w:pPr>
      <w:r w:rsidRPr="001F31F1">
        <w:rPr>
          <w:rFonts w:ascii="Arial" w:hAnsi="Arial" w:cs="Arial"/>
        </w:rPr>
        <w:t xml:space="preserve">3.1.7. </w:t>
      </w:r>
      <w:r w:rsidR="00976044" w:rsidRPr="001F31F1">
        <w:rPr>
          <w:rFonts w:ascii="Arial" w:hAnsi="Arial" w:cs="Arial"/>
        </w:rPr>
        <w:t>Effect of treatments on soil pesticide content</w:t>
      </w:r>
    </w:p>
    <w:p w14:paraId="32BB2200" w14:textId="77777777" w:rsidR="00976044" w:rsidRPr="001F31F1" w:rsidRDefault="00976044" w:rsidP="00976044">
      <w:pPr>
        <w:pStyle w:val="Body"/>
        <w:rPr>
          <w:rFonts w:ascii="Arial" w:hAnsi="Arial" w:cs="Arial"/>
        </w:rPr>
      </w:pPr>
      <w:r w:rsidRPr="001F31F1">
        <w:rPr>
          <w:rFonts w:ascii="Arial" w:hAnsi="Arial" w:cs="Arial"/>
        </w:rPr>
        <w:t>Table 7 shows the effect of irrigation rates and compost on the presence of pesticides applied to crops in the soil. The results show that pesticide residues were detected in soils amended with 5 and 10 t/ha of compost, irrespective of the irrigation rate. In contrast, no residues were found in unamended plots, irrespective of irrigation. Furthermore, the amount of pesticide present in the soil did not seem to be influenced by the dose of compost applied. These observations suggest that the application of compost affects the behaviour of pesticides in the soil. However, the application of compost at 5 and 10 t/ha would not affect the variability of their concentration.</w:t>
      </w:r>
    </w:p>
    <w:p w14:paraId="3C58A6AD" w14:textId="57937169" w:rsidR="003A08A2" w:rsidRDefault="00976044" w:rsidP="003A08A2">
      <w:pPr>
        <w:pStyle w:val="Body"/>
        <w:rPr>
          <w:rFonts w:ascii="Arial" w:hAnsi="Arial" w:cs="Arial"/>
        </w:rPr>
      </w:pPr>
      <w:r w:rsidRPr="001F31F1">
        <w:rPr>
          <w:rFonts w:ascii="Arial" w:hAnsi="Arial" w:cs="Arial"/>
        </w:rPr>
        <w:t>Table 7. Effect of different treatments on soil pesticide concentration in µg/g</w:t>
      </w:r>
    </w:p>
    <w:tbl>
      <w:tblPr>
        <w:tblW w:w="9101" w:type="dxa"/>
        <w:tblInd w:w="-883" w:type="dxa"/>
        <w:tblLook w:val="04A0" w:firstRow="1" w:lastRow="0" w:firstColumn="1" w:lastColumn="0" w:noHBand="0" w:noVBand="1"/>
      </w:tblPr>
      <w:tblGrid>
        <w:gridCol w:w="1475"/>
        <w:gridCol w:w="1576"/>
        <w:gridCol w:w="1475"/>
        <w:gridCol w:w="1511"/>
        <w:gridCol w:w="1614"/>
        <w:gridCol w:w="1450"/>
      </w:tblGrid>
      <w:tr w:rsidR="005A53FE" w:rsidRPr="005A53FE" w14:paraId="34B74FB9" w14:textId="77777777" w:rsidTr="005A53FE">
        <w:trPr>
          <w:trHeight w:val="514"/>
        </w:trPr>
        <w:tc>
          <w:tcPr>
            <w:tcW w:w="1475" w:type="dxa"/>
            <w:tcBorders>
              <w:top w:val="single" w:sz="8" w:space="0" w:color="auto"/>
              <w:left w:val="nil"/>
              <w:bottom w:val="single" w:sz="8" w:space="0" w:color="auto"/>
              <w:right w:val="nil"/>
            </w:tcBorders>
            <w:shd w:val="clear" w:color="auto" w:fill="auto"/>
            <w:noWrap/>
            <w:vAlign w:val="center"/>
            <w:hideMark/>
          </w:tcPr>
          <w:p w14:paraId="67D13C6F"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Treatments</w:t>
            </w:r>
          </w:p>
        </w:tc>
        <w:tc>
          <w:tcPr>
            <w:tcW w:w="1576" w:type="dxa"/>
            <w:tcBorders>
              <w:top w:val="single" w:sz="8" w:space="0" w:color="auto"/>
              <w:left w:val="nil"/>
              <w:bottom w:val="single" w:sz="8" w:space="0" w:color="auto"/>
              <w:right w:val="nil"/>
            </w:tcBorders>
            <w:shd w:val="clear" w:color="auto" w:fill="auto"/>
            <w:noWrap/>
            <w:vAlign w:val="center"/>
            <w:hideMark/>
          </w:tcPr>
          <w:p w14:paraId="61084F81"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Acetamipride</w:t>
            </w:r>
          </w:p>
        </w:tc>
        <w:tc>
          <w:tcPr>
            <w:tcW w:w="1475" w:type="dxa"/>
            <w:tcBorders>
              <w:top w:val="single" w:sz="8" w:space="0" w:color="auto"/>
              <w:left w:val="nil"/>
              <w:bottom w:val="single" w:sz="8" w:space="0" w:color="auto"/>
              <w:right w:val="nil"/>
            </w:tcBorders>
            <w:shd w:val="clear" w:color="auto" w:fill="auto"/>
            <w:noWrap/>
            <w:vAlign w:val="center"/>
            <w:hideMark/>
          </w:tcPr>
          <w:p w14:paraId="16DEF842"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Imidacloprid</w:t>
            </w:r>
          </w:p>
        </w:tc>
        <w:tc>
          <w:tcPr>
            <w:tcW w:w="1511" w:type="dxa"/>
            <w:tcBorders>
              <w:top w:val="single" w:sz="8" w:space="0" w:color="auto"/>
              <w:left w:val="nil"/>
              <w:bottom w:val="single" w:sz="8" w:space="0" w:color="auto"/>
              <w:right w:val="nil"/>
            </w:tcBorders>
            <w:shd w:val="clear" w:color="auto" w:fill="auto"/>
            <w:noWrap/>
            <w:vAlign w:val="center"/>
            <w:hideMark/>
          </w:tcPr>
          <w:p w14:paraId="02E6C124"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Lambda-cyalothrine</w:t>
            </w:r>
          </w:p>
        </w:tc>
        <w:tc>
          <w:tcPr>
            <w:tcW w:w="1614" w:type="dxa"/>
            <w:tcBorders>
              <w:top w:val="single" w:sz="8" w:space="0" w:color="auto"/>
              <w:left w:val="nil"/>
              <w:bottom w:val="single" w:sz="8" w:space="0" w:color="auto"/>
              <w:right w:val="nil"/>
            </w:tcBorders>
            <w:shd w:val="clear" w:color="auto" w:fill="auto"/>
            <w:noWrap/>
            <w:vAlign w:val="center"/>
            <w:hideMark/>
          </w:tcPr>
          <w:p w14:paraId="698C284A"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Cypermetrine</w:t>
            </w:r>
          </w:p>
        </w:tc>
        <w:tc>
          <w:tcPr>
            <w:tcW w:w="1450" w:type="dxa"/>
            <w:tcBorders>
              <w:top w:val="single" w:sz="8" w:space="0" w:color="auto"/>
              <w:left w:val="nil"/>
              <w:bottom w:val="single" w:sz="8" w:space="0" w:color="auto"/>
              <w:right w:val="nil"/>
            </w:tcBorders>
            <w:shd w:val="clear" w:color="auto" w:fill="auto"/>
            <w:noWrap/>
            <w:vAlign w:val="center"/>
            <w:hideMark/>
          </w:tcPr>
          <w:p w14:paraId="40F2912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 xml:space="preserve">Abamectine </w:t>
            </w:r>
          </w:p>
        </w:tc>
      </w:tr>
      <w:tr w:rsidR="005A53FE" w:rsidRPr="005A53FE" w14:paraId="4C6FA1A0" w14:textId="77777777" w:rsidTr="005A53FE">
        <w:trPr>
          <w:trHeight w:val="506"/>
        </w:trPr>
        <w:tc>
          <w:tcPr>
            <w:tcW w:w="1475" w:type="dxa"/>
            <w:tcBorders>
              <w:top w:val="nil"/>
              <w:left w:val="nil"/>
              <w:bottom w:val="nil"/>
              <w:right w:val="nil"/>
            </w:tcBorders>
            <w:shd w:val="clear" w:color="auto" w:fill="auto"/>
            <w:noWrap/>
            <w:vAlign w:val="center"/>
            <w:hideMark/>
          </w:tcPr>
          <w:p w14:paraId="777A3BC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C10+100%</w:t>
            </w:r>
          </w:p>
        </w:tc>
        <w:tc>
          <w:tcPr>
            <w:tcW w:w="1576" w:type="dxa"/>
            <w:tcBorders>
              <w:top w:val="nil"/>
              <w:left w:val="nil"/>
              <w:bottom w:val="nil"/>
              <w:right w:val="nil"/>
            </w:tcBorders>
            <w:shd w:val="clear" w:color="auto" w:fill="auto"/>
            <w:noWrap/>
            <w:vAlign w:val="center"/>
            <w:hideMark/>
          </w:tcPr>
          <w:p w14:paraId="27543DC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1.1±0.53a</w:t>
            </w:r>
          </w:p>
        </w:tc>
        <w:tc>
          <w:tcPr>
            <w:tcW w:w="1475" w:type="dxa"/>
            <w:tcBorders>
              <w:top w:val="nil"/>
              <w:left w:val="nil"/>
              <w:bottom w:val="nil"/>
              <w:right w:val="nil"/>
            </w:tcBorders>
            <w:shd w:val="clear" w:color="auto" w:fill="auto"/>
            <w:noWrap/>
            <w:vAlign w:val="center"/>
            <w:hideMark/>
          </w:tcPr>
          <w:p w14:paraId="65D1BD59"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0.85±0.21a</w:t>
            </w:r>
          </w:p>
        </w:tc>
        <w:tc>
          <w:tcPr>
            <w:tcW w:w="1511" w:type="dxa"/>
            <w:tcBorders>
              <w:top w:val="nil"/>
              <w:left w:val="nil"/>
              <w:bottom w:val="nil"/>
              <w:right w:val="nil"/>
            </w:tcBorders>
            <w:shd w:val="clear" w:color="auto" w:fill="auto"/>
            <w:noWrap/>
            <w:vAlign w:val="center"/>
            <w:hideMark/>
          </w:tcPr>
          <w:p w14:paraId="3A59EDED"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2.28±0.35ab</w:t>
            </w:r>
          </w:p>
        </w:tc>
        <w:tc>
          <w:tcPr>
            <w:tcW w:w="1614" w:type="dxa"/>
            <w:tcBorders>
              <w:top w:val="nil"/>
              <w:left w:val="nil"/>
              <w:bottom w:val="nil"/>
              <w:right w:val="nil"/>
            </w:tcBorders>
            <w:shd w:val="clear" w:color="auto" w:fill="auto"/>
            <w:noWrap/>
            <w:vAlign w:val="center"/>
            <w:hideMark/>
          </w:tcPr>
          <w:p w14:paraId="27097AD6"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0.08±0.01a</w:t>
            </w:r>
          </w:p>
        </w:tc>
        <w:tc>
          <w:tcPr>
            <w:tcW w:w="1450" w:type="dxa"/>
            <w:tcBorders>
              <w:top w:val="nil"/>
              <w:left w:val="nil"/>
              <w:bottom w:val="nil"/>
              <w:right w:val="nil"/>
            </w:tcBorders>
            <w:shd w:val="clear" w:color="auto" w:fill="auto"/>
            <w:noWrap/>
            <w:vAlign w:val="center"/>
            <w:hideMark/>
          </w:tcPr>
          <w:p w14:paraId="31BA2023"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3.34±3.22</w:t>
            </w:r>
          </w:p>
        </w:tc>
      </w:tr>
      <w:tr w:rsidR="005A53FE" w:rsidRPr="005A53FE" w14:paraId="5D85020C" w14:textId="77777777" w:rsidTr="005A53FE">
        <w:trPr>
          <w:trHeight w:val="282"/>
        </w:trPr>
        <w:tc>
          <w:tcPr>
            <w:tcW w:w="1475" w:type="dxa"/>
            <w:tcBorders>
              <w:top w:val="nil"/>
              <w:left w:val="nil"/>
              <w:bottom w:val="nil"/>
              <w:right w:val="nil"/>
            </w:tcBorders>
            <w:shd w:val="clear" w:color="auto" w:fill="auto"/>
            <w:noWrap/>
            <w:vAlign w:val="center"/>
            <w:hideMark/>
          </w:tcPr>
          <w:p w14:paraId="719858D4"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C5+100%</w:t>
            </w:r>
          </w:p>
        </w:tc>
        <w:tc>
          <w:tcPr>
            <w:tcW w:w="1576" w:type="dxa"/>
            <w:tcBorders>
              <w:top w:val="nil"/>
              <w:left w:val="nil"/>
              <w:bottom w:val="nil"/>
              <w:right w:val="nil"/>
            </w:tcBorders>
            <w:shd w:val="clear" w:color="auto" w:fill="auto"/>
            <w:noWrap/>
            <w:vAlign w:val="center"/>
            <w:hideMark/>
          </w:tcPr>
          <w:p w14:paraId="7C94B7D2"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1.30±0.5a</w:t>
            </w:r>
          </w:p>
        </w:tc>
        <w:tc>
          <w:tcPr>
            <w:tcW w:w="1475" w:type="dxa"/>
            <w:tcBorders>
              <w:top w:val="nil"/>
              <w:left w:val="nil"/>
              <w:bottom w:val="nil"/>
              <w:right w:val="nil"/>
            </w:tcBorders>
            <w:shd w:val="clear" w:color="auto" w:fill="auto"/>
            <w:noWrap/>
            <w:vAlign w:val="center"/>
            <w:hideMark/>
          </w:tcPr>
          <w:p w14:paraId="705CE866"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0.59±0.25a</w:t>
            </w:r>
          </w:p>
        </w:tc>
        <w:tc>
          <w:tcPr>
            <w:tcW w:w="1511" w:type="dxa"/>
            <w:tcBorders>
              <w:top w:val="nil"/>
              <w:left w:val="nil"/>
              <w:bottom w:val="nil"/>
              <w:right w:val="nil"/>
            </w:tcBorders>
            <w:shd w:val="clear" w:color="auto" w:fill="auto"/>
            <w:noWrap/>
            <w:vAlign w:val="center"/>
            <w:hideMark/>
          </w:tcPr>
          <w:p w14:paraId="374C8DA9"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2.82±2.3ab</w:t>
            </w:r>
          </w:p>
        </w:tc>
        <w:tc>
          <w:tcPr>
            <w:tcW w:w="1614" w:type="dxa"/>
            <w:tcBorders>
              <w:top w:val="nil"/>
              <w:left w:val="nil"/>
              <w:bottom w:val="nil"/>
              <w:right w:val="nil"/>
            </w:tcBorders>
            <w:shd w:val="clear" w:color="auto" w:fill="auto"/>
            <w:noWrap/>
            <w:vAlign w:val="center"/>
            <w:hideMark/>
          </w:tcPr>
          <w:p w14:paraId="0EE368EF"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0.1±0.02a</w:t>
            </w:r>
          </w:p>
        </w:tc>
        <w:tc>
          <w:tcPr>
            <w:tcW w:w="1450" w:type="dxa"/>
            <w:tcBorders>
              <w:top w:val="nil"/>
              <w:left w:val="nil"/>
              <w:bottom w:val="nil"/>
              <w:right w:val="nil"/>
            </w:tcBorders>
            <w:shd w:val="clear" w:color="auto" w:fill="auto"/>
            <w:noWrap/>
            <w:vAlign w:val="center"/>
            <w:hideMark/>
          </w:tcPr>
          <w:p w14:paraId="453D58D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0.12±0.02</w:t>
            </w:r>
          </w:p>
        </w:tc>
      </w:tr>
      <w:tr w:rsidR="005A53FE" w:rsidRPr="005A53FE" w14:paraId="7057A116" w14:textId="77777777" w:rsidTr="005A53FE">
        <w:trPr>
          <w:trHeight w:val="282"/>
        </w:trPr>
        <w:tc>
          <w:tcPr>
            <w:tcW w:w="1475" w:type="dxa"/>
            <w:tcBorders>
              <w:top w:val="nil"/>
              <w:left w:val="nil"/>
              <w:bottom w:val="nil"/>
              <w:right w:val="nil"/>
            </w:tcBorders>
            <w:shd w:val="clear" w:color="auto" w:fill="auto"/>
            <w:noWrap/>
            <w:vAlign w:val="center"/>
            <w:hideMark/>
          </w:tcPr>
          <w:p w14:paraId="52AC6212"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C0+100%</w:t>
            </w:r>
          </w:p>
        </w:tc>
        <w:tc>
          <w:tcPr>
            <w:tcW w:w="1576" w:type="dxa"/>
            <w:tcBorders>
              <w:top w:val="nil"/>
              <w:left w:val="nil"/>
              <w:bottom w:val="nil"/>
              <w:right w:val="nil"/>
            </w:tcBorders>
            <w:shd w:val="clear" w:color="auto" w:fill="auto"/>
            <w:noWrap/>
            <w:vAlign w:val="center"/>
            <w:hideMark/>
          </w:tcPr>
          <w:p w14:paraId="3A3B32F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75" w:type="dxa"/>
            <w:tcBorders>
              <w:top w:val="nil"/>
              <w:left w:val="nil"/>
              <w:bottom w:val="nil"/>
              <w:right w:val="nil"/>
            </w:tcBorders>
            <w:shd w:val="clear" w:color="auto" w:fill="auto"/>
            <w:noWrap/>
            <w:vAlign w:val="center"/>
            <w:hideMark/>
          </w:tcPr>
          <w:p w14:paraId="0C1F133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511" w:type="dxa"/>
            <w:tcBorders>
              <w:top w:val="nil"/>
              <w:left w:val="nil"/>
              <w:bottom w:val="nil"/>
              <w:right w:val="nil"/>
            </w:tcBorders>
            <w:shd w:val="clear" w:color="auto" w:fill="auto"/>
            <w:noWrap/>
            <w:vAlign w:val="center"/>
            <w:hideMark/>
          </w:tcPr>
          <w:p w14:paraId="1F2FC9AB"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614" w:type="dxa"/>
            <w:tcBorders>
              <w:top w:val="nil"/>
              <w:left w:val="nil"/>
              <w:bottom w:val="nil"/>
              <w:right w:val="nil"/>
            </w:tcBorders>
            <w:shd w:val="clear" w:color="auto" w:fill="auto"/>
            <w:noWrap/>
            <w:vAlign w:val="center"/>
            <w:hideMark/>
          </w:tcPr>
          <w:p w14:paraId="0758659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50" w:type="dxa"/>
            <w:tcBorders>
              <w:top w:val="nil"/>
              <w:left w:val="nil"/>
              <w:bottom w:val="nil"/>
              <w:right w:val="nil"/>
            </w:tcBorders>
            <w:shd w:val="clear" w:color="auto" w:fill="auto"/>
            <w:noWrap/>
            <w:vAlign w:val="center"/>
            <w:hideMark/>
          </w:tcPr>
          <w:p w14:paraId="653D00E1"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w:t>
            </w:r>
          </w:p>
        </w:tc>
      </w:tr>
      <w:tr w:rsidR="005A53FE" w:rsidRPr="005A53FE" w14:paraId="15BFB7E8" w14:textId="77777777" w:rsidTr="005A53FE">
        <w:trPr>
          <w:trHeight w:val="282"/>
        </w:trPr>
        <w:tc>
          <w:tcPr>
            <w:tcW w:w="1475" w:type="dxa"/>
            <w:tcBorders>
              <w:top w:val="nil"/>
              <w:left w:val="nil"/>
              <w:bottom w:val="nil"/>
              <w:right w:val="nil"/>
            </w:tcBorders>
            <w:shd w:val="clear" w:color="auto" w:fill="auto"/>
            <w:noWrap/>
            <w:vAlign w:val="center"/>
            <w:hideMark/>
          </w:tcPr>
          <w:p w14:paraId="6CCBB1AA"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C10+75%</w:t>
            </w:r>
          </w:p>
        </w:tc>
        <w:tc>
          <w:tcPr>
            <w:tcW w:w="1576" w:type="dxa"/>
            <w:tcBorders>
              <w:top w:val="nil"/>
              <w:left w:val="nil"/>
              <w:bottom w:val="nil"/>
              <w:right w:val="nil"/>
            </w:tcBorders>
            <w:shd w:val="clear" w:color="auto" w:fill="auto"/>
            <w:noWrap/>
            <w:vAlign w:val="center"/>
            <w:hideMark/>
          </w:tcPr>
          <w:p w14:paraId="5D6BBD85"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1.10±0.23a</w:t>
            </w:r>
          </w:p>
        </w:tc>
        <w:tc>
          <w:tcPr>
            <w:tcW w:w="1475" w:type="dxa"/>
            <w:tcBorders>
              <w:top w:val="nil"/>
              <w:left w:val="nil"/>
              <w:bottom w:val="nil"/>
              <w:right w:val="nil"/>
            </w:tcBorders>
            <w:shd w:val="clear" w:color="auto" w:fill="auto"/>
            <w:noWrap/>
            <w:vAlign w:val="center"/>
            <w:hideMark/>
          </w:tcPr>
          <w:p w14:paraId="09526D6A"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0.86±0.26a</w:t>
            </w:r>
          </w:p>
        </w:tc>
        <w:tc>
          <w:tcPr>
            <w:tcW w:w="1511" w:type="dxa"/>
            <w:tcBorders>
              <w:top w:val="nil"/>
              <w:left w:val="nil"/>
              <w:bottom w:val="nil"/>
              <w:right w:val="nil"/>
            </w:tcBorders>
            <w:shd w:val="clear" w:color="auto" w:fill="auto"/>
            <w:noWrap/>
            <w:vAlign w:val="center"/>
            <w:hideMark/>
          </w:tcPr>
          <w:p w14:paraId="3A3C23AC"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2.30±0.9ab</w:t>
            </w:r>
          </w:p>
        </w:tc>
        <w:tc>
          <w:tcPr>
            <w:tcW w:w="1614" w:type="dxa"/>
            <w:tcBorders>
              <w:top w:val="nil"/>
              <w:left w:val="nil"/>
              <w:bottom w:val="nil"/>
              <w:right w:val="nil"/>
            </w:tcBorders>
            <w:shd w:val="clear" w:color="auto" w:fill="auto"/>
            <w:noWrap/>
            <w:vAlign w:val="center"/>
            <w:hideMark/>
          </w:tcPr>
          <w:p w14:paraId="30313EC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0.07±0.01a</w:t>
            </w:r>
          </w:p>
        </w:tc>
        <w:tc>
          <w:tcPr>
            <w:tcW w:w="1450" w:type="dxa"/>
            <w:tcBorders>
              <w:top w:val="nil"/>
              <w:left w:val="nil"/>
              <w:bottom w:val="nil"/>
              <w:right w:val="nil"/>
            </w:tcBorders>
            <w:shd w:val="clear" w:color="auto" w:fill="auto"/>
            <w:noWrap/>
            <w:vAlign w:val="center"/>
            <w:hideMark/>
          </w:tcPr>
          <w:p w14:paraId="6C41073E"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0.12±0.02</w:t>
            </w:r>
          </w:p>
        </w:tc>
      </w:tr>
      <w:tr w:rsidR="005A53FE" w:rsidRPr="005A53FE" w14:paraId="4557046C" w14:textId="77777777" w:rsidTr="005A53FE">
        <w:trPr>
          <w:trHeight w:val="282"/>
        </w:trPr>
        <w:tc>
          <w:tcPr>
            <w:tcW w:w="1475" w:type="dxa"/>
            <w:tcBorders>
              <w:top w:val="nil"/>
              <w:left w:val="nil"/>
              <w:bottom w:val="nil"/>
              <w:right w:val="nil"/>
            </w:tcBorders>
            <w:shd w:val="clear" w:color="auto" w:fill="auto"/>
            <w:noWrap/>
            <w:vAlign w:val="center"/>
            <w:hideMark/>
          </w:tcPr>
          <w:p w14:paraId="76FF05C9"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C5+75%</w:t>
            </w:r>
          </w:p>
        </w:tc>
        <w:tc>
          <w:tcPr>
            <w:tcW w:w="1576" w:type="dxa"/>
            <w:tcBorders>
              <w:top w:val="nil"/>
              <w:left w:val="nil"/>
              <w:bottom w:val="nil"/>
              <w:right w:val="nil"/>
            </w:tcBorders>
            <w:shd w:val="clear" w:color="auto" w:fill="auto"/>
            <w:noWrap/>
            <w:vAlign w:val="center"/>
            <w:hideMark/>
          </w:tcPr>
          <w:p w14:paraId="308DED4D"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1.32±48a</w:t>
            </w:r>
          </w:p>
        </w:tc>
        <w:tc>
          <w:tcPr>
            <w:tcW w:w="1475" w:type="dxa"/>
            <w:tcBorders>
              <w:top w:val="nil"/>
              <w:left w:val="nil"/>
              <w:bottom w:val="nil"/>
              <w:right w:val="nil"/>
            </w:tcBorders>
            <w:shd w:val="clear" w:color="auto" w:fill="auto"/>
            <w:noWrap/>
            <w:vAlign w:val="center"/>
            <w:hideMark/>
          </w:tcPr>
          <w:p w14:paraId="4FD5716C"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1.38±1.62a</w:t>
            </w:r>
          </w:p>
        </w:tc>
        <w:tc>
          <w:tcPr>
            <w:tcW w:w="1511" w:type="dxa"/>
            <w:tcBorders>
              <w:top w:val="nil"/>
              <w:left w:val="nil"/>
              <w:bottom w:val="nil"/>
              <w:right w:val="nil"/>
            </w:tcBorders>
            <w:shd w:val="clear" w:color="auto" w:fill="auto"/>
            <w:noWrap/>
            <w:vAlign w:val="center"/>
            <w:hideMark/>
          </w:tcPr>
          <w:p w14:paraId="4A6D1CE4"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1.5±1.11ab</w:t>
            </w:r>
          </w:p>
        </w:tc>
        <w:tc>
          <w:tcPr>
            <w:tcW w:w="1614" w:type="dxa"/>
            <w:tcBorders>
              <w:top w:val="nil"/>
              <w:left w:val="nil"/>
              <w:bottom w:val="nil"/>
              <w:right w:val="nil"/>
            </w:tcBorders>
            <w:shd w:val="clear" w:color="auto" w:fill="auto"/>
            <w:noWrap/>
            <w:vAlign w:val="center"/>
            <w:hideMark/>
          </w:tcPr>
          <w:p w14:paraId="56FA3CCE"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0.08±0.02a</w:t>
            </w:r>
          </w:p>
        </w:tc>
        <w:tc>
          <w:tcPr>
            <w:tcW w:w="1450" w:type="dxa"/>
            <w:tcBorders>
              <w:top w:val="nil"/>
              <w:left w:val="nil"/>
              <w:bottom w:val="nil"/>
              <w:right w:val="nil"/>
            </w:tcBorders>
            <w:shd w:val="clear" w:color="auto" w:fill="auto"/>
            <w:noWrap/>
            <w:vAlign w:val="center"/>
            <w:hideMark/>
          </w:tcPr>
          <w:p w14:paraId="58FB8CD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0.11±0.01</w:t>
            </w:r>
          </w:p>
        </w:tc>
      </w:tr>
      <w:tr w:rsidR="005A53FE" w:rsidRPr="005A53FE" w14:paraId="7D246F13" w14:textId="77777777" w:rsidTr="005A53FE">
        <w:trPr>
          <w:trHeight w:val="282"/>
        </w:trPr>
        <w:tc>
          <w:tcPr>
            <w:tcW w:w="1475" w:type="dxa"/>
            <w:tcBorders>
              <w:top w:val="nil"/>
              <w:left w:val="nil"/>
              <w:bottom w:val="nil"/>
              <w:right w:val="nil"/>
            </w:tcBorders>
            <w:shd w:val="clear" w:color="auto" w:fill="auto"/>
            <w:noWrap/>
            <w:vAlign w:val="center"/>
            <w:hideMark/>
          </w:tcPr>
          <w:p w14:paraId="365187CA"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C0+75%</w:t>
            </w:r>
          </w:p>
        </w:tc>
        <w:tc>
          <w:tcPr>
            <w:tcW w:w="1576" w:type="dxa"/>
            <w:tcBorders>
              <w:top w:val="nil"/>
              <w:left w:val="nil"/>
              <w:bottom w:val="nil"/>
              <w:right w:val="nil"/>
            </w:tcBorders>
            <w:shd w:val="clear" w:color="auto" w:fill="auto"/>
            <w:noWrap/>
            <w:vAlign w:val="center"/>
            <w:hideMark/>
          </w:tcPr>
          <w:p w14:paraId="70D32114"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75" w:type="dxa"/>
            <w:tcBorders>
              <w:top w:val="nil"/>
              <w:left w:val="nil"/>
              <w:bottom w:val="nil"/>
              <w:right w:val="nil"/>
            </w:tcBorders>
            <w:shd w:val="clear" w:color="auto" w:fill="auto"/>
            <w:noWrap/>
            <w:vAlign w:val="center"/>
            <w:hideMark/>
          </w:tcPr>
          <w:p w14:paraId="6EA8EE2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511" w:type="dxa"/>
            <w:tcBorders>
              <w:top w:val="nil"/>
              <w:left w:val="nil"/>
              <w:bottom w:val="nil"/>
              <w:right w:val="nil"/>
            </w:tcBorders>
            <w:shd w:val="clear" w:color="auto" w:fill="auto"/>
            <w:noWrap/>
            <w:vAlign w:val="center"/>
            <w:hideMark/>
          </w:tcPr>
          <w:p w14:paraId="61C551F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614" w:type="dxa"/>
            <w:tcBorders>
              <w:top w:val="nil"/>
              <w:left w:val="nil"/>
              <w:bottom w:val="nil"/>
              <w:right w:val="nil"/>
            </w:tcBorders>
            <w:shd w:val="clear" w:color="auto" w:fill="auto"/>
            <w:noWrap/>
            <w:vAlign w:val="center"/>
            <w:hideMark/>
          </w:tcPr>
          <w:p w14:paraId="69E65E0C"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50" w:type="dxa"/>
            <w:tcBorders>
              <w:top w:val="nil"/>
              <w:left w:val="nil"/>
              <w:bottom w:val="nil"/>
              <w:right w:val="nil"/>
            </w:tcBorders>
            <w:shd w:val="clear" w:color="auto" w:fill="auto"/>
            <w:noWrap/>
            <w:vAlign w:val="center"/>
            <w:hideMark/>
          </w:tcPr>
          <w:p w14:paraId="45B2F316"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w:t>
            </w:r>
          </w:p>
        </w:tc>
      </w:tr>
      <w:tr w:rsidR="005A53FE" w:rsidRPr="005A53FE" w14:paraId="3579F0F1" w14:textId="77777777" w:rsidTr="005A53FE">
        <w:trPr>
          <w:trHeight w:val="282"/>
        </w:trPr>
        <w:tc>
          <w:tcPr>
            <w:tcW w:w="1475" w:type="dxa"/>
            <w:tcBorders>
              <w:top w:val="nil"/>
              <w:left w:val="nil"/>
              <w:bottom w:val="nil"/>
              <w:right w:val="nil"/>
            </w:tcBorders>
            <w:shd w:val="clear" w:color="auto" w:fill="auto"/>
            <w:noWrap/>
            <w:vAlign w:val="center"/>
            <w:hideMark/>
          </w:tcPr>
          <w:p w14:paraId="79C6352B"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C10+50%</w:t>
            </w:r>
          </w:p>
        </w:tc>
        <w:tc>
          <w:tcPr>
            <w:tcW w:w="1576" w:type="dxa"/>
            <w:tcBorders>
              <w:top w:val="nil"/>
              <w:left w:val="nil"/>
              <w:bottom w:val="nil"/>
              <w:right w:val="nil"/>
            </w:tcBorders>
            <w:shd w:val="clear" w:color="auto" w:fill="auto"/>
            <w:noWrap/>
            <w:vAlign w:val="center"/>
            <w:hideMark/>
          </w:tcPr>
          <w:p w14:paraId="43F2A9D5"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0.97±0.31a</w:t>
            </w:r>
          </w:p>
        </w:tc>
        <w:tc>
          <w:tcPr>
            <w:tcW w:w="1475" w:type="dxa"/>
            <w:tcBorders>
              <w:top w:val="nil"/>
              <w:left w:val="nil"/>
              <w:bottom w:val="nil"/>
              <w:right w:val="nil"/>
            </w:tcBorders>
            <w:shd w:val="clear" w:color="auto" w:fill="auto"/>
            <w:noWrap/>
            <w:vAlign w:val="center"/>
            <w:hideMark/>
          </w:tcPr>
          <w:p w14:paraId="4F6A29EB"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1.06±0.47a</w:t>
            </w:r>
          </w:p>
        </w:tc>
        <w:tc>
          <w:tcPr>
            <w:tcW w:w="1511" w:type="dxa"/>
            <w:tcBorders>
              <w:top w:val="nil"/>
              <w:left w:val="nil"/>
              <w:bottom w:val="nil"/>
              <w:right w:val="nil"/>
            </w:tcBorders>
            <w:shd w:val="clear" w:color="auto" w:fill="auto"/>
            <w:noWrap/>
            <w:vAlign w:val="center"/>
            <w:hideMark/>
          </w:tcPr>
          <w:p w14:paraId="36D6F889"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3.53±3.44a</w:t>
            </w:r>
          </w:p>
        </w:tc>
        <w:tc>
          <w:tcPr>
            <w:tcW w:w="1614" w:type="dxa"/>
            <w:tcBorders>
              <w:top w:val="nil"/>
              <w:left w:val="nil"/>
              <w:bottom w:val="nil"/>
              <w:right w:val="nil"/>
            </w:tcBorders>
            <w:shd w:val="clear" w:color="auto" w:fill="auto"/>
            <w:noWrap/>
            <w:vAlign w:val="center"/>
            <w:hideMark/>
          </w:tcPr>
          <w:p w14:paraId="7009634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0.08±0a</w:t>
            </w:r>
          </w:p>
        </w:tc>
        <w:tc>
          <w:tcPr>
            <w:tcW w:w="1450" w:type="dxa"/>
            <w:tcBorders>
              <w:top w:val="nil"/>
              <w:left w:val="nil"/>
              <w:bottom w:val="nil"/>
              <w:right w:val="nil"/>
            </w:tcBorders>
            <w:shd w:val="clear" w:color="auto" w:fill="auto"/>
            <w:noWrap/>
            <w:vAlign w:val="center"/>
            <w:hideMark/>
          </w:tcPr>
          <w:p w14:paraId="33328DE2"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0.09±0.01</w:t>
            </w:r>
          </w:p>
        </w:tc>
      </w:tr>
      <w:tr w:rsidR="005A53FE" w:rsidRPr="005A53FE" w14:paraId="6FCB502C" w14:textId="77777777" w:rsidTr="005A53FE">
        <w:trPr>
          <w:trHeight w:val="506"/>
        </w:trPr>
        <w:tc>
          <w:tcPr>
            <w:tcW w:w="1475" w:type="dxa"/>
            <w:tcBorders>
              <w:top w:val="nil"/>
              <w:left w:val="nil"/>
              <w:bottom w:val="nil"/>
              <w:right w:val="nil"/>
            </w:tcBorders>
            <w:shd w:val="clear" w:color="auto" w:fill="auto"/>
            <w:noWrap/>
            <w:vAlign w:val="center"/>
            <w:hideMark/>
          </w:tcPr>
          <w:p w14:paraId="221D1F3A"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C5+50%</w:t>
            </w:r>
          </w:p>
        </w:tc>
        <w:tc>
          <w:tcPr>
            <w:tcW w:w="1576" w:type="dxa"/>
            <w:tcBorders>
              <w:top w:val="nil"/>
              <w:left w:val="nil"/>
              <w:bottom w:val="nil"/>
              <w:right w:val="nil"/>
            </w:tcBorders>
            <w:shd w:val="clear" w:color="auto" w:fill="auto"/>
            <w:noWrap/>
            <w:vAlign w:val="center"/>
            <w:hideMark/>
          </w:tcPr>
          <w:p w14:paraId="5243A718"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1.57±0.39a</w:t>
            </w:r>
          </w:p>
        </w:tc>
        <w:tc>
          <w:tcPr>
            <w:tcW w:w="1475" w:type="dxa"/>
            <w:tcBorders>
              <w:top w:val="nil"/>
              <w:left w:val="nil"/>
              <w:bottom w:val="nil"/>
              <w:right w:val="nil"/>
            </w:tcBorders>
            <w:shd w:val="clear" w:color="auto" w:fill="auto"/>
            <w:noWrap/>
            <w:vAlign w:val="center"/>
            <w:hideMark/>
          </w:tcPr>
          <w:p w14:paraId="086E3850"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1.38±1.62a</w:t>
            </w:r>
          </w:p>
        </w:tc>
        <w:tc>
          <w:tcPr>
            <w:tcW w:w="1511" w:type="dxa"/>
            <w:tcBorders>
              <w:top w:val="nil"/>
              <w:left w:val="nil"/>
              <w:bottom w:val="nil"/>
              <w:right w:val="nil"/>
            </w:tcBorders>
            <w:shd w:val="clear" w:color="auto" w:fill="auto"/>
            <w:noWrap/>
            <w:vAlign w:val="center"/>
            <w:hideMark/>
          </w:tcPr>
          <w:p w14:paraId="0772FA75"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2.32±0.23ab</w:t>
            </w:r>
          </w:p>
        </w:tc>
        <w:tc>
          <w:tcPr>
            <w:tcW w:w="1614" w:type="dxa"/>
            <w:tcBorders>
              <w:top w:val="nil"/>
              <w:left w:val="nil"/>
              <w:bottom w:val="nil"/>
              <w:right w:val="nil"/>
            </w:tcBorders>
            <w:shd w:val="clear" w:color="auto" w:fill="auto"/>
            <w:noWrap/>
            <w:vAlign w:val="center"/>
            <w:hideMark/>
          </w:tcPr>
          <w:p w14:paraId="60FF001E"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0.09±0.01a</w:t>
            </w:r>
          </w:p>
        </w:tc>
        <w:tc>
          <w:tcPr>
            <w:tcW w:w="1450" w:type="dxa"/>
            <w:tcBorders>
              <w:top w:val="nil"/>
              <w:left w:val="nil"/>
              <w:bottom w:val="nil"/>
              <w:right w:val="nil"/>
            </w:tcBorders>
            <w:shd w:val="clear" w:color="auto" w:fill="auto"/>
            <w:noWrap/>
            <w:vAlign w:val="center"/>
            <w:hideMark/>
          </w:tcPr>
          <w:p w14:paraId="31B45FC8"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0.07±0</w:t>
            </w:r>
          </w:p>
        </w:tc>
      </w:tr>
      <w:tr w:rsidR="005A53FE" w:rsidRPr="005A53FE" w14:paraId="528DAF44" w14:textId="77777777" w:rsidTr="005A53FE">
        <w:trPr>
          <w:trHeight w:val="282"/>
        </w:trPr>
        <w:tc>
          <w:tcPr>
            <w:tcW w:w="1475" w:type="dxa"/>
            <w:tcBorders>
              <w:top w:val="nil"/>
              <w:left w:val="nil"/>
              <w:bottom w:val="nil"/>
              <w:right w:val="nil"/>
            </w:tcBorders>
            <w:shd w:val="clear" w:color="auto" w:fill="auto"/>
            <w:noWrap/>
            <w:vAlign w:val="center"/>
            <w:hideMark/>
          </w:tcPr>
          <w:p w14:paraId="65CFA3FD"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CO+50%</w:t>
            </w:r>
          </w:p>
        </w:tc>
        <w:tc>
          <w:tcPr>
            <w:tcW w:w="1576" w:type="dxa"/>
            <w:tcBorders>
              <w:top w:val="nil"/>
              <w:left w:val="nil"/>
              <w:bottom w:val="nil"/>
              <w:right w:val="nil"/>
            </w:tcBorders>
            <w:shd w:val="clear" w:color="auto" w:fill="auto"/>
            <w:noWrap/>
            <w:vAlign w:val="center"/>
            <w:hideMark/>
          </w:tcPr>
          <w:p w14:paraId="69D3126D"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75" w:type="dxa"/>
            <w:tcBorders>
              <w:top w:val="nil"/>
              <w:left w:val="nil"/>
              <w:bottom w:val="nil"/>
              <w:right w:val="nil"/>
            </w:tcBorders>
            <w:shd w:val="clear" w:color="auto" w:fill="auto"/>
            <w:noWrap/>
            <w:vAlign w:val="center"/>
            <w:hideMark/>
          </w:tcPr>
          <w:p w14:paraId="6176C08E"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511" w:type="dxa"/>
            <w:tcBorders>
              <w:top w:val="nil"/>
              <w:left w:val="nil"/>
              <w:bottom w:val="nil"/>
              <w:right w:val="nil"/>
            </w:tcBorders>
            <w:shd w:val="clear" w:color="auto" w:fill="auto"/>
            <w:noWrap/>
            <w:vAlign w:val="center"/>
            <w:hideMark/>
          </w:tcPr>
          <w:p w14:paraId="23C5E313"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614" w:type="dxa"/>
            <w:tcBorders>
              <w:top w:val="nil"/>
              <w:left w:val="nil"/>
              <w:bottom w:val="nil"/>
              <w:right w:val="nil"/>
            </w:tcBorders>
            <w:shd w:val="clear" w:color="auto" w:fill="auto"/>
            <w:noWrap/>
            <w:vAlign w:val="center"/>
            <w:hideMark/>
          </w:tcPr>
          <w:p w14:paraId="79A5216C"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0b</w:t>
            </w:r>
          </w:p>
        </w:tc>
        <w:tc>
          <w:tcPr>
            <w:tcW w:w="1450" w:type="dxa"/>
            <w:tcBorders>
              <w:top w:val="nil"/>
              <w:left w:val="nil"/>
              <w:bottom w:val="nil"/>
              <w:right w:val="nil"/>
            </w:tcBorders>
            <w:shd w:val="clear" w:color="auto" w:fill="auto"/>
            <w:noWrap/>
            <w:vAlign w:val="center"/>
            <w:hideMark/>
          </w:tcPr>
          <w:p w14:paraId="4F001E0D"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w:t>
            </w:r>
          </w:p>
        </w:tc>
      </w:tr>
      <w:tr w:rsidR="005A53FE" w:rsidRPr="005A53FE" w14:paraId="4E6DE2C5" w14:textId="77777777" w:rsidTr="005A53FE">
        <w:trPr>
          <w:trHeight w:val="282"/>
        </w:trPr>
        <w:tc>
          <w:tcPr>
            <w:tcW w:w="1475" w:type="dxa"/>
            <w:tcBorders>
              <w:top w:val="nil"/>
              <w:left w:val="nil"/>
              <w:bottom w:val="nil"/>
              <w:right w:val="nil"/>
            </w:tcBorders>
            <w:shd w:val="clear" w:color="auto" w:fill="auto"/>
            <w:noWrap/>
            <w:vAlign w:val="center"/>
            <w:hideMark/>
          </w:tcPr>
          <w:p w14:paraId="208995AD"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P</w:t>
            </w:r>
          </w:p>
        </w:tc>
        <w:tc>
          <w:tcPr>
            <w:tcW w:w="1576" w:type="dxa"/>
            <w:tcBorders>
              <w:top w:val="nil"/>
              <w:left w:val="nil"/>
              <w:bottom w:val="nil"/>
              <w:right w:val="nil"/>
            </w:tcBorders>
            <w:shd w:val="clear" w:color="auto" w:fill="auto"/>
            <w:noWrap/>
            <w:vAlign w:val="center"/>
            <w:hideMark/>
          </w:tcPr>
          <w:p w14:paraId="593FDCBF"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w:t>
            </w:r>
          </w:p>
        </w:tc>
        <w:tc>
          <w:tcPr>
            <w:tcW w:w="1475" w:type="dxa"/>
            <w:tcBorders>
              <w:top w:val="nil"/>
              <w:left w:val="nil"/>
              <w:bottom w:val="nil"/>
              <w:right w:val="nil"/>
            </w:tcBorders>
            <w:shd w:val="clear" w:color="auto" w:fill="auto"/>
            <w:noWrap/>
            <w:vAlign w:val="center"/>
            <w:hideMark/>
          </w:tcPr>
          <w:p w14:paraId="02046F7F"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0.01</w:t>
            </w:r>
          </w:p>
        </w:tc>
        <w:tc>
          <w:tcPr>
            <w:tcW w:w="1511" w:type="dxa"/>
            <w:tcBorders>
              <w:top w:val="nil"/>
              <w:left w:val="nil"/>
              <w:bottom w:val="nil"/>
              <w:right w:val="nil"/>
            </w:tcBorders>
            <w:shd w:val="clear" w:color="auto" w:fill="auto"/>
            <w:noWrap/>
            <w:vAlign w:val="center"/>
            <w:hideMark/>
          </w:tcPr>
          <w:p w14:paraId="7F360205"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0.008</w:t>
            </w:r>
          </w:p>
        </w:tc>
        <w:tc>
          <w:tcPr>
            <w:tcW w:w="1614" w:type="dxa"/>
            <w:tcBorders>
              <w:top w:val="nil"/>
              <w:left w:val="nil"/>
              <w:bottom w:val="nil"/>
              <w:right w:val="nil"/>
            </w:tcBorders>
            <w:shd w:val="clear" w:color="auto" w:fill="auto"/>
            <w:noWrap/>
            <w:vAlign w:val="center"/>
            <w:hideMark/>
          </w:tcPr>
          <w:p w14:paraId="55F8846F"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w:t>
            </w:r>
          </w:p>
        </w:tc>
        <w:tc>
          <w:tcPr>
            <w:tcW w:w="1450" w:type="dxa"/>
            <w:tcBorders>
              <w:top w:val="nil"/>
              <w:left w:val="nil"/>
              <w:bottom w:val="nil"/>
              <w:right w:val="nil"/>
            </w:tcBorders>
            <w:shd w:val="clear" w:color="auto" w:fill="auto"/>
            <w:noWrap/>
            <w:vAlign w:val="center"/>
            <w:hideMark/>
          </w:tcPr>
          <w:p w14:paraId="39FD889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0.434</w:t>
            </w:r>
          </w:p>
        </w:tc>
      </w:tr>
      <w:tr w:rsidR="005A53FE" w:rsidRPr="005A53FE" w14:paraId="57F860EE" w14:textId="77777777" w:rsidTr="005A53FE">
        <w:trPr>
          <w:trHeight w:val="290"/>
        </w:trPr>
        <w:tc>
          <w:tcPr>
            <w:tcW w:w="1475" w:type="dxa"/>
            <w:tcBorders>
              <w:top w:val="nil"/>
              <w:left w:val="nil"/>
              <w:bottom w:val="single" w:sz="8" w:space="0" w:color="auto"/>
              <w:right w:val="nil"/>
            </w:tcBorders>
            <w:shd w:val="clear" w:color="auto" w:fill="auto"/>
            <w:noWrap/>
            <w:vAlign w:val="center"/>
            <w:hideMark/>
          </w:tcPr>
          <w:p w14:paraId="68A17834"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Significance</w:t>
            </w:r>
          </w:p>
        </w:tc>
        <w:tc>
          <w:tcPr>
            <w:tcW w:w="1576" w:type="dxa"/>
            <w:tcBorders>
              <w:top w:val="nil"/>
              <w:left w:val="nil"/>
              <w:bottom w:val="single" w:sz="8" w:space="0" w:color="auto"/>
              <w:right w:val="nil"/>
            </w:tcBorders>
            <w:shd w:val="clear" w:color="auto" w:fill="auto"/>
            <w:noWrap/>
            <w:vAlign w:val="center"/>
            <w:hideMark/>
          </w:tcPr>
          <w:p w14:paraId="158D5E86"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w:t>
            </w:r>
          </w:p>
        </w:tc>
        <w:tc>
          <w:tcPr>
            <w:tcW w:w="1475" w:type="dxa"/>
            <w:tcBorders>
              <w:top w:val="nil"/>
              <w:left w:val="nil"/>
              <w:bottom w:val="single" w:sz="8" w:space="0" w:color="auto"/>
              <w:right w:val="nil"/>
            </w:tcBorders>
            <w:shd w:val="clear" w:color="auto" w:fill="auto"/>
            <w:noWrap/>
            <w:vAlign w:val="center"/>
            <w:hideMark/>
          </w:tcPr>
          <w:p w14:paraId="6B700947"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w:t>
            </w:r>
          </w:p>
        </w:tc>
        <w:tc>
          <w:tcPr>
            <w:tcW w:w="1511" w:type="dxa"/>
            <w:tcBorders>
              <w:top w:val="nil"/>
              <w:left w:val="nil"/>
              <w:bottom w:val="single" w:sz="8" w:space="0" w:color="auto"/>
              <w:right w:val="nil"/>
            </w:tcBorders>
            <w:shd w:val="clear" w:color="auto" w:fill="auto"/>
            <w:noWrap/>
            <w:vAlign w:val="center"/>
            <w:hideMark/>
          </w:tcPr>
          <w:p w14:paraId="4420D763"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w:t>
            </w:r>
          </w:p>
        </w:tc>
        <w:tc>
          <w:tcPr>
            <w:tcW w:w="1614" w:type="dxa"/>
            <w:tcBorders>
              <w:top w:val="nil"/>
              <w:left w:val="nil"/>
              <w:bottom w:val="single" w:sz="8" w:space="0" w:color="auto"/>
              <w:right w:val="nil"/>
            </w:tcBorders>
            <w:shd w:val="clear" w:color="auto" w:fill="auto"/>
            <w:noWrap/>
            <w:vAlign w:val="center"/>
            <w:hideMark/>
          </w:tcPr>
          <w:p w14:paraId="3AF3CEB3"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w:t>
            </w:r>
          </w:p>
        </w:tc>
        <w:tc>
          <w:tcPr>
            <w:tcW w:w="1450" w:type="dxa"/>
            <w:tcBorders>
              <w:top w:val="nil"/>
              <w:left w:val="nil"/>
              <w:bottom w:val="single" w:sz="8" w:space="0" w:color="auto"/>
              <w:right w:val="nil"/>
            </w:tcBorders>
            <w:shd w:val="clear" w:color="auto" w:fill="auto"/>
            <w:noWrap/>
            <w:vAlign w:val="center"/>
            <w:hideMark/>
          </w:tcPr>
          <w:p w14:paraId="364D8BC9" w14:textId="77777777" w:rsidR="005A53FE" w:rsidRPr="005A53FE" w:rsidRDefault="005A53FE" w:rsidP="005A53FE">
            <w:pPr>
              <w:jc w:val="both"/>
              <w:rPr>
                <w:rFonts w:ascii="Arial" w:hAnsi="Arial" w:cs="Arial"/>
                <w:color w:val="000000"/>
              </w:rPr>
            </w:pPr>
            <w:r w:rsidRPr="005A53FE">
              <w:rPr>
                <w:rFonts w:ascii="Arial" w:eastAsia="Calibri" w:hAnsi="Arial" w:cs="Arial"/>
                <w:color w:val="000000"/>
              </w:rPr>
              <w:t>ns</w:t>
            </w:r>
          </w:p>
        </w:tc>
      </w:tr>
    </w:tbl>
    <w:p w14:paraId="08B35DEA" w14:textId="0A7553F4" w:rsidR="003A08A2" w:rsidRPr="003A08A2" w:rsidRDefault="00976044" w:rsidP="003A6B7B">
      <w:pPr>
        <w:pStyle w:val="Body"/>
        <w:spacing w:after="0"/>
        <w:rPr>
          <w:rFonts w:ascii="Arial" w:hAnsi="Arial" w:cs="Arial"/>
          <w:lang w:val="fr-FR"/>
        </w:rPr>
      </w:pPr>
      <w:r>
        <w:rPr>
          <w:rFonts w:ascii="Arial" w:hAnsi="Arial" w:cs="Arial"/>
          <w:lang w:val="fr-FR"/>
        </w:rPr>
        <w:t>ns: non-significant</w:t>
      </w:r>
    </w:p>
    <w:p w14:paraId="64269845" w14:textId="66C5FA80" w:rsidR="003A08A2" w:rsidRPr="003A08A2" w:rsidRDefault="003A08A2" w:rsidP="003A6B7B">
      <w:pPr>
        <w:pStyle w:val="Body"/>
        <w:spacing w:after="0"/>
        <w:rPr>
          <w:rFonts w:ascii="Arial" w:hAnsi="Arial" w:cs="Arial"/>
          <w:lang w:val="fr-FR"/>
        </w:rPr>
      </w:pPr>
      <w:r w:rsidRPr="003A08A2">
        <w:rPr>
          <w:rFonts w:ascii="Arial" w:hAnsi="Arial" w:cs="Arial"/>
          <w:lang w:val="fr-FR"/>
        </w:rPr>
        <w:t xml:space="preserve">***: </w:t>
      </w:r>
      <w:r w:rsidR="00976044">
        <w:rPr>
          <w:rFonts w:ascii="Arial" w:hAnsi="Arial" w:cs="Arial"/>
          <w:lang w:val="fr-FR"/>
        </w:rPr>
        <w:t>significative</w:t>
      </w:r>
      <w:r w:rsidR="00976044" w:rsidRPr="003A08A2">
        <w:rPr>
          <w:rFonts w:ascii="Arial" w:hAnsi="Arial" w:cs="Arial"/>
          <w:lang w:val="fr-FR"/>
        </w:rPr>
        <w:t xml:space="preserve"> </w:t>
      </w:r>
      <w:r w:rsidR="00976044">
        <w:rPr>
          <w:rFonts w:ascii="Arial" w:hAnsi="Arial" w:cs="Arial"/>
          <w:lang w:val="fr-FR"/>
        </w:rPr>
        <w:t>with</w:t>
      </w:r>
      <w:r w:rsidRPr="003A08A2">
        <w:rPr>
          <w:rFonts w:ascii="Arial" w:hAnsi="Arial" w:cs="Arial"/>
          <w:lang w:val="fr-FR"/>
        </w:rPr>
        <w:t xml:space="preserve"> P˂0,001</w:t>
      </w:r>
    </w:p>
    <w:p w14:paraId="37AC8D19" w14:textId="3809D6D1" w:rsidR="003A08A2" w:rsidRPr="003A08A2" w:rsidRDefault="003A08A2" w:rsidP="003A6B7B">
      <w:pPr>
        <w:pStyle w:val="Body"/>
        <w:spacing w:after="0"/>
        <w:rPr>
          <w:rFonts w:ascii="Arial" w:hAnsi="Arial" w:cs="Arial"/>
          <w:lang w:val="fr-FR"/>
        </w:rPr>
      </w:pPr>
      <w:r w:rsidRPr="003A08A2">
        <w:rPr>
          <w:rFonts w:ascii="Arial" w:hAnsi="Arial" w:cs="Arial"/>
          <w:lang w:val="fr-FR"/>
        </w:rPr>
        <w:t xml:space="preserve">**: </w:t>
      </w:r>
      <w:r w:rsidR="00976044">
        <w:rPr>
          <w:rFonts w:ascii="Arial" w:hAnsi="Arial" w:cs="Arial"/>
          <w:lang w:val="fr-FR"/>
        </w:rPr>
        <w:t>significative</w:t>
      </w:r>
      <w:r w:rsidR="00976044" w:rsidRPr="003A08A2">
        <w:rPr>
          <w:rFonts w:ascii="Arial" w:hAnsi="Arial" w:cs="Arial"/>
          <w:lang w:val="fr-FR"/>
        </w:rPr>
        <w:t xml:space="preserve"> </w:t>
      </w:r>
      <w:r w:rsidR="00976044">
        <w:rPr>
          <w:rFonts w:ascii="Arial" w:hAnsi="Arial" w:cs="Arial"/>
          <w:lang w:val="fr-FR"/>
        </w:rPr>
        <w:t>with</w:t>
      </w:r>
      <w:r w:rsidRPr="003A08A2">
        <w:rPr>
          <w:rFonts w:ascii="Arial" w:hAnsi="Arial" w:cs="Arial"/>
          <w:lang w:val="fr-FR"/>
        </w:rPr>
        <w:t xml:space="preserve"> P˂0,01</w:t>
      </w:r>
    </w:p>
    <w:p w14:paraId="65C942E4" w14:textId="64ACB651" w:rsidR="00976044" w:rsidRDefault="003A08A2" w:rsidP="00976044">
      <w:pPr>
        <w:pStyle w:val="Body"/>
        <w:spacing w:after="0"/>
        <w:rPr>
          <w:rFonts w:ascii="Arial" w:hAnsi="Arial" w:cs="Arial"/>
          <w:lang w:val="fr-FR"/>
        </w:rPr>
      </w:pPr>
      <w:r w:rsidRPr="003A08A2">
        <w:rPr>
          <w:rFonts w:ascii="Arial" w:hAnsi="Arial" w:cs="Arial"/>
          <w:lang w:val="fr-FR"/>
        </w:rPr>
        <w:t xml:space="preserve">*: </w:t>
      </w:r>
      <w:r w:rsidR="00976044">
        <w:rPr>
          <w:rFonts w:ascii="Arial" w:hAnsi="Arial" w:cs="Arial"/>
          <w:lang w:val="fr-FR"/>
        </w:rPr>
        <w:t>significative</w:t>
      </w:r>
      <w:r w:rsidR="00976044" w:rsidRPr="003A08A2">
        <w:rPr>
          <w:rFonts w:ascii="Arial" w:hAnsi="Arial" w:cs="Arial"/>
          <w:lang w:val="fr-FR"/>
        </w:rPr>
        <w:t xml:space="preserve"> </w:t>
      </w:r>
      <w:r w:rsidR="00976044">
        <w:rPr>
          <w:rFonts w:ascii="Arial" w:hAnsi="Arial" w:cs="Arial"/>
          <w:lang w:val="fr-FR"/>
        </w:rPr>
        <w:t>with</w:t>
      </w:r>
      <w:r w:rsidRPr="003A08A2">
        <w:rPr>
          <w:rFonts w:ascii="Arial" w:hAnsi="Arial" w:cs="Arial"/>
          <w:lang w:val="fr-FR"/>
        </w:rPr>
        <w:t xml:space="preserve"> P˂0,05</w:t>
      </w:r>
    </w:p>
    <w:p w14:paraId="62388ECB" w14:textId="77777777" w:rsidR="005A53FE" w:rsidRPr="003A08A2" w:rsidRDefault="005A53FE" w:rsidP="00976044">
      <w:pPr>
        <w:pStyle w:val="Body"/>
        <w:spacing w:after="0"/>
        <w:rPr>
          <w:rFonts w:ascii="Arial" w:hAnsi="Arial" w:cs="Arial"/>
          <w:lang w:val="fr-FR"/>
        </w:rPr>
      </w:pPr>
    </w:p>
    <w:p w14:paraId="4799E5A8" w14:textId="77777777" w:rsidR="00976044" w:rsidRPr="001F31F1" w:rsidRDefault="003A08A2" w:rsidP="00976044">
      <w:pPr>
        <w:pStyle w:val="Body"/>
        <w:jc w:val="left"/>
        <w:rPr>
          <w:rFonts w:ascii="Arial" w:hAnsi="Arial" w:cs="Arial"/>
          <w:b/>
          <w:bCs/>
          <w:u w:val="single"/>
        </w:rPr>
      </w:pPr>
      <w:r w:rsidRPr="001F31F1">
        <w:rPr>
          <w:rFonts w:ascii="Arial" w:hAnsi="Arial" w:cs="Arial"/>
          <w:b/>
          <w:bCs/>
          <w:u w:val="single"/>
        </w:rPr>
        <w:t xml:space="preserve">3.1.8. </w:t>
      </w:r>
      <w:r w:rsidR="00976044" w:rsidRPr="001F31F1">
        <w:rPr>
          <w:rFonts w:ascii="Arial" w:hAnsi="Arial" w:cs="Arial"/>
          <w:b/>
          <w:bCs/>
          <w:u w:val="single"/>
        </w:rPr>
        <w:t>Effect of treatments on yield in 2023 and 2024</w:t>
      </w:r>
    </w:p>
    <w:p w14:paraId="3B421795" w14:textId="432E6E5D" w:rsidR="003A08A2" w:rsidRPr="001F31F1" w:rsidRDefault="00976044" w:rsidP="003A08A2">
      <w:pPr>
        <w:pStyle w:val="Body"/>
        <w:rPr>
          <w:rFonts w:ascii="Arial" w:hAnsi="Arial" w:cs="Arial"/>
        </w:rPr>
      </w:pPr>
      <w:r w:rsidRPr="001F31F1">
        <w:rPr>
          <w:rFonts w:ascii="Arial" w:hAnsi="Arial" w:cs="Arial"/>
        </w:rPr>
        <w:t xml:space="preserve">The results of the treatments applied to the tomato plots are shown in </w:t>
      </w:r>
      <w:r w:rsidR="00624E58" w:rsidRPr="001F31F1">
        <w:rPr>
          <w:rFonts w:ascii="Arial" w:hAnsi="Arial" w:cs="Arial"/>
        </w:rPr>
        <w:t>Figure</w:t>
      </w:r>
      <w:r w:rsidRPr="001F31F1">
        <w:rPr>
          <w:rFonts w:ascii="Arial" w:hAnsi="Arial" w:cs="Arial"/>
        </w:rPr>
        <w:t xml:space="preserve"> 4. The results also show that the different treatments had no significant impact on the yields obtained. </w:t>
      </w:r>
      <w:r w:rsidRPr="001F31F1">
        <w:rPr>
          <w:rFonts w:ascii="Arial" w:hAnsi="Arial" w:cs="Arial"/>
        </w:rPr>
        <w:lastRenderedPageBreak/>
        <w:t>However, the C5+D75% treatment provided the best yields compared with the other treatments.</w:t>
      </w:r>
    </w:p>
    <w:p w14:paraId="4337F2D4" w14:textId="3DBDCD44" w:rsidR="005A53FE" w:rsidRDefault="00D441D1" w:rsidP="005A53FE">
      <w:pPr>
        <w:pStyle w:val="Body"/>
        <w:ind w:left="720" w:firstLine="720"/>
        <w:rPr>
          <w:rFonts w:ascii="Arial" w:hAnsi="Arial" w:cs="Arial"/>
          <w:lang w:val="fr-FR"/>
        </w:rPr>
      </w:pPr>
      <w:r>
        <w:rPr>
          <w:noProof/>
        </w:rPr>
        <w:drawing>
          <wp:inline distT="0" distB="0" distL="0" distR="0" wp14:anchorId="35788BC9" wp14:editId="5B74A771">
            <wp:extent cx="4210050" cy="2776220"/>
            <wp:effectExtent l="0" t="0" r="0" b="5080"/>
            <wp:docPr id="996820707" name="Graphique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A1344C-43E2-166C-E90B-0091A1AAE4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260915B" w14:textId="50D4BA59" w:rsidR="005A53FE" w:rsidRDefault="00D441D1" w:rsidP="005A53FE">
      <w:pPr>
        <w:pStyle w:val="Body"/>
        <w:ind w:left="720" w:firstLine="720"/>
        <w:rPr>
          <w:rFonts w:ascii="Arial" w:hAnsi="Arial" w:cs="Arial"/>
          <w:lang w:val="fr-FR"/>
        </w:rPr>
      </w:pPr>
      <w:r>
        <w:rPr>
          <w:noProof/>
        </w:rPr>
        <mc:AlternateContent>
          <mc:Choice Requires="wps">
            <w:drawing>
              <wp:anchor distT="0" distB="0" distL="114300" distR="114300" simplePos="0" relativeHeight="251672576" behindDoc="0" locked="0" layoutInCell="1" allowOverlap="1" wp14:anchorId="0BFDC339" wp14:editId="5B348911">
                <wp:simplePos x="0" y="0"/>
                <wp:positionH relativeFrom="column">
                  <wp:posOffset>4115753</wp:posOffset>
                </wp:positionH>
                <wp:positionV relativeFrom="paragraph">
                  <wp:posOffset>375603</wp:posOffset>
                </wp:positionV>
                <wp:extent cx="461962" cy="271462"/>
                <wp:effectExtent l="0" t="0" r="0" b="0"/>
                <wp:wrapNone/>
                <wp:docPr id="6681765" name="Zone de texte 18"/>
                <wp:cNvGraphicFramePr/>
                <a:graphic xmlns:a="http://schemas.openxmlformats.org/drawingml/2006/main">
                  <a:graphicData uri="http://schemas.microsoft.com/office/word/2010/wordprocessingShape">
                    <wps:wsp>
                      <wps:cNvSpPr txBox="1"/>
                      <wps:spPr>
                        <a:xfrm>
                          <a:off x="0" y="0"/>
                          <a:ext cx="461962" cy="271462"/>
                        </a:xfrm>
                        <a:prstGeom prst="rect">
                          <a:avLst/>
                        </a:prstGeom>
                        <a:solidFill>
                          <a:schemeClr val="lt1"/>
                        </a:solidFill>
                        <a:ln w="6350">
                          <a:noFill/>
                        </a:ln>
                      </wps:spPr>
                      <wps:txbx>
                        <w:txbxContent>
                          <w:p w14:paraId="1A44C94D" w14:textId="2F2F56D9" w:rsidR="00D441D1" w:rsidRDefault="00D441D1">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FDC339" id="Zone de texte 18" o:spid="_x0000_s1032" type="#_x0000_t202" style="position:absolute;left:0;text-align:left;margin-left:324.1pt;margin-top:29.6pt;width:36.35pt;height:2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" fillcolor="white [3201]" stroked="f" strokeweight=".5pt">
                <v:textbox>
                  <w:txbxContent>
                    <w:p w14:paraId="1A44C94D" w14:textId="2F2F56D9" w:rsidR="00D441D1" w:rsidRDefault="00D441D1">
                      <w:r>
                        <w:t>(b)</w:t>
                      </w:r>
                    </w:p>
                  </w:txbxContent>
                </v:textbox>
              </v:shape>
            </w:pict>
          </mc:Fallback>
        </mc:AlternateContent>
      </w:r>
      <w:r>
        <w:rPr>
          <w:noProof/>
        </w:rPr>
        <w:drawing>
          <wp:inline distT="0" distB="0" distL="0" distR="0" wp14:anchorId="727A1077" wp14:editId="1D5F0150">
            <wp:extent cx="4572000" cy="2743200"/>
            <wp:effectExtent l="0" t="0" r="0" b="0"/>
            <wp:docPr id="1212720593" name="Graphique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C23A06-67E7-03B1-8064-F4648C586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3C27684" w14:textId="77777777" w:rsidR="004E2D0B" w:rsidRPr="001F31F1" w:rsidRDefault="004E2D0B" w:rsidP="00FC47ED">
      <w:pPr>
        <w:pStyle w:val="Body"/>
        <w:jc w:val="left"/>
        <w:rPr>
          <w:rFonts w:ascii="Arial" w:hAnsi="Arial" w:cs="Arial"/>
        </w:rPr>
      </w:pPr>
      <w:r w:rsidRPr="001F31F1">
        <w:rPr>
          <w:rFonts w:ascii="Arial" w:hAnsi="Arial" w:cs="Arial"/>
        </w:rPr>
        <w:t>Figure 4: Effect of treatments on tomato yield in 2023 (a) and 2024 (b)</w:t>
      </w:r>
    </w:p>
    <w:p w14:paraId="4C05DA9E" w14:textId="1B9D1295" w:rsidR="003A08A2" w:rsidRPr="001F31F1" w:rsidRDefault="003A08A2" w:rsidP="00FC47ED">
      <w:pPr>
        <w:pStyle w:val="Body"/>
        <w:jc w:val="left"/>
        <w:rPr>
          <w:rFonts w:ascii="Arial" w:hAnsi="Arial" w:cs="Arial"/>
          <w:b/>
          <w:bCs/>
          <w:u w:val="single"/>
        </w:rPr>
      </w:pPr>
      <w:r w:rsidRPr="001F31F1">
        <w:rPr>
          <w:rFonts w:ascii="Arial" w:hAnsi="Arial" w:cs="Arial"/>
          <w:b/>
          <w:bCs/>
          <w:u w:val="single"/>
        </w:rPr>
        <w:t xml:space="preserve">3.1.9. </w:t>
      </w:r>
      <w:r w:rsidR="004E2D0B" w:rsidRPr="001F31F1">
        <w:rPr>
          <w:rFonts w:ascii="Arial" w:hAnsi="Arial" w:cs="Arial"/>
          <w:b/>
          <w:bCs/>
          <w:u w:val="single"/>
        </w:rPr>
        <w:t>Correlation between the different variables analyzed</w:t>
      </w:r>
    </w:p>
    <w:p w14:paraId="1921916E" w14:textId="3FC5FDB0" w:rsidR="004E2D0B" w:rsidRPr="001F31F1" w:rsidRDefault="004E2D0B" w:rsidP="004E2D0B">
      <w:pPr>
        <w:pStyle w:val="Body"/>
        <w:rPr>
          <w:rFonts w:ascii="Arial" w:hAnsi="Arial" w:cs="Arial"/>
        </w:rPr>
      </w:pPr>
      <w:r w:rsidRPr="001F31F1">
        <w:rPr>
          <w:rFonts w:ascii="Arial" w:hAnsi="Arial" w:cs="Arial"/>
        </w:rPr>
        <w:t xml:space="preserve">Figure (5) shows the principal component analysis of the dependent variables for the second year of experimentation, namely yield (R2), water productivity (Pro2), carbon content (C2), organic matter content (MO2), nitrogen (N2), phosphorus (P2), potassium (K2), sum of exchangeable bases (SB2) and cation exchange capacity. The results indicate that productivity and yield have high values on component 2. This implies that these two variables are highly correlated with each other and also with component 2. On the other hand, organic </w:t>
      </w:r>
      <w:r w:rsidRPr="001F31F1">
        <w:rPr>
          <w:rFonts w:ascii="Arial" w:hAnsi="Arial" w:cs="Arial"/>
        </w:rPr>
        <w:lastRenderedPageBreak/>
        <w:t xml:space="preserve">matter, carbon, nitrogen, </w:t>
      </w:r>
      <w:r w:rsidR="00624E58" w:rsidRPr="001F31F1">
        <w:rPr>
          <w:rFonts w:ascii="Arial" w:hAnsi="Arial" w:cs="Arial"/>
        </w:rPr>
        <w:t xml:space="preserve">the </w:t>
      </w:r>
      <w:r w:rsidRPr="001F31F1">
        <w:rPr>
          <w:rFonts w:ascii="Arial" w:hAnsi="Arial" w:cs="Arial"/>
        </w:rPr>
        <w:t>sum of exchangeable bases</w:t>
      </w:r>
      <w:r w:rsidR="00624E58" w:rsidRPr="001F31F1">
        <w:rPr>
          <w:rFonts w:ascii="Arial" w:hAnsi="Arial" w:cs="Arial"/>
        </w:rPr>
        <w:t>,</w:t>
      </w:r>
      <w:r w:rsidRPr="001F31F1">
        <w:rPr>
          <w:rFonts w:ascii="Arial" w:hAnsi="Arial" w:cs="Arial"/>
        </w:rPr>
        <w:t xml:space="preserve"> and cation exchange capacity are strongly correlated with each other and also with component 1. Thus, these parameters would represent an indicator of soil fertility level likely to influence variables related to yield and water productivity, elements of Component 1.</w:t>
      </w:r>
    </w:p>
    <w:p w14:paraId="0E1CD1BF" w14:textId="263DDD35" w:rsidR="003A08A2" w:rsidRPr="003A08A2" w:rsidRDefault="00FC47ED" w:rsidP="003A08A2">
      <w:pPr>
        <w:pStyle w:val="Body"/>
        <w:rPr>
          <w:rFonts w:ascii="Arial" w:hAnsi="Arial" w:cs="Arial"/>
          <w:lang w:val="fr-FR"/>
        </w:rPr>
      </w:pPr>
      <w:r w:rsidRPr="00FC47ED">
        <w:rPr>
          <w:rFonts w:ascii="Calibri" w:eastAsia="Calibri" w:hAnsi="Calibri"/>
          <w:noProof/>
          <w:kern w:val="2"/>
          <w:sz w:val="22"/>
          <w:szCs w:val="22"/>
          <w14:ligatures w14:val="standardContextual"/>
        </w:rPr>
        <w:drawing>
          <wp:inline distT="0" distB="0" distL="0" distR="0" wp14:anchorId="229BDD2F" wp14:editId="36B6C594">
            <wp:extent cx="5212080" cy="3234569"/>
            <wp:effectExtent l="0" t="0" r="7620" b="4445"/>
            <wp:docPr id="1857567704" name="Image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9EA6DE-41E9-8344-AEE9-B17E689A20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9EA6DE-41E9-8344-AEE9-B17E689A2084}"/>
                        </a:ext>
                      </a:extLst>
                    </pic:cNvPr>
                    <pic:cNvPicPr>
                      <a:picLocks noChangeAspect="1"/>
                    </pic:cNvPicPr>
                  </pic:nvPicPr>
                  <pic:blipFill>
                    <a:blip r:embed="rId27"/>
                    <a:stretch>
                      <a:fillRect/>
                    </a:stretch>
                  </pic:blipFill>
                  <pic:spPr>
                    <a:xfrm>
                      <a:off x="0" y="0"/>
                      <a:ext cx="5212080" cy="3234569"/>
                    </a:xfrm>
                    <a:prstGeom prst="rect">
                      <a:avLst/>
                    </a:prstGeom>
                  </pic:spPr>
                </pic:pic>
              </a:graphicData>
            </a:graphic>
          </wp:inline>
        </w:drawing>
      </w:r>
    </w:p>
    <w:p w14:paraId="66244920" w14:textId="46E45D3B" w:rsidR="00FC47ED" w:rsidRPr="001F31F1" w:rsidRDefault="004E2D0B" w:rsidP="003A08A2">
      <w:pPr>
        <w:pStyle w:val="Body"/>
        <w:rPr>
          <w:rFonts w:ascii="Arial" w:hAnsi="Arial" w:cs="Arial"/>
        </w:rPr>
      </w:pPr>
      <w:r w:rsidRPr="001F31F1">
        <w:rPr>
          <w:rFonts w:ascii="Arial" w:hAnsi="Arial" w:cs="Arial"/>
        </w:rPr>
        <w:t>Figure 5: Graph of variables projected into the space of principal components</w:t>
      </w:r>
      <w:r w:rsidR="003A08A2" w:rsidRPr="003A08A2">
        <w:rPr>
          <w:rFonts w:ascii="Arial" w:hAnsi="Arial" w:cs="Arial"/>
          <w:lang w:val="fr-FR"/>
        </w:rPr>
        <w:t> </w:t>
      </w:r>
      <w:r w:rsidR="00FC47ED" w:rsidRPr="001F31F1">
        <w:rPr>
          <w:rFonts w:ascii="Arial" w:hAnsi="Arial" w:cs="Arial"/>
        </w:rPr>
        <w:br w:type="page"/>
      </w:r>
    </w:p>
    <w:p w14:paraId="19164A17" w14:textId="07D6BCF4" w:rsidR="003A08A2" w:rsidRPr="001F31F1" w:rsidRDefault="003A08A2" w:rsidP="00FC47ED">
      <w:pPr>
        <w:pStyle w:val="Body"/>
        <w:jc w:val="left"/>
        <w:rPr>
          <w:rFonts w:ascii="Arial" w:hAnsi="Arial" w:cs="Arial"/>
          <w:b/>
          <w:bCs/>
          <w:sz w:val="22"/>
          <w:szCs w:val="22"/>
        </w:rPr>
      </w:pPr>
      <w:r w:rsidRPr="001F31F1">
        <w:rPr>
          <w:rFonts w:ascii="Arial" w:hAnsi="Arial" w:cs="Arial"/>
          <w:b/>
          <w:bCs/>
          <w:sz w:val="22"/>
          <w:szCs w:val="22"/>
        </w:rPr>
        <w:lastRenderedPageBreak/>
        <w:t>3.2. Discussion</w:t>
      </w:r>
    </w:p>
    <w:p w14:paraId="1EA407F8" w14:textId="1C2E8BA9" w:rsidR="004E2D0B" w:rsidRPr="001F31F1" w:rsidRDefault="004E2D0B" w:rsidP="004E2D0B">
      <w:pPr>
        <w:pStyle w:val="Body"/>
        <w:rPr>
          <w:rFonts w:ascii="Arial" w:hAnsi="Arial" w:cs="Arial"/>
        </w:rPr>
      </w:pPr>
      <w:r w:rsidRPr="001F31F1">
        <w:rPr>
          <w:rFonts w:ascii="Arial" w:hAnsi="Arial" w:cs="Arial"/>
        </w:rPr>
        <w:t xml:space="preserve">Irrigation doses, combined with different compost rates, were applied as treatments on an experimental site under tomato cultivation. The effect of these different treatments on soil </w:t>
      </w:r>
      <w:commentRangeStart w:id="21"/>
      <w:r w:rsidRPr="001F31F1">
        <w:rPr>
          <w:rFonts w:ascii="Arial" w:hAnsi="Arial" w:cs="Arial"/>
        </w:rPr>
        <w:t>chemical parameters</w:t>
      </w:r>
      <w:commentRangeEnd w:id="21"/>
      <w:r w:rsidR="00BF71D8">
        <w:rPr>
          <w:rStyle w:val="CommentReference"/>
          <w:rFonts w:ascii="Times New Roman" w:hAnsi="Times New Roman"/>
          <w:lang w:val="nb-NO" w:eastAsia="nb-NO"/>
        </w:rPr>
        <w:commentReference w:id="21"/>
      </w:r>
      <w:r w:rsidRPr="001F31F1">
        <w:rPr>
          <w:rFonts w:ascii="Arial" w:hAnsi="Arial" w:cs="Arial"/>
        </w:rPr>
        <w:t xml:space="preserve"> was evaluated over </w:t>
      </w:r>
      <w:r w:rsidR="00624E58" w:rsidRPr="001F31F1">
        <w:rPr>
          <w:rFonts w:ascii="Arial" w:hAnsi="Arial" w:cs="Arial"/>
        </w:rPr>
        <w:t>two years</w:t>
      </w:r>
      <w:r w:rsidRPr="001F31F1">
        <w:rPr>
          <w:rFonts w:ascii="Arial" w:hAnsi="Arial" w:cs="Arial"/>
        </w:rPr>
        <w:t xml:space="preserve"> before the experiment was set up and after each harvest.</w:t>
      </w:r>
    </w:p>
    <w:p w14:paraId="15D27FA6" w14:textId="78A3BF83" w:rsidR="004E2D0B" w:rsidRPr="001F31F1" w:rsidRDefault="004E2D0B" w:rsidP="004E2D0B">
      <w:pPr>
        <w:pStyle w:val="Body"/>
        <w:rPr>
          <w:rFonts w:ascii="Arial" w:hAnsi="Arial" w:cs="Arial"/>
        </w:rPr>
      </w:pPr>
      <w:r w:rsidRPr="001F31F1">
        <w:rPr>
          <w:rFonts w:ascii="Arial" w:hAnsi="Arial" w:cs="Arial"/>
        </w:rPr>
        <w:t xml:space="preserve">Results from the first year of experimentation show that a variation was recorded compared with control samples. However, the real impact of the treatments on soil chemical parameters only became perceptible in the second year of experimentation. </w:t>
      </w:r>
      <w:commentRangeStart w:id="22"/>
      <w:r w:rsidRPr="001F31F1">
        <w:rPr>
          <w:rFonts w:ascii="Arial" w:hAnsi="Arial" w:cs="Arial"/>
        </w:rPr>
        <w:t>In fact,</w:t>
      </w:r>
      <w:commentRangeEnd w:id="22"/>
      <w:r w:rsidR="00620A18">
        <w:rPr>
          <w:rStyle w:val="CommentReference"/>
          <w:rFonts w:ascii="Times New Roman" w:hAnsi="Times New Roman"/>
          <w:lang w:val="nb-NO" w:eastAsia="nb-NO"/>
        </w:rPr>
        <w:commentReference w:id="22"/>
      </w:r>
      <w:r w:rsidRPr="001F31F1">
        <w:rPr>
          <w:rFonts w:ascii="Arial" w:hAnsi="Arial" w:cs="Arial"/>
        </w:rPr>
        <w:t xml:space="preserve"> during the first year of experimentation, it was observed that the addition of compost induced an increase in carbon and organic matter levels, irrespective of the irrigation level (D50%, D75%</w:t>
      </w:r>
      <w:r w:rsidR="00624E58" w:rsidRPr="001F31F1">
        <w:rPr>
          <w:rFonts w:ascii="Arial" w:hAnsi="Arial" w:cs="Arial"/>
        </w:rPr>
        <w:t>,</w:t>
      </w:r>
      <w:r w:rsidRPr="001F31F1">
        <w:rPr>
          <w:rFonts w:ascii="Arial" w:hAnsi="Arial" w:cs="Arial"/>
        </w:rPr>
        <w:t xml:space="preserve"> and D100%). However, this increase was not significant. Other chemical parameters studied, such as NPK, exchangeable bases, CEC</w:t>
      </w:r>
      <w:r w:rsidR="00624E58" w:rsidRPr="001F31F1">
        <w:rPr>
          <w:rFonts w:ascii="Arial" w:hAnsi="Arial" w:cs="Arial"/>
        </w:rPr>
        <w:t>,</w:t>
      </w:r>
      <w:r w:rsidRPr="001F31F1">
        <w:rPr>
          <w:rFonts w:ascii="Arial" w:hAnsi="Arial" w:cs="Arial"/>
        </w:rPr>
        <w:t xml:space="preserve"> and soil biological activity, also changed in comparison with the controls. </w:t>
      </w:r>
      <w:commentRangeStart w:id="23"/>
      <w:r w:rsidRPr="001F31F1">
        <w:rPr>
          <w:rFonts w:ascii="Arial" w:hAnsi="Arial" w:cs="Arial"/>
        </w:rPr>
        <w:t>However</w:t>
      </w:r>
      <w:commentRangeEnd w:id="23"/>
      <w:r w:rsidR="00352383">
        <w:rPr>
          <w:rStyle w:val="CommentReference"/>
          <w:rFonts w:ascii="Times New Roman" w:hAnsi="Times New Roman"/>
          <w:lang w:val="nb-NO" w:eastAsia="nb-NO"/>
        </w:rPr>
        <w:commentReference w:id="23"/>
      </w:r>
      <w:r w:rsidRPr="001F31F1">
        <w:rPr>
          <w:rFonts w:ascii="Arial" w:hAnsi="Arial" w:cs="Arial"/>
        </w:rPr>
        <w:t>, the increase was very small. These results suggest that in supplemental irrigation, compost application induces a slow variation in soil chemical parameters in the short term. In their work, [1</w:t>
      </w:r>
      <w:r w:rsidR="00BB1757">
        <w:rPr>
          <w:rFonts w:ascii="Arial" w:hAnsi="Arial" w:cs="Arial"/>
        </w:rPr>
        <w:t>6</w:t>
      </w:r>
      <w:r w:rsidRPr="001F31F1">
        <w:rPr>
          <w:rFonts w:ascii="Arial" w:hAnsi="Arial" w:cs="Arial"/>
        </w:rPr>
        <w:t>], [1</w:t>
      </w:r>
      <w:r w:rsidR="00BB1757">
        <w:rPr>
          <w:rFonts w:ascii="Arial" w:hAnsi="Arial" w:cs="Arial"/>
        </w:rPr>
        <w:t>7</w:t>
      </w:r>
      <w:r w:rsidRPr="001F31F1">
        <w:rPr>
          <w:rFonts w:ascii="Arial" w:hAnsi="Arial" w:cs="Arial"/>
        </w:rPr>
        <w:t xml:space="preserve">] confirmed the slow change in these parameters in the short term </w:t>
      </w:r>
      <w:r w:rsidR="008C1BDD" w:rsidRPr="001F31F1">
        <w:rPr>
          <w:rFonts w:ascii="Arial" w:hAnsi="Arial" w:cs="Arial"/>
        </w:rPr>
        <w:t xml:space="preserve">following the application of compost. These results could be explained by the compost's C/N ratio of </w:t>
      </w:r>
      <w:r w:rsidRPr="001F31F1">
        <w:rPr>
          <w:rFonts w:ascii="Arial" w:hAnsi="Arial" w:cs="Arial"/>
        </w:rPr>
        <w:t>19, which is responsible for the compost's slow to moderate mineralization. Furthermore, the difficulty in significantly raising carbon levels in the first year of experimentation could be explained by the low carbon sequestration capacity in tropical zones [1</w:t>
      </w:r>
      <w:r w:rsidR="00BB1757">
        <w:rPr>
          <w:rFonts w:ascii="Arial" w:hAnsi="Arial" w:cs="Arial"/>
        </w:rPr>
        <w:t>8</w:t>
      </w:r>
      <w:r w:rsidRPr="001F31F1">
        <w:rPr>
          <w:rFonts w:ascii="Arial" w:hAnsi="Arial" w:cs="Arial"/>
        </w:rPr>
        <w:t>].</w:t>
      </w:r>
    </w:p>
    <w:p w14:paraId="186825D7" w14:textId="268725EE" w:rsidR="004E2D0B" w:rsidRPr="001F31F1" w:rsidRDefault="004E2D0B" w:rsidP="004E2D0B">
      <w:pPr>
        <w:pStyle w:val="Body"/>
        <w:rPr>
          <w:rFonts w:ascii="Arial" w:hAnsi="Arial" w:cs="Arial"/>
        </w:rPr>
      </w:pPr>
      <w:r w:rsidRPr="001F31F1">
        <w:rPr>
          <w:rFonts w:ascii="Arial" w:hAnsi="Arial" w:cs="Arial"/>
        </w:rPr>
        <w:t xml:space="preserve">In the second year of experimentation, it was observed that compost application at 5 and 10 T/ha under supplemental irrigation resulted in a significant increase in carbon and organic matter, irrespective of the irrigation </w:t>
      </w:r>
      <w:commentRangeStart w:id="24"/>
      <w:r w:rsidRPr="001F31F1">
        <w:rPr>
          <w:rFonts w:ascii="Arial" w:hAnsi="Arial" w:cs="Arial"/>
        </w:rPr>
        <w:t>rate</w:t>
      </w:r>
      <w:commentRangeEnd w:id="24"/>
      <w:r w:rsidR="00A66B08">
        <w:rPr>
          <w:rStyle w:val="CommentReference"/>
          <w:rFonts w:ascii="Times New Roman" w:hAnsi="Times New Roman"/>
          <w:lang w:val="nb-NO" w:eastAsia="nb-NO"/>
        </w:rPr>
        <w:commentReference w:id="24"/>
      </w:r>
      <w:r w:rsidRPr="001F31F1">
        <w:rPr>
          <w:rFonts w:ascii="Arial" w:hAnsi="Arial" w:cs="Arial"/>
        </w:rPr>
        <w:t>. However, this increase was particularly marked under the D75% irrigation regime, which recorded the highest increase at 73%. This trend was also observed for other chemical parameters, notably nitrogen, cation exchange capacity</w:t>
      </w:r>
      <w:r w:rsidR="00624E58" w:rsidRPr="001F31F1">
        <w:rPr>
          <w:rFonts w:ascii="Arial" w:hAnsi="Arial" w:cs="Arial"/>
        </w:rPr>
        <w:t>,</w:t>
      </w:r>
      <w:r w:rsidRPr="001F31F1">
        <w:rPr>
          <w:rFonts w:ascii="Arial" w:hAnsi="Arial" w:cs="Arial"/>
        </w:rPr>
        <w:t xml:space="preserve"> and exchangeable bases. Several studies have highlighted the beneficial effect of compost on improving soil chemical properties [1</w:t>
      </w:r>
      <w:r w:rsidR="00BB1757">
        <w:rPr>
          <w:rFonts w:ascii="Arial" w:hAnsi="Arial" w:cs="Arial"/>
        </w:rPr>
        <w:t>7</w:t>
      </w:r>
      <w:r w:rsidRPr="001F31F1">
        <w:rPr>
          <w:rFonts w:ascii="Arial" w:hAnsi="Arial" w:cs="Arial"/>
        </w:rPr>
        <w:t>], [1</w:t>
      </w:r>
      <w:r w:rsidR="00BB1757">
        <w:rPr>
          <w:rFonts w:ascii="Arial" w:hAnsi="Arial" w:cs="Arial"/>
        </w:rPr>
        <w:t>9</w:t>
      </w:r>
      <w:r w:rsidRPr="001F31F1">
        <w:rPr>
          <w:rFonts w:ascii="Arial" w:hAnsi="Arial" w:cs="Arial"/>
        </w:rPr>
        <w:t>], [</w:t>
      </w:r>
      <w:r w:rsidR="00BB1757">
        <w:rPr>
          <w:rFonts w:ascii="Arial" w:hAnsi="Arial" w:cs="Arial"/>
        </w:rPr>
        <w:t>20</w:t>
      </w:r>
      <w:r w:rsidRPr="001F31F1">
        <w:rPr>
          <w:rFonts w:ascii="Arial" w:hAnsi="Arial" w:cs="Arial"/>
        </w:rPr>
        <w:t>], [</w:t>
      </w:r>
      <w:r w:rsidR="00BB1757">
        <w:rPr>
          <w:rFonts w:ascii="Arial" w:hAnsi="Arial" w:cs="Arial"/>
        </w:rPr>
        <w:t>21</w:t>
      </w:r>
      <w:r w:rsidRPr="001F31F1">
        <w:rPr>
          <w:rFonts w:ascii="Arial" w:hAnsi="Arial" w:cs="Arial"/>
        </w:rPr>
        <w:t>]. These results could be explained by compost's ability to limit nutrient leaching and improve the retention of mineral elements in the soil. [</w:t>
      </w:r>
      <w:r w:rsidR="00BB1757">
        <w:rPr>
          <w:rFonts w:ascii="Arial" w:hAnsi="Arial" w:cs="Arial"/>
        </w:rPr>
        <w:t>19</w:t>
      </w:r>
      <w:r w:rsidRPr="001F31F1">
        <w:rPr>
          <w:rFonts w:ascii="Arial" w:hAnsi="Arial" w:cs="Arial"/>
        </w:rPr>
        <w:t>] emphasized that the addition of organic matter helps to stabilize nutrients by reducing their leaching. Furthermore, it was observed that the D75% irrigation regime favored the accumulation of soil minerals after compost application. In contrast, D100% irrigation would have induced excessive moisture, resulting in increased leaching of mineral elements [19], [2</w:t>
      </w:r>
      <w:r w:rsidR="00BB1757">
        <w:rPr>
          <w:rFonts w:ascii="Arial" w:hAnsi="Arial" w:cs="Arial"/>
        </w:rPr>
        <w:t>3</w:t>
      </w:r>
      <w:r w:rsidRPr="001F31F1">
        <w:rPr>
          <w:rFonts w:ascii="Arial" w:hAnsi="Arial" w:cs="Arial"/>
        </w:rPr>
        <w:t>].</w:t>
      </w:r>
      <w:r w:rsidR="00624E58" w:rsidRPr="001F31F1">
        <w:rPr>
          <w:rFonts w:ascii="Arial" w:hAnsi="Arial" w:cs="Arial"/>
        </w:rPr>
        <w:t xml:space="preserve"> </w:t>
      </w:r>
      <w:r w:rsidRPr="001F31F1">
        <w:rPr>
          <w:rFonts w:ascii="Arial" w:hAnsi="Arial" w:cs="Arial"/>
        </w:rPr>
        <w:t>This excess of water could also have created anaerobic conditions, thus limiting the mineralization process. Conversely, D50% irrigation generated insufficient humidity, restricting the release of mineralized carbon and nitrogen. Thus, D75% irrigation appears to have provided optimal conditions for both mineral release and retention in the soil. These observations translated into high yields in plots irrigated with D75% compared with other irrigation rates [2</w:t>
      </w:r>
      <w:r w:rsidR="00BB1757">
        <w:rPr>
          <w:rFonts w:ascii="Arial" w:hAnsi="Arial" w:cs="Arial"/>
        </w:rPr>
        <w:t>4</w:t>
      </w:r>
      <w:r w:rsidRPr="001F31F1">
        <w:rPr>
          <w:rFonts w:ascii="Arial" w:hAnsi="Arial" w:cs="Arial"/>
        </w:rPr>
        <w:t>] (see figure 4).</w:t>
      </w:r>
    </w:p>
    <w:p w14:paraId="4A554574" w14:textId="77777777" w:rsidR="004E2D0B" w:rsidRPr="001F31F1" w:rsidRDefault="004E2D0B" w:rsidP="004E2D0B">
      <w:pPr>
        <w:pStyle w:val="Body"/>
        <w:rPr>
          <w:rFonts w:ascii="Arial" w:hAnsi="Arial" w:cs="Arial"/>
        </w:rPr>
      </w:pPr>
      <w:r w:rsidRPr="001F31F1">
        <w:rPr>
          <w:rFonts w:ascii="Arial" w:hAnsi="Arial" w:cs="Arial"/>
        </w:rPr>
        <w:t>The results also showed that potassium and sodium were not significantly impacted by the different treatments throughout the experimentation period. This observation could be explained by the fact that, in its inorganic form, the potassium provided by the compost is easily leached or rapidly assimilated by the plant. Finally, it was observed, particularly in the second year of experimentation, that the unamended plots recorded a better mineral content. This could be explained by the fact that the compost applied to the amended plots was partially washed down to the adjacent, unamended plots, favouring the accumulation of minerals in the latter. Runoff could thus have contributed to a redistribution of nutrients, indirectly influencing the results obtained under the various experimental conditions.</w:t>
      </w:r>
    </w:p>
    <w:p w14:paraId="445659DE" w14:textId="77777777" w:rsidR="004E2D0B" w:rsidRPr="001F31F1" w:rsidRDefault="004E2D0B" w:rsidP="004E2D0B">
      <w:pPr>
        <w:pStyle w:val="Body"/>
        <w:rPr>
          <w:rFonts w:ascii="Arial" w:hAnsi="Arial" w:cs="Arial"/>
        </w:rPr>
      </w:pPr>
    </w:p>
    <w:p w14:paraId="3C331886" w14:textId="3F8FC3C8" w:rsidR="004E2D0B" w:rsidRPr="001F31F1" w:rsidRDefault="004E2D0B" w:rsidP="004E2D0B">
      <w:pPr>
        <w:pStyle w:val="Body"/>
        <w:rPr>
          <w:rFonts w:ascii="Arial" w:hAnsi="Arial" w:cs="Arial"/>
        </w:rPr>
      </w:pPr>
      <w:r w:rsidRPr="001F31F1">
        <w:rPr>
          <w:rFonts w:ascii="Arial" w:hAnsi="Arial" w:cs="Arial"/>
        </w:rPr>
        <w:lastRenderedPageBreak/>
        <w:t xml:space="preserve">With regard to soil biological activity, the analyses revealed that it had been inhibited during the first year of the experiment. </w:t>
      </w:r>
      <w:r w:rsidR="00624E58" w:rsidRPr="001F31F1">
        <w:rPr>
          <w:rFonts w:ascii="Arial" w:hAnsi="Arial" w:cs="Arial"/>
        </w:rPr>
        <w:t>There</w:t>
      </w:r>
      <w:r w:rsidRPr="001F31F1">
        <w:rPr>
          <w:rFonts w:ascii="Arial" w:hAnsi="Arial" w:cs="Arial"/>
        </w:rPr>
        <w:t xml:space="preserve"> was a decrease in overall respiration of nearly 57% compared to the control. This situation could be explained by the fact that the beneficial impact of compost on biological activity is generally noticeable in the medium to long term (6 months to several years), when stabilized organic matter becomes a source of energy and nutrients that can be easily used by soil microorganisms [2</w:t>
      </w:r>
      <w:r w:rsidR="00BB1757">
        <w:rPr>
          <w:rFonts w:ascii="Arial" w:hAnsi="Arial" w:cs="Arial"/>
        </w:rPr>
        <w:t>5</w:t>
      </w:r>
      <w:r w:rsidRPr="001F31F1">
        <w:rPr>
          <w:rFonts w:ascii="Arial" w:hAnsi="Arial" w:cs="Arial"/>
        </w:rPr>
        <w:t>]. Furthermore, when compost is incorporated, soil microorganisms use the available carbon, but when nitrogen is not immediately accessible, their respiration temporarily decreases [2</w:t>
      </w:r>
      <w:r w:rsidR="00BB1757">
        <w:rPr>
          <w:rFonts w:ascii="Arial" w:hAnsi="Arial" w:cs="Arial"/>
        </w:rPr>
        <w:t>6</w:t>
      </w:r>
      <w:r w:rsidRPr="001F31F1">
        <w:rPr>
          <w:rFonts w:ascii="Arial" w:hAnsi="Arial" w:cs="Arial"/>
        </w:rPr>
        <w:t>]. However, during the second year of the experiment, there was a 157% increase in soil respiration compared to the control. This increase can be attributed in part to climatic conditions, which were wetter and cooler than in the first year (see Figure 1) [2</w:t>
      </w:r>
      <w:r w:rsidR="00BB1757">
        <w:rPr>
          <w:rFonts w:ascii="Arial" w:hAnsi="Arial" w:cs="Arial"/>
        </w:rPr>
        <w:t>7</w:t>
      </w:r>
      <w:r w:rsidRPr="001F31F1">
        <w:rPr>
          <w:rFonts w:ascii="Arial" w:hAnsi="Arial" w:cs="Arial"/>
        </w:rPr>
        <w:t>]. On the other hand, this increase could be due to the growth of microbial communities, thanks to the improved availability of substrates over time, induced by the addition of compost [2</w:t>
      </w:r>
      <w:r w:rsidR="00BB1757">
        <w:rPr>
          <w:rFonts w:ascii="Arial" w:hAnsi="Arial" w:cs="Arial"/>
        </w:rPr>
        <w:t>8</w:t>
      </w:r>
      <w:r w:rsidRPr="001F31F1">
        <w:rPr>
          <w:rFonts w:ascii="Arial" w:hAnsi="Arial" w:cs="Arial"/>
        </w:rPr>
        <w:t xml:space="preserve">]. It was also observed that, during the second year of the experiment, the unamended plots had higher biological activity than the amended plots. These results contrast with the majority of studies, which have shown improved soil biological activity following the addition of compost. The results of this study could be explained by </w:t>
      </w:r>
      <w:r w:rsidR="00624E58" w:rsidRPr="001F31F1">
        <w:rPr>
          <w:rFonts w:ascii="Arial" w:hAnsi="Arial" w:cs="Arial"/>
        </w:rPr>
        <w:t xml:space="preserve">the </w:t>
      </w:r>
      <w:r w:rsidRPr="001F31F1">
        <w:rPr>
          <w:rFonts w:ascii="Arial" w:hAnsi="Arial" w:cs="Arial"/>
        </w:rPr>
        <w:t>incomplete mineralization of the compost. Compost provides stabilized organic matter, which is more difficult to decompose than fresh organic matter. [2</w:t>
      </w:r>
      <w:r w:rsidR="00BB1757">
        <w:rPr>
          <w:rFonts w:ascii="Arial" w:hAnsi="Arial" w:cs="Arial"/>
        </w:rPr>
        <w:t>9</w:t>
      </w:r>
      <w:r w:rsidRPr="001F31F1">
        <w:rPr>
          <w:rFonts w:ascii="Arial" w:hAnsi="Arial" w:cs="Arial"/>
        </w:rPr>
        <w:t>] concluded in his study that the low respiration of amended soils was due to the recalcitrant carbon contained in compost, which is more difficult for microorganisms to degrade than fresh organic matter. Furthermore, the work of [</w:t>
      </w:r>
      <w:r w:rsidR="00BB1757">
        <w:rPr>
          <w:rFonts w:ascii="Arial" w:hAnsi="Arial" w:cs="Arial"/>
        </w:rPr>
        <w:t>30</w:t>
      </w:r>
      <w:r w:rsidRPr="001F31F1">
        <w:rPr>
          <w:rFonts w:ascii="Arial" w:hAnsi="Arial" w:cs="Arial"/>
        </w:rPr>
        <w:t>] has shown that fresh organic matter rapidly stimulates microbial respiration because it contains labile compounds (sugars, proteins). However, stabilized organic matter from compost can slow down this process. [</w:t>
      </w:r>
      <w:r w:rsidR="00BB1757">
        <w:rPr>
          <w:rFonts w:ascii="Arial" w:hAnsi="Arial" w:cs="Arial"/>
        </w:rPr>
        <w:t>31</w:t>
      </w:r>
      <w:r w:rsidRPr="001F31F1">
        <w:rPr>
          <w:rFonts w:ascii="Arial" w:hAnsi="Arial" w:cs="Arial"/>
        </w:rPr>
        <w:t>] showed that stabilized composts release their nutrients slowly, resulting in lower enzymatic activity and microbial respiration than those observed with fresh organic matter. Thus, in the present study, the organic matter in unamended soils could be less stable and therefore more easily degradable, inducing higher respiration, unlike compost, which contains recalcitrant carbon that is difficult for microorganisms to degrade. The results also showed that, overall, reducing water requirements by 50% led to better soil respiration compared to other irrigation doses. Several authors have shown that, in general, soil respiration increases with moisture; however, oxygen becomes limited when soil pores are completely saturated with water, which hinders the ability of soil organisms to breathe. According to [</w:t>
      </w:r>
      <w:r w:rsidR="00BB1757">
        <w:rPr>
          <w:rFonts w:ascii="Arial" w:hAnsi="Arial" w:cs="Arial"/>
        </w:rPr>
        <w:t>31</w:t>
      </w:r>
      <w:r w:rsidRPr="001F31F1">
        <w:rPr>
          <w:rFonts w:ascii="Arial" w:hAnsi="Arial" w:cs="Arial"/>
        </w:rPr>
        <w:t>], the optimal moisture content for maximum soil respiration is around 60% of field capacity, i.e., when approximately 60% of the pore space is filled with water. Above this threshold, soil respiration decreases due to insufficient aeration. When more than 80% of the interstitial space is saturated with water, soil respiration decreases to a minimum, and most aerobic microorganisms begin to use nitrate (NO) as a substitute for oxygen. Thus, in the present study, the D100% and D75% irrigation doses, applied as supplemental irrigation, would have induced moisture levels above 60% of field capacity, thereby limiting soil aeration and leading to a reduction in respiration. In contrast, the D50% irrigation dose allowed for better soil aeration, thereby promoting respiration.</w:t>
      </w:r>
    </w:p>
    <w:p w14:paraId="6ED06247" w14:textId="7B21AB2C" w:rsidR="004E2D0B" w:rsidRPr="001F31F1" w:rsidRDefault="004E2D0B" w:rsidP="004E2D0B">
      <w:pPr>
        <w:pStyle w:val="Body"/>
        <w:rPr>
          <w:rFonts w:ascii="Arial" w:hAnsi="Arial" w:cs="Arial"/>
        </w:rPr>
      </w:pPr>
      <w:r w:rsidRPr="001F31F1">
        <w:rPr>
          <w:rFonts w:ascii="Arial" w:hAnsi="Arial" w:cs="Arial"/>
        </w:rPr>
        <w:t>With regard to pesticides, the results show that their presence in the soil was a function of the compost added. This result can be explained by the fact that the addition of organic matter favours the adsorption of pesticides by the soil [</w:t>
      </w:r>
      <w:r w:rsidR="00BB1757">
        <w:rPr>
          <w:rFonts w:ascii="Arial" w:hAnsi="Arial" w:cs="Arial"/>
        </w:rPr>
        <w:t>32</w:t>
      </w:r>
      <w:r w:rsidRPr="001F31F1">
        <w:rPr>
          <w:rFonts w:ascii="Arial" w:hAnsi="Arial" w:cs="Arial"/>
        </w:rPr>
        <w:t>], [3</w:t>
      </w:r>
      <w:r w:rsidR="00BB1757">
        <w:rPr>
          <w:rFonts w:ascii="Arial" w:hAnsi="Arial" w:cs="Arial"/>
        </w:rPr>
        <w:t>3</w:t>
      </w:r>
      <w:r w:rsidRPr="001F31F1">
        <w:rPr>
          <w:rFonts w:ascii="Arial" w:hAnsi="Arial" w:cs="Arial"/>
        </w:rPr>
        <w:t>], [3</w:t>
      </w:r>
      <w:r w:rsidR="00BB1757">
        <w:rPr>
          <w:rFonts w:ascii="Arial" w:hAnsi="Arial" w:cs="Arial"/>
        </w:rPr>
        <w:t>4</w:t>
      </w:r>
      <w:r w:rsidRPr="001F31F1">
        <w:rPr>
          <w:rFonts w:ascii="Arial" w:hAnsi="Arial" w:cs="Arial"/>
        </w:rPr>
        <w:t>]. Humic substances, major components of soil organic matter, play a crucial role in interactions with pesticides. Rich in functional groups such as carboxyls (-COOH) and phenols (-OH), they display significant chemical reactivity. These functional groups facilitate the formation of various bonds with pesticide molecules, including hydrogen bonds, van-der-Walls forces, hydrophobic interactions</w:t>
      </w:r>
      <w:r w:rsidR="00624E58" w:rsidRPr="001F31F1">
        <w:rPr>
          <w:rFonts w:ascii="Arial" w:hAnsi="Arial" w:cs="Arial"/>
        </w:rPr>
        <w:t>,</w:t>
      </w:r>
      <w:r w:rsidRPr="001F31F1">
        <w:rPr>
          <w:rFonts w:ascii="Arial" w:hAnsi="Arial" w:cs="Arial"/>
        </w:rPr>
        <w:t xml:space="preserve"> and electrostatic interactions [3</w:t>
      </w:r>
      <w:r w:rsidR="00BB1757">
        <w:rPr>
          <w:rFonts w:ascii="Arial" w:hAnsi="Arial" w:cs="Arial"/>
        </w:rPr>
        <w:t>5</w:t>
      </w:r>
      <w:r w:rsidRPr="001F31F1">
        <w:rPr>
          <w:rFonts w:ascii="Arial" w:hAnsi="Arial" w:cs="Arial"/>
        </w:rPr>
        <w:t xml:space="preserve">]. Furthermore, the results show that the application of compost at 5 and 10 t/ha would not significantly affect the variability of pesticide concentration in the soil. These results contrast with those of the majority of authors, who indicate that pesticide adsorption to organic matter increases with the amount of compost </w:t>
      </w:r>
      <w:r w:rsidRPr="001F31F1">
        <w:rPr>
          <w:rFonts w:ascii="Arial" w:hAnsi="Arial" w:cs="Arial"/>
        </w:rPr>
        <w:lastRenderedPageBreak/>
        <w:t>applied. [3</w:t>
      </w:r>
      <w:r w:rsidR="00BB1757">
        <w:rPr>
          <w:rFonts w:ascii="Arial" w:hAnsi="Arial" w:cs="Arial"/>
        </w:rPr>
        <w:t>6</w:t>
      </w:r>
      <w:r w:rsidRPr="001F31F1">
        <w:rPr>
          <w:rFonts w:ascii="Arial" w:hAnsi="Arial" w:cs="Arial"/>
        </w:rPr>
        <w:t>] revealed that doubling the organic matter content of a soil by adding compost increased the adsorption coefficient of atrazine from 0.64 to 1.71 L/kg.  This suggests that substantial additions of compost are required to induce significant variability in pesticide adsorption. Compost application would therefore represent a sustainable alternative for limiting groundwater and surface water contamination by pollutants, particularly pesticides.</w:t>
      </w:r>
    </w:p>
    <w:p w14:paraId="711FA476" w14:textId="3179A463" w:rsidR="004E2D0B" w:rsidRPr="001F31F1" w:rsidRDefault="004E2D0B" w:rsidP="004E2D0B">
      <w:pPr>
        <w:pStyle w:val="Body"/>
        <w:rPr>
          <w:rFonts w:ascii="Arial" w:hAnsi="Arial" w:cs="Arial"/>
        </w:rPr>
      </w:pPr>
      <w:r w:rsidRPr="001F31F1">
        <w:rPr>
          <w:rFonts w:ascii="Arial" w:hAnsi="Arial" w:cs="Arial"/>
        </w:rPr>
        <w:t>Overall, the results indicate that from the second year onwards, certain practices, notably composting, lead to significant changes in soil fertilizing elements, underlining the importance of medium- and long-term management to optimize soil fertility. This study also highlights the crucial role of organic matter in soil sustainability. Finally, this work underlines the fact that the evolution of soil properties does not solely depend on agricultural practices, but is also influenced by other factors, such as climatic conditions. Soil temperature and humidity are particularly decisive factors, regulating microbial respiration and, consequently, the decomposition and mineralization of organic matter.</w:t>
      </w:r>
    </w:p>
    <w:p w14:paraId="163F5D57" w14:textId="53D4CD10" w:rsidR="003A08A2" w:rsidRPr="001F31F1" w:rsidRDefault="003A08A2" w:rsidP="00FC47ED">
      <w:pPr>
        <w:pStyle w:val="Body"/>
        <w:jc w:val="left"/>
        <w:rPr>
          <w:rFonts w:ascii="Arial" w:hAnsi="Arial" w:cs="Arial"/>
          <w:b/>
          <w:bCs/>
          <w:sz w:val="22"/>
          <w:szCs w:val="22"/>
        </w:rPr>
      </w:pPr>
      <w:r w:rsidRPr="001F31F1">
        <w:rPr>
          <w:rFonts w:ascii="Arial" w:hAnsi="Arial" w:cs="Arial"/>
          <w:b/>
          <w:bCs/>
          <w:sz w:val="22"/>
          <w:szCs w:val="22"/>
        </w:rPr>
        <w:t xml:space="preserve">4. Conclusion </w:t>
      </w:r>
    </w:p>
    <w:p w14:paraId="6E8DCEAF" w14:textId="6BD038CD" w:rsidR="00BB1757" w:rsidRDefault="004E2D0B" w:rsidP="004E2D0B">
      <w:pPr>
        <w:pStyle w:val="Body"/>
        <w:rPr>
          <w:rFonts w:ascii="Arial" w:hAnsi="Arial" w:cs="Arial"/>
        </w:rPr>
      </w:pPr>
      <w:r w:rsidRPr="001F31F1">
        <w:rPr>
          <w:rFonts w:ascii="Arial" w:hAnsi="Arial" w:cs="Arial"/>
        </w:rPr>
        <w:t>This study assessed the impact of compost application, combined with a reduction in irrigation rates, on soil fertility and pollution in a supplemental irrigation context. Results showed that the application of compost at doses of 5 and 10 t/ha led to a significant improvement in soil fertility after two years of experimentation. This improvement was reflected in a notable increase in several key chemical parameters, including exchangeable bases, nitrogen (N), phosphorus (P), potassium (K)</w:t>
      </w:r>
      <w:r w:rsidR="00624E58" w:rsidRPr="001F31F1">
        <w:rPr>
          <w:rFonts w:ascii="Arial" w:hAnsi="Arial" w:cs="Arial"/>
        </w:rPr>
        <w:t>,</w:t>
      </w:r>
      <w:r w:rsidRPr="001F31F1">
        <w:rPr>
          <w:rFonts w:ascii="Arial" w:hAnsi="Arial" w:cs="Arial"/>
        </w:rPr>
        <w:t xml:space="preserve"> and cation exchange capacity (CEC), highlighting compost's role in enriching the soil with essential nutrients. Furthermore, it was observed that this increase in soil fertility was particularly marked in the treatment receiving irrigation reduced to 25% of water requirements (D75%), resulting in higher yields in the plots amended under this irrigation rate. In addition, the results revealed that composting promotes the trapping of pesticides in the soil, limiting their leaching and potentially reducing groundwater pollution. Finally, the study also showed that, despite changes in soil fertility and contamination levels, the various agricultural practices tested had no significant effect on microbial respiration. These results suggest that the combination of composting and optimized irrigation management could be a promising approach to improving crop productivity while reducing water consumption. They also underline the essential role of organic matter in mitigating the environmental risks associated with pesticide use. Thus, a reasoned integration of compost and adapted irrigation management can sustainably improve soil fertility while limiting pollution risks, constituting a relevant agroecological strategy for a more sustainable and resilient agriculture.</w:t>
      </w:r>
      <w:r w:rsidR="00BB1757">
        <w:rPr>
          <w:rFonts w:ascii="Arial" w:hAnsi="Arial" w:cs="Arial"/>
        </w:rPr>
        <w:br w:type="page"/>
      </w:r>
    </w:p>
    <w:p w14:paraId="57A25F8E" w14:textId="7DA7698E" w:rsidR="00B51374" w:rsidRDefault="00127AC5" w:rsidP="003A08A2">
      <w:pPr>
        <w:pStyle w:val="Body"/>
        <w:rPr>
          <w:rFonts w:ascii="Arial" w:hAnsi="Arial" w:cs="Arial"/>
          <w:lang w:val="fr-FR"/>
        </w:rPr>
      </w:pPr>
      <w:r>
        <w:rPr>
          <w:rFonts w:ascii="Arial" w:hAnsi="Arial" w:cs="Arial"/>
          <w:lang w:val="fr-FR"/>
        </w:rPr>
        <w:lastRenderedPageBreak/>
        <w:t xml:space="preserve">References </w:t>
      </w:r>
      <w:r w:rsidR="00B51374" w:rsidRPr="00B51374">
        <w:rPr>
          <w:rFonts w:ascii="Arial" w:hAnsi="Arial" w:cs="Arial"/>
          <w:lang w:val="fr-FR"/>
        </w:rPr>
        <w:t xml:space="preserve"> </w:t>
      </w:r>
    </w:p>
    <w:p w14:paraId="57C9B7B3" w14:textId="77777777" w:rsidR="00037753" w:rsidRPr="00037753" w:rsidRDefault="003A08A2" w:rsidP="00037753">
      <w:pPr>
        <w:pStyle w:val="Body"/>
        <w:rPr>
          <w:rFonts w:ascii="Arial" w:hAnsi="Arial" w:cs="Arial"/>
          <w:lang w:val="fr-FR"/>
        </w:rPr>
      </w:pPr>
      <w:r w:rsidRPr="003A08A2">
        <w:rPr>
          <w:rFonts w:ascii="Arial" w:hAnsi="Arial" w:cs="Arial"/>
          <w:lang w:val="fr-FR"/>
        </w:rPr>
        <w:t>[1]</w:t>
      </w:r>
      <w:r w:rsidRPr="003A08A2">
        <w:rPr>
          <w:rFonts w:ascii="Arial" w:hAnsi="Arial" w:cs="Arial"/>
          <w:lang w:val="fr-FR"/>
        </w:rPr>
        <w:tab/>
      </w:r>
      <w:r w:rsidR="00037753" w:rsidRPr="00037753">
        <w:rPr>
          <w:rFonts w:ascii="Arial" w:hAnsi="Arial" w:cs="Arial"/>
          <w:lang w:val="fr-FR"/>
        </w:rPr>
        <w:t>Fossi, S., Ouedraogo, D., Zongo, B., Traore, M.Y., &amp; Da Silveira, S.K. (2013). Acceptance and Extension of Supplemental Irrigation in Bam Province, Burkina Faso. Journal of Water and Environment, 21 &amp; 22 (Special Conference CIREDD’2013): 29-36.</w:t>
      </w:r>
    </w:p>
    <w:p w14:paraId="70992132" w14:textId="77777777" w:rsidR="00037753" w:rsidRPr="00037753" w:rsidRDefault="00037753" w:rsidP="00037753">
      <w:pPr>
        <w:pStyle w:val="Body"/>
        <w:rPr>
          <w:rFonts w:ascii="Arial" w:hAnsi="Arial" w:cs="Arial"/>
          <w:lang w:val="fr-FR"/>
        </w:rPr>
      </w:pPr>
      <w:r w:rsidRPr="00037753">
        <w:rPr>
          <w:rFonts w:ascii="Arial" w:hAnsi="Arial" w:cs="Arial"/>
          <w:lang w:val="fr-FR"/>
        </w:rPr>
        <w:t>[2] Benoît, S., Sanoussi, A., Mohamed, L., Seyni, S., Timothée, O., Sébastien, S et al. (2015). Adapting to Climate Variability and Change in Smallholder Farming Communities: A Case Study from Burkina Faso, Chad and Niger (CVCADAPT). Journal of Agricultural Extension and Rural Development, 7(1) 16-27 doi: 10.5897/JAERD2014.0595. [3] Kabore, P. N., Barbier, B., Ouoba, P., Kiema, A., Some, L. &amp; Ouedraogo, A. (2019). Perceptions of climate change, environmental impacts and endogenous adaptation strategies by producers in north-central Burkina Faso. VertigO, 19(1)</w:t>
      </w:r>
    </w:p>
    <w:p w14:paraId="3D9B6CD5" w14:textId="77777777" w:rsidR="00037753" w:rsidRPr="00037753" w:rsidRDefault="00037753" w:rsidP="00037753">
      <w:pPr>
        <w:pStyle w:val="Body"/>
        <w:rPr>
          <w:rFonts w:ascii="Arial" w:hAnsi="Arial" w:cs="Arial"/>
          <w:lang w:val="fr-FR"/>
        </w:rPr>
      </w:pPr>
      <w:r w:rsidRPr="00037753">
        <w:rPr>
          <w:rFonts w:ascii="Arial" w:hAnsi="Arial" w:cs="Arial"/>
          <w:lang w:val="fr-FR"/>
        </w:rPr>
        <w:t>[4] De Longueville, F., Gemenne, F., &amp; Ozer, P. (2015). Perception of precipitation changes and migration in Burkina Faso. In M. Erpicum, Proceedings of the 28th International Conference of the International Association of Climatology (pp. 457-462). Liège, Belgium: ULg - University of Liège.</w:t>
      </w:r>
    </w:p>
    <w:p w14:paraId="0EAAEFFD" w14:textId="77777777" w:rsidR="00037753" w:rsidRPr="00037753" w:rsidRDefault="00037753" w:rsidP="00037753">
      <w:pPr>
        <w:pStyle w:val="Body"/>
        <w:rPr>
          <w:rFonts w:ascii="Arial" w:hAnsi="Arial" w:cs="Arial"/>
          <w:lang w:val="fr-FR"/>
        </w:rPr>
      </w:pPr>
      <w:r w:rsidRPr="00037753">
        <w:rPr>
          <w:rFonts w:ascii="Arial" w:hAnsi="Arial" w:cs="Arial"/>
          <w:lang w:val="fr-FR"/>
        </w:rPr>
        <w:t>[5] Tschakert, P. (2007). Views from the vulnerable: Understanding climatic and other stressors in the Sahel. Global Environmental Change, 17, 381-396. https://doi.org/10.1016/j.gloenvcha.2006.11.008</w:t>
      </w:r>
    </w:p>
    <w:p w14:paraId="4EC570C3" w14:textId="77777777" w:rsidR="00037753" w:rsidRPr="00037753" w:rsidRDefault="00037753" w:rsidP="00037753">
      <w:pPr>
        <w:pStyle w:val="Body"/>
        <w:rPr>
          <w:rFonts w:ascii="Arial" w:hAnsi="Arial" w:cs="Arial"/>
          <w:lang w:val="fr-FR"/>
        </w:rPr>
      </w:pPr>
      <w:r w:rsidRPr="00037753">
        <w:rPr>
          <w:rFonts w:ascii="Arial" w:hAnsi="Arial" w:cs="Arial"/>
          <w:lang w:val="fr-FR"/>
        </w:rPr>
        <w:t>[6] François, JP., Norbert, S., Nabsanna, P. Z. &amp; Michel, S. (2009). Status of soil organic matter in the North Sudanian zone in Burkina Faso. Biotechnology. Agron. Soc. Approximately. 13 (1), 139-142</w:t>
      </w:r>
    </w:p>
    <w:p w14:paraId="0783B6FE" w14:textId="77777777" w:rsidR="00037753" w:rsidRPr="00037753" w:rsidRDefault="00037753" w:rsidP="00037753">
      <w:pPr>
        <w:pStyle w:val="Body"/>
        <w:rPr>
          <w:rFonts w:ascii="Arial" w:hAnsi="Arial" w:cs="Arial"/>
          <w:lang w:val="fr-FR"/>
        </w:rPr>
      </w:pPr>
      <w:r w:rsidRPr="00037753">
        <w:rPr>
          <w:rFonts w:ascii="Arial" w:hAnsi="Arial" w:cs="Arial"/>
          <w:lang w:val="fr-FR"/>
        </w:rPr>
        <w:t>[7] Ouedraogo, P., Savadogo, P., Ouattara, A., Savadogo, A. &amp; Traore, A. (2010). Study of the Bio-remediation of Soils contaminated by Hydrocarbons in Burkina Faso. Journal of the West African Society of Chemistry. 30, 19-28.</w:t>
      </w:r>
    </w:p>
    <w:p w14:paraId="630FF30E" w14:textId="77777777" w:rsidR="00037753" w:rsidRPr="00037753" w:rsidRDefault="00037753" w:rsidP="00037753">
      <w:pPr>
        <w:pStyle w:val="Body"/>
        <w:rPr>
          <w:rFonts w:ascii="Arial" w:hAnsi="Arial" w:cs="Arial"/>
          <w:lang w:val="fr-FR"/>
        </w:rPr>
      </w:pPr>
      <w:r w:rsidRPr="00037753">
        <w:rPr>
          <w:rFonts w:ascii="Arial" w:hAnsi="Arial" w:cs="Arial"/>
          <w:lang w:val="fr-FR"/>
        </w:rPr>
        <w:t>[8] Zougmoré, R., Ouattara, K., Mando, A &amp; Ouattara, Badiori. (2004). Role of nutrients in the success of water and soil conservation techniques (stone bunds, grass strips, ai and half-moons) in Burkina Faso. Planetary Science – Drought, 15.</w:t>
      </w:r>
    </w:p>
    <w:p w14:paraId="75EC568B" w14:textId="77777777" w:rsidR="00037753" w:rsidRPr="00037753" w:rsidRDefault="00037753" w:rsidP="00037753">
      <w:pPr>
        <w:pStyle w:val="Body"/>
        <w:rPr>
          <w:rFonts w:ascii="Arial" w:hAnsi="Arial" w:cs="Arial"/>
          <w:lang w:val="fr-FR"/>
        </w:rPr>
      </w:pPr>
      <w:r w:rsidRPr="00037753">
        <w:rPr>
          <w:rFonts w:ascii="Arial" w:hAnsi="Arial" w:cs="Arial"/>
          <w:lang w:val="fr-FR"/>
        </w:rPr>
        <w:t>[9] Ouedraogo, M., Dembélé, Y &amp; Leopold, S. (2010). Perception and adaptation strategies to changes in precipitation: the case of farmers in Burkina Faso. Planetary Science / Drought, 21. 87-96. 10.12895/jaeid.20121.43.</w:t>
      </w:r>
    </w:p>
    <w:p w14:paraId="06C1195F" w14:textId="77777777" w:rsidR="00037753" w:rsidRPr="00037753" w:rsidRDefault="00037753" w:rsidP="00037753">
      <w:pPr>
        <w:pStyle w:val="Body"/>
        <w:rPr>
          <w:rFonts w:ascii="Arial" w:hAnsi="Arial" w:cs="Arial"/>
          <w:lang w:val="fr-FR"/>
        </w:rPr>
      </w:pPr>
      <w:r w:rsidRPr="00037753">
        <w:rPr>
          <w:rFonts w:ascii="Arial" w:hAnsi="Arial" w:cs="Arial"/>
          <w:lang w:val="fr-FR"/>
        </w:rPr>
        <w:t>[10] Nana, P. D. N ., Andrieu., I. Zerbo., Y. Ouádraogo &amp; Le Gal P. Y. (2015). Conservation agriculture and farm performance in West Africa. Cahiers Agricultures, 24(2), 113–122, doi: 10.1684/agr.2015.0743.</w:t>
      </w:r>
    </w:p>
    <w:p w14:paraId="38F70331" w14:textId="77777777" w:rsidR="00037753" w:rsidRPr="00037753" w:rsidRDefault="00037753" w:rsidP="00037753">
      <w:pPr>
        <w:pStyle w:val="Body"/>
        <w:rPr>
          <w:rFonts w:ascii="Arial" w:hAnsi="Arial" w:cs="Arial"/>
          <w:lang w:val="fr-FR"/>
        </w:rPr>
      </w:pPr>
      <w:r w:rsidRPr="00037753">
        <w:rPr>
          <w:rFonts w:ascii="Arial" w:hAnsi="Arial" w:cs="Arial"/>
          <w:lang w:val="fr-FR"/>
        </w:rPr>
        <w:t>[11] Deme, E. H. Y. &amp; Yerbanga, A. (2022). Determinants of the adoption of water and soil conservation techniques by producers in the Center and Central Plateau regions of Burkina Faso. Int J Biol Chem Sci, 16(5), 2253–2264, doi: 10.4314/ijbcs.v16i5.34.</w:t>
      </w:r>
    </w:p>
    <w:p w14:paraId="774232AF" w14:textId="77777777" w:rsidR="00037753" w:rsidRPr="00037753" w:rsidRDefault="00037753" w:rsidP="00037753">
      <w:pPr>
        <w:pStyle w:val="Body"/>
        <w:rPr>
          <w:rFonts w:ascii="Arial" w:hAnsi="Arial" w:cs="Arial"/>
          <w:lang w:val="fr-FR"/>
        </w:rPr>
      </w:pPr>
      <w:r w:rsidRPr="00037753">
        <w:rPr>
          <w:rFonts w:ascii="Arial" w:hAnsi="Arial" w:cs="Arial"/>
          <w:lang w:val="fr-FR"/>
        </w:rPr>
        <w:t>[12] Coulibaly, K., Baggnian, I., Zakou, A &amp; Nacro, H, B. (2022). Peasant Perception of Water and Soil Conservation and Soil Protection and Restoration Techniques (CES/DRS) in West Africa: The Case of Burkina Faso and Niger. European Scientific Journal, 18 (27), 121, doi: 10.19044/esj.2022.v18n27p121.</w:t>
      </w:r>
    </w:p>
    <w:p w14:paraId="419F5325" w14:textId="77777777" w:rsidR="00037753" w:rsidRPr="00037753" w:rsidRDefault="00037753" w:rsidP="00037753">
      <w:pPr>
        <w:pStyle w:val="Body"/>
        <w:rPr>
          <w:rFonts w:ascii="Arial" w:hAnsi="Arial" w:cs="Arial"/>
          <w:lang w:val="fr-FR"/>
        </w:rPr>
      </w:pPr>
      <w:r w:rsidRPr="00037753">
        <w:rPr>
          <w:rFonts w:ascii="Arial" w:hAnsi="Arial" w:cs="Arial"/>
          <w:lang w:val="fr-FR"/>
        </w:rPr>
        <w:lastRenderedPageBreak/>
        <w:t>[13] Kima, A.S., Gyamfi, C., Kima, E., Ouédraogo, C., Traore, O., Wang; Y et al. (2024). Evaluating Dripper-Plants Spacing for Improving Tomato Yield and Water Productivity under the Drip-Irrigation System in the Sudanian Climate in Burkina Faso. Journal of Irrigation and Drainage Engineering. 150. doi:10.1061/JIDEDH.IRENG-10172.</w:t>
      </w:r>
    </w:p>
    <w:p w14:paraId="184577C1" w14:textId="77777777" w:rsidR="00037753" w:rsidRPr="00037753" w:rsidRDefault="00037753" w:rsidP="00037753">
      <w:pPr>
        <w:pStyle w:val="Body"/>
        <w:rPr>
          <w:rFonts w:ascii="Arial" w:hAnsi="Arial" w:cs="Arial"/>
          <w:lang w:val="fr-FR"/>
        </w:rPr>
      </w:pPr>
      <w:r w:rsidRPr="00037753">
        <w:rPr>
          <w:rFonts w:ascii="Arial" w:hAnsi="Arial" w:cs="Arial"/>
          <w:lang w:val="fr-FR"/>
        </w:rPr>
        <w:t>[14] Kima, A.S., Kima E., Bacyé B., Ouédraogo, P., Traore O., Traore S. et al. (2020) Evaluating Supplementary Water Methodology with Saturated Soil Irrigation for Yield and Water Productivity Improvement in Semi-Arid Rainfed Rice System, Burkina Faso. Sustainability.; 12(12):4819. https://doi.org/10.3390/su12124819</w:t>
      </w:r>
    </w:p>
    <w:p w14:paraId="3C0FDB44" w14:textId="77777777" w:rsidR="00037753" w:rsidRPr="00037753" w:rsidRDefault="00037753" w:rsidP="00037753">
      <w:pPr>
        <w:pStyle w:val="Body"/>
        <w:rPr>
          <w:rFonts w:ascii="Arial" w:hAnsi="Arial" w:cs="Arial"/>
          <w:lang w:val="fr-FR"/>
        </w:rPr>
      </w:pPr>
      <w:r w:rsidRPr="00037753">
        <w:rPr>
          <w:rFonts w:ascii="Arial" w:hAnsi="Arial" w:cs="Arial"/>
          <w:lang w:val="fr-FR"/>
        </w:rPr>
        <w:t>[15] Yanogo, W.A.P., Kima, A.S., Ouoba, S., Sandwidi, B.B, &amp; Kima, E. (2025). Evaluating Supplementary Irrigation Water Depths for Improving Land and Water Productivity under Grown Tomato in a Semi-Arid Climate, Burkina Faso. (2025). International Journal of Scientific Research and Management (IJSRM), 13(03), 249-261. https://doi.org/10.18535/ijsrm/v13i03.fe01</w:t>
      </w:r>
    </w:p>
    <w:p w14:paraId="475B835D" w14:textId="77777777" w:rsidR="00037753" w:rsidRPr="00037753" w:rsidRDefault="00037753" w:rsidP="00037753">
      <w:pPr>
        <w:pStyle w:val="Body"/>
        <w:rPr>
          <w:rFonts w:ascii="Arial" w:hAnsi="Arial" w:cs="Arial"/>
          <w:lang w:val="fr-FR"/>
        </w:rPr>
      </w:pPr>
      <w:r w:rsidRPr="00037753">
        <w:rPr>
          <w:rFonts w:ascii="Arial" w:hAnsi="Arial" w:cs="Arial"/>
          <w:lang w:val="fr-FR"/>
        </w:rPr>
        <w:t>[16] Agoumé, V. &amp; Birang, A. M. (2009). Impact of Land-use Systems on Some Physical and Chemical Soil Properties of an Oxisol in the Humid Forest Zone of Southern Cameroon. Tropicultura, 27 (1), 15-20</w:t>
      </w:r>
    </w:p>
    <w:p w14:paraId="1CCB6173" w14:textId="77777777" w:rsidR="00037753" w:rsidRPr="00037753" w:rsidRDefault="00037753" w:rsidP="00037753">
      <w:pPr>
        <w:pStyle w:val="Body"/>
        <w:rPr>
          <w:rFonts w:ascii="Arial" w:hAnsi="Arial" w:cs="Arial"/>
          <w:lang w:val="fr-FR"/>
        </w:rPr>
      </w:pPr>
      <w:r w:rsidRPr="00037753">
        <w:rPr>
          <w:rFonts w:ascii="Arial" w:hAnsi="Arial" w:cs="Arial"/>
          <w:lang w:val="fr-FR"/>
        </w:rPr>
        <w:t>[17] Koulibaly, B., Dakuo, D., Ouattara, A., Traoré, O., Lompo, F., Zombré, N. &amp; Yao-Kouamé, A. (2015). Effects of the Combination of Compost and Mineral Fertilizer on the Productivity of a Cotton and Maize Cropping System in Burkina Faso. TROPICULTURA, 33(2) 125-134</w:t>
      </w:r>
    </w:p>
    <w:p w14:paraId="41664A60" w14:textId="77777777" w:rsidR="00037753" w:rsidRPr="00037753" w:rsidRDefault="00037753" w:rsidP="00037753">
      <w:pPr>
        <w:pStyle w:val="Body"/>
        <w:rPr>
          <w:rFonts w:ascii="Arial" w:hAnsi="Arial" w:cs="Arial"/>
          <w:lang w:val="fr-FR"/>
        </w:rPr>
      </w:pPr>
      <w:r w:rsidRPr="00037753">
        <w:rPr>
          <w:rFonts w:ascii="Arial" w:hAnsi="Arial" w:cs="Arial"/>
          <w:lang w:val="fr-FR"/>
        </w:rPr>
        <w:t>[18] Feller, C. (1995). Soil organic matter and the search for indicators of cropping system sustainability in the semi-arid and sub-humid tropics of West Africa. Sustainable land management in African semi-arid and sub-humid regions, 15-19.</w:t>
      </w:r>
    </w:p>
    <w:p w14:paraId="7496058F" w14:textId="4D47670A" w:rsidR="00037753" w:rsidRPr="00037753" w:rsidRDefault="00037753" w:rsidP="00037753">
      <w:pPr>
        <w:pStyle w:val="Body"/>
        <w:rPr>
          <w:rFonts w:ascii="Arial" w:hAnsi="Arial" w:cs="Arial"/>
          <w:lang w:val="fr-FR"/>
        </w:rPr>
      </w:pPr>
      <w:r w:rsidRPr="00037753">
        <w:rPr>
          <w:rFonts w:ascii="Arial" w:hAnsi="Arial" w:cs="Arial"/>
          <w:lang w:val="fr-FR"/>
        </w:rPr>
        <w:t>[19] Paulin, R. and O’Malley, P.J. (2008) Compost Production and Use in Horticulture. Bulletin/Western Australia, Department</w:t>
      </w:r>
      <w:r w:rsidRPr="00037753">
        <w:t xml:space="preserve"> </w:t>
      </w:r>
      <w:r w:rsidRPr="00037753">
        <w:rPr>
          <w:rFonts w:ascii="Arial" w:hAnsi="Arial" w:cs="Arial"/>
          <w:lang w:val="fr-FR"/>
        </w:rPr>
        <w:t>Department of Agriculture and Food, South Perth. http://archive.agric.wa.gov.au/objtwr/imported_assets/content/hort/compost_bulletin08.pdf.</w:t>
      </w:r>
    </w:p>
    <w:p w14:paraId="3A60229B" w14:textId="77777777" w:rsidR="00037753" w:rsidRPr="00037753" w:rsidRDefault="00037753" w:rsidP="00037753">
      <w:pPr>
        <w:pStyle w:val="Body"/>
        <w:rPr>
          <w:rFonts w:ascii="Arial" w:hAnsi="Arial" w:cs="Arial"/>
          <w:lang w:val="fr-FR"/>
        </w:rPr>
      </w:pPr>
      <w:r w:rsidRPr="00037753">
        <w:rPr>
          <w:rFonts w:ascii="Arial" w:hAnsi="Arial" w:cs="Arial"/>
          <w:lang w:val="fr-FR"/>
        </w:rPr>
        <w:t>[20] Outéndé, T. (2016). Evaluation of the chemical and agronomic characteristics of five waste composts and study of their effects on soil chemical properties, physiology, and yield of maize (Zea mays L. Var. Ikenne) and tomato (Lycop ersicum esculentum L. Var. Tropimech) under two water regimes in Togo. Thesis.</w:t>
      </w:r>
    </w:p>
    <w:p w14:paraId="151C5E44" w14:textId="77777777" w:rsidR="00037753" w:rsidRPr="00037753" w:rsidRDefault="00037753" w:rsidP="00037753">
      <w:pPr>
        <w:pStyle w:val="Body"/>
        <w:rPr>
          <w:rFonts w:ascii="Arial" w:hAnsi="Arial" w:cs="Arial"/>
          <w:lang w:val="fr-FR"/>
        </w:rPr>
      </w:pPr>
      <w:r w:rsidRPr="00037753">
        <w:rPr>
          <w:rFonts w:ascii="Arial" w:hAnsi="Arial" w:cs="Arial"/>
          <w:lang w:val="fr-FR"/>
        </w:rPr>
        <w:t>[21] Cahyono, P. (2020). Effects of compost on soil properties and yield of pineapple (ananas comusus l. merr.) on red acid soil, Lampung, Indonesia. International journal of geomate, 19 doi: 10.21660/2020.76.87174.</w:t>
      </w:r>
    </w:p>
    <w:p w14:paraId="7C5914E4" w14:textId="77777777" w:rsidR="00037753" w:rsidRPr="00037753" w:rsidRDefault="00037753" w:rsidP="00037753">
      <w:pPr>
        <w:pStyle w:val="Body"/>
        <w:rPr>
          <w:rFonts w:ascii="Arial" w:hAnsi="Arial" w:cs="Arial"/>
          <w:lang w:val="fr-FR"/>
        </w:rPr>
      </w:pPr>
      <w:r w:rsidRPr="00037753">
        <w:rPr>
          <w:rFonts w:ascii="Arial" w:hAnsi="Arial" w:cs="Arial"/>
          <w:lang w:val="fr-FR"/>
        </w:rPr>
        <w:t>[22] Pulupol, L. U., Hossein Behboudian, M., and Fisher, K. J. (1996). Growth, Yield, and Postharvest Attributes of Glasshouse Tomatoes Produced under Deficit Irrigation.</w:t>
      </w:r>
    </w:p>
    <w:p w14:paraId="008365E5" w14:textId="77777777" w:rsidR="00037753" w:rsidRPr="00037753" w:rsidRDefault="00037753" w:rsidP="00037753">
      <w:pPr>
        <w:pStyle w:val="Body"/>
        <w:rPr>
          <w:rFonts w:ascii="Arial" w:hAnsi="Arial" w:cs="Arial"/>
          <w:lang w:val="fr-FR"/>
        </w:rPr>
      </w:pPr>
    </w:p>
    <w:p w14:paraId="4BE8A76E" w14:textId="77777777" w:rsidR="00037753" w:rsidRPr="00037753" w:rsidRDefault="00037753" w:rsidP="00037753">
      <w:pPr>
        <w:pStyle w:val="Body"/>
        <w:rPr>
          <w:rFonts w:ascii="Arial" w:hAnsi="Arial" w:cs="Arial"/>
          <w:lang w:val="fr-FR"/>
        </w:rPr>
      </w:pPr>
      <w:r w:rsidRPr="00037753">
        <w:rPr>
          <w:rFonts w:ascii="Arial" w:hAnsi="Arial" w:cs="Arial"/>
          <w:lang w:val="fr-FR"/>
        </w:rPr>
        <w:t>[23] Kima, A. S., Chung, W. G., &amp; Wang, Y. M. (2014). Improving irrigated lowland rice water use efficiency under saturated soil culture for adoption in tropical climate conditions. Water (Switzerland), 6 (9,), 2830–2846, 2014, doi: 10.3390/w6092830.</w:t>
      </w:r>
    </w:p>
    <w:p w14:paraId="376C0B5E" w14:textId="77777777" w:rsidR="00037753" w:rsidRPr="00037753" w:rsidRDefault="00037753" w:rsidP="00037753">
      <w:pPr>
        <w:pStyle w:val="Body"/>
        <w:rPr>
          <w:rFonts w:ascii="Arial" w:hAnsi="Arial" w:cs="Arial"/>
          <w:lang w:val="fr-FR"/>
        </w:rPr>
      </w:pPr>
      <w:r w:rsidRPr="00037753">
        <w:rPr>
          <w:rFonts w:ascii="Arial" w:hAnsi="Arial" w:cs="Arial"/>
          <w:lang w:val="fr-FR"/>
        </w:rPr>
        <w:t xml:space="preserve">[24] Yanogo, W.A.P., Kima, A.S., Ouoba, S., Sandwidi, B.B., &amp; Kima E,. (2025). Evaluating Supplementary Irrigation Water Depths for Improving Land and Water Productivity under Grown Tomato in a Semi-Arid Climate, Burkina Faso. (2025). International Journal of Scientific </w:t>
      </w:r>
      <w:r w:rsidRPr="00037753">
        <w:rPr>
          <w:rFonts w:ascii="Arial" w:hAnsi="Arial" w:cs="Arial"/>
          <w:lang w:val="fr-FR"/>
        </w:rPr>
        <w:lastRenderedPageBreak/>
        <w:t>Research and Management (IJSRM), 13(03), 249-261. https://doi.org/10.18535/ijsrm/v13i03.fe01</w:t>
      </w:r>
    </w:p>
    <w:p w14:paraId="46FCE360" w14:textId="77777777" w:rsidR="00037753" w:rsidRPr="00037753" w:rsidRDefault="00037753" w:rsidP="00037753">
      <w:pPr>
        <w:pStyle w:val="Body"/>
        <w:rPr>
          <w:rFonts w:ascii="Arial" w:hAnsi="Arial" w:cs="Arial"/>
          <w:lang w:val="fr-FR"/>
        </w:rPr>
      </w:pPr>
      <w:r w:rsidRPr="00037753">
        <w:rPr>
          <w:rFonts w:ascii="Arial" w:hAnsi="Arial" w:cs="Arial"/>
          <w:lang w:val="fr-FR"/>
        </w:rPr>
        <w:t>[25] Weil, R. &amp; Brady, N. (2017). The Nature and Properties of Soils. 15th edition.</w:t>
      </w:r>
    </w:p>
    <w:p w14:paraId="6EABA5A0" w14:textId="77777777" w:rsidR="00037753" w:rsidRPr="00037753" w:rsidRDefault="00037753" w:rsidP="00037753">
      <w:pPr>
        <w:pStyle w:val="Body"/>
        <w:rPr>
          <w:rFonts w:ascii="Arial" w:hAnsi="Arial" w:cs="Arial"/>
          <w:lang w:val="fr-FR"/>
        </w:rPr>
      </w:pPr>
      <w:r w:rsidRPr="00037753">
        <w:rPr>
          <w:rFonts w:ascii="Arial" w:hAnsi="Arial" w:cs="Arial"/>
          <w:lang w:val="fr-FR"/>
        </w:rPr>
        <w:t>[26] Chalwe, H., Lungu, O., Mweetwa, A., Phiri, E., Njoroge, S., &amp; Brandenburg, R. et al. (2019). Effects of Compost Manure on Soil Microbial Respiration, Plant-Available-Water, Peanut (Arachis hypogaea L.) Yield and Pre-Harvest Aflatoxin Contamination. Peanut Science. 46. ​​42-49. 10.3146/PS18-6.1.</w:t>
      </w:r>
    </w:p>
    <w:p w14:paraId="49FDDD77" w14:textId="77777777" w:rsidR="00037753" w:rsidRPr="00037753" w:rsidRDefault="00037753" w:rsidP="00037753">
      <w:pPr>
        <w:pStyle w:val="Body"/>
        <w:rPr>
          <w:rFonts w:ascii="Arial" w:hAnsi="Arial" w:cs="Arial"/>
          <w:lang w:val="fr-FR"/>
        </w:rPr>
      </w:pPr>
      <w:r w:rsidRPr="00037753">
        <w:rPr>
          <w:rFonts w:ascii="Arial" w:hAnsi="Arial" w:cs="Arial"/>
          <w:lang w:val="fr-FR"/>
        </w:rPr>
        <w:t>[27] Davidson, E &amp; Janssens, I. (2006). Temperature Sensitivity of Soil Carbon Decomposition and Feedbacks to Climate Change. Nature. 440. 165-73. 10.1038/nature04514.</w:t>
      </w:r>
    </w:p>
    <w:p w14:paraId="2B25FF44" w14:textId="77777777" w:rsidR="00037753" w:rsidRPr="00037753" w:rsidRDefault="00037753" w:rsidP="00037753">
      <w:pPr>
        <w:pStyle w:val="Body"/>
        <w:rPr>
          <w:rFonts w:ascii="Arial" w:hAnsi="Arial" w:cs="Arial"/>
          <w:lang w:val="fr-FR"/>
        </w:rPr>
      </w:pPr>
      <w:r w:rsidRPr="00037753">
        <w:rPr>
          <w:rFonts w:ascii="Arial" w:hAnsi="Arial" w:cs="Arial"/>
          <w:lang w:val="fr-FR"/>
        </w:rPr>
        <w:t>[28] Das, S., Jeong, S.T., Das, S. &amp; Kim, Pil. (2017). Composted Cattle Manure Increases Microbial Activity and Soil Fertility More Than Composted Swine Manure in a Submerged Rice Paddy. Frontiers in Microbiology. 08. 1702. 10.3389/fmicb.2017.01702.</w:t>
      </w:r>
    </w:p>
    <w:p w14:paraId="6BBE8FCB" w14:textId="77777777" w:rsidR="00037753" w:rsidRPr="00037753" w:rsidRDefault="00037753" w:rsidP="00037753">
      <w:pPr>
        <w:pStyle w:val="Body"/>
        <w:rPr>
          <w:rFonts w:ascii="Arial" w:hAnsi="Arial" w:cs="Arial"/>
          <w:lang w:val="fr-FR"/>
        </w:rPr>
      </w:pPr>
      <w:r w:rsidRPr="00037753">
        <w:rPr>
          <w:rFonts w:ascii="Arial" w:hAnsi="Arial" w:cs="Arial"/>
          <w:lang w:val="fr-FR"/>
        </w:rPr>
        <w:t>[29] Allison, S. D. (2006). Soil minerals and humic acids alter enzyme stability: implications for ecosystem processes. Biogeochemistry, 81, 361-373.</w:t>
      </w:r>
    </w:p>
    <w:p w14:paraId="089F5284" w14:textId="77777777" w:rsidR="00037753" w:rsidRPr="00037753" w:rsidRDefault="00037753" w:rsidP="00037753">
      <w:pPr>
        <w:pStyle w:val="Body"/>
        <w:rPr>
          <w:rFonts w:ascii="Arial" w:hAnsi="Arial" w:cs="Arial"/>
          <w:lang w:val="fr-FR"/>
        </w:rPr>
      </w:pPr>
      <w:r w:rsidRPr="00037753">
        <w:rPr>
          <w:rFonts w:ascii="Arial" w:hAnsi="Arial" w:cs="Arial"/>
          <w:lang w:val="fr-FR"/>
        </w:rPr>
        <w:t>[30] Six, J., Conant, R. T., Paul, E. A., &amp; Paustian, K. (2002). Stabilization mechanisms of soil organic matter: implications for C-saturation of soils. Plant and soil, 241, 155-176.</w:t>
      </w:r>
    </w:p>
    <w:p w14:paraId="632D377E" w14:textId="77777777" w:rsidR="00037753" w:rsidRPr="00037753" w:rsidRDefault="00037753" w:rsidP="00037753">
      <w:pPr>
        <w:pStyle w:val="Body"/>
        <w:rPr>
          <w:rFonts w:ascii="Arial" w:hAnsi="Arial" w:cs="Arial"/>
          <w:lang w:val="fr-FR"/>
        </w:rPr>
      </w:pPr>
      <w:r w:rsidRPr="00037753">
        <w:rPr>
          <w:rFonts w:ascii="Arial" w:hAnsi="Arial" w:cs="Arial"/>
          <w:lang w:val="fr-FR"/>
        </w:rPr>
        <w:t>[31] Mondini, C., Contin, M., Leita, L., &amp; De Nobili, M. (2002). Response of microbial biomass to air-drying and rewetting in soils and compost. Geoderma, 105(1-2), 111-124.</w:t>
      </w:r>
    </w:p>
    <w:p w14:paraId="58B6B6B0" w14:textId="77777777" w:rsidR="00037753" w:rsidRPr="00037753" w:rsidRDefault="00037753" w:rsidP="00037753">
      <w:pPr>
        <w:pStyle w:val="Body"/>
        <w:rPr>
          <w:rFonts w:ascii="Arial" w:hAnsi="Arial" w:cs="Arial"/>
          <w:lang w:val="fr-FR"/>
        </w:rPr>
      </w:pPr>
      <w:r w:rsidRPr="00037753">
        <w:rPr>
          <w:rFonts w:ascii="Arial" w:hAnsi="Arial" w:cs="Arial"/>
          <w:lang w:val="fr-FR"/>
        </w:rPr>
        <w:t>[32] Bansal, O. (2011). The Effects of composts on adsorption-desorption of three carbamate pesticides in different soils of Aligarh district. Journal of Applied Sciences and Environmental Management. 14. 10.4314/jasem.v14i4.63305.</w:t>
      </w:r>
    </w:p>
    <w:p w14:paraId="748B5693" w14:textId="77777777" w:rsidR="00037753" w:rsidRPr="00037753" w:rsidRDefault="00037753" w:rsidP="00037753">
      <w:pPr>
        <w:pStyle w:val="Body"/>
        <w:rPr>
          <w:rFonts w:ascii="Arial" w:hAnsi="Arial" w:cs="Arial"/>
          <w:lang w:val="fr-FR"/>
        </w:rPr>
      </w:pPr>
      <w:r w:rsidRPr="00037753">
        <w:rPr>
          <w:rFonts w:ascii="Arial" w:hAnsi="Arial" w:cs="Arial"/>
          <w:lang w:val="fr-FR"/>
        </w:rPr>
        <w:t>[33] Nare, R.W.A., Savadogo, P.W., Gajbhiye,V.T., Gupta, S., Singh N., Nacro H.B. et al. (2017). The role of manure on adsorption-desorption of profenofos and acetamiprid in the agricultural soils of Burkina Faso. Int. J.Innov. Trends Eng. Res., 2: 55-63</w:t>
      </w:r>
    </w:p>
    <w:p w14:paraId="20854109" w14:textId="77777777" w:rsidR="00037753" w:rsidRPr="00037753" w:rsidRDefault="00037753" w:rsidP="00037753">
      <w:pPr>
        <w:pStyle w:val="Body"/>
        <w:rPr>
          <w:rFonts w:ascii="Arial" w:hAnsi="Arial" w:cs="Arial"/>
          <w:lang w:val="fr-FR"/>
        </w:rPr>
      </w:pPr>
      <w:r w:rsidRPr="00037753">
        <w:rPr>
          <w:rFonts w:ascii="Arial" w:hAnsi="Arial" w:cs="Arial"/>
          <w:lang w:val="fr-FR"/>
        </w:rPr>
        <w:t>[34] Khan, S., Kumar, A., Prasad, M., Upadhyay, D., Mehta, B., Shashikumara, P. et al (2022). Effect of soil amendments on the sorption behavior of atrazine in sandy loam soil. 10.21203/rs.3.rs-2377715/v1.</w:t>
      </w:r>
    </w:p>
    <w:p w14:paraId="331CC505" w14:textId="77777777" w:rsidR="00037753" w:rsidRPr="00037753" w:rsidRDefault="00037753" w:rsidP="00037753">
      <w:pPr>
        <w:pStyle w:val="Body"/>
        <w:rPr>
          <w:rFonts w:ascii="Arial" w:hAnsi="Arial" w:cs="Arial"/>
          <w:lang w:val="fr-FR"/>
        </w:rPr>
      </w:pPr>
      <w:r w:rsidRPr="00037753">
        <w:rPr>
          <w:rFonts w:ascii="Arial" w:hAnsi="Arial" w:cs="Arial"/>
          <w:lang w:val="fr-FR"/>
        </w:rPr>
        <w:t>[35] R. Calvet, Pesticides in soil: agronomic and environmental consequences. France agricole éditions, 2005.</w:t>
      </w:r>
    </w:p>
    <w:p w14:paraId="185743DE" w14:textId="6B0B1DBF" w:rsidR="00BB1757" w:rsidRPr="00B51374" w:rsidRDefault="00037753" w:rsidP="00E072D9">
      <w:pPr>
        <w:pStyle w:val="Body"/>
        <w:rPr>
          <w:rFonts w:ascii="Arial" w:hAnsi="Arial" w:cs="Arial"/>
        </w:rPr>
        <w:sectPr w:rsidR="00BB1757" w:rsidRPr="00B51374" w:rsidSect="00111842">
          <w:pgSz w:w="12240" w:h="15840"/>
          <w:pgMar w:top="2016" w:right="2016" w:bottom="1440" w:left="2016" w:header="720" w:footer="1123" w:gutter="0"/>
          <w:cols w:space="720"/>
          <w:docGrid w:linePitch="272"/>
        </w:sectPr>
      </w:pPr>
      <w:r w:rsidRPr="00037753">
        <w:rPr>
          <w:rFonts w:ascii="Arial" w:hAnsi="Arial" w:cs="Arial"/>
          <w:lang w:val="fr-FR"/>
        </w:rPr>
        <w:t>[36] Barriuso, E., Calvet, R., Schiavon, M. &amp; Soulas, G. (1996). Soil organic pollutants and pesticides: Transformation and dissipation. Numer. Spec. Etude Gest. Des Sols, 3, 279–295.</w:t>
      </w:r>
    </w:p>
    <w:p w14:paraId="66D35471" w14:textId="6348C9D1" w:rsidR="00B01FCD" w:rsidRPr="00FB3A86" w:rsidRDefault="00B01FCD" w:rsidP="00441B6F">
      <w:pPr>
        <w:pStyle w:val="Appendix"/>
        <w:spacing w:after="0"/>
        <w:jc w:val="both"/>
        <w:rPr>
          <w:rFonts w:ascii="Arial" w:hAnsi="Arial" w:cs="Arial"/>
          <w:b w:val="0"/>
        </w:rPr>
      </w:pPr>
    </w:p>
    <w:sectPr w:rsidR="00B01FCD" w:rsidRPr="00FB3A86" w:rsidSect="0011184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inox" w:date="2025-06-22T02:03:00Z" w:initials="Z">
    <w:p w14:paraId="70D2CC9E" w14:textId="0A951C82" w:rsidR="00B80F9D" w:rsidRDefault="00B80F9D">
      <w:pPr>
        <w:pStyle w:val="CommentText"/>
      </w:pPr>
      <w:r>
        <w:rPr>
          <w:rStyle w:val="CommentReference"/>
        </w:rPr>
        <w:annotationRef/>
      </w:r>
      <w:r>
        <w:t xml:space="preserve">Determine </w:t>
      </w:r>
    </w:p>
  </w:comment>
  <w:comment w:id="2" w:author="Zinox" w:date="2025-06-22T03:18:00Z" w:initials="Z">
    <w:p w14:paraId="667D4DF8" w14:textId="70252206" w:rsidR="00CF01D5" w:rsidRDefault="00CF01D5">
      <w:pPr>
        <w:pStyle w:val="CommentText"/>
      </w:pPr>
      <w:r>
        <w:rPr>
          <w:rStyle w:val="CommentReference"/>
        </w:rPr>
        <w:annotationRef/>
      </w:r>
    </w:p>
  </w:comment>
  <w:comment w:id="3" w:author="Zinox" w:date="2025-06-22T03:18:00Z" w:initials="Z">
    <w:p w14:paraId="5B97257B" w14:textId="387DF512" w:rsidR="00CF01D5" w:rsidRDefault="00CF01D5">
      <w:pPr>
        <w:pStyle w:val="CommentText"/>
      </w:pPr>
      <w:r>
        <w:rPr>
          <w:rStyle w:val="CommentReference"/>
        </w:rPr>
        <w:annotationRef/>
      </w:r>
      <w:r>
        <w:t>...chemical and biological properties as well as pesticides sequestration...</w:t>
      </w:r>
    </w:p>
  </w:comment>
  <w:comment w:id="4" w:author="Zinox" w:date="2025-06-22T02:04:00Z" w:initials="Z">
    <w:p w14:paraId="29FB1EFC" w14:textId="1D92A3CB" w:rsidR="00B648D4" w:rsidRDefault="00B648D4">
      <w:pPr>
        <w:pStyle w:val="CommentText"/>
      </w:pPr>
      <w:r>
        <w:rPr>
          <w:rStyle w:val="CommentReference"/>
        </w:rPr>
        <w:annotationRef/>
      </w:r>
      <w:r>
        <w:t>...arrangement in a Randomized Completely Bolck Design (RCBD)...</w:t>
      </w:r>
    </w:p>
  </w:comment>
  <w:comment w:id="5" w:author="Zinox" w:date="2025-06-22T03:16:00Z" w:initials="Z">
    <w:p w14:paraId="7F8FD0E9" w14:textId="5FD1C077" w:rsidR="00EA4281" w:rsidRDefault="00EA4281">
      <w:pPr>
        <w:pStyle w:val="CommentText"/>
      </w:pPr>
      <w:r>
        <w:rPr>
          <w:rStyle w:val="CommentReference"/>
        </w:rPr>
        <w:annotationRef/>
      </w:r>
      <w:r>
        <w:t xml:space="preserve">There is no mention of Biological parameter here. </w:t>
      </w:r>
    </w:p>
    <w:p w14:paraId="75BFF2C7" w14:textId="5412E1F0" w:rsidR="00EA4281" w:rsidRDefault="00EA4281">
      <w:pPr>
        <w:pStyle w:val="CommentText"/>
      </w:pPr>
      <w:r>
        <w:t xml:space="preserve">Include the biological parameter. </w:t>
      </w:r>
    </w:p>
  </w:comment>
  <w:comment w:id="6" w:author="Zinox" w:date="2025-06-22T02:17:00Z" w:initials="Z">
    <w:p w14:paraId="5A64BC38" w14:textId="02CCCAF7" w:rsidR="00AC0C4F" w:rsidRDefault="00AC0C4F">
      <w:pPr>
        <w:pStyle w:val="CommentText"/>
      </w:pPr>
      <w:r>
        <w:rPr>
          <w:rStyle w:val="CommentReference"/>
        </w:rPr>
        <w:annotationRef/>
      </w:r>
      <w:r>
        <w:t xml:space="preserve">Materials </w:t>
      </w:r>
    </w:p>
  </w:comment>
  <w:comment w:id="7" w:author="Zinox" w:date="2025-06-22T02:19:00Z" w:initials="Z">
    <w:p w14:paraId="53277D58" w14:textId="2211F949" w:rsidR="00CF6BE5" w:rsidRDefault="00CF6BE5">
      <w:pPr>
        <w:pStyle w:val="CommentText"/>
      </w:pPr>
      <w:r>
        <w:rPr>
          <w:rStyle w:val="CommentReference"/>
        </w:rPr>
        <w:annotationRef/>
      </w:r>
      <w:r>
        <w:t>...split-plot arrangement in Randomized Completely Bock Design (RCBD)...</w:t>
      </w:r>
    </w:p>
    <w:p w14:paraId="751C09D4" w14:textId="243AC263" w:rsidR="00CF6BE5" w:rsidRDefault="00CF6BE5">
      <w:pPr>
        <w:pStyle w:val="CommentText"/>
      </w:pPr>
    </w:p>
  </w:comment>
  <w:comment w:id="8" w:author="Zinox" w:date="2025-06-22T02:22:00Z" w:initials="Z">
    <w:p w14:paraId="1CFC27A8" w14:textId="69B4C8FF" w:rsidR="00552928" w:rsidRDefault="00552928">
      <w:pPr>
        <w:pStyle w:val="CommentText"/>
      </w:pPr>
      <w:r>
        <w:rPr>
          <w:rStyle w:val="CommentReference"/>
        </w:rPr>
        <w:annotationRef/>
      </w:r>
      <w:r>
        <w:t>Compost dosage</w:t>
      </w:r>
    </w:p>
  </w:comment>
  <w:comment w:id="9" w:author="Zinox" w:date="2025-06-22T02:26:00Z" w:initials="Z">
    <w:p w14:paraId="13EA852C" w14:textId="36265BEB" w:rsidR="00C61A99" w:rsidRDefault="00C61A99">
      <w:pPr>
        <w:pStyle w:val="CommentText"/>
      </w:pPr>
      <w:r>
        <w:rPr>
          <w:rStyle w:val="CommentReference"/>
        </w:rPr>
        <w:annotationRef/>
      </w:r>
      <w:r>
        <w:t>Physical, Chemical and Biological...</w:t>
      </w:r>
    </w:p>
  </w:comment>
  <w:comment w:id="11" w:author="Zinox" w:date="2025-06-22T02:28:00Z" w:initials="Z">
    <w:p w14:paraId="06C154AE" w14:textId="6C8489B9" w:rsidR="00B435B1" w:rsidRDefault="00B435B1">
      <w:pPr>
        <w:pStyle w:val="CommentText"/>
      </w:pPr>
      <w:r>
        <w:rPr>
          <w:rStyle w:val="CommentReference"/>
        </w:rPr>
        <w:annotationRef/>
      </w:r>
      <w:r>
        <w:t>...different treatments.</w:t>
      </w:r>
    </w:p>
  </w:comment>
  <w:comment w:id="12" w:author="Zinox" w:date="2025-06-22T02:31:00Z" w:initials="Z">
    <w:p w14:paraId="1118B03F" w14:textId="0388356F" w:rsidR="00134E89" w:rsidRDefault="00134E89">
      <w:pPr>
        <w:pStyle w:val="CommentText"/>
      </w:pPr>
      <w:r>
        <w:rPr>
          <w:rStyle w:val="CommentReference"/>
        </w:rPr>
        <w:annotationRef/>
      </w:r>
      <w:r>
        <w:t>What of Biological parameters and methods?</w:t>
      </w:r>
    </w:p>
  </w:comment>
  <w:comment w:id="13" w:author="Zinox" w:date="2025-06-22T02:32:00Z" w:initials="Z">
    <w:p w14:paraId="673CEB23" w14:textId="77777777" w:rsidR="00875FB9" w:rsidRDefault="00875FB9">
      <w:pPr>
        <w:pStyle w:val="CommentText"/>
      </w:pPr>
      <w:r>
        <w:rPr>
          <w:rStyle w:val="CommentReference"/>
        </w:rPr>
        <w:annotationRef/>
      </w:r>
      <w:r>
        <w:t xml:space="preserve">Where does this belongs? </w:t>
      </w:r>
    </w:p>
    <w:p w14:paraId="5A573334" w14:textId="165E2BEB" w:rsidR="00D54719" w:rsidRDefault="00D54719">
      <w:pPr>
        <w:pStyle w:val="CommentText"/>
      </w:pPr>
      <w:r>
        <w:t>Is this a physical or chemical parameter?</w:t>
      </w:r>
    </w:p>
    <w:p w14:paraId="17FE6B11" w14:textId="77777777" w:rsidR="00D54719" w:rsidRDefault="00D54719">
      <w:pPr>
        <w:pStyle w:val="CommentText"/>
      </w:pPr>
    </w:p>
    <w:p w14:paraId="148BB5C5" w14:textId="27158DBC" w:rsidR="00875FB9" w:rsidRDefault="00875FB9">
      <w:pPr>
        <w:pStyle w:val="CommentText"/>
      </w:pPr>
    </w:p>
  </w:comment>
  <w:comment w:id="14" w:author="Zinox" w:date="2025-06-22T02:34:00Z" w:initials="Z">
    <w:p w14:paraId="2011C4D0" w14:textId="1E64E8F5" w:rsidR="00E12275" w:rsidRDefault="00E12275">
      <w:pPr>
        <w:pStyle w:val="CommentText"/>
      </w:pPr>
      <w:r>
        <w:rPr>
          <w:rStyle w:val="CommentReference"/>
        </w:rPr>
        <w:annotationRef/>
      </w:r>
      <w:r>
        <w:t>Is this a soil parameter?</w:t>
      </w:r>
    </w:p>
  </w:comment>
  <w:comment w:id="15" w:author="Zinox" w:date="2025-06-22T02:39:00Z" w:initials="Z">
    <w:p w14:paraId="05FC9FDB" w14:textId="5BACB153" w:rsidR="00C44B90" w:rsidRDefault="00C44B90">
      <w:pPr>
        <w:pStyle w:val="CommentText"/>
      </w:pPr>
      <w:r>
        <w:rPr>
          <w:rStyle w:val="CommentReference"/>
        </w:rPr>
        <w:annotationRef/>
      </w:r>
      <w:r>
        <w:t>Define MO at the footnote</w:t>
      </w:r>
    </w:p>
  </w:comment>
  <w:comment w:id="16" w:author="Zinox" w:date="2025-06-22T02:39:00Z" w:initials="Z">
    <w:p w14:paraId="4650C2DC" w14:textId="5EBA7BBC" w:rsidR="00965CC6" w:rsidRDefault="00965CC6">
      <w:pPr>
        <w:pStyle w:val="CommentText"/>
      </w:pPr>
      <w:r>
        <w:rPr>
          <w:rStyle w:val="CommentReference"/>
        </w:rPr>
        <w:annotationRef/>
      </w:r>
      <w:r>
        <w:t>Define ‘D’</w:t>
      </w:r>
    </w:p>
  </w:comment>
  <w:comment w:id="17" w:author="Zinox" w:date="2025-06-22T02:48:00Z" w:initials="Z">
    <w:p w14:paraId="59FD3214" w14:textId="66907F92" w:rsidR="00AB4E6C" w:rsidRDefault="00AB4E6C">
      <w:pPr>
        <w:pStyle w:val="CommentText"/>
      </w:pPr>
      <w:r>
        <w:rPr>
          <w:rStyle w:val="CommentReference"/>
        </w:rPr>
        <w:annotationRef/>
      </w:r>
      <w:r>
        <w:t xml:space="preserve">Compost </w:t>
      </w:r>
    </w:p>
  </w:comment>
  <w:comment w:id="18" w:author="Zinox" w:date="2025-06-22T02:50:00Z" w:initials="Z">
    <w:p w14:paraId="63F39746" w14:textId="67DB7D53" w:rsidR="007F2570" w:rsidRDefault="007F2570">
      <w:pPr>
        <w:pStyle w:val="CommentText"/>
      </w:pPr>
      <w:r>
        <w:rPr>
          <w:rStyle w:val="CommentReference"/>
        </w:rPr>
        <w:annotationRef/>
      </w:r>
      <w:r>
        <w:t>...the first</w:t>
      </w:r>
    </w:p>
  </w:comment>
  <w:comment w:id="19" w:author="Zinox" w:date="2025-06-22T02:52:00Z" w:initials="Z">
    <w:p w14:paraId="1061192A" w14:textId="780F1FB8" w:rsidR="00400454" w:rsidRDefault="00400454">
      <w:pPr>
        <w:pStyle w:val="CommentText"/>
      </w:pPr>
      <w:r>
        <w:rPr>
          <w:rStyle w:val="CommentReference"/>
        </w:rPr>
        <w:annotationRef/>
      </w:r>
    </w:p>
  </w:comment>
  <w:comment w:id="20" w:author="Zinox" w:date="2025-06-22T02:54:00Z" w:initials="Z">
    <w:p w14:paraId="4D654A11" w14:textId="5DE35942" w:rsidR="00672115" w:rsidRDefault="00672115">
      <w:pPr>
        <w:pStyle w:val="CommentText"/>
      </w:pPr>
      <w:r>
        <w:rPr>
          <w:rStyle w:val="CommentReference"/>
        </w:rPr>
        <w:annotationRef/>
      </w:r>
      <w:r>
        <w:t>No table attached. Kindly attach the table</w:t>
      </w:r>
    </w:p>
  </w:comment>
  <w:comment w:id="21" w:author="Zinox" w:date="2025-06-22T03:01:00Z" w:initials="Z">
    <w:p w14:paraId="201D9D01" w14:textId="77777777" w:rsidR="00BF71D8" w:rsidRDefault="00BF71D8">
      <w:pPr>
        <w:pStyle w:val="CommentText"/>
      </w:pPr>
      <w:r>
        <w:rPr>
          <w:rStyle w:val="CommentReference"/>
        </w:rPr>
        <w:annotationRef/>
      </w:r>
      <w:r>
        <w:t>Only???</w:t>
      </w:r>
    </w:p>
    <w:p w14:paraId="218C029A" w14:textId="136328B0" w:rsidR="00BF71D8" w:rsidRDefault="00BF71D8">
      <w:pPr>
        <w:pStyle w:val="CommentText"/>
      </w:pPr>
      <w:r>
        <w:t>What of CO2 evolution??? Is it a chemical property?</w:t>
      </w:r>
    </w:p>
    <w:p w14:paraId="5351D098" w14:textId="77777777" w:rsidR="00B62039" w:rsidRDefault="00B62039">
      <w:pPr>
        <w:pStyle w:val="CommentText"/>
      </w:pPr>
    </w:p>
  </w:comment>
  <w:comment w:id="22" w:author="Zinox" w:date="2025-06-22T03:03:00Z" w:initials="Z">
    <w:p w14:paraId="3B8F5480" w14:textId="0054F271" w:rsidR="00620A18" w:rsidRDefault="00620A18">
      <w:pPr>
        <w:pStyle w:val="CommentText"/>
      </w:pPr>
      <w:r>
        <w:rPr>
          <w:rStyle w:val="CommentReference"/>
        </w:rPr>
        <w:annotationRef/>
      </w:r>
      <w:r>
        <w:t>Delete</w:t>
      </w:r>
    </w:p>
    <w:p w14:paraId="71F48D07" w14:textId="537286C0" w:rsidR="00620A18" w:rsidRDefault="00620A18">
      <w:pPr>
        <w:pStyle w:val="CommentText"/>
      </w:pPr>
      <w:r>
        <w:t xml:space="preserve">Furthermore, </w:t>
      </w:r>
    </w:p>
  </w:comment>
  <w:comment w:id="23" w:author="Zinox" w:date="2025-06-22T03:05:00Z" w:initials="Z">
    <w:p w14:paraId="1F0FF934" w14:textId="692BD928" w:rsidR="00352383" w:rsidRDefault="00352383">
      <w:pPr>
        <w:pStyle w:val="CommentText"/>
      </w:pPr>
      <w:r>
        <w:rPr>
          <w:rStyle w:val="CommentReference"/>
        </w:rPr>
        <w:annotationRef/>
      </w:r>
      <w:r>
        <w:t xml:space="preserve">Nonetheless, </w:t>
      </w:r>
    </w:p>
  </w:comment>
  <w:comment w:id="24" w:author="Zinox" w:date="2025-06-22T03:07:00Z" w:initials="Z">
    <w:p w14:paraId="55705B23" w14:textId="5AD2A396" w:rsidR="00A66B08" w:rsidRDefault="00A66B08">
      <w:pPr>
        <w:pStyle w:val="CommentText"/>
      </w:pPr>
      <w:r>
        <w:rPr>
          <w:rStyle w:val="CommentReference"/>
        </w:rPr>
        <w:annotationRef/>
      </w:r>
      <w:r>
        <w:t xml:space="preserve">Regime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D2CC9E" w15:done="0"/>
  <w15:commentEx w15:paraId="667D4DF8" w15:done="0"/>
  <w15:commentEx w15:paraId="5B97257B" w15:done="0"/>
  <w15:commentEx w15:paraId="29FB1EFC" w15:done="0"/>
  <w15:commentEx w15:paraId="75BFF2C7" w15:done="0"/>
  <w15:commentEx w15:paraId="5A64BC38" w15:done="0"/>
  <w15:commentEx w15:paraId="751C09D4" w15:done="0"/>
  <w15:commentEx w15:paraId="1CFC27A8" w15:done="0"/>
  <w15:commentEx w15:paraId="13EA852C" w15:done="0"/>
  <w15:commentEx w15:paraId="06C154AE" w15:done="0"/>
  <w15:commentEx w15:paraId="1118B03F" w15:done="0"/>
  <w15:commentEx w15:paraId="148BB5C5" w15:done="0"/>
  <w15:commentEx w15:paraId="2011C4D0" w15:done="0"/>
  <w15:commentEx w15:paraId="05FC9FDB" w15:done="0"/>
  <w15:commentEx w15:paraId="4650C2DC" w15:done="0"/>
  <w15:commentEx w15:paraId="59FD3214" w15:done="0"/>
  <w15:commentEx w15:paraId="63F39746" w15:done="0"/>
  <w15:commentEx w15:paraId="1061192A" w15:done="0"/>
  <w15:commentEx w15:paraId="4D654A11" w15:done="0"/>
  <w15:commentEx w15:paraId="5351D098" w15:done="0"/>
  <w15:commentEx w15:paraId="71F48D07" w15:done="0"/>
  <w15:commentEx w15:paraId="1F0FF934" w15:done="0"/>
  <w15:commentEx w15:paraId="55705B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27311" w14:textId="77777777" w:rsidR="00AF3D3D" w:rsidRDefault="00AF3D3D" w:rsidP="00C37E61">
      <w:r>
        <w:separator/>
      </w:r>
    </w:p>
  </w:endnote>
  <w:endnote w:type="continuationSeparator" w:id="0">
    <w:p w14:paraId="2059A3F1" w14:textId="77777777" w:rsidR="00AF3D3D" w:rsidRDefault="00AF3D3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6E840" w14:textId="77777777" w:rsidR="00111842" w:rsidRDefault="00111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A8CA" w14:textId="77777777" w:rsidR="00111842" w:rsidRDefault="00111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ACB8D" w14:textId="77777777" w:rsidR="007E241F" w:rsidRDefault="007E241F">
    <w:pPr>
      <w:pStyle w:val="Footer"/>
      <w:rPr>
        <w:rFonts w:ascii="Arial" w:hAnsi="Arial" w:cs="Arial"/>
        <w:sz w:val="16"/>
      </w:rPr>
    </w:pPr>
  </w:p>
  <w:p w14:paraId="18CFA7EF" w14:textId="77777777" w:rsidR="007E241F" w:rsidRDefault="007E241F"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16A28C7" w14:textId="77777777" w:rsidR="007E241F" w:rsidRDefault="007E241F">
    <w:pPr>
      <w:pStyle w:val="Footer"/>
      <w:rPr>
        <w:rFonts w:ascii="Arial" w:hAnsi="Arial" w:cs="Arial"/>
        <w:sz w:val="16"/>
      </w:rPr>
    </w:pPr>
  </w:p>
  <w:p w14:paraId="10AB59E6" w14:textId="77777777" w:rsidR="007E241F" w:rsidRPr="009E048A" w:rsidRDefault="007E241F">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EEE55" w14:textId="77777777" w:rsidR="007E241F" w:rsidRPr="00C37E61" w:rsidRDefault="007E241F"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1CED2" w14:textId="77777777" w:rsidR="00AF3D3D" w:rsidRDefault="00AF3D3D" w:rsidP="00C37E61">
      <w:r>
        <w:separator/>
      </w:r>
    </w:p>
  </w:footnote>
  <w:footnote w:type="continuationSeparator" w:id="0">
    <w:p w14:paraId="30FDB022" w14:textId="77777777" w:rsidR="00AF3D3D" w:rsidRDefault="00AF3D3D"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2BC9B" w14:textId="4542C144" w:rsidR="00111842" w:rsidRDefault="00AF3D3D">
    <w:pPr>
      <w:pStyle w:val="Header"/>
    </w:pPr>
    <w:r>
      <w:rPr>
        <w:noProof/>
      </w:rPr>
      <w:pict w14:anchorId="6B5C0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D743C" w14:textId="48648209" w:rsidR="00111842" w:rsidRDefault="00AF3D3D">
    <w:pPr>
      <w:pStyle w:val="Header"/>
    </w:pPr>
    <w:r>
      <w:rPr>
        <w:noProof/>
      </w:rPr>
      <w:pict w14:anchorId="5EA70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5CBA" w14:textId="5F90B9A2" w:rsidR="007E241F" w:rsidRPr="00296529" w:rsidRDefault="00AF3D3D" w:rsidP="00296529">
    <w:pPr>
      <w:ind w:left="2160"/>
      <w:jc w:val="center"/>
      <w:rPr>
        <w:rFonts w:ascii="Times New Roman" w:eastAsia="Calibri" w:hAnsi="Times New Roman"/>
        <w:i/>
        <w:sz w:val="18"/>
        <w:szCs w:val="22"/>
      </w:rPr>
    </w:pPr>
    <w:r>
      <w:rPr>
        <w:noProof/>
      </w:rPr>
      <w:pict w14:anchorId="40B44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D5C3A63" w14:textId="77777777" w:rsidR="007E241F" w:rsidRPr="00296529" w:rsidRDefault="007E241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638DAAF" w14:textId="77777777" w:rsidR="007E241F" w:rsidRPr="00296529" w:rsidRDefault="007E241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E2A22A5" w14:textId="77777777" w:rsidR="007E241F" w:rsidRPr="00296529" w:rsidRDefault="007E241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1800130" w14:textId="77777777" w:rsidR="007E241F" w:rsidRDefault="007E241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6BA61D5" w14:textId="77777777" w:rsidR="007E241F" w:rsidRDefault="007E241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7480897" w14:textId="77777777" w:rsidR="007E241F" w:rsidRDefault="007E241F">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B1D7B" w14:textId="7FD60450" w:rsidR="00111842" w:rsidRDefault="00AF3D3D">
    <w:pPr>
      <w:pStyle w:val="Header"/>
    </w:pPr>
    <w:r>
      <w:rPr>
        <w:noProof/>
      </w:rPr>
      <w:pict w14:anchorId="46352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B0C5A" w14:textId="49EA10C1" w:rsidR="00111842" w:rsidRDefault="00AF3D3D">
    <w:pPr>
      <w:pStyle w:val="Header"/>
    </w:pPr>
    <w:r>
      <w:rPr>
        <w:noProof/>
      </w:rPr>
      <w:pict w14:anchorId="7EB6E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6D7E0" w14:textId="64877AD9" w:rsidR="00111842" w:rsidRDefault="00AF3D3D">
    <w:pPr>
      <w:pStyle w:val="Header"/>
    </w:pPr>
    <w:r>
      <w:rPr>
        <w:noProof/>
      </w:rPr>
      <w:pict w14:anchorId="2508F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96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6.25pt;height:11.25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132B49"/>
    <w:multiLevelType w:val="hybridMultilevel"/>
    <w:tmpl w:val="988A526E"/>
    <w:lvl w:ilvl="0" w:tplc="4B7652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F2D1F6A"/>
    <w:multiLevelType w:val="hybridMultilevel"/>
    <w:tmpl w:val="BEB6D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4513293"/>
    <w:multiLevelType w:val="hybridMultilevel"/>
    <w:tmpl w:val="EC506E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015779F"/>
    <w:multiLevelType w:val="hybridMultilevel"/>
    <w:tmpl w:val="F36CF6B2"/>
    <w:lvl w:ilvl="0" w:tplc="4B7652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7E7ED0"/>
    <w:multiLevelType w:val="hybridMultilevel"/>
    <w:tmpl w:val="83F254E4"/>
    <w:lvl w:ilvl="0" w:tplc="313A0694">
      <w:start w:val="1"/>
      <w:numFmt w:val="bullet"/>
      <w:lvlText w:val=""/>
      <w:lvlPicBulletId w:val="0"/>
      <w:lvlJc w:val="left"/>
      <w:pPr>
        <w:tabs>
          <w:tab w:val="num" w:pos="360"/>
        </w:tabs>
        <w:ind w:left="360" w:hanging="360"/>
      </w:pPr>
      <w:rPr>
        <w:rFonts w:ascii="Symbol" w:hAnsi="Symbol" w:hint="default"/>
      </w:rPr>
    </w:lvl>
    <w:lvl w:ilvl="1" w:tplc="0E04034E" w:tentative="1">
      <w:start w:val="1"/>
      <w:numFmt w:val="bullet"/>
      <w:lvlText w:val=""/>
      <w:lvlJc w:val="left"/>
      <w:pPr>
        <w:tabs>
          <w:tab w:val="num" w:pos="1080"/>
        </w:tabs>
        <w:ind w:left="1080" w:hanging="360"/>
      </w:pPr>
      <w:rPr>
        <w:rFonts w:ascii="Symbol" w:hAnsi="Symbol" w:hint="default"/>
      </w:rPr>
    </w:lvl>
    <w:lvl w:ilvl="2" w:tplc="3C76CC30" w:tentative="1">
      <w:start w:val="1"/>
      <w:numFmt w:val="bullet"/>
      <w:lvlText w:val=""/>
      <w:lvlJc w:val="left"/>
      <w:pPr>
        <w:tabs>
          <w:tab w:val="num" w:pos="1800"/>
        </w:tabs>
        <w:ind w:left="1800" w:hanging="360"/>
      </w:pPr>
      <w:rPr>
        <w:rFonts w:ascii="Symbol" w:hAnsi="Symbol" w:hint="default"/>
      </w:rPr>
    </w:lvl>
    <w:lvl w:ilvl="3" w:tplc="0B6C9C96" w:tentative="1">
      <w:start w:val="1"/>
      <w:numFmt w:val="bullet"/>
      <w:lvlText w:val=""/>
      <w:lvlJc w:val="left"/>
      <w:pPr>
        <w:tabs>
          <w:tab w:val="num" w:pos="2520"/>
        </w:tabs>
        <w:ind w:left="2520" w:hanging="360"/>
      </w:pPr>
      <w:rPr>
        <w:rFonts w:ascii="Symbol" w:hAnsi="Symbol" w:hint="default"/>
      </w:rPr>
    </w:lvl>
    <w:lvl w:ilvl="4" w:tplc="D35C2518" w:tentative="1">
      <w:start w:val="1"/>
      <w:numFmt w:val="bullet"/>
      <w:lvlText w:val=""/>
      <w:lvlJc w:val="left"/>
      <w:pPr>
        <w:tabs>
          <w:tab w:val="num" w:pos="3240"/>
        </w:tabs>
        <w:ind w:left="3240" w:hanging="360"/>
      </w:pPr>
      <w:rPr>
        <w:rFonts w:ascii="Symbol" w:hAnsi="Symbol" w:hint="default"/>
      </w:rPr>
    </w:lvl>
    <w:lvl w:ilvl="5" w:tplc="4DFE915E" w:tentative="1">
      <w:start w:val="1"/>
      <w:numFmt w:val="bullet"/>
      <w:lvlText w:val=""/>
      <w:lvlJc w:val="left"/>
      <w:pPr>
        <w:tabs>
          <w:tab w:val="num" w:pos="3960"/>
        </w:tabs>
        <w:ind w:left="3960" w:hanging="360"/>
      </w:pPr>
      <w:rPr>
        <w:rFonts w:ascii="Symbol" w:hAnsi="Symbol" w:hint="default"/>
      </w:rPr>
    </w:lvl>
    <w:lvl w:ilvl="6" w:tplc="7124F296" w:tentative="1">
      <w:start w:val="1"/>
      <w:numFmt w:val="bullet"/>
      <w:lvlText w:val=""/>
      <w:lvlJc w:val="left"/>
      <w:pPr>
        <w:tabs>
          <w:tab w:val="num" w:pos="4680"/>
        </w:tabs>
        <w:ind w:left="4680" w:hanging="360"/>
      </w:pPr>
      <w:rPr>
        <w:rFonts w:ascii="Symbol" w:hAnsi="Symbol" w:hint="default"/>
      </w:rPr>
    </w:lvl>
    <w:lvl w:ilvl="7" w:tplc="FF76DB88" w:tentative="1">
      <w:start w:val="1"/>
      <w:numFmt w:val="bullet"/>
      <w:lvlText w:val=""/>
      <w:lvlJc w:val="left"/>
      <w:pPr>
        <w:tabs>
          <w:tab w:val="num" w:pos="5400"/>
        </w:tabs>
        <w:ind w:left="5400" w:hanging="360"/>
      </w:pPr>
      <w:rPr>
        <w:rFonts w:ascii="Symbol" w:hAnsi="Symbol" w:hint="default"/>
      </w:rPr>
    </w:lvl>
    <w:lvl w:ilvl="8" w:tplc="A5AE9AB2"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E504015"/>
    <w:multiLevelType w:val="hybridMultilevel"/>
    <w:tmpl w:val="602278CA"/>
    <w:lvl w:ilvl="0" w:tplc="4B7652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2B118B"/>
    <w:multiLevelType w:val="hybridMultilevel"/>
    <w:tmpl w:val="80D4E178"/>
    <w:lvl w:ilvl="0" w:tplc="72C08C66">
      <w:start w:val="1"/>
      <w:numFmt w:val="bullet"/>
      <w:lvlText w:val=""/>
      <w:lvlPicBulletId w:val="0"/>
      <w:lvlJc w:val="left"/>
      <w:pPr>
        <w:tabs>
          <w:tab w:val="num" w:pos="720"/>
        </w:tabs>
        <w:ind w:left="720" w:hanging="360"/>
      </w:pPr>
      <w:rPr>
        <w:rFonts w:ascii="Symbol" w:hAnsi="Symbol" w:hint="default"/>
      </w:rPr>
    </w:lvl>
    <w:lvl w:ilvl="1" w:tplc="CE008FEE" w:tentative="1">
      <w:start w:val="1"/>
      <w:numFmt w:val="bullet"/>
      <w:lvlText w:val=""/>
      <w:lvlJc w:val="left"/>
      <w:pPr>
        <w:tabs>
          <w:tab w:val="num" w:pos="1440"/>
        </w:tabs>
        <w:ind w:left="1440" w:hanging="360"/>
      </w:pPr>
      <w:rPr>
        <w:rFonts w:ascii="Symbol" w:hAnsi="Symbol" w:hint="default"/>
      </w:rPr>
    </w:lvl>
    <w:lvl w:ilvl="2" w:tplc="17EE4588" w:tentative="1">
      <w:start w:val="1"/>
      <w:numFmt w:val="bullet"/>
      <w:lvlText w:val=""/>
      <w:lvlJc w:val="left"/>
      <w:pPr>
        <w:tabs>
          <w:tab w:val="num" w:pos="2160"/>
        </w:tabs>
        <w:ind w:left="2160" w:hanging="360"/>
      </w:pPr>
      <w:rPr>
        <w:rFonts w:ascii="Symbol" w:hAnsi="Symbol" w:hint="default"/>
      </w:rPr>
    </w:lvl>
    <w:lvl w:ilvl="3" w:tplc="C1B6E03C" w:tentative="1">
      <w:start w:val="1"/>
      <w:numFmt w:val="bullet"/>
      <w:lvlText w:val=""/>
      <w:lvlJc w:val="left"/>
      <w:pPr>
        <w:tabs>
          <w:tab w:val="num" w:pos="2880"/>
        </w:tabs>
        <w:ind w:left="2880" w:hanging="360"/>
      </w:pPr>
      <w:rPr>
        <w:rFonts w:ascii="Symbol" w:hAnsi="Symbol" w:hint="default"/>
      </w:rPr>
    </w:lvl>
    <w:lvl w:ilvl="4" w:tplc="203E2CC6" w:tentative="1">
      <w:start w:val="1"/>
      <w:numFmt w:val="bullet"/>
      <w:lvlText w:val=""/>
      <w:lvlJc w:val="left"/>
      <w:pPr>
        <w:tabs>
          <w:tab w:val="num" w:pos="3600"/>
        </w:tabs>
        <w:ind w:left="3600" w:hanging="360"/>
      </w:pPr>
      <w:rPr>
        <w:rFonts w:ascii="Symbol" w:hAnsi="Symbol" w:hint="default"/>
      </w:rPr>
    </w:lvl>
    <w:lvl w:ilvl="5" w:tplc="EC3C7F66" w:tentative="1">
      <w:start w:val="1"/>
      <w:numFmt w:val="bullet"/>
      <w:lvlText w:val=""/>
      <w:lvlJc w:val="left"/>
      <w:pPr>
        <w:tabs>
          <w:tab w:val="num" w:pos="4320"/>
        </w:tabs>
        <w:ind w:left="4320" w:hanging="360"/>
      </w:pPr>
      <w:rPr>
        <w:rFonts w:ascii="Symbol" w:hAnsi="Symbol" w:hint="default"/>
      </w:rPr>
    </w:lvl>
    <w:lvl w:ilvl="6" w:tplc="D408EC48" w:tentative="1">
      <w:start w:val="1"/>
      <w:numFmt w:val="bullet"/>
      <w:lvlText w:val=""/>
      <w:lvlJc w:val="left"/>
      <w:pPr>
        <w:tabs>
          <w:tab w:val="num" w:pos="5040"/>
        </w:tabs>
        <w:ind w:left="5040" w:hanging="360"/>
      </w:pPr>
      <w:rPr>
        <w:rFonts w:ascii="Symbol" w:hAnsi="Symbol" w:hint="default"/>
      </w:rPr>
    </w:lvl>
    <w:lvl w:ilvl="7" w:tplc="422C045C" w:tentative="1">
      <w:start w:val="1"/>
      <w:numFmt w:val="bullet"/>
      <w:lvlText w:val=""/>
      <w:lvlJc w:val="left"/>
      <w:pPr>
        <w:tabs>
          <w:tab w:val="num" w:pos="5760"/>
        </w:tabs>
        <w:ind w:left="5760" w:hanging="360"/>
      </w:pPr>
      <w:rPr>
        <w:rFonts w:ascii="Symbol" w:hAnsi="Symbol" w:hint="default"/>
      </w:rPr>
    </w:lvl>
    <w:lvl w:ilvl="8" w:tplc="97B2F6E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2"/>
  </w:num>
  <w:num w:numId="10">
    <w:abstractNumId w:val="2"/>
  </w:num>
  <w:num w:numId="11">
    <w:abstractNumId w:val="23"/>
  </w:num>
  <w:num w:numId="12">
    <w:abstractNumId w:val="3"/>
  </w:num>
  <w:num w:numId="13">
    <w:abstractNumId w:val="22"/>
  </w:num>
  <w:num w:numId="14">
    <w:abstractNumId w:val="9"/>
  </w:num>
  <w:num w:numId="15">
    <w:abstractNumId w:val="28"/>
  </w:num>
  <w:num w:numId="16">
    <w:abstractNumId w:val="5"/>
  </w:num>
  <w:num w:numId="17">
    <w:abstractNumId w:val="29"/>
  </w:num>
  <w:num w:numId="18">
    <w:abstractNumId w:val="16"/>
  </w:num>
  <w:num w:numId="19">
    <w:abstractNumId w:val="35"/>
  </w:num>
  <w:num w:numId="20">
    <w:abstractNumId w:val="12"/>
  </w:num>
  <w:num w:numId="21">
    <w:abstractNumId w:val="10"/>
  </w:num>
  <w:num w:numId="22">
    <w:abstractNumId w:val="14"/>
  </w:num>
  <w:num w:numId="23">
    <w:abstractNumId w:val="25"/>
  </w:num>
  <w:num w:numId="24">
    <w:abstractNumId w:val="33"/>
  </w:num>
  <w:num w:numId="25">
    <w:abstractNumId w:val="4"/>
  </w:num>
  <w:num w:numId="26">
    <w:abstractNumId w:val="21"/>
  </w:num>
  <w:num w:numId="27">
    <w:abstractNumId w:val="26"/>
  </w:num>
  <w:num w:numId="28">
    <w:abstractNumId w:val="34"/>
  </w:num>
  <w:num w:numId="29">
    <w:abstractNumId w:val="31"/>
  </w:num>
  <w:num w:numId="30">
    <w:abstractNumId w:val="11"/>
  </w:num>
  <w:num w:numId="31">
    <w:abstractNumId w:val="20"/>
  </w:num>
  <w:num w:numId="32">
    <w:abstractNumId w:val="27"/>
  </w:num>
  <w:num w:numId="33">
    <w:abstractNumId w:val="15"/>
  </w:num>
  <w:num w:numId="34">
    <w:abstractNumId w:val="24"/>
  </w:num>
  <w:num w:numId="35">
    <w:abstractNumId w:val="7"/>
  </w:num>
  <w:num w:numId="36">
    <w:abstractNumId w:val="19"/>
  </w:num>
  <w:num w:numId="3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inox">
    <w15:presenceInfo w15:providerId="None" w15:userId="Zin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37753"/>
    <w:rsid w:val="0004579C"/>
    <w:rsid w:val="000A47FA"/>
    <w:rsid w:val="000A65D3"/>
    <w:rsid w:val="000B1E33"/>
    <w:rsid w:val="000D689F"/>
    <w:rsid w:val="000E7B7B"/>
    <w:rsid w:val="000E7D62"/>
    <w:rsid w:val="00103357"/>
    <w:rsid w:val="00111842"/>
    <w:rsid w:val="00123C9F"/>
    <w:rsid w:val="00126190"/>
    <w:rsid w:val="00127AC5"/>
    <w:rsid w:val="00130F17"/>
    <w:rsid w:val="001320BF"/>
    <w:rsid w:val="00134E89"/>
    <w:rsid w:val="00145F09"/>
    <w:rsid w:val="00162E3E"/>
    <w:rsid w:val="00163BC4"/>
    <w:rsid w:val="00187D4F"/>
    <w:rsid w:val="00191062"/>
    <w:rsid w:val="00192B72"/>
    <w:rsid w:val="00194E84"/>
    <w:rsid w:val="001A29D8"/>
    <w:rsid w:val="001A5CAA"/>
    <w:rsid w:val="001B0427"/>
    <w:rsid w:val="001C2D88"/>
    <w:rsid w:val="001D3A51"/>
    <w:rsid w:val="001E10D2"/>
    <w:rsid w:val="001E25B4"/>
    <w:rsid w:val="001E44FE"/>
    <w:rsid w:val="001F31F1"/>
    <w:rsid w:val="00200595"/>
    <w:rsid w:val="00204835"/>
    <w:rsid w:val="00206342"/>
    <w:rsid w:val="00224CF2"/>
    <w:rsid w:val="002309A9"/>
    <w:rsid w:val="00231920"/>
    <w:rsid w:val="0023195C"/>
    <w:rsid w:val="00236BAF"/>
    <w:rsid w:val="002372B9"/>
    <w:rsid w:val="0024282C"/>
    <w:rsid w:val="002438E4"/>
    <w:rsid w:val="002460DC"/>
    <w:rsid w:val="00250985"/>
    <w:rsid w:val="002556F6"/>
    <w:rsid w:val="00283105"/>
    <w:rsid w:val="00284C4C"/>
    <w:rsid w:val="00287E68"/>
    <w:rsid w:val="00296529"/>
    <w:rsid w:val="002A617C"/>
    <w:rsid w:val="002B27FB"/>
    <w:rsid w:val="002B685A"/>
    <w:rsid w:val="002C57D2"/>
    <w:rsid w:val="002D44CF"/>
    <w:rsid w:val="002E0D56"/>
    <w:rsid w:val="00315186"/>
    <w:rsid w:val="0033343E"/>
    <w:rsid w:val="0035059D"/>
    <w:rsid w:val="003512C2"/>
    <w:rsid w:val="00352383"/>
    <w:rsid w:val="00360015"/>
    <w:rsid w:val="00367B59"/>
    <w:rsid w:val="00370A23"/>
    <w:rsid w:val="00371FB6"/>
    <w:rsid w:val="003763C1"/>
    <w:rsid w:val="00376BBE"/>
    <w:rsid w:val="0039224F"/>
    <w:rsid w:val="003A08A2"/>
    <w:rsid w:val="003A43A4"/>
    <w:rsid w:val="003A6B7B"/>
    <w:rsid w:val="003A7E18"/>
    <w:rsid w:val="003C4C86"/>
    <w:rsid w:val="003C6258"/>
    <w:rsid w:val="003D4C3C"/>
    <w:rsid w:val="003E2904"/>
    <w:rsid w:val="003E3180"/>
    <w:rsid w:val="003E642D"/>
    <w:rsid w:val="003F5349"/>
    <w:rsid w:val="003F739B"/>
    <w:rsid w:val="00400454"/>
    <w:rsid w:val="00401927"/>
    <w:rsid w:val="0041027F"/>
    <w:rsid w:val="00412475"/>
    <w:rsid w:val="00423789"/>
    <w:rsid w:val="00440F43"/>
    <w:rsid w:val="00441B6F"/>
    <w:rsid w:val="00446221"/>
    <w:rsid w:val="00450E62"/>
    <w:rsid w:val="004539DB"/>
    <w:rsid w:val="00462204"/>
    <w:rsid w:val="004644BC"/>
    <w:rsid w:val="004666FB"/>
    <w:rsid w:val="00471A80"/>
    <w:rsid w:val="00480F4D"/>
    <w:rsid w:val="0048271D"/>
    <w:rsid w:val="00482F66"/>
    <w:rsid w:val="004D305E"/>
    <w:rsid w:val="004D4277"/>
    <w:rsid w:val="004E2D0B"/>
    <w:rsid w:val="004E4B67"/>
    <w:rsid w:val="004E6419"/>
    <w:rsid w:val="00502516"/>
    <w:rsid w:val="00505F06"/>
    <w:rsid w:val="00506828"/>
    <w:rsid w:val="0053056E"/>
    <w:rsid w:val="00541FCD"/>
    <w:rsid w:val="00552928"/>
    <w:rsid w:val="00554FDA"/>
    <w:rsid w:val="005A53FE"/>
    <w:rsid w:val="005B464F"/>
    <w:rsid w:val="005B6E89"/>
    <w:rsid w:val="005C10B9"/>
    <w:rsid w:val="005C764F"/>
    <w:rsid w:val="005C784C"/>
    <w:rsid w:val="005D17F6"/>
    <w:rsid w:val="005E5539"/>
    <w:rsid w:val="00602BF5"/>
    <w:rsid w:val="00617FDD"/>
    <w:rsid w:val="00620A18"/>
    <w:rsid w:val="00624E58"/>
    <w:rsid w:val="00633614"/>
    <w:rsid w:val="00633F68"/>
    <w:rsid w:val="00636C24"/>
    <w:rsid w:val="00636EB2"/>
    <w:rsid w:val="006375B8"/>
    <w:rsid w:val="0063771E"/>
    <w:rsid w:val="0066510A"/>
    <w:rsid w:val="00672115"/>
    <w:rsid w:val="00673F9F"/>
    <w:rsid w:val="00686953"/>
    <w:rsid w:val="00687DEA"/>
    <w:rsid w:val="00687E67"/>
    <w:rsid w:val="006967F7"/>
    <w:rsid w:val="006A0CBC"/>
    <w:rsid w:val="006A250C"/>
    <w:rsid w:val="006B1070"/>
    <w:rsid w:val="006B21D3"/>
    <w:rsid w:val="006B57D0"/>
    <w:rsid w:val="006D30FF"/>
    <w:rsid w:val="006D6940"/>
    <w:rsid w:val="006F11EC"/>
    <w:rsid w:val="0070082C"/>
    <w:rsid w:val="00714B2B"/>
    <w:rsid w:val="007369E6"/>
    <w:rsid w:val="00740893"/>
    <w:rsid w:val="00746E59"/>
    <w:rsid w:val="00754C9A"/>
    <w:rsid w:val="0075599A"/>
    <w:rsid w:val="007606E9"/>
    <w:rsid w:val="00761D52"/>
    <w:rsid w:val="0077749E"/>
    <w:rsid w:val="00790ADA"/>
    <w:rsid w:val="007D1B78"/>
    <w:rsid w:val="007D2288"/>
    <w:rsid w:val="007E088F"/>
    <w:rsid w:val="007E241F"/>
    <w:rsid w:val="007F2570"/>
    <w:rsid w:val="007F7B32"/>
    <w:rsid w:val="007F7E36"/>
    <w:rsid w:val="00804BC2"/>
    <w:rsid w:val="0081431A"/>
    <w:rsid w:val="0083216F"/>
    <w:rsid w:val="008421C6"/>
    <w:rsid w:val="00860000"/>
    <w:rsid w:val="00863BD3"/>
    <w:rsid w:val="008641ED"/>
    <w:rsid w:val="00864A10"/>
    <w:rsid w:val="00866D66"/>
    <w:rsid w:val="008671C6"/>
    <w:rsid w:val="00875803"/>
    <w:rsid w:val="00875FB9"/>
    <w:rsid w:val="00877C4D"/>
    <w:rsid w:val="00894702"/>
    <w:rsid w:val="008B459E"/>
    <w:rsid w:val="008C1BDD"/>
    <w:rsid w:val="008D0671"/>
    <w:rsid w:val="008E13AE"/>
    <w:rsid w:val="008E1506"/>
    <w:rsid w:val="008E710C"/>
    <w:rsid w:val="008F69D6"/>
    <w:rsid w:val="00902823"/>
    <w:rsid w:val="00913F31"/>
    <w:rsid w:val="00915CA6"/>
    <w:rsid w:val="00927834"/>
    <w:rsid w:val="009500A6"/>
    <w:rsid w:val="00957C18"/>
    <w:rsid w:val="009659BA"/>
    <w:rsid w:val="00965CC6"/>
    <w:rsid w:val="00970E6C"/>
    <w:rsid w:val="00976044"/>
    <w:rsid w:val="00977367"/>
    <w:rsid w:val="009829E8"/>
    <w:rsid w:val="00983040"/>
    <w:rsid w:val="009B3FB9"/>
    <w:rsid w:val="009B7A15"/>
    <w:rsid w:val="009C0EF1"/>
    <w:rsid w:val="009C2465"/>
    <w:rsid w:val="009D35A0"/>
    <w:rsid w:val="009D7EB7"/>
    <w:rsid w:val="009E048A"/>
    <w:rsid w:val="009E08E9"/>
    <w:rsid w:val="009E3DB9"/>
    <w:rsid w:val="009E6E35"/>
    <w:rsid w:val="009F0EDA"/>
    <w:rsid w:val="00A03B96"/>
    <w:rsid w:val="00A05B19"/>
    <w:rsid w:val="00A1134E"/>
    <w:rsid w:val="00A129CF"/>
    <w:rsid w:val="00A15EEF"/>
    <w:rsid w:val="00A24E7E"/>
    <w:rsid w:val="00A258C3"/>
    <w:rsid w:val="00A3164F"/>
    <w:rsid w:val="00A347C0"/>
    <w:rsid w:val="00A41C84"/>
    <w:rsid w:val="00A475B1"/>
    <w:rsid w:val="00A51431"/>
    <w:rsid w:val="00A539AD"/>
    <w:rsid w:val="00A66B08"/>
    <w:rsid w:val="00A94063"/>
    <w:rsid w:val="00AA27CF"/>
    <w:rsid w:val="00AA6219"/>
    <w:rsid w:val="00AA74E0"/>
    <w:rsid w:val="00AB4E6C"/>
    <w:rsid w:val="00AB703F"/>
    <w:rsid w:val="00AC0C4F"/>
    <w:rsid w:val="00AC6BB8"/>
    <w:rsid w:val="00AE008F"/>
    <w:rsid w:val="00AF0C64"/>
    <w:rsid w:val="00AF3D3D"/>
    <w:rsid w:val="00B0113E"/>
    <w:rsid w:val="00B01FCD"/>
    <w:rsid w:val="00B1776C"/>
    <w:rsid w:val="00B435B1"/>
    <w:rsid w:val="00B51374"/>
    <w:rsid w:val="00B52583"/>
    <w:rsid w:val="00B52896"/>
    <w:rsid w:val="00B62039"/>
    <w:rsid w:val="00B638B6"/>
    <w:rsid w:val="00B648D4"/>
    <w:rsid w:val="00B80F9D"/>
    <w:rsid w:val="00B95236"/>
    <w:rsid w:val="00B96BD9"/>
    <w:rsid w:val="00B97854"/>
    <w:rsid w:val="00BA1B01"/>
    <w:rsid w:val="00BA2641"/>
    <w:rsid w:val="00BB1757"/>
    <w:rsid w:val="00BB37AA"/>
    <w:rsid w:val="00BC53A0"/>
    <w:rsid w:val="00BD5729"/>
    <w:rsid w:val="00BE62AD"/>
    <w:rsid w:val="00BE62B7"/>
    <w:rsid w:val="00BF121F"/>
    <w:rsid w:val="00BF1F80"/>
    <w:rsid w:val="00BF71D8"/>
    <w:rsid w:val="00C11228"/>
    <w:rsid w:val="00C166EF"/>
    <w:rsid w:val="00C17EB0"/>
    <w:rsid w:val="00C27F5F"/>
    <w:rsid w:val="00C30A0F"/>
    <w:rsid w:val="00C37E61"/>
    <w:rsid w:val="00C44B90"/>
    <w:rsid w:val="00C51C55"/>
    <w:rsid w:val="00C6023B"/>
    <w:rsid w:val="00C61A99"/>
    <w:rsid w:val="00C70F1B"/>
    <w:rsid w:val="00C71A47"/>
    <w:rsid w:val="00C7464C"/>
    <w:rsid w:val="00C85588"/>
    <w:rsid w:val="00CD6755"/>
    <w:rsid w:val="00CD6856"/>
    <w:rsid w:val="00CE0089"/>
    <w:rsid w:val="00CE793C"/>
    <w:rsid w:val="00CF01D5"/>
    <w:rsid w:val="00CF193C"/>
    <w:rsid w:val="00CF6BE5"/>
    <w:rsid w:val="00D008D0"/>
    <w:rsid w:val="00D173F1"/>
    <w:rsid w:val="00D441D1"/>
    <w:rsid w:val="00D54719"/>
    <w:rsid w:val="00D70999"/>
    <w:rsid w:val="00D74CB0"/>
    <w:rsid w:val="00D803DE"/>
    <w:rsid w:val="00D8295D"/>
    <w:rsid w:val="00DC2A65"/>
    <w:rsid w:val="00DE15F0"/>
    <w:rsid w:val="00DE5663"/>
    <w:rsid w:val="00DE78AA"/>
    <w:rsid w:val="00E053D0"/>
    <w:rsid w:val="00E072D9"/>
    <w:rsid w:val="00E12275"/>
    <w:rsid w:val="00E15994"/>
    <w:rsid w:val="00E3114E"/>
    <w:rsid w:val="00E31A70"/>
    <w:rsid w:val="00E34182"/>
    <w:rsid w:val="00E35B02"/>
    <w:rsid w:val="00E37A9D"/>
    <w:rsid w:val="00E61D32"/>
    <w:rsid w:val="00E66496"/>
    <w:rsid w:val="00E66B35"/>
    <w:rsid w:val="00E66E10"/>
    <w:rsid w:val="00E769F6"/>
    <w:rsid w:val="00E8407C"/>
    <w:rsid w:val="00E84F3C"/>
    <w:rsid w:val="00EA012C"/>
    <w:rsid w:val="00EA4281"/>
    <w:rsid w:val="00EC6A55"/>
    <w:rsid w:val="00ED0288"/>
    <w:rsid w:val="00EE52CB"/>
    <w:rsid w:val="00EF581D"/>
    <w:rsid w:val="00EF7FD8"/>
    <w:rsid w:val="00F06F59"/>
    <w:rsid w:val="00F17988"/>
    <w:rsid w:val="00F17F2B"/>
    <w:rsid w:val="00F469F0"/>
    <w:rsid w:val="00F53273"/>
    <w:rsid w:val="00F755E4"/>
    <w:rsid w:val="00F77D02"/>
    <w:rsid w:val="00FB1E7A"/>
    <w:rsid w:val="00FB3A86"/>
    <w:rsid w:val="00FB7724"/>
    <w:rsid w:val="00FC47ED"/>
    <w:rsid w:val="00FD36C8"/>
    <w:rsid w:val="00FE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C17BA3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57"/>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27AC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E61D32"/>
    <w:pPr>
      <w:ind w:left="720"/>
      <w:contextualSpacing/>
    </w:pPr>
  </w:style>
  <w:style w:type="table" w:customStyle="1" w:styleId="Grilledutableau1">
    <w:name w:val="Grille du tableau1"/>
    <w:basedOn w:val="TableNormal"/>
    <w:next w:val="TableGrid"/>
    <w:uiPriority w:val="39"/>
    <w:rsid w:val="00FC47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1070"/>
    <w:rPr>
      <w:rFonts w:ascii="Times New Roman" w:hAnsi="Times New Roman"/>
      <w:sz w:val="24"/>
      <w:szCs w:val="24"/>
    </w:rPr>
  </w:style>
  <w:style w:type="character" w:customStyle="1" w:styleId="UnresolvedMention">
    <w:name w:val="Unresolved Mention"/>
    <w:basedOn w:val="DefaultParagraphFont"/>
    <w:uiPriority w:val="99"/>
    <w:semiHidden/>
    <w:unhideWhenUsed/>
    <w:rsid w:val="00BB1757"/>
    <w:rPr>
      <w:color w:val="605E5C"/>
      <w:shd w:val="clear" w:color="auto" w:fill="E1DFDD"/>
    </w:rPr>
  </w:style>
  <w:style w:type="character" w:customStyle="1" w:styleId="Heading3Char">
    <w:name w:val="Heading 3 Char"/>
    <w:basedOn w:val="DefaultParagraphFont"/>
    <w:link w:val="Heading3"/>
    <w:semiHidden/>
    <w:rsid w:val="00127AC5"/>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B80F9D"/>
    <w:rPr>
      <w:rFonts w:ascii="Helvetica" w:hAnsi="Helvetica"/>
      <w:b/>
      <w:bCs/>
      <w:lang w:val="en-US" w:eastAsia="en-US"/>
    </w:rPr>
  </w:style>
  <w:style w:type="character" w:customStyle="1" w:styleId="CommentSubjectChar">
    <w:name w:val="Comment Subject Char"/>
    <w:basedOn w:val="CommentTextChar"/>
    <w:link w:val="CommentSubject"/>
    <w:semiHidden/>
    <w:rsid w:val="00B80F9D"/>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79659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5239021">
      <w:bodyDiv w:val="1"/>
      <w:marLeft w:val="0"/>
      <w:marRight w:val="0"/>
      <w:marTop w:val="0"/>
      <w:marBottom w:val="0"/>
      <w:divBdr>
        <w:top w:val="none" w:sz="0" w:space="0" w:color="auto"/>
        <w:left w:val="none" w:sz="0" w:space="0" w:color="auto"/>
        <w:bottom w:val="none" w:sz="0" w:space="0" w:color="auto"/>
        <w:right w:val="none" w:sz="0" w:space="0" w:color="auto"/>
      </w:divBdr>
    </w:div>
    <w:div w:id="52595052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266423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7418226">
      <w:bodyDiv w:val="1"/>
      <w:marLeft w:val="0"/>
      <w:marRight w:val="0"/>
      <w:marTop w:val="0"/>
      <w:marBottom w:val="0"/>
      <w:divBdr>
        <w:top w:val="none" w:sz="0" w:space="0" w:color="auto"/>
        <w:left w:val="none" w:sz="0" w:space="0" w:color="auto"/>
        <w:bottom w:val="none" w:sz="0" w:space="0" w:color="auto"/>
        <w:right w:val="none" w:sz="0" w:space="0" w:color="auto"/>
      </w:divBdr>
    </w:div>
    <w:div w:id="1273780082">
      <w:bodyDiv w:val="1"/>
      <w:marLeft w:val="0"/>
      <w:marRight w:val="0"/>
      <w:marTop w:val="0"/>
      <w:marBottom w:val="0"/>
      <w:divBdr>
        <w:top w:val="none" w:sz="0" w:space="0" w:color="auto"/>
        <w:left w:val="none" w:sz="0" w:space="0" w:color="auto"/>
        <w:bottom w:val="none" w:sz="0" w:space="0" w:color="auto"/>
        <w:right w:val="none" w:sz="0" w:space="0" w:color="auto"/>
      </w:divBdr>
    </w:div>
    <w:div w:id="1309751606">
      <w:bodyDiv w:val="1"/>
      <w:marLeft w:val="0"/>
      <w:marRight w:val="0"/>
      <w:marTop w:val="0"/>
      <w:marBottom w:val="0"/>
      <w:divBdr>
        <w:top w:val="none" w:sz="0" w:space="0" w:color="auto"/>
        <w:left w:val="none" w:sz="0" w:space="0" w:color="auto"/>
        <w:bottom w:val="none" w:sz="0" w:space="0" w:color="auto"/>
        <w:right w:val="none" w:sz="0" w:space="0" w:color="auto"/>
      </w:divBdr>
    </w:div>
    <w:div w:id="1367868635">
      <w:bodyDiv w:val="1"/>
      <w:marLeft w:val="0"/>
      <w:marRight w:val="0"/>
      <w:marTop w:val="0"/>
      <w:marBottom w:val="0"/>
      <w:divBdr>
        <w:top w:val="none" w:sz="0" w:space="0" w:color="auto"/>
        <w:left w:val="none" w:sz="0" w:space="0" w:color="auto"/>
        <w:bottom w:val="none" w:sz="0" w:space="0" w:color="auto"/>
        <w:right w:val="none" w:sz="0" w:space="0" w:color="auto"/>
      </w:divBdr>
    </w:div>
    <w:div w:id="142537432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9739694">
      <w:bodyDiv w:val="1"/>
      <w:marLeft w:val="0"/>
      <w:marRight w:val="0"/>
      <w:marTop w:val="0"/>
      <w:marBottom w:val="0"/>
      <w:divBdr>
        <w:top w:val="none" w:sz="0" w:space="0" w:color="auto"/>
        <w:left w:val="none" w:sz="0" w:space="0" w:color="auto"/>
        <w:bottom w:val="none" w:sz="0" w:space="0" w:color="auto"/>
        <w:right w:val="none" w:sz="0" w:space="0" w:color="auto"/>
      </w:divBdr>
    </w:div>
    <w:div w:id="1823814352">
      <w:bodyDiv w:val="1"/>
      <w:marLeft w:val="0"/>
      <w:marRight w:val="0"/>
      <w:marTop w:val="0"/>
      <w:marBottom w:val="0"/>
      <w:divBdr>
        <w:top w:val="none" w:sz="0" w:space="0" w:color="auto"/>
        <w:left w:val="none" w:sz="0" w:space="0" w:color="auto"/>
        <w:bottom w:val="none" w:sz="0" w:space="0" w:color="auto"/>
        <w:right w:val="none" w:sz="0" w:space="0" w:color="auto"/>
      </w:divBdr>
    </w:div>
    <w:div w:id="1890267606">
      <w:bodyDiv w:val="1"/>
      <w:marLeft w:val="0"/>
      <w:marRight w:val="0"/>
      <w:marTop w:val="0"/>
      <w:marBottom w:val="0"/>
      <w:divBdr>
        <w:top w:val="none" w:sz="0" w:space="0" w:color="auto"/>
        <w:left w:val="none" w:sz="0" w:space="0" w:color="auto"/>
        <w:bottom w:val="none" w:sz="0" w:space="0" w:color="auto"/>
        <w:right w:val="none" w:sz="0" w:space="0" w:color="auto"/>
      </w:divBdr>
    </w:div>
    <w:div w:id="192407280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omments" Target="comments.xm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hart" Target="charts/chart1.xml"/><Relationship Id="rId28"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emf"/><Relationship Id="rId27" Type="http://schemas.openxmlformats.org/officeDocument/2006/relationships/image" Target="media/image5.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essais%202\fICHIER%20EXCEL\donn&#233;es%20climatique%20wapro%20et%20aquastat\courbes%20de%20evapotranspiration%20et%20pluie%20efficace%20et%20besoins%20en%20eau%20%202023%20et%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essais%202\fICHIER%20EXCEL\donn&#233;es%20climatique%20wapro%20et%20aquastat\courbes%20de%20evapotranspiration%20et%20pluie%20efficace%20et%20besoins%20en%20eau%20%202023%20e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essais%202\fICHIER%20EXCEL\compilation%202ans\moyenne%20des%20deux%20ans\ann&#233;e1%20ann&#233;2%20moyenne.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esktop\essais%202\fICHIER%20EXCEL\compilation%202ans\moyenne%20des%20deux%20ans\ann&#233;e1%20ann&#233;2%20moyenn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5949256342957"/>
          <c:y val="0.13757239313757808"/>
          <c:w val="0.71581235981865909"/>
          <c:h val="0.5105056004400893"/>
        </c:manualLayout>
      </c:layout>
      <c:lineChart>
        <c:grouping val="standard"/>
        <c:varyColors val="0"/>
        <c:ser>
          <c:idx val="0"/>
          <c:order val="0"/>
          <c:tx>
            <c:strRef>
              <c:f>'2023'!$C$33</c:f>
              <c:strCache>
                <c:ptCount val="1"/>
                <c:pt idx="0">
                  <c:v>PET/month(mm)</c:v>
                </c:pt>
              </c:strCache>
            </c:strRef>
          </c:tx>
          <c:spPr>
            <a:ln w="15875" cap="rnd">
              <a:solidFill>
                <a:schemeClr val="tx1"/>
              </a:solidFill>
              <a:round/>
            </a:ln>
            <a:effectLst/>
          </c:spPr>
          <c:marker>
            <c:symbol val="circle"/>
            <c:size val="5"/>
            <c:spPr>
              <a:solidFill>
                <a:schemeClr val="tx1"/>
              </a:solidFill>
              <a:ln w="9525">
                <a:solidFill>
                  <a:schemeClr val="tx1"/>
                </a:solidFill>
              </a:ln>
              <a:effectLst/>
            </c:spPr>
          </c:marker>
          <c:cat>
            <c:strRef>
              <c:f>'2023'!$D$32:$G$32</c:f>
              <c:strCache>
                <c:ptCount val="4"/>
                <c:pt idx="0">
                  <c:v>May</c:v>
                </c:pt>
                <c:pt idx="1">
                  <c:v>June</c:v>
                </c:pt>
                <c:pt idx="2">
                  <c:v>July</c:v>
                </c:pt>
                <c:pt idx="3">
                  <c:v>August</c:v>
                </c:pt>
              </c:strCache>
            </c:strRef>
          </c:cat>
          <c:val>
            <c:numRef>
              <c:f>'2023'!$D$33:$G$33</c:f>
              <c:numCache>
                <c:formatCode>0.00</c:formatCode>
                <c:ptCount val="4"/>
                <c:pt idx="0">
                  <c:v>104.8983870967742</c:v>
                </c:pt>
                <c:pt idx="1">
                  <c:v>148.875</c:v>
                </c:pt>
                <c:pt idx="2">
                  <c:v>195.95225806451612</c:v>
                </c:pt>
                <c:pt idx="3">
                  <c:v>118.7651612903226</c:v>
                </c:pt>
              </c:numCache>
            </c:numRef>
          </c:val>
          <c:smooth val="0"/>
          <c:extLst xmlns:c16r2="http://schemas.microsoft.com/office/drawing/2015/06/chart">
            <c:ext xmlns:c16="http://schemas.microsoft.com/office/drawing/2014/chart" uri="{C3380CC4-5D6E-409C-BE32-E72D297353CC}">
              <c16:uniqueId val="{00000000-D167-4A6E-A051-5C81AC1DF4FB}"/>
            </c:ext>
          </c:extLst>
        </c:ser>
        <c:ser>
          <c:idx val="1"/>
          <c:order val="1"/>
          <c:tx>
            <c:strRef>
              <c:f>'2023'!$C$34</c:f>
              <c:strCache>
                <c:ptCount val="1"/>
                <c:pt idx="0">
                  <c:v>Effective rainfall (mm)</c:v>
                </c:pt>
              </c:strCache>
            </c:strRef>
          </c:tx>
          <c:spPr>
            <a:ln w="15875" cap="rnd">
              <a:solidFill>
                <a:schemeClr val="tx1"/>
              </a:solidFill>
              <a:prstDash val="sysDot"/>
              <a:round/>
            </a:ln>
            <a:effectLst/>
          </c:spPr>
          <c:marker>
            <c:symbol val="circle"/>
            <c:size val="5"/>
            <c:spPr>
              <a:solidFill>
                <a:schemeClr val="tx1">
                  <a:alpha val="97000"/>
                </a:schemeClr>
              </a:solidFill>
              <a:ln w="3175">
                <a:solidFill>
                  <a:schemeClr val="tx1"/>
                </a:solidFill>
              </a:ln>
              <a:effectLst/>
            </c:spPr>
          </c:marker>
          <c:cat>
            <c:strRef>
              <c:f>'2023'!$D$32:$G$32</c:f>
              <c:strCache>
                <c:ptCount val="4"/>
                <c:pt idx="0">
                  <c:v>May</c:v>
                </c:pt>
                <c:pt idx="1">
                  <c:v>June</c:v>
                </c:pt>
                <c:pt idx="2">
                  <c:v>July</c:v>
                </c:pt>
                <c:pt idx="3">
                  <c:v>August</c:v>
                </c:pt>
              </c:strCache>
            </c:strRef>
          </c:cat>
          <c:val>
            <c:numRef>
              <c:f>'2023'!$D$34:$G$34</c:f>
              <c:numCache>
                <c:formatCode>0.00</c:formatCode>
                <c:ptCount val="4"/>
                <c:pt idx="0">
                  <c:v>53.3</c:v>
                </c:pt>
                <c:pt idx="1">
                  <c:v>64.5</c:v>
                </c:pt>
                <c:pt idx="2">
                  <c:v>125</c:v>
                </c:pt>
                <c:pt idx="3">
                  <c:v>139.5</c:v>
                </c:pt>
              </c:numCache>
            </c:numRef>
          </c:val>
          <c:smooth val="0"/>
          <c:extLst xmlns:c16r2="http://schemas.microsoft.com/office/drawing/2015/06/chart">
            <c:ext xmlns:c16="http://schemas.microsoft.com/office/drawing/2014/chart" uri="{C3380CC4-5D6E-409C-BE32-E72D297353CC}">
              <c16:uniqueId val="{00000001-D167-4A6E-A051-5C81AC1DF4FB}"/>
            </c:ext>
          </c:extLst>
        </c:ser>
        <c:dLbls>
          <c:showLegendKey val="0"/>
          <c:showVal val="0"/>
          <c:showCatName val="0"/>
          <c:showSerName val="0"/>
          <c:showPercent val="0"/>
          <c:showBubbleSize val="0"/>
        </c:dLbls>
        <c:marker val="1"/>
        <c:smooth val="0"/>
        <c:axId val="-1103313840"/>
        <c:axId val="-1103312208"/>
      </c:lineChart>
      <c:catAx>
        <c:axId val="-1103313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3312208"/>
        <c:crosses val="autoZero"/>
        <c:auto val="1"/>
        <c:lblAlgn val="ctr"/>
        <c:lblOffset val="100"/>
        <c:noMultiLvlLbl val="0"/>
      </c:catAx>
      <c:valAx>
        <c:axId val="-1103312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Water  level (mm)</a:t>
                </a:r>
              </a:p>
            </c:rich>
          </c:tx>
          <c:layout>
            <c:manualLayout>
              <c:xMode val="edge"/>
              <c:yMode val="edge"/>
              <c:x val="1.9693820090670486E-2"/>
              <c:y val="0.214491507108880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3313840"/>
        <c:crosses val="autoZero"/>
        <c:crossBetween val="between"/>
      </c:valAx>
      <c:spPr>
        <a:solidFill>
          <a:schemeClr val="lt1"/>
        </a:solidFill>
        <a:ln w="6350" cap="flat" cmpd="sng" algn="ctr">
          <a:solidFill>
            <a:schemeClr val="dk1"/>
          </a:solidFill>
          <a:prstDash val="solid"/>
        </a:ln>
        <a:effectLst/>
      </c:spPr>
    </c:plotArea>
    <c:legend>
      <c:legendPos val="b"/>
      <c:overlay val="0"/>
      <c:spPr>
        <a:solidFill>
          <a:schemeClr val="lt1"/>
        </a:solidFill>
        <a:ln w="19050" cap="flat" cmpd="sng" algn="ctr">
          <a:solidFill>
            <a:schemeClr val="dk1"/>
          </a:solidFill>
          <a:prstDash val="solid"/>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32435643745345"/>
          <c:y val="0.12967875036840554"/>
          <c:w val="0.82085266039365501"/>
          <c:h val="0.59874219966536013"/>
        </c:manualLayout>
      </c:layout>
      <c:lineChart>
        <c:grouping val="standard"/>
        <c:varyColors val="0"/>
        <c:ser>
          <c:idx val="0"/>
          <c:order val="0"/>
          <c:tx>
            <c:strRef>
              <c:f>'2024'!$F$51</c:f>
              <c:strCache>
                <c:ptCount val="1"/>
                <c:pt idx="0">
                  <c:v>PET/mois (mm)</c:v>
                </c:pt>
              </c:strCache>
            </c:strRef>
          </c:tx>
          <c:spPr>
            <a:ln w="15875" cap="rnd">
              <a:solidFill>
                <a:schemeClr val="tx1">
                  <a:alpha val="95000"/>
                </a:schemeClr>
              </a:solidFill>
              <a:prstDash val="solid"/>
              <a:round/>
            </a:ln>
            <a:effectLst/>
          </c:spPr>
          <c:marker>
            <c:symbol val="circle"/>
            <c:size val="5"/>
            <c:spPr>
              <a:solidFill>
                <a:schemeClr val="tx1"/>
              </a:solidFill>
              <a:ln w="0">
                <a:solidFill>
                  <a:schemeClr val="accent1"/>
                </a:solidFill>
              </a:ln>
              <a:effectLst/>
            </c:spPr>
          </c:marker>
          <c:cat>
            <c:strRef>
              <c:f>'2024'!$G$50:$K$50</c:f>
              <c:strCache>
                <c:ptCount val="5"/>
                <c:pt idx="0">
                  <c:v>July</c:v>
                </c:pt>
                <c:pt idx="1">
                  <c:v>August</c:v>
                </c:pt>
                <c:pt idx="2">
                  <c:v>September</c:v>
                </c:pt>
                <c:pt idx="3">
                  <c:v>October</c:v>
                </c:pt>
                <c:pt idx="4">
                  <c:v>November</c:v>
                </c:pt>
              </c:strCache>
            </c:strRef>
          </c:cat>
          <c:val>
            <c:numRef>
              <c:f>'2024'!$G$51:$K$51</c:f>
              <c:numCache>
                <c:formatCode>0.00</c:formatCode>
                <c:ptCount val="5"/>
                <c:pt idx="0">
                  <c:v>25.947580645161292</c:v>
                </c:pt>
                <c:pt idx="1">
                  <c:v>75.068709677419349</c:v>
                </c:pt>
                <c:pt idx="2">
                  <c:v>113.25966666666666</c:v>
                </c:pt>
                <c:pt idx="3">
                  <c:v>186.17032258064518</c:v>
                </c:pt>
                <c:pt idx="4" formatCode="General">
                  <c:v>94.61066666666666</c:v>
                </c:pt>
              </c:numCache>
            </c:numRef>
          </c:val>
          <c:smooth val="0"/>
          <c:extLst xmlns:c16r2="http://schemas.microsoft.com/office/drawing/2015/06/chart">
            <c:ext xmlns:c16="http://schemas.microsoft.com/office/drawing/2014/chart" uri="{C3380CC4-5D6E-409C-BE32-E72D297353CC}">
              <c16:uniqueId val="{00000000-26B4-4D1A-AA6F-7B003A6B0C45}"/>
            </c:ext>
          </c:extLst>
        </c:ser>
        <c:ser>
          <c:idx val="1"/>
          <c:order val="1"/>
          <c:tx>
            <c:strRef>
              <c:f>'2024'!$F$52</c:f>
              <c:strCache>
                <c:ptCount val="1"/>
                <c:pt idx="0">
                  <c:v>Effective rainfall (mm)</c:v>
                </c:pt>
              </c:strCache>
            </c:strRef>
          </c:tx>
          <c:spPr>
            <a:ln w="15875" cap="sq">
              <a:solidFill>
                <a:schemeClr val="tx1"/>
              </a:solidFill>
              <a:prstDash val="sysDot"/>
              <a:bevel/>
            </a:ln>
            <a:effectLst/>
          </c:spPr>
          <c:marker>
            <c:symbol val="circle"/>
            <c:size val="5"/>
            <c:spPr>
              <a:solidFill>
                <a:schemeClr val="tx1"/>
              </a:solidFill>
              <a:ln w="3175" cap="sq">
                <a:solidFill>
                  <a:schemeClr val="tx1"/>
                </a:solidFill>
                <a:bevel/>
              </a:ln>
              <a:effectLst/>
            </c:spPr>
          </c:marker>
          <c:cat>
            <c:strRef>
              <c:f>'2024'!$G$50:$K$50</c:f>
              <c:strCache>
                <c:ptCount val="5"/>
                <c:pt idx="0">
                  <c:v>July</c:v>
                </c:pt>
                <c:pt idx="1">
                  <c:v>August</c:v>
                </c:pt>
                <c:pt idx="2">
                  <c:v>September</c:v>
                </c:pt>
                <c:pt idx="3">
                  <c:v>October</c:v>
                </c:pt>
                <c:pt idx="4">
                  <c:v>November</c:v>
                </c:pt>
              </c:strCache>
            </c:strRef>
          </c:cat>
          <c:val>
            <c:numRef>
              <c:f>'2024'!$G$52:$K$52</c:f>
              <c:numCache>
                <c:formatCode>#\ ##0.00_ ;\-#\ ##0.00\ </c:formatCode>
                <c:ptCount val="5"/>
                <c:pt idx="0" formatCode="0.00">
                  <c:v>144.1</c:v>
                </c:pt>
                <c:pt idx="1">
                  <c:v>152.80000000000001</c:v>
                </c:pt>
                <c:pt idx="2">
                  <c:v>123.6</c:v>
                </c:pt>
                <c:pt idx="3" formatCode="0.00">
                  <c:v>54.5</c:v>
                </c:pt>
                <c:pt idx="4" formatCode="General">
                  <c:v>0</c:v>
                </c:pt>
              </c:numCache>
            </c:numRef>
          </c:val>
          <c:smooth val="0"/>
          <c:extLst xmlns:c16r2="http://schemas.microsoft.com/office/drawing/2015/06/chart">
            <c:ext xmlns:c16="http://schemas.microsoft.com/office/drawing/2014/chart" uri="{C3380CC4-5D6E-409C-BE32-E72D297353CC}">
              <c16:uniqueId val="{00000001-26B4-4D1A-AA6F-7B003A6B0C45}"/>
            </c:ext>
          </c:extLst>
        </c:ser>
        <c:dLbls>
          <c:showLegendKey val="0"/>
          <c:showVal val="0"/>
          <c:showCatName val="0"/>
          <c:showSerName val="0"/>
          <c:showPercent val="0"/>
          <c:showBubbleSize val="0"/>
        </c:dLbls>
        <c:marker val="1"/>
        <c:smooth val="0"/>
        <c:axId val="-1103311120"/>
        <c:axId val="-1103310576"/>
      </c:lineChart>
      <c:catAx>
        <c:axId val="-1103311120"/>
        <c:scaling>
          <c:orientation val="minMax"/>
        </c:scaling>
        <c:delete val="0"/>
        <c:axPos val="b"/>
        <c:numFmt formatCode="General" sourceLinked="1"/>
        <c:majorTickMark val="out"/>
        <c:minorTickMark val="none"/>
        <c:tickLblPos val="nextTo"/>
        <c:spPr>
          <a:noFill/>
          <a:ln w="9525" cap="flat" cmpd="sng" algn="ctr">
            <a:solidFill>
              <a:schemeClr val="tx1">
                <a:alpha val="88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3310576"/>
        <c:crosses val="autoZero"/>
        <c:auto val="1"/>
        <c:lblAlgn val="ctr"/>
        <c:lblOffset val="100"/>
        <c:tickLblSkip val="1"/>
        <c:noMultiLvlLbl val="0"/>
      </c:catAx>
      <c:valAx>
        <c:axId val="-1103310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water level</a:t>
                </a:r>
                <a:r>
                  <a:rPr lang="en-US" baseline="0"/>
                  <a:t> </a:t>
                </a:r>
                <a:r>
                  <a:rPr lang="en-US"/>
                  <a:t>(mm)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3311120"/>
        <c:crosses val="autoZero"/>
        <c:crossBetween val="between"/>
        <c:majorUnit val="50"/>
      </c:valAx>
      <c:spPr>
        <a:noFill/>
        <a:ln>
          <a:solidFill>
            <a:schemeClr val="tx1"/>
          </a:solidFill>
          <a:prstDash val="solid"/>
        </a:ln>
        <a:effectLst/>
      </c:spPr>
    </c:plotArea>
    <c:legend>
      <c:legendPos val="b"/>
      <c:overlay val="0"/>
      <c:spPr>
        <a:solidFill>
          <a:schemeClr val="lt1"/>
        </a:solidFill>
        <a:ln w="19050" cap="flat" cmpd="sng" algn="ctr">
          <a:solidFill>
            <a:schemeClr val="dk1"/>
          </a:solidFill>
          <a:prstDash val="solid"/>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87684890891097"/>
          <c:y val="0.14375968992248064"/>
          <c:w val="0.6418512001037836"/>
          <c:h val="0.46948177989379225"/>
        </c:manualLayout>
      </c:layout>
      <c:barChart>
        <c:barDir val="col"/>
        <c:grouping val="clustered"/>
        <c:varyColors val="0"/>
        <c:ser>
          <c:idx val="0"/>
          <c:order val="0"/>
          <c:tx>
            <c:strRef>
              <c:f>Rendement!$E$34</c:f>
              <c:strCache>
                <c:ptCount val="1"/>
                <c:pt idx="0">
                  <c:v>Yield(t/ha)</c:v>
                </c:pt>
              </c:strCache>
            </c:strRef>
          </c:tx>
          <c:spPr>
            <a:pattFill prst="pct5">
              <a:fgClr>
                <a:schemeClr val="tx1"/>
              </a:fgClr>
              <a:bgClr>
                <a:schemeClr val="bg1"/>
              </a:bgClr>
            </a:pattFill>
            <a:ln>
              <a:solidFill>
                <a:schemeClr val="tx1"/>
              </a:solidFill>
            </a:ln>
            <a:effectLst/>
          </c:spPr>
          <c:invertIfNegative val="0"/>
          <c:cat>
            <c:strRef>
              <c:f>Rendement!$D$35:$D$43</c:f>
              <c:strCache>
                <c:ptCount val="9"/>
                <c:pt idx="0">
                  <c:v>C10+D100</c:v>
                </c:pt>
                <c:pt idx="1">
                  <c:v>C5+D100</c:v>
                </c:pt>
                <c:pt idx="2">
                  <c:v>C0+D100</c:v>
                </c:pt>
                <c:pt idx="3">
                  <c:v>C10+D75</c:v>
                </c:pt>
                <c:pt idx="4">
                  <c:v>C5+D75</c:v>
                </c:pt>
                <c:pt idx="5">
                  <c:v>C0+D75</c:v>
                </c:pt>
                <c:pt idx="6">
                  <c:v>C10+D50</c:v>
                </c:pt>
                <c:pt idx="7">
                  <c:v>C5+D50</c:v>
                </c:pt>
                <c:pt idx="8">
                  <c:v>C0+D50</c:v>
                </c:pt>
              </c:strCache>
            </c:strRef>
          </c:cat>
          <c:val>
            <c:numRef>
              <c:f>Rendement!$E$35:$E$43</c:f>
              <c:numCache>
                <c:formatCode>General</c:formatCode>
                <c:ptCount val="9"/>
                <c:pt idx="0">
                  <c:v>19.3</c:v>
                </c:pt>
                <c:pt idx="1">
                  <c:v>20.3</c:v>
                </c:pt>
                <c:pt idx="2">
                  <c:v>15.1</c:v>
                </c:pt>
                <c:pt idx="3">
                  <c:v>27.9</c:v>
                </c:pt>
                <c:pt idx="4">
                  <c:v>38.6</c:v>
                </c:pt>
                <c:pt idx="5">
                  <c:v>21.2</c:v>
                </c:pt>
                <c:pt idx="6">
                  <c:v>19.399999999999999</c:v>
                </c:pt>
                <c:pt idx="7">
                  <c:v>22.7</c:v>
                </c:pt>
                <c:pt idx="8">
                  <c:v>23.8</c:v>
                </c:pt>
              </c:numCache>
            </c:numRef>
          </c:val>
          <c:extLst xmlns:c16r2="http://schemas.microsoft.com/office/drawing/2015/06/chart">
            <c:ext xmlns:c16="http://schemas.microsoft.com/office/drawing/2014/chart" uri="{C3380CC4-5D6E-409C-BE32-E72D297353CC}">
              <c16:uniqueId val="{00000000-9EFA-43E6-9F8B-84963BED1104}"/>
            </c:ext>
          </c:extLst>
        </c:ser>
        <c:dLbls>
          <c:showLegendKey val="0"/>
          <c:showVal val="0"/>
          <c:showCatName val="0"/>
          <c:showSerName val="0"/>
          <c:showPercent val="0"/>
          <c:showBubbleSize val="0"/>
        </c:dLbls>
        <c:gapWidth val="219"/>
        <c:overlap val="-27"/>
        <c:axId val="-1103302960"/>
        <c:axId val="-1103305136"/>
      </c:barChart>
      <c:catAx>
        <c:axId val="-1103302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3305136"/>
        <c:crosses val="autoZero"/>
        <c:auto val="1"/>
        <c:lblAlgn val="ctr"/>
        <c:lblOffset val="100"/>
        <c:noMultiLvlLbl val="0"/>
      </c:catAx>
      <c:valAx>
        <c:axId val="-110330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yield(t/ha)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3302960"/>
        <c:crosses val="autoZero"/>
        <c:crossBetween val="between"/>
        <c:majorUnit val="10"/>
      </c:valAx>
      <c:spPr>
        <a:solidFill>
          <a:schemeClr val="lt1"/>
        </a:solidFill>
        <a:ln w="12700" cap="flat" cmpd="sng" algn="ctr">
          <a:solidFill>
            <a:schemeClr val="dk1"/>
          </a:solidFill>
          <a:prstDash val="solid"/>
          <a:miter lim="800000"/>
        </a:ln>
        <a:effectLst/>
      </c:spPr>
    </c:plotArea>
    <c:legend>
      <c:legendPos val="r"/>
      <c:layout>
        <c:manualLayout>
          <c:xMode val="edge"/>
          <c:yMode val="edge"/>
          <c:x val="0.27896889585634377"/>
          <c:y val="0.86879101800289604"/>
          <c:w val="0.19336231161150103"/>
          <c:h val="8.37055420679917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48381452318459"/>
          <c:y val="0.12078703703703704"/>
          <c:w val="0.63673359580052491"/>
          <c:h val="0.54225138524351124"/>
        </c:manualLayout>
      </c:layout>
      <c:barChart>
        <c:barDir val="col"/>
        <c:grouping val="clustered"/>
        <c:varyColors val="0"/>
        <c:ser>
          <c:idx val="0"/>
          <c:order val="0"/>
          <c:tx>
            <c:strRef>
              <c:f>Rendement!$F$34</c:f>
              <c:strCache>
                <c:ptCount val="1"/>
                <c:pt idx="0">
                  <c:v>Yield(t/ha)</c:v>
                </c:pt>
              </c:strCache>
            </c:strRef>
          </c:tx>
          <c:spPr>
            <a:pattFill prst="pct5">
              <a:fgClr>
                <a:schemeClr val="tx1"/>
              </a:fgClr>
              <a:bgClr>
                <a:schemeClr val="bg1"/>
              </a:bgClr>
            </a:pattFill>
            <a:ln>
              <a:solidFill>
                <a:schemeClr val="tx1"/>
              </a:solidFill>
            </a:ln>
            <a:effectLst/>
          </c:spPr>
          <c:invertIfNegative val="0"/>
          <c:cat>
            <c:strRef>
              <c:f>Rendement!$D$35:$D$43</c:f>
              <c:strCache>
                <c:ptCount val="9"/>
                <c:pt idx="0">
                  <c:v>C10+D100</c:v>
                </c:pt>
                <c:pt idx="1">
                  <c:v>C5+D100</c:v>
                </c:pt>
                <c:pt idx="2">
                  <c:v>C0+D100</c:v>
                </c:pt>
                <c:pt idx="3">
                  <c:v>C10+D75</c:v>
                </c:pt>
                <c:pt idx="4">
                  <c:v>C5+D75</c:v>
                </c:pt>
                <c:pt idx="5">
                  <c:v>C0+D75</c:v>
                </c:pt>
                <c:pt idx="6">
                  <c:v>C10+D50</c:v>
                </c:pt>
                <c:pt idx="7">
                  <c:v>C5+D50</c:v>
                </c:pt>
                <c:pt idx="8">
                  <c:v>C0+D50</c:v>
                </c:pt>
              </c:strCache>
            </c:strRef>
          </c:cat>
          <c:val>
            <c:numRef>
              <c:f>Rendement!$F$35:$F$43</c:f>
              <c:numCache>
                <c:formatCode>General</c:formatCode>
                <c:ptCount val="9"/>
                <c:pt idx="0">
                  <c:v>31.65</c:v>
                </c:pt>
                <c:pt idx="1">
                  <c:v>30.89</c:v>
                </c:pt>
                <c:pt idx="2">
                  <c:v>26.2</c:v>
                </c:pt>
                <c:pt idx="3">
                  <c:v>30.81</c:v>
                </c:pt>
                <c:pt idx="4">
                  <c:v>31.1</c:v>
                </c:pt>
                <c:pt idx="5">
                  <c:v>29.26</c:v>
                </c:pt>
                <c:pt idx="6">
                  <c:v>28.96</c:v>
                </c:pt>
                <c:pt idx="7">
                  <c:v>25.14</c:v>
                </c:pt>
                <c:pt idx="8">
                  <c:v>26.98</c:v>
                </c:pt>
              </c:numCache>
            </c:numRef>
          </c:val>
          <c:extLst xmlns:c16r2="http://schemas.microsoft.com/office/drawing/2015/06/chart">
            <c:ext xmlns:c16="http://schemas.microsoft.com/office/drawing/2014/chart" uri="{C3380CC4-5D6E-409C-BE32-E72D297353CC}">
              <c16:uniqueId val="{00000000-3D39-4225-96F8-374597C9DDEB}"/>
            </c:ext>
          </c:extLst>
        </c:ser>
        <c:dLbls>
          <c:showLegendKey val="0"/>
          <c:showVal val="0"/>
          <c:showCatName val="0"/>
          <c:showSerName val="0"/>
          <c:showPercent val="0"/>
          <c:showBubbleSize val="0"/>
        </c:dLbls>
        <c:gapWidth val="219"/>
        <c:overlap val="-27"/>
        <c:axId val="-1095661888"/>
        <c:axId val="-1095656992"/>
      </c:barChart>
      <c:catAx>
        <c:axId val="-1095661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Treaments</a:t>
                </a:r>
              </a:p>
            </c:rich>
          </c:tx>
          <c:layout>
            <c:manualLayout>
              <c:xMode val="edge"/>
              <c:yMode val="edge"/>
              <c:x val="0.44162139107611542"/>
              <c:y val="0.827754447360746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5656992"/>
        <c:crosses val="autoZero"/>
        <c:auto val="1"/>
        <c:lblAlgn val="ctr"/>
        <c:lblOffset val="100"/>
        <c:noMultiLvlLbl val="0"/>
      </c:catAx>
      <c:valAx>
        <c:axId val="-1095656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yield (t/ha)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5661888"/>
        <c:crosses val="autoZero"/>
        <c:crossBetween val="between"/>
        <c:majorUnit val="10"/>
      </c:valAx>
      <c:spPr>
        <a:solidFill>
          <a:schemeClr val="lt1"/>
        </a:solidFill>
        <a:ln w="12700" cap="flat" cmpd="sng" algn="ctr">
          <a:solidFill>
            <a:schemeClr val="dk1"/>
          </a:solidFill>
          <a:prstDash val="solid"/>
          <a:miter lim="800000"/>
        </a:ln>
        <a:effectLst/>
      </c:spPr>
    </c:plotArea>
    <c:legend>
      <c:legendPos val="r"/>
      <c:layout>
        <c:manualLayout>
          <c:xMode val="edge"/>
          <c:yMode val="edge"/>
          <c:x val="0.28166185476815397"/>
          <c:y val="0.89633056284631085"/>
          <c:w val="0.1516714785651793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0.70475</cdr:x>
      <cdr:y>0.15611</cdr:y>
    </cdr:from>
    <cdr:to>
      <cdr:x>0.80656</cdr:x>
      <cdr:y>0.24016</cdr:y>
    </cdr:to>
    <cdr:sp macro="" textlink="">
      <cdr:nvSpPr>
        <cdr:cNvPr id="2" name="Zone de texte 1"/>
        <cdr:cNvSpPr txBox="1"/>
      </cdr:nvSpPr>
      <cdr:spPr>
        <a:xfrm xmlns:a="http://schemas.openxmlformats.org/drawingml/2006/main">
          <a:off x="2967036" y="433388"/>
          <a:ext cx="428625" cy="233362"/>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fr-FR" sz="1100" kern="1200"/>
            <a:t>(a)</a:t>
          </a:r>
          <a:endParaRPr lang="x-none" sz="1100" kern="12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7782A5-782C-439E-B810-2E14134DA04A}">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88C99-AC57-48E4-B0BC-2F52045F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76</TotalTime>
  <Pages>21</Pages>
  <Words>6368</Words>
  <Characters>36304</Characters>
  <Application>Microsoft Office Word</Application>
  <DocSecurity>0</DocSecurity>
  <Lines>302</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42587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Zinox</cp:lastModifiedBy>
  <cp:revision>30</cp:revision>
  <cp:lastPrinted>1999-07-06T11:00:00Z</cp:lastPrinted>
  <dcterms:created xsi:type="dcterms:W3CDTF">2025-06-22T09:02:00Z</dcterms:created>
  <dcterms:modified xsi:type="dcterms:W3CDTF">2025-06-22T10:18:00Z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93c9709a-b7ab-4b41-bf47-f2c4425d7f78</vt:lpwstr>
  </property>
</Properties>
</file>