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F41AD" w14:textId="37695DA7" w:rsidR="008E15AF" w:rsidRPr="008E15AF" w:rsidRDefault="008E15AF" w:rsidP="00D613FD">
      <w:pPr>
        <w:jc w:val="center"/>
        <w:rPr>
          <w:rFonts w:ascii="Times New Roman" w:hAnsi="Times New Roman" w:cs="Times New Roman"/>
          <w:b/>
          <w:bCs/>
          <w:sz w:val="28"/>
          <w:szCs w:val="28"/>
          <w:u w:val="single"/>
        </w:rPr>
      </w:pPr>
      <w:r w:rsidRPr="008E15AF">
        <w:rPr>
          <w:rFonts w:ascii="Times New Roman" w:hAnsi="Times New Roman" w:cs="Times New Roman"/>
          <w:b/>
          <w:bCs/>
          <w:sz w:val="28"/>
          <w:szCs w:val="28"/>
          <w:u w:val="single"/>
        </w:rPr>
        <w:t>Original Research Article</w:t>
      </w:r>
    </w:p>
    <w:p w14:paraId="39B34480" w14:textId="2C5ECB60" w:rsidR="005D0812" w:rsidRPr="00487253" w:rsidRDefault="00C54237" w:rsidP="00487253">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E3175F" w:rsidRPr="00487253">
        <w:rPr>
          <w:rFonts w:ascii="Times New Roman" w:hAnsi="Times New Roman" w:cs="Times New Roman"/>
          <w:b/>
          <w:bCs/>
          <w:sz w:val="28"/>
          <w:szCs w:val="28"/>
          <w:highlight w:val="red"/>
        </w:rPr>
        <w:t>Assessment of the Socio-Economic Impact and Farmer</w:t>
      </w:r>
      <w:r w:rsidR="00721BA2" w:rsidRPr="00487253">
        <w:rPr>
          <w:rFonts w:ascii="Times New Roman" w:hAnsi="Times New Roman" w:cs="Times New Roman"/>
          <w:b/>
          <w:bCs/>
          <w:sz w:val="28"/>
          <w:szCs w:val="28"/>
          <w:highlight w:val="red"/>
        </w:rPr>
        <w:t>’</w:t>
      </w:r>
      <w:r w:rsidR="00E3175F" w:rsidRPr="00487253">
        <w:rPr>
          <w:rFonts w:ascii="Times New Roman" w:hAnsi="Times New Roman" w:cs="Times New Roman"/>
          <w:b/>
          <w:bCs/>
          <w:sz w:val="28"/>
          <w:szCs w:val="28"/>
          <w:highlight w:val="red"/>
        </w:rPr>
        <w:t>s Awareness of the PM KUSUM Scheme (Component B) in Uttar Pradesh</w:t>
      </w:r>
      <w:r w:rsidR="006F356A" w:rsidRPr="00487253">
        <w:rPr>
          <w:rFonts w:ascii="Times New Roman" w:hAnsi="Times New Roman" w:cs="Times New Roman"/>
          <w:b/>
          <w:bCs/>
          <w:sz w:val="28"/>
          <w:szCs w:val="28"/>
          <w:highlight w:val="red"/>
        </w:rPr>
        <w:t>, India</w:t>
      </w:r>
    </w:p>
    <w:p w14:paraId="4364042C" w14:textId="5138E258" w:rsidR="007E34C5" w:rsidRPr="00487253" w:rsidRDefault="00487253" w:rsidP="00487253">
      <w:pPr>
        <w:spacing w:after="0"/>
        <w:jc w:val="center"/>
        <w:rPr>
          <w:rFonts w:ascii="Times New Roman" w:hAnsi="Times New Roman" w:cs="Times New Roman"/>
          <w:b/>
          <w:sz w:val="24"/>
          <w:szCs w:val="24"/>
        </w:rPr>
      </w:pPr>
      <w:r w:rsidRPr="00487253">
        <w:rPr>
          <w:rFonts w:ascii="Times New Roman" w:hAnsi="Times New Roman" w:cs="Times New Roman"/>
          <w:b/>
          <w:sz w:val="24"/>
          <w:szCs w:val="24"/>
          <w:highlight w:val="green"/>
        </w:rPr>
        <w:t>Assessment of the Socio-Economic Impact and Farmer’s Awareness of Solar Irrigation Farming: A Case of PM KUSUM Scheme (Component B) in Uttar Pradesh, India</w:t>
      </w:r>
    </w:p>
    <w:p w14:paraId="159F6FF7" w14:textId="77777777" w:rsidR="00487253" w:rsidRDefault="00487253">
      <w:pPr>
        <w:rPr>
          <w:rFonts w:ascii="Times New Roman" w:hAnsi="Times New Roman" w:cs="Times New Roman"/>
          <w:b/>
          <w:bCs/>
          <w:sz w:val="24"/>
          <w:szCs w:val="24"/>
        </w:rPr>
      </w:pPr>
    </w:p>
    <w:p w14:paraId="666AD8CE" w14:textId="544CEB76" w:rsidR="00F12684" w:rsidRPr="000D5886" w:rsidRDefault="001D5DDA">
      <w:pPr>
        <w:rPr>
          <w:rFonts w:ascii="Times New Roman" w:hAnsi="Times New Roman" w:cs="Times New Roman"/>
          <w:b/>
          <w:bCs/>
          <w:sz w:val="24"/>
          <w:szCs w:val="24"/>
        </w:rPr>
      </w:pPr>
      <w:r w:rsidRPr="000D5886">
        <w:rPr>
          <w:rFonts w:ascii="Times New Roman" w:hAnsi="Times New Roman" w:cs="Times New Roman"/>
          <w:b/>
          <w:bCs/>
          <w:sz w:val="24"/>
          <w:szCs w:val="24"/>
        </w:rPr>
        <w:t>ABSTRACT</w:t>
      </w:r>
    </w:p>
    <w:p w14:paraId="7AAA1709" w14:textId="7FFA95CD" w:rsidR="00527D5D" w:rsidRDefault="00527D5D" w:rsidP="00527D5D">
      <w:pPr>
        <w:jc w:val="both"/>
        <w:rPr>
          <w:rFonts w:ascii="Times New Roman" w:hAnsi="Times New Roman" w:cs="Times New Roman"/>
          <w:sz w:val="24"/>
          <w:szCs w:val="24"/>
        </w:rPr>
      </w:pPr>
      <w:r w:rsidRPr="00527D5D">
        <w:rPr>
          <w:rFonts w:ascii="Times New Roman" w:hAnsi="Times New Roman" w:cs="Times New Roman"/>
          <w:sz w:val="24"/>
          <w:szCs w:val="24"/>
        </w:rPr>
        <w:t>Solar irrigation pumps are a major advancement in agricultural technology, offering farmers a sustainable solution to irrigation while reducing dependence on conventional energy sources. In India, small and marginal farmers often face financial and climatic challenges, limiting the adoption of such innovations. Despite government support through the PM-KUSUM Scheme (Component B), uptake remains modest due to financial constraints and low awareness. This study examines the socio-economic factors influencing the awareness and adoption of solar pumps. Illiteracy, influenced by factors such as gender, age, caste, and family structure, remains widespread</w:t>
      </w:r>
      <w:r>
        <w:rPr>
          <w:rFonts w:ascii="Times New Roman" w:hAnsi="Times New Roman" w:cs="Times New Roman"/>
          <w:sz w:val="24"/>
          <w:szCs w:val="24"/>
        </w:rPr>
        <w:t xml:space="preserve">, </w:t>
      </w:r>
      <w:r w:rsidRPr="00527D5D">
        <w:rPr>
          <w:rFonts w:ascii="Times New Roman" w:hAnsi="Times New Roman" w:cs="Times New Roman"/>
          <w:sz w:val="24"/>
          <w:szCs w:val="24"/>
        </w:rPr>
        <w:t>especially among females, lower castes, and joint families. Income levels of both illiterate and graduate farmers were similar, suggesting that income is tied more to access to resources than education. Awareness of the scheme was spread mainly through friends and relatives (30.95%), agricultural officers (27.38%), and social media (22.62%). While many farmers understood the procedures, technical knowledge</w:t>
      </w:r>
      <w:r w:rsidR="00D93762">
        <w:rPr>
          <w:rFonts w:ascii="Times New Roman" w:hAnsi="Times New Roman" w:cs="Times New Roman"/>
          <w:sz w:val="24"/>
          <w:szCs w:val="24"/>
        </w:rPr>
        <w:t xml:space="preserve">, </w:t>
      </w:r>
      <w:r w:rsidRPr="00527D5D">
        <w:rPr>
          <w:rFonts w:ascii="Times New Roman" w:hAnsi="Times New Roman" w:cs="Times New Roman"/>
          <w:sz w:val="24"/>
          <w:szCs w:val="24"/>
        </w:rPr>
        <w:t>especially regarding solar panel maintenance</w:t>
      </w:r>
      <w:r w:rsidR="00D93762">
        <w:rPr>
          <w:rFonts w:ascii="Times New Roman" w:hAnsi="Times New Roman" w:cs="Times New Roman"/>
          <w:sz w:val="24"/>
          <w:szCs w:val="24"/>
        </w:rPr>
        <w:t xml:space="preserve">, </w:t>
      </w:r>
      <w:r w:rsidRPr="00527D5D">
        <w:rPr>
          <w:rFonts w:ascii="Times New Roman" w:hAnsi="Times New Roman" w:cs="Times New Roman"/>
          <w:sz w:val="24"/>
          <w:szCs w:val="24"/>
        </w:rPr>
        <w:t>was lacking. Binary logistic regression showed occupation, landholding size, caste, and education as key adoption factors. The study emphasizes the need for targeted outreach to smallholders through mass media, fairs, meetings, and demonstrations.</w:t>
      </w:r>
    </w:p>
    <w:p w14:paraId="4D838EB7" w14:textId="144250CE" w:rsidR="001D5DDA" w:rsidRPr="00AF51E2" w:rsidRDefault="000F4130">
      <w:pPr>
        <w:rPr>
          <w:rFonts w:ascii="Times New Roman" w:hAnsi="Times New Roman" w:cs="Times New Roman"/>
          <w:b/>
          <w:bCs/>
          <w:i/>
          <w:iCs/>
        </w:rPr>
      </w:pPr>
      <w:r w:rsidRPr="00AF51E2">
        <w:rPr>
          <w:rFonts w:ascii="Times New Roman" w:hAnsi="Times New Roman" w:cs="Times New Roman"/>
          <w:b/>
          <w:bCs/>
          <w:i/>
          <w:iCs/>
        </w:rPr>
        <w:t>Keywords: Solar irrigation pump</w:t>
      </w:r>
      <w:r w:rsidR="00CD315C" w:rsidRPr="00AF51E2">
        <w:rPr>
          <w:rFonts w:ascii="Times New Roman" w:hAnsi="Times New Roman" w:cs="Times New Roman"/>
          <w:b/>
          <w:bCs/>
          <w:i/>
          <w:iCs/>
        </w:rPr>
        <w:t xml:space="preserve">; PM KUSUM scheme; Socio-economics; Binary logit </w:t>
      </w:r>
      <w:r w:rsidR="00C46B9D" w:rsidRPr="00AF51E2">
        <w:rPr>
          <w:rFonts w:ascii="Times New Roman" w:hAnsi="Times New Roman" w:cs="Times New Roman"/>
          <w:b/>
          <w:bCs/>
          <w:i/>
          <w:iCs/>
        </w:rPr>
        <w:t>mode</w:t>
      </w:r>
      <w:r w:rsidR="004109D5" w:rsidRPr="00AF51E2">
        <w:rPr>
          <w:rFonts w:ascii="Times New Roman" w:hAnsi="Times New Roman" w:cs="Times New Roman"/>
          <w:b/>
          <w:bCs/>
          <w:i/>
          <w:iCs/>
        </w:rPr>
        <w:t>l</w:t>
      </w:r>
    </w:p>
    <w:p w14:paraId="5774EBAB" w14:textId="7E9C47F6" w:rsidR="0011496C" w:rsidRPr="00DB22E3" w:rsidRDefault="00B8581A" w:rsidP="00E924A3">
      <w:pPr>
        <w:rPr>
          <w:rFonts w:ascii="Times New Roman" w:hAnsi="Times New Roman" w:cs="Times New Roman"/>
          <w:b/>
          <w:bCs/>
          <w:sz w:val="24"/>
          <w:szCs w:val="24"/>
        </w:rPr>
      </w:pPr>
      <w:r w:rsidRPr="00DB22E3">
        <w:rPr>
          <w:rFonts w:ascii="Times New Roman" w:hAnsi="Times New Roman" w:cs="Times New Roman"/>
          <w:b/>
          <w:bCs/>
          <w:sz w:val="24"/>
          <w:szCs w:val="24"/>
        </w:rPr>
        <w:t>INTRODUCTION</w:t>
      </w:r>
    </w:p>
    <w:p w14:paraId="06310D9C" w14:textId="3BADEB48" w:rsidR="0019260A" w:rsidRPr="00DB22E3" w:rsidRDefault="00336658" w:rsidP="0019260A">
      <w:pPr>
        <w:spacing w:line="240" w:lineRule="auto"/>
        <w:ind w:firstLine="720"/>
        <w:jc w:val="both"/>
        <w:rPr>
          <w:rFonts w:ascii="Times New Roman" w:hAnsi="Times New Roman" w:cs="Times New Roman"/>
          <w:sz w:val="24"/>
          <w:szCs w:val="24"/>
        </w:rPr>
      </w:pPr>
      <w:r w:rsidRPr="00DB22E3">
        <w:rPr>
          <w:rFonts w:ascii="Times New Roman" w:hAnsi="Times New Roman" w:cs="Times New Roman"/>
          <w:sz w:val="24"/>
          <w:szCs w:val="24"/>
        </w:rPr>
        <w:t>In the era of technology, agriculture is the backbone of India's economy, which continues to evolve with innovative solutions to improve productivity and sustainability.</w:t>
      </w:r>
      <w:r w:rsidRPr="00DB22E3">
        <w:rPr>
          <w:rFonts w:ascii="Times New Roman" w:hAnsi="Times New Roman" w:cs="Times New Roman"/>
          <w:b/>
          <w:bCs/>
          <w:i/>
          <w:iCs/>
          <w:sz w:val="24"/>
          <w:szCs w:val="24"/>
        </w:rPr>
        <w:t xml:space="preserve"> </w:t>
      </w:r>
      <w:r w:rsidRPr="00DB22E3">
        <w:rPr>
          <w:rFonts w:ascii="Times New Roman" w:hAnsi="Times New Roman" w:cs="Times New Roman"/>
          <w:sz w:val="24"/>
          <w:szCs w:val="24"/>
        </w:rPr>
        <w:t xml:space="preserve">Agriculture contributes 16% of the country’s GDP at current prices and employs nearly 46.1 percent of the country's workforce </w:t>
      </w:r>
      <w:r w:rsidRPr="00DB22E3">
        <w:rPr>
          <w:rFonts w:ascii="Times New Roman" w:hAnsi="Times New Roman" w:cs="Times New Roman"/>
          <w:b/>
          <w:bCs/>
          <w:i/>
          <w:iCs/>
          <w:sz w:val="24"/>
          <w:szCs w:val="24"/>
        </w:rPr>
        <w:t>(Economic Survey 2024-25)</w:t>
      </w:r>
      <w:r w:rsidRPr="00DB22E3">
        <w:rPr>
          <w:rFonts w:ascii="Times New Roman" w:hAnsi="Times New Roman" w:cs="Times New Roman"/>
          <w:b/>
          <w:bCs/>
          <w:sz w:val="24"/>
          <w:szCs w:val="24"/>
        </w:rPr>
        <w:t xml:space="preserve">. </w:t>
      </w:r>
      <w:r w:rsidR="00345510" w:rsidRPr="00DB22E3">
        <w:rPr>
          <w:rFonts w:ascii="Times New Roman" w:hAnsi="Times New Roman" w:cs="Times New Roman"/>
          <w:sz w:val="24"/>
          <w:szCs w:val="24"/>
        </w:rPr>
        <w:t xml:space="preserve">As per the </w:t>
      </w:r>
      <w:r w:rsidR="00345510" w:rsidRPr="00C87C53">
        <w:rPr>
          <w:rFonts w:ascii="Times New Roman" w:hAnsi="Times New Roman" w:cs="Times New Roman"/>
          <w:sz w:val="24"/>
          <w:szCs w:val="24"/>
          <w:highlight w:val="red"/>
        </w:rPr>
        <w:t>FAO</w:t>
      </w:r>
      <w:r w:rsidR="00C87C53">
        <w:rPr>
          <w:rFonts w:ascii="Times New Roman" w:hAnsi="Times New Roman" w:cs="Times New Roman"/>
          <w:sz w:val="24"/>
          <w:szCs w:val="24"/>
        </w:rPr>
        <w:t xml:space="preserve"> </w:t>
      </w:r>
      <w:r w:rsidR="00C87C53" w:rsidRPr="00C87C53">
        <w:rPr>
          <w:rFonts w:ascii="Times New Roman" w:hAnsi="Times New Roman" w:cs="Times New Roman"/>
          <w:sz w:val="24"/>
          <w:szCs w:val="24"/>
          <w:highlight w:val="green"/>
        </w:rPr>
        <w:t xml:space="preserve">(At first mention in the paper, provide the full term followed by its abbreviation in </w:t>
      </w:r>
      <w:r w:rsidR="00C87C53">
        <w:rPr>
          <w:rFonts w:ascii="Times New Roman" w:hAnsi="Times New Roman" w:cs="Times New Roman"/>
          <w:sz w:val="24"/>
          <w:szCs w:val="24"/>
          <w:highlight w:val="green"/>
        </w:rPr>
        <w:t>brackets</w:t>
      </w:r>
      <w:r w:rsidR="00C87C53" w:rsidRPr="00C87C53">
        <w:rPr>
          <w:rFonts w:ascii="Times New Roman" w:hAnsi="Times New Roman" w:cs="Times New Roman"/>
          <w:sz w:val="24"/>
          <w:szCs w:val="24"/>
          <w:highlight w:val="green"/>
        </w:rPr>
        <w:t>; then use only the abbreviation thereafter)</w:t>
      </w:r>
      <w:r w:rsidR="00345510" w:rsidRPr="00DB22E3">
        <w:rPr>
          <w:rFonts w:ascii="Times New Roman" w:hAnsi="Times New Roman" w:cs="Times New Roman"/>
          <w:sz w:val="24"/>
          <w:szCs w:val="24"/>
        </w:rPr>
        <w:t>, about 60% of India's agriculture depends on rain, making it highly risky to monsoon fluctuations, along with the income and lives of millions of Indian farmers. The traditional methods of irrigation, which use diesel and electricity, are often expensive and environmentally unsustainable. Diesel-powered pumps lead to high fuel costs, while electricity shortages and irregular supply make the already risky agricultural sector worse. These problems have directly impacted the incomes of farmers, making it harder to achieve the government’s goal of doubling farmer</w:t>
      </w:r>
      <w:r w:rsidR="00CF4161">
        <w:rPr>
          <w:rFonts w:ascii="Times New Roman" w:hAnsi="Times New Roman" w:cs="Times New Roman"/>
          <w:sz w:val="24"/>
          <w:szCs w:val="24"/>
        </w:rPr>
        <w:t>’</w:t>
      </w:r>
      <w:r w:rsidR="00345510" w:rsidRPr="00DB22E3">
        <w:rPr>
          <w:rFonts w:ascii="Times New Roman" w:hAnsi="Times New Roman" w:cs="Times New Roman"/>
          <w:sz w:val="24"/>
          <w:szCs w:val="24"/>
        </w:rPr>
        <w:t xml:space="preserve">s income </w:t>
      </w:r>
      <w:r w:rsidR="00345510" w:rsidRPr="00DB22E3">
        <w:rPr>
          <w:rFonts w:ascii="Times New Roman" w:hAnsi="Times New Roman" w:cs="Times New Roman"/>
          <w:b/>
          <w:bCs/>
          <w:i/>
          <w:iCs/>
          <w:sz w:val="24"/>
          <w:szCs w:val="24"/>
        </w:rPr>
        <w:t>(Gautam et al., 2020)</w:t>
      </w:r>
      <w:r w:rsidR="00345510" w:rsidRPr="00DB22E3">
        <w:rPr>
          <w:rFonts w:ascii="Times New Roman" w:hAnsi="Times New Roman" w:cs="Times New Roman"/>
          <w:b/>
          <w:bCs/>
          <w:sz w:val="24"/>
          <w:szCs w:val="24"/>
        </w:rPr>
        <w:t xml:space="preserve">. </w:t>
      </w:r>
      <w:r w:rsidR="00345510" w:rsidRPr="00DB22E3">
        <w:rPr>
          <w:rFonts w:ascii="Times New Roman" w:hAnsi="Times New Roman" w:cs="Times New Roman"/>
          <w:sz w:val="24"/>
          <w:szCs w:val="24"/>
        </w:rPr>
        <w:t xml:space="preserve"> India has about 30 million (21 million electric and 9 million diesel) pump sets, which use 20% and 12% of India’s total electricity and diesel consumption, respectively </w:t>
      </w:r>
      <w:r w:rsidR="00345510" w:rsidRPr="00DB22E3">
        <w:rPr>
          <w:rFonts w:ascii="Times New Roman" w:hAnsi="Times New Roman" w:cs="Times New Roman"/>
          <w:b/>
          <w:bCs/>
          <w:i/>
          <w:iCs/>
          <w:sz w:val="24"/>
          <w:szCs w:val="24"/>
        </w:rPr>
        <w:t>(Srinivas 2018)</w:t>
      </w:r>
      <w:r w:rsidR="00345510" w:rsidRPr="00DB22E3">
        <w:rPr>
          <w:rFonts w:ascii="Times New Roman" w:hAnsi="Times New Roman" w:cs="Times New Roman"/>
          <w:sz w:val="24"/>
          <w:szCs w:val="24"/>
        </w:rPr>
        <w:t xml:space="preserve">. </w:t>
      </w:r>
      <w:r w:rsidR="0019260A" w:rsidRPr="00DB22E3">
        <w:rPr>
          <w:rFonts w:ascii="Times New Roman" w:hAnsi="Times New Roman" w:cs="Times New Roman"/>
          <w:sz w:val="24"/>
          <w:szCs w:val="24"/>
        </w:rPr>
        <w:t xml:space="preserve">The Government of India is spending roughly </w:t>
      </w:r>
      <w:r w:rsidR="0019260A" w:rsidRPr="002338DE">
        <w:rPr>
          <w:rFonts w:ascii="Times New Roman" w:hAnsi="Times New Roman" w:cs="Times New Roman"/>
          <w:sz w:val="24"/>
          <w:szCs w:val="24"/>
          <w:highlight w:val="red"/>
        </w:rPr>
        <w:t>₹500 billion</w:t>
      </w:r>
      <w:r w:rsidR="002338DE">
        <w:rPr>
          <w:rFonts w:ascii="Times New Roman" w:hAnsi="Times New Roman" w:cs="Times New Roman"/>
          <w:sz w:val="24"/>
          <w:szCs w:val="24"/>
        </w:rPr>
        <w:t xml:space="preserve"> </w:t>
      </w:r>
      <w:r w:rsidR="002338DE" w:rsidRPr="00E430AE">
        <w:rPr>
          <w:rFonts w:ascii="Times New Roman" w:hAnsi="Times New Roman" w:cs="Times New Roman"/>
          <w:sz w:val="24"/>
          <w:szCs w:val="24"/>
          <w:highlight w:val="green"/>
        </w:rPr>
        <w:t>(</w:t>
      </w:r>
      <w:r w:rsidR="00E430AE" w:rsidRPr="00E430AE">
        <w:rPr>
          <w:rFonts w:ascii="Times New Roman" w:hAnsi="Times New Roman" w:cs="Times New Roman"/>
          <w:sz w:val="24"/>
          <w:szCs w:val="24"/>
          <w:highlight w:val="green"/>
        </w:rPr>
        <w:t>provide amounts in U.S. dollars to ensure accessibility for global readers</w:t>
      </w:r>
      <w:r w:rsidR="002338DE" w:rsidRPr="00E430AE">
        <w:rPr>
          <w:rFonts w:ascii="Times New Roman" w:hAnsi="Times New Roman" w:cs="Times New Roman"/>
          <w:sz w:val="24"/>
          <w:szCs w:val="24"/>
          <w:highlight w:val="green"/>
        </w:rPr>
        <w:t>)</w:t>
      </w:r>
      <w:r w:rsidR="00E430AE">
        <w:rPr>
          <w:rFonts w:ascii="Times New Roman" w:hAnsi="Times New Roman" w:cs="Times New Roman"/>
          <w:sz w:val="24"/>
          <w:szCs w:val="24"/>
        </w:rPr>
        <w:t xml:space="preserve"> </w:t>
      </w:r>
      <w:r w:rsidR="0019260A" w:rsidRPr="00DB22E3">
        <w:rPr>
          <w:rFonts w:ascii="Times New Roman" w:hAnsi="Times New Roman" w:cs="Times New Roman"/>
          <w:sz w:val="24"/>
          <w:szCs w:val="24"/>
        </w:rPr>
        <w:t xml:space="preserve">annually on agricultural subsidies, causing a significant financial burden to the distribution companies (DISCOMs) </w:t>
      </w:r>
      <w:r w:rsidR="0019260A" w:rsidRPr="00E430AE">
        <w:rPr>
          <w:rFonts w:ascii="Times New Roman" w:hAnsi="Times New Roman" w:cs="Times New Roman"/>
          <w:b/>
          <w:bCs/>
          <w:i/>
          <w:iCs/>
          <w:sz w:val="24"/>
          <w:szCs w:val="24"/>
          <w:highlight w:val="red"/>
        </w:rPr>
        <w:t>(Bhati et al. 2019</w:t>
      </w:r>
      <w:proofErr w:type="gramStart"/>
      <w:r w:rsidR="0019260A" w:rsidRPr="00E430AE">
        <w:rPr>
          <w:rFonts w:ascii="Times New Roman" w:hAnsi="Times New Roman" w:cs="Times New Roman"/>
          <w:b/>
          <w:bCs/>
          <w:i/>
          <w:iCs/>
          <w:sz w:val="24"/>
          <w:szCs w:val="24"/>
          <w:highlight w:val="red"/>
        </w:rPr>
        <w:t>)</w:t>
      </w:r>
      <w:r w:rsidR="00E430AE">
        <w:rPr>
          <w:rFonts w:ascii="Times New Roman" w:hAnsi="Times New Roman" w:cs="Times New Roman"/>
          <w:bCs/>
          <w:iCs/>
          <w:sz w:val="24"/>
          <w:szCs w:val="24"/>
        </w:rPr>
        <w:t>(</w:t>
      </w:r>
      <w:proofErr w:type="gramEnd"/>
      <w:r w:rsidR="008A7A70" w:rsidRPr="008A7A70">
        <w:t xml:space="preserve"> </w:t>
      </w:r>
      <w:r w:rsidR="008A7A70" w:rsidRPr="008A7A70">
        <w:rPr>
          <w:rFonts w:ascii="Times New Roman" w:hAnsi="Times New Roman" w:cs="Times New Roman"/>
          <w:bCs/>
          <w:iCs/>
          <w:sz w:val="24"/>
          <w:szCs w:val="24"/>
        </w:rPr>
        <w:t>If APA is the intended referencing style, some in-text citations need to be revised to align with proper APA formatting</w:t>
      </w:r>
      <w:r w:rsidR="00E430AE" w:rsidRPr="00E430AE">
        <w:rPr>
          <w:rFonts w:ascii="Times New Roman" w:hAnsi="Times New Roman" w:cs="Times New Roman"/>
          <w:bCs/>
          <w:iCs/>
          <w:sz w:val="24"/>
          <w:szCs w:val="24"/>
          <w:highlight w:val="green"/>
        </w:rPr>
        <w:t>, for example</w:t>
      </w:r>
      <w:r w:rsidR="00E430AE">
        <w:rPr>
          <w:rFonts w:ascii="Times New Roman" w:hAnsi="Times New Roman" w:cs="Times New Roman"/>
          <w:bCs/>
          <w:iCs/>
          <w:sz w:val="24"/>
          <w:szCs w:val="24"/>
        </w:rPr>
        <w:t xml:space="preserve"> </w:t>
      </w:r>
      <w:r w:rsidR="00E430AE" w:rsidRPr="00E430AE">
        <w:rPr>
          <w:rFonts w:ascii="Times New Roman" w:hAnsi="Times New Roman" w:cs="Times New Roman"/>
          <w:b/>
          <w:bCs/>
          <w:i/>
          <w:iCs/>
          <w:sz w:val="24"/>
          <w:szCs w:val="24"/>
          <w:highlight w:val="red"/>
        </w:rPr>
        <w:t>(Bhati et al. 2019</w:t>
      </w:r>
      <w:r w:rsidR="00E430AE" w:rsidRPr="00E430AE">
        <w:rPr>
          <w:rFonts w:ascii="Times New Roman" w:hAnsi="Times New Roman" w:cs="Times New Roman"/>
          <w:b/>
          <w:bCs/>
          <w:i/>
          <w:iCs/>
          <w:sz w:val="24"/>
          <w:szCs w:val="24"/>
          <w:highlight w:val="green"/>
        </w:rPr>
        <w:t>)</w:t>
      </w:r>
      <w:r w:rsidR="00E430AE" w:rsidRPr="00E430AE">
        <w:rPr>
          <w:rFonts w:ascii="Times New Roman" w:hAnsi="Times New Roman" w:cs="Times New Roman"/>
          <w:bCs/>
          <w:iCs/>
          <w:sz w:val="24"/>
          <w:szCs w:val="24"/>
          <w:highlight w:val="green"/>
        </w:rPr>
        <w:t xml:space="preserve">, should be </w:t>
      </w:r>
      <w:r w:rsidR="00E430AE" w:rsidRPr="00E430AE">
        <w:rPr>
          <w:rFonts w:ascii="Times New Roman" w:hAnsi="Times New Roman" w:cs="Times New Roman"/>
          <w:bCs/>
          <w:i/>
          <w:iCs/>
          <w:sz w:val="24"/>
          <w:szCs w:val="24"/>
          <w:highlight w:val="green"/>
        </w:rPr>
        <w:t>Bhati et al., 2019</w:t>
      </w:r>
      <w:r w:rsidR="00E430AE" w:rsidRPr="00E430AE">
        <w:rPr>
          <w:rFonts w:ascii="Times New Roman" w:hAnsi="Times New Roman" w:cs="Times New Roman"/>
          <w:bCs/>
          <w:iCs/>
          <w:sz w:val="24"/>
          <w:szCs w:val="24"/>
          <w:highlight w:val="green"/>
        </w:rPr>
        <w:t>)</w:t>
      </w:r>
      <w:r w:rsidR="0019260A" w:rsidRPr="00E430AE">
        <w:rPr>
          <w:rFonts w:ascii="Times New Roman" w:hAnsi="Times New Roman" w:cs="Times New Roman"/>
          <w:sz w:val="24"/>
          <w:szCs w:val="24"/>
          <w:highlight w:val="green"/>
        </w:rPr>
        <w:t>.</w:t>
      </w:r>
      <w:r w:rsidR="0019260A" w:rsidRPr="00DB22E3">
        <w:rPr>
          <w:rFonts w:ascii="Times New Roman" w:hAnsi="Times New Roman" w:cs="Times New Roman"/>
          <w:sz w:val="24"/>
          <w:szCs w:val="24"/>
        </w:rPr>
        <w:t xml:space="preserve"> </w:t>
      </w:r>
      <w:r w:rsidR="00345510" w:rsidRPr="00DB22E3">
        <w:rPr>
          <w:rFonts w:ascii="Times New Roman" w:hAnsi="Times New Roman" w:cs="Times New Roman"/>
          <w:sz w:val="24"/>
          <w:szCs w:val="24"/>
        </w:rPr>
        <w:lastRenderedPageBreak/>
        <w:t xml:space="preserve">Farmers are using traditional ways of irrigation inputs, suffering from high irrigation input costs, lack of modern irrigation inputs, lack of regular supply, lack of coordination, regional disparities, and lack of finance </w:t>
      </w:r>
      <w:r w:rsidR="00345510" w:rsidRPr="00F105B0">
        <w:rPr>
          <w:rFonts w:ascii="Times New Roman" w:hAnsi="Times New Roman" w:cs="Times New Roman"/>
          <w:b/>
          <w:bCs/>
          <w:i/>
          <w:iCs/>
          <w:sz w:val="24"/>
          <w:szCs w:val="24"/>
          <w:highlight w:val="red"/>
        </w:rPr>
        <w:t>(Umar, Naima, 2020)</w:t>
      </w:r>
      <w:r w:rsidR="00E430AE" w:rsidRPr="00E430AE">
        <w:rPr>
          <w:rFonts w:ascii="Times New Roman" w:hAnsi="Times New Roman" w:cs="Times New Roman"/>
          <w:b/>
          <w:bCs/>
          <w:i/>
          <w:iCs/>
          <w:sz w:val="24"/>
          <w:szCs w:val="24"/>
        </w:rPr>
        <w:t xml:space="preserve"> </w:t>
      </w:r>
      <w:r w:rsidR="00E430AE" w:rsidRPr="00F105B0">
        <w:rPr>
          <w:rFonts w:ascii="Times New Roman" w:hAnsi="Times New Roman" w:cs="Times New Roman"/>
          <w:b/>
          <w:bCs/>
          <w:i/>
          <w:iCs/>
          <w:sz w:val="24"/>
          <w:szCs w:val="24"/>
          <w:highlight w:val="green"/>
        </w:rPr>
        <w:t>(Umar,</w:t>
      </w:r>
      <w:r w:rsidR="00E430AE" w:rsidRPr="00F105B0">
        <w:rPr>
          <w:rFonts w:ascii="Times New Roman" w:hAnsi="Times New Roman" w:cs="Times New Roman"/>
          <w:b/>
          <w:bCs/>
          <w:i/>
          <w:iCs/>
          <w:sz w:val="24"/>
          <w:szCs w:val="24"/>
          <w:highlight w:val="green"/>
        </w:rPr>
        <w:t xml:space="preserve"> year;</w:t>
      </w:r>
      <w:r w:rsidR="00E430AE" w:rsidRPr="00F105B0">
        <w:rPr>
          <w:rFonts w:ascii="Times New Roman" w:hAnsi="Times New Roman" w:cs="Times New Roman"/>
          <w:b/>
          <w:bCs/>
          <w:i/>
          <w:iCs/>
          <w:sz w:val="24"/>
          <w:szCs w:val="24"/>
          <w:highlight w:val="green"/>
        </w:rPr>
        <w:t xml:space="preserve"> Naima, 2020)</w:t>
      </w:r>
      <w:r w:rsidR="00E430AE">
        <w:rPr>
          <w:rFonts w:ascii="Times New Roman" w:hAnsi="Times New Roman" w:cs="Times New Roman"/>
          <w:b/>
          <w:bCs/>
          <w:i/>
          <w:iCs/>
          <w:sz w:val="24"/>
          <w:szCs w:val="24"/>
        </w:rPr>
        <w:t xml:space="preserve"> </w:t>
      </w:r>
      <w:r w:rsidR="00345510" w:rsidRPr="00DB22E3">
        <w:rPr>
          <w:rFonts w:ascii="Times New Roman" w:hAnsi="Times New Roman" w:cs="Times New Roman"/>
          <w:b/>
          <w:bCs/>
          <w:i/>
          <w:iCs/>
          <w:sz w:val="24"/>
          <w:szCs w:val="24"/>
        </w:rPr>
        <w:t>.</w:t>
      </w:r>
      <w:r w:rsidR="00345510" w:rsidRPr="00DB22E3">
        <w:rPr>
          <w:rFonts w:ascii="Times New Roman" w:hAnsi="Times New Roman" w:cs="Times New Roman"/>
          <w:sz w:val="24"/>
          <w:szCs w:val="24"/>
        </w:rPr>
        <w:t xml:space="preserve">  On the other hand, Uttar Pradesh has </w:t>
      </w:r>
      <w:r w:rsidR="0019260A" w:rsidRPr="00DB22E3">
        <w:rPr>
          <w:rFonts w:ascii="Times New Roman" w:hAnsi="Times New Roman" w:cs="Times New Roman"/>
          <w:sz w:val="24"/>
          <w:szCs w:val="24"/>
        </w:rPr>
        <w:t>vast</w:t>
      </w:r>
      <w:r w:rsidR="00345510" w:rsidRPr="00DB22E3">
        <w:rPr>
          <w:rFonts w:ascii="Times New Roman" w:hAnsi="Times New Roman" w:cs="Times New Roman"/>
          <w:sz w:val="24"/>
          <w:szCs w:val="24"/>
        </w:rPr>
        <w:t xml:space="preserve"> inter-regional and inter-district disparities. The Eastern, Central, and Bundelkhand regions have been tackling very tough situations since independence. These regions are facing several problems like low productivity, floods, drought, and poor technology. The main crops in the state are wheat, rice, sugarcane, pulses, and vegetables </w:t>
      </w:r>
      <w:r w:rsidR="00345510" w:rsidRPr="00F105B0">
        <w:rPr>
          <w:rFonts w:ascii="Times New Roman" w:hAnsi="Times New Roman" w:cs="Times New Roman"/>
          <w:b/>
          <w:bCs/>
          <w:i/>
          <w:iCs/>
          <w:sz w:val="24"/>
          <w:szCs w:val="24"/>
          <w:highlight w:val="red"/>
        </w:rPr>
        <w:t>(Nair, Sreeja et al. 2013)</w:t>
      </w:r>
      <w:r w:rsidR="00F105B0" w:rsidRPr="00F105B0">
        <w:rPr>
          <w:rFonts w:ascii="Times New Roman" w:hAnsi="Times New Roman" w:cs="Times New Roman"/>
          <w:b/>
          <w:bCs/>
          <w:i/>
          <w:iCs/>
          <w:sz w:val="24"/>
          <w:szCs w:val="24"/>
        </w:rPr>
        <w:t xml:space="preserve"> </w:t>
      </w:r>
      <w:r w:rsidR="00F105B0" w:rsidRPr="00F105B0">
        <w:rPr>
          <w:rFonts w:ascii="Times New Roman" w:hAnsi="Times New Roman" w:cs="Times New Roman"/>
          <w:b/>
          <w:bCs/>
          <w:i/>
          <w:iCs/>
          <w:sz w:val="24"/>
          <w:szCs w:val="24"/>
          <w:highlight w:val="green"/>
        </w:rPr>
        <w:t xml:space="preserve">(Nair, </w:t>
      </w:r>
      <w:r w:rsidR="00F105B0" w:rsidRPr="00F105B0">
        <w:rPr>
          <w:rFonts w:ascii="Times New Roman" w:hAnsi="Times New Roman" w:cs="Times New Roman"/>
          <w:b/>
          <w:bCs/>
          <w:i/>
          <w:iCs/>
          <w:sz w:val="24"/>
          <w:szCs w:val="24"/>
          <w:highlight w:val="green"/>
        </w:rPr>
        <w:t xml:space="preserve">year; </w:t>
      </w:r>
      <w:r w:rsidR="00F105B0" w:rsidRPr="00F105B0">
        <w:rPr>
          <w:rFonts w:ascii="Times New Roman" w:hAnsi="Times New Roman" w:cs="Times New Roman"/>
          <w:b/>
          <w:bCs/>
          <w:i/>
          <w:iCs/>
          <w:sz w:val="24"/>
          <w:szCs w:val="24"/>
          <w:highlight w:val="green"/>
        </w:rPr>
        <w:t>Sreeja et al. 2013)</w:t>
      </w:r>
      <w:r w:rsidR="00345510" w:rsidRPr="00DB22E3">
        <w:rPr>
          <w:rFonts w:ascii="Times New Roman" w:hAnsi="Times New Roman" w:cs="Times New Roman"/>
          <w:b/>
          <w:bCs/>
          <w:i/>
          <w:iCs/>
          <w:sz w:val="24"/>
          <w:szCs w:val="24"/>
        </w:rPr>
        <w:t xml:space="preserve">. </w:t>
      </w:r>
      <w:r w:rsidR="00576D56">
        <w:rPr>
          <w:rFonts w:ascii="Times New Roman" w:hAnsi="Times New Roman" w:cs="Times New Roman"/>
          <w:sz w:val="24"/>
          <w:szCs w:val="24"/>
        </w:rPr>
        <w:t xml:space="preserve">Now </w:t>
      </w:r>
      <w:r w:rsidR="00111149">
        <w:rPr>
          <w:rFonts w:ascii="Times New Roman" w:hAnsi="Times New Roman" w:cs="Times New Roman"/>
          <w:sz w:val="24"/>
          <w:szCs w:val="24"/>
        </w:rPr>
        <w:t>it's</w:t>
      </w:r>
      <w:r w:rsidR="00576D56">
        <w:rPr>
          <w:rFonts w:ascii="Times New Roman" w:hAnsi="Times New Roman" w:cs="Times New Roman"/>
          <w:sz w:val="24"/>
          <w:szCs w:val="24"/>
        </w:rPr>
        <w:t xml:space="preserve"> time</w:t>
      </w:r>
      <w:r w:rsidR="0019260A" w:rsidRPr="00DB22E3">
        <w:rPr>
          <w:rFonts w:ascii="Times New Roman" w:hAnsi="Times New Roman" w:cs="Times New Roman"/>
          <w:sz w:val="24"/>
          <w:szCs w:val="24"/>
        </w:rPr>
        <w:t xml:space="preserve"> to switch </w:t>
      </w:r>
      <w:r w:rsidR="00111149">
        <w:rPr>
          <w:rFonts w:ascii="Times New Roman" w:hAnsi="Times New Roman" w:cs="Times New Roman"/>
          <w:sz w:val="24"/>
          <w:szCs w:val="24"/>
        </w:rPr>
        <w:t xml:space="preserve">the </w:t>
      </w:r>
      <w:r w:rsidR="0019260A" w:rsidRPr="00DB22E3">
        <w:rPr>
          <w:rFonts w:ascii="Times New Roman" w:hAnsi="Times New Roman" w:cs="Times New Roman"/>
          <w:sz w:val="24"/>
          <w:szCs w:val="24"/>
        </w:rPr>
        <w:t xml:space="preserve">source of energy from fossil fuels to renewable sources. These non-conventional energy sources, such as solar, wind, and biofuels, can help provide clean, green, and reliable energy sources for farms and are capable to solve the problem of sustainable development associated with fossil-fuel based power plants as these energy sources are unlimited, eco-friendly and provides energy with negligible emissions of air pollutant and greenhouse gases </w:t>
      </w:r>
      <w:r w:rsidR="0019260A" w:rsidRPr="00DB22E3">
        <w:rPr>
          <w:rFonts w:ascii="Times New Roman" w:hAnsi="Times New Roman" w:cs="Times New Roman"/>
          <w:b/>
          <w:bCs/>
          <w:i/>
          <w:iCs/>
          <w:sz w:val="24"/>
          <w:szCs w:val="24"/>
        </w:rPr>
        <w:t>(Singhal, 2007).</w:t>
      </w:r>
      <w:r w:rsidR="0019260A" w:rsidRPr="00DB22E3">
        <w:rPr>
          <w:rFonts w:ascii="Times New Roman" w:hAnsi="Times New Roman" w:cs="Times New Roman"/>
          <w:sz w:val="24"/>
          <w:szCs w:val="24"/>
        </w:rPr>
        <w:t xml:space="preserve"> </w:t>
      </w:r>
    </w:p>
    <w:p w14:paraId="3A0C0CCB" w14:textId="1B104973" w:rsidR="0019260A" w:rsidRPr="00DB22E3" w:rsidRDefault="00336658" w:rsidP="0018182C">
      <w:pPr>
        <w:spacing w:line="240" w:lineRule="auto"/>
        <w:ind w:firstLine="720"/>
        <w:jc w:val="both"/>
        <w:rPr>
          <w:rFonts w:ascii="Times New Roman" w:hAnsi="Times New Roman" w:cs="Times New Roman"/>
          <w:sz w:val="24"/>
          <w:szCs w:val="24"/>
        </w:rPr>
      </w:pPr>
      <w:r w:rsidRPr="00DB22E3">
        <w:rPr>
          <w:rFonts w:ascii="Times New Roman" w:hAnsi="Times New Roman" w:cs="Times New Roman"/>
          <w:sz w:val="24"/>
          <w:szCs w:val="24"/>
        </w:rPr>
        <w:t>During the presentation of the Union Budget 2018-19, the Central Government announced</w:t>
      </w:r>
      <w:r w:rsidRPr="00DB22E3">
        <w:rPr>
          <w:rFonts w:ascii="Times New Roman" w:hAnsi="Times New Roman" w:cs="Times New Roman"/>
          <w:b/>
          <w:bCs/>
          <w:sz w:val="24"/>
          <w:szCs w:val="24"/>
        </w:rPr>
        <w:t xml:space="preserve"> </w:t>
      </w:r>
      <w:r w:rsidR="001C17F5" w:rsidRPr="00DB22E3">
        <w:rPr>
          <w:rFonts w:ascii="Times New Roman" w:hAnsi="Times New Roman" w:cs="Times New Roman"/>
          <w:b/>
          <w:bCs/>
          <w:sz w:val="24"/>
          <w:szCs w:val="24"/>
        </w:rPr>
        <w:t xml:space="preserve">the </w:t>
      </w:r>
      <w:r w:rsidRPr="00DB22E3">
        <w:rPr>
          <w:rFonts w:ascii="Times New Roman" w:hAnsi="Times New Roman" w:cs="Times New Roman"/>
          <w:b/>
          <w:bCs/>
          <w:sz w:val="24"/>
          <w:szCs w:val="24"/>
        </w:rPr>
        <w:t>Pradhan Mantri Kisan Urja Suraksha evam Utthaan Mahabhiyan (PM-KUSUM)</w:t>
      </w:r>
      <w:r w:rsidRPr="00DB22E3">
        <w:rPr>
          <w:rFonts w:ascii="Times New Roman" w:hAnsi="Times New Roman" w:cs="Times New Roman"/>
          <w:sz w:val="24"/>
          <w:szCs w:val="24"/>
        </w:rPr>
        <w:t xml:space="preserve"> scheme. This scheme aims to use solar energy for irrigation and reduce the agriculture sector’s dependency on conventional power sources. </w:t>
      </w:r>
      <w:r w:rsidR="00034DED" w:rsidRPr="00DB22E3">
        <w:rPr>
          <w:rFonts w:ascii="Times New Roman" w:hAnsi="Times New Roman" w:cs="Times New Roman"/>
          <w:sz w:val="24"/>
          <w:szCs w:val="24"/>
        </w:rPr>
        <w:t xml:space="preserve">India is the highest off-grid solar photovoltaic producing country </w:t>
      </w:r>
      <w:r w:rsidR="00034DED" w:rsidRPr="00DB22E3">
        <w:rPr>
          <w:rFonts w:ascii="Times New Roman" w:hAnsi="Times New Roman" w:cs="Times New Roman"/>
          <w:b/>
          <w:bCs/>
          <w:i/>
          <w:iCs/>
          <w:sz w:val="24"/>
          <w:szCs w:val="24"/>
        </w:rPr>
        <w:t>(International Renewable Energy Agency, 2025).</w:t>
      </w:r>
      <w:r w:rsidR="00034DED" w:rsidRPr="00DB22E3">
        <w:rPr>
          <w:rFonts w:ascii="Times New Roman" w:hAnsi="Times New Roman" w:cs="Times New Roman"/>
          <w:sz w:val="24"/>
          <w:szCs w:val="24"/>
        </w:rPr>
        <w:t xml:space="preserve"> </w:t>
      </w:r>
      <w:r w:rsidRPr="00DB22E3">
        <w:rPr>
          <w:rFonts w:ascii="Times New Roman" w:hAnsi="Times New Roman" w:cs="Times New Roman"/>
          <w:sz w:val="24"/>
          <w:szCs w:val="24"/>
        </w:rPr>
        <w:t xml:space="preserve">This scheme is one of the largest initiatives </w:t>
      </w:r>
      <w:r w:rsidR="00991C00">
        <w:rPr>
          <w:rFonts w:ascii="Times New Roman" w:hAnsi="Times New Roman" w:cs="Times New Roman"/>
          <w:sz w:val="24"/>
          <w:szCs w:val="24"/>
        </w:rPr>
        <w:t>in</w:t>
      </w:r>
      <w:r w:rsidRPr="00DB22E3">
        <w:rPr>
          <w:rFonts w:ascii="Times New Roman" w:hAnsi="Times New Roman" w:cs="Times New Roman"/>
          <w:sz w:val="24"/>
          <w:szCs w:val="24"/>
        </w:rPr>
        <w:t xml:space="preserve"> the world to provide clean energy to more than 35 </w:t>
      </w:r>
      <w:r w:rsidR="001C17F5" w:rsidRPr="00DB22E3">
        <w:rPr>
          <w:rFonts w:ascii="Times New Roman" w:hAnsi="Times New Roman" w:cs="Times New Roman"/>
          <w:sz w:val="24"/>
          <w:szCs w:val="24"/>
        </w:rPr>
        <w:t>lakh</w:t>
      </w:r>
      <w:r w:rsidRPr="00DB22E3">
        <w:rPr>
          <w:rFonts w:ascii="Times New Roman" w:hAnsi="Times New Roman" w:cs="Times New Roman"/>
          <w:sz w:val="24"/>
          <w:szCs w:val="24"/>
        </w:rPr>
        <w:t xml:space="preserve"> farmers by solarising their agriculture pump under components B and C. Component B is the only component of the PM KUSUM scheme that provides Solar Irrigation Pumps to the </w:t>
      </w:r>
      <w:r w:rsidR="009238B0">
        <w:rPr>
          <w:rFonts w:ascii="Times New Roman" w:hAnsi="Times New Roman" w:cs="Times New Roman"/>
          <w:sz w:val="24"/>
          <w:szCs w:val="24"/>
        </w:rPr>
        <w:t>farmers</w:t>
      </w:r>
      <w:r w:rsidRPr="00DB22E3">
        <w:rPr>
          <w:rFonts w:ascii="Times New Roman" w:hAnsi="Times New Roman" w:cs="Times New Roman"/>
          <w:sz w:val="24"/>
          <w:szCs w:val="24"/>
        </w:rPr>
        <w:t xml:space="preserve">, so we discuss only Component </w:t>
      </w:r>
      <w:r w:rsidR="0019260A" w:rsidRPr="00DB22E3">
        <w:rPr>
          <w:rFonts w:ascii="Times New Roman" w:hAnsi="Times New Roman" w:cs="Times New Roman"/>
          <w:sz w:val="24"/>
          <w:szCs w:val="24"/>
        </w:rPr>
        <w:t xml:space="preserve">B. </w:t>
      </w:r>
      <w:r w:rsidR="00034DED" w:rsidRPr="00DB22E3">
        <w:rPr>
          <w:rFonts w:ascii="Times New Roman" w:hAnsi="Times New Roman" w:cs="Times New Roman"/>
          <w:sz w:val="24"/>
          <w:szCs w:val="24"/>
        </w:rPr>
        <w:t xml:space="preserve">This research allows us to assess the real-world impact of the scheme on irrigation, which is vital for improving crop productivity and ensuring food security. </w:t>
      </w:r>
      <w:r w:rsidR="00845B16" w:rsidRPr="00DB22E3">
        <w:rPr>
          <w:rFonts w:ascii="Times New Roman" w:hAnsi="Times New Roman" w:cs="Times New Roman"/>
          <w:sz w:val="24"/>
          <w:szCs w:val="24"/>
        </w:rPr>
        <w:t>Despite significant research and implementation in the field of agricultural technology, there remains uncertainty about the extent to which farmers prefer traditional irrigation methods ove</w:t>
      </w:r>
      <w:r w:rsidR="00990C2F">
        <w:rPr>
          <w:rFonts w:ascii="Times New Roman" w:hAnsi="Times New Roman" w:cs="Times New Roman"/>
          <w:sz w:val="24"/>
          <w:szCs w:val="24"/>
        </w:rPr>
        <w:t xml:space="preserve">r non-conventional alternatives, </w:t>
      </w:r>
      <w:r w:rsidR="00990C2F" w:rsidRPr="00990C2F">
        <w:rPr>
          <w:rFonts w:ascii="Times New Roman" w:hAnsi="Times New Roman" w:cs="Times New Roman"/>
          <w:sz w:val="24"/>
          <w:szCs w:val="24"/>
          <w:highlight w:val="green"/>
        </w:rPr>
        <w:t>thus the provision of</w:t>
      </w:r>
      <w:r w:rsidR="00990C2F" w:rsidRPr="00990C2F">
        <w:rPr>
          <w:highlight w:val="green"/>
        </w:rPr>
        <w:t xml:space="preserve"> </w:t>
      </w:r>
      <w:r w:rsidR="00990C2F" w:rsidRPr="00990C2F">
        <w:rPr>
          <w:rFonts w:ascii="Times New Roman" w:hAnsi="Times New Roman" w:cs="Times New Roman"/>
          <w:sz w:val="24"/>
          <w:szCs w:val="24"/>
          <w:highlight w:val="green"/>
        </w:rPr>
        <w:t>PM-KUSUM scheme in the Union Budget of 2018-19</w:t>
      </w:r>
      <w:r w:rsidR="00845B16" w:rsidRPr="00DB22E3">
        <w:rPr>
          <w:rFonts w:ascii="Times New Roman" w:hAnsi="Times New Roman" w:cs="Times New Roman"/>
          <w:sz w:val="24"/>
          <w:szCs w:val="24"/>
        </w:rPr>
        <w:t xml:space="preserve"> </w:t>
      </w:r>
      <w:r w:rsidR="00744BB7" w:rsidRPr="00F209B8">
        <w:rPr>
          <w:rFonts w:ascii="Times New Roman" w:hAnsi="Times New Roman" w:cs="Times New Roman"/>
          <w:sz w:val="24"/>
          <w:szCs w:val="24"/>
          <w:highlight w:val="red"/>
        </w:rPr>
        <w:t>By this schem</w:t>
      </w:r>
      <w:r w:rsidR="00DE3175" w:rsidRPr="00F209B8">
        <w:rPr>
          <w:rFonts w:ascii="Times New Roman" w:hAnsi="Times New Roman" w:cs="Times New Roman"/>
          <w:sz w:val="24"/>
          <w:szCs w:val="24"/>
          <w:highlight w:val="red"/>
        </w:rPr>
        <w:t>e</w:t>
      </w:r>
      <w:r w:rsidR="00845B16" w:rsidRPr="00F209B8">
        <w:rPr>
          <w:rFonts w:ascii="Times New Roman" w:hAnsi="Times New Roman" w:cs="Times New Roman"/>
          <w:sz w:val="24"/>
          <w:szCs w:val="24"/>
          <w:highlight w:val="red"/>
        </w:rPr>
        <w:t xml:space="preserve"> 60% subsidy provided by both central and state governments, the adoption of solar pumps by farmers remains low</w:t>
      </w:r>
      <w:r w:rsidR="00845B16" w:rsidRPr="00DB22E3">
        <w:rPr>
          <w:rFonts w:ascii="Times New Roman" w:hAnsi="Times New Roman" w:cs="Times New Roman"/>
          <w:sz w:val="24"/>
          <w:szCs w:val="24"/>
        </w:rPr>
        <w:t xml:space="preserve">. </w:t>
      </w:r>
      <w:r w:rsidR="00990C2F" w:rsidRPr="00990C2F">
        <w:rPr>
          <w:rFonts w:ascii="Times New Roman" w:hAnsi="Times New Roman" w:cs="Times New Roman"/>
          <w:sz w:val="24"/>
          <w:szCs w:val="24"/>
          <w:highlight w:val="green"/>
        </w:rPr>
        <w:t>However,</w:t>
      </w:r>
      <w:r w:rsidR="0018182C" w:rsidRPr="00990C2F">
        <w:rPr>
          <w:rFonts w:ascii="Times New Roman" w:hAnsi="Times New Roman" w:cs="Times New Roman"/>
          <w:sz w:val="24"/>
          <w:szCs w:val="24"/>
          <w:highlight w:val="green"/>
        </w:rPr>
        <w:t xml:space="preserve"> </w:t>
      </w:r>
      <w:r w:rsidR="001E12C3">
        <w:rPr>
          <w:rFonts w:ascii="Times New Roman" w:hAnsi="Times New Roman" w:cs="Times New Roman"/>
          <w:sz w:val="24"/>
          <w:szCs w:val="24"/>
          <w:highlight w:val="green"/>
        </w:rPr>
        <w:t>even</w:t>
      </w:r>
      <w:r w:rsidR="00990C2F" w:rsidRPr="00990C2F">
        <w:rPr>
          <w:rFonts w:ascii="Times New Roman" w:hAnsi="Times New Roman" w:cs="Times New Roman"/>
          <w:sz w:val="24"/>
          <w:szCs w:val="24"/>
          <w:highlight w:val="green"/>
        </w:rPr>
        <w:t xml:space="preserve"> </w:t>
      </w:r>
      <w:r w:rsidR="0018182C" w:rsidRPr="00990C2F">
        <w:rPr>
          <w:rFonts w:ascii="Times New Roman" w:hAnsi="Times New Roman" w:cs="Times New Roman"/>
          <w:sz w:val="24"/>
          <w:szCs w:val="24"/>
          <w:highlight w:val="green"/>
        </w:rPr>
        <w:t xml:space="preserve">the scheme </w:t>
      </w:r>
      <w:r w:rsidR="0018182C" w:rsidRPr="0018182C">
        <w:rPr>
          <w:rFonts w:ascii="Times New Roman" w:hAnsi="Times New Roman" w:cs="Times New Roman"/>
          <w:sz w:val="24"/>
          <w:szCs w:val="24"/>
          <w:highlight w:val="green"/>
        </w:rPr>
        <w:t>offering a 60% subsidy by both central and state government</w:t>
      </w:r>
      <w:r w:rsidR="0018182C" w:rsidRPr="001E12C3">
        <w:rPr>
          <w:rFonts w:ascii="Times New Roman" w:hAnsi="Times New Roman" w:cs="Times New Roman"/>
          <w:sz w:val="24"/>
          <w:szCs w:val="24"/>
          <w:highlight w:val="green"/>
        </w:rPr>
        <w:t xml:space="preserve">s, </w:t>
      </w:r>
      <w:r w:rsidR="001E12C3" w:rsidRPr="001E12C3">
        <w:rPr>
          <w:rFonts w:ascii="Times New Roman" w:hAnsi="Times New Roman" w:cs="Times New Roman"/>
          <w:sz w:val="24"/>
          <w:szCs w:val="24"/>
          <w:highlight w:val="green"/>
        </w:rPr>
        <w:t>the adoption of solar irrigation pumps remains low, indicating limited uptake by farmers</w:t>
      </w:r>
      <w:r w:rsidR="0018182C">
        <w:rPr>
          <w:rFonts w:ascii="Times New Roman" w:hAnsi="Times New Roman" w:cs="Times New Roman"/>
          <w:sz w:val="24"/>
          <w:szCs w:val="24"/>
        </w:rPr>
        <w:t>.</w:t>
      </w:r>
      <w:r w:rsidR="0018182C" w:rsidRPr="0018182C">
        <w:rPr>
          <w:rFonts w:ascii="Times New Roman" w:hAnsi="Times New Roman" w:cs="Times New Roman"/>
          <w:sz w:val="24"/>
          <w:szCs w:val="24"/>
        </w:rPr>
        <w:t xml:space="preserve"> </w:t>
      </w:r>
      <w:r w:rsidR="00845B16" w:rsidRPr="00DB22E3">
        <w:rPr>
          <w:rFonts w:ascii="Times New Roman" w:hAnsi="Times New Roman" w:cs="Times New Roman"/>
          <w:sz w:val="24"/>
          <w:szCs w:val="24"/>
        </w:rPr>
        <w:t>This limited uptake is particularly concerning given the potential benefits of solar pumps for small and marginal farmers and their contribution to India’s broader goals of sustainable energy and agricultural development. Therefore, it is essential to analyze</w:t>
      </w:r>
      <w:r w:rsidR="003063D8">
        <w:rPr>
          <w:rFonts w:ascii="Times New Roman" w:hAnsi="Times New Roman" w:cs="Times New Roman"/>
          <w:sz w:val="24"/>
          <w:szCs w:val="24"/>
        </w:rPr>
        <w:t xml:space="preserve"> their </w:t>
      </w:r>
      <w:r w:rsidR="005E5B74">
        <w:rPr>
          <w:rFonts w:ascii="Times New Roman" w:hAnsi="Times New Roman" w:cs="Times New Roman"/>
          <w:sz w:val="24"/>
          <w:szCs w:val="24"/>
        </w:rPr>
        <w:t>economic</w:t>
      </w:r>
      <w:r w:rsidR="00B420A9">
        <w:rPr>
          <w:rFonts w:ascii="Times New Roman" w:hAnsi="Times New Roman" w:cs="Times New Roman"/>
          <w:sz w:val="24"/>
          <w:szCs w:val="24"/>
        </w:rPr>
        <w:t xml:space="preserve"> status with their education </w:t>
      </w:r>
      <w:r w:rsidR="005E5B74">
        <w:rPr>
          <w:rFonts w:ascii="Times New Roman" w:hAnsi="Times New Roman" w:cs="Times New Roman"/>
          <w:sz w:val="24"/>
          <w:szCs w:val="24"/>
        </w:rPr>
        <w:t>level and</w:t>
      </w:r>
      <w:r w:rsidR="00845B16" w:rsidRPr="00DB22E3">
        <w:rPr>
          <w:rFonts w:ascii="Times New Roman" w:hAnsi="Times New Roman" w:cs="Times New Roman"/>
          <w:sz w:val="24"/>
          <w:szCs w:val="24"/>
        </w:rPr>
        <w:t xml:space="preserve"> the factors contributing to the low popularity and adoption of solar pumps under Component B of the PM KUSUM scheme.</w:t>
      </w:r>
    </w:p>
    <w:p w14:paraId="0214464A" w14:textId="1EFE5A46" w:rsidR="005532FE" w:rsidRPr="005532FE" w:rsidRDefault="009D3893" w:rsidP="005532FE">
      <w:pPr>
        <w:spacing w:line="240" w:lineRule="auto"/>
        <w:ind w:firstLine="720"/>
        <w:jc w:val="both"/>
        <w:rPr>
          <w:rFonts w:ascii="Times New Roman" w:hAnsi="Times New Roman" w:cs="Times New Roman"/>
          <w:sz w:val="24"/>
          <w:szCs w:val="24"/>
        </w:rPr>
      </w:pPr>
      <w:r w:rsidRPr="00DB22E3">
        <w:rPr>
          <w:rFonts w:ascii="Times New Roman" w:hAnsi="Times New Roman" w:cs="Times New Roman"/>
          <w:sz w:val="24"/>
          <w:szCs w:val="24"/>
        </w:rPr>
        <w:t>Within</w:t>
      </w:r>
      <w:r w:rsidR="00845B16" w:rsidRPr="00DB22E3">
        <w:rPr>
          <w:rFonts w:ascii="Times New Roman" w:hAnsi="Times New Roman" w:cs="Times New Roman"/>
          <w:sz w:val="24"/>
          <w:szCs w:val="24"/>
        </w:rPr>
        <w:t xml:space="preserve"> this context, our study is </w:t>
      </w:r>
      <w:r w:rsidR="00E3175F" w:rsidRPr="00DB22E3">
        <w:rPr>
          <w:rFonts w:ascii="Times New Roman" w:hAnsi="Times New Roman" w:cs="Times New Roman"/>
          <w:sz w:val="24"/>
          <w:szCs w:val="24"/>
        </w:rPr>
        <w:t>focused</w:t>
      </w:r>
      <w:r w:rsidR="00845B16" w:rsidRPr="00DB22E3">
        <w:rPr>
          <w:rFonts w:ascii="Times New Roman" w:hAnsi="Times New Roman" w:cs="Times New Roman"/>
          <w:sz w:val="24"/>
          <w:szCs w:val="24"/>
        </w:rPr>
        <w:t xml:space="preserve"> on </w:t>
      </w:r>
      <w:r w:rsidRPr="00DB22E3">
        <w:rPr>
          <w:rFonts w:ascii="Times New Roman" w:hAnsi="Times New Roman" w:cs="Times New Roman"/>
          <w:sz w:val="24"/>
          <w:szCs w:val="24"/>
        </w:rPr>
        <w:t xml:space="preserve">two main objectives: i) To </w:t>
      </w:r>
      <w:r w:rsidR="00E3175F" w:rsidRPr="00DB22E3">
        <w:rPr>
          <w:rFonts w:ascii="Times New Roman" w:hAnsi="Times New Roman" w:cs="Times New Roman"/>
          <w:sz w:val="24"/>
          <w:szCs w:val="24"/>
        </w:rPr>
        <w:t>assess</w:t>
      </w:r>
      <w:r w:rsidRPr="00DB22E3">
        <w:rPr>
          <w:rFonts w:ascii="Times New Roman" w:hAnsi="Times New Roman" w:cs="Times New Roman"/>
          <w:sz w:val="24"/>
          <w:szCs w:val="24"/>
        </w:rPr>
        <w:t xml:space="preserve"> the </w:t>
      </w:r>
      <w:r w:rsidR="00E3175F" w:rsidRPr="00DB22E3">
        <w:rPr>
          <w:rFonts w:ascii="Times New Roman" w:hAnsi="Times New Roman" w:cs="Times New Roman"/>
          <w:sz w:val="24"/>
          <w:szCs w:val="24"/>
        </w:rPr>
        <w:t>socio-economic</w:t>
      </w:r>
      <w:r w:rsidRPr="00DB22E3">
        <w:rPr>
          <w:rFonts w:ascii="Times New Roman" w:hAnsi="Times New Roman" w:cs="Times New Roman"/>
          <w:sz w:val="24"/>
          <w:szCs w:val="24"/>
        </w:rPr>
        <w:t xml:space="preserve"> </w:t>
      </w:r>
      <w:r w:rsidR="00E3175F" w:rsidRPr="00DB22E3">
        <w:rPr>
          <w:rFonts w:ascii="Times New Roman" w:hAnsi="Times New Roman" w:cs="Times New Roman"/>
          <w:sz w:val="24"/>
          <w:szCs w:val="24"/>
        </w:rPr>
        <w:t xml:space="preserve">impact </w:t>
      </w:r>
      <w:r w:rsidR="00845347">
        <w:rPr>
          <w:rFonts w:ascii="Times New Roman" w:hAnsi="Times New Roman" w:cs="Times New Roman"/>
          <w:sz w:val="24"/>
          <w:szCs w:val="24"/>
        </w:rPr>
        <w:t>with</w:t>
      </w:r>
      <w:r w:rsidR="00DC0B04">
        <w:rPr>
          <w:rFonts w:ascii="Times New Roman" w:hAnsi="Times New Roman" w:cs="Times New Roman"/>
          <w:sz w:val="24"/>
          <w:szCs w:val="24"/>
        </w:rPr>
        <w:t xml:space="preserve"> </w:t>
      </w:r>
      <w:r w:rsidR="00A75B83">
        <w:rPr>
          <w:rFonts w:ascii="Times New Roman" w:hAnsi="Times New Roman" w:cs="Times New Roman"/>
          <w:sz w:val="24"/>
          <w:szCs w:val="24"/>
        </w:rPr>
        <w:t>the relation</w:t>
      </w:r>
      <w:r w:rsidR="006E4C4B">
        <w:rPr>
          <w:rFonts w:ascii="Times New Roman" w:hAnsi="Times New Roman" w:cs="Times New Roman"/>
          <w:sz w:val="24"/>
          <w:szCs w:val="24"/>
        </w:rPr>
        <w:t xml:space="preserve"> of educational status</w:t>
      </w:r>
      <w:r w:rsidR="00320625">
        <w:rPr>
          <w:rFonts w:ascii="Times New Roman" w:hAnsi="Times New Roman" w:cs="Times New Roman"/>
          <w:sz w:val="24"/>
          <w:szCs w:val="24"/>
        </w:rPr>
        <w:t xml:space="preserve"> of the farmers</w:t>
      </w:r>
      <w:r w:rsidR="00E3175F" w:rsidRPr="00DB22E3">
        <w:rPr>
          <w:rFonts w:ascii="Times New Roman" w:hAnsi="Times New Roman" w:cs="Times New Roman"/>
          <w:sz w:val="24"/>
          <w:szCs w:val="24"/>
        </w:rPr>
        <w:t>, and ii) To analyze the factors influencing their awareness of the PM KUSUM scheme. This study contributes to the existing literature by identifying which features of this scheme are most important to farmers</w:t>
      </w:r>
      <w:r w:rsidR="000512A3">
        <w:rPr>
          <w:rFonts w:ascii="Times New Roman" w:hAnsi="Times New Roman" w:cs="Times New Roman"/>
          <w:sz w:val="24"/>
          <w:szCs w:val="24"/>
        </w:rPr>
        <w:t xml:space="preserve"> and their education</w:t>
      </w:r>
      <w:r w:rsidR="00486DC5">
        <w:rPr>
          <w:rFonts w:ascii="Times New Roman" w:hAnsi="Times New Roman" w:cs="Times New Roman"/>
          <w:sz w:val="24"/>
          <w:szCs w:val="24"/>
        </w:rPr>
        <w:t xml:space="preserve"> status.</w:t>
      </w:r>
      <w:r w:rsidR="00E3175F" w:rsidRPr="00DB22E3">
        <w:rPr>
          <w:rFonts w:ascii="Times New Roman" w:hAnsi="Times New Roman" w:cs="Times New Roman"/>
          <w:sz w:val="24"/>
          <w:szCs w:val="24"/>
        </w:rPr>
        <w:t xml:space="preserve"> Additionally, the study identifies factors that hinder farmer</w:t>
      </w:r>
      <w:r w:rsidR="00486DC5">
        <w:rPr>
          <w:rFonts w:ascii="Times New Roman" w:hAnsi="Times New Roman" w:cs="Times New Roman"/>
          <w:sz w:val="24"/>
          <w:szCs w:val="24"/>
        </w:rPr>
        <w:t>’</w:t>
      </w:r>
      <w:r w:rsidR="00E3175F" w:rsidRPr="00DB22E3">
        <w:rPr>
          <w:rFonts w:ascii="Times New Roman" w:hAnsi="Times New Roman" w:cs="Times New Roman"/>
          <w:sz w:val="24"/>
          <w:szCs w:val="24"/>
        </w:rPr>
        <w:t xml:space="preserve">s awareness of </w:t>
      </w:r>
      <w:r w:rsidR="00B8581A" w:rsidRPr="00DB22E3">
        <w:rPr>
          <w:rFonts w:ascii="Times New Roman" w:hAnsi="Times New Roman" w:cs="Times New Roman"/>
          <w:sz w:val="24"/>
          <w:szCs w:val="24"/>
        </w:rPr>
        <w:t>the PM KUSUM scheme</w:t>
      </w:r>
      <w:r w:rsidR="00E3175F" w:rsidRPr="00DB22E3">
        <w:rPr>
          <w:rFonts w:ascii="Times New Roman" w:hAnsi="Times New Roman" w:cs="Times New Roman"/>
          <w:sz w:val="24"/>
          <w:szCs w:val="24"/>
        </w:rPr>
        <w:t>.</w:t>
      </w:r>
    </w:p>
    <w:p w14:paraId="0B064364" w14:textId="0375F0DA" w:rsidR="00B8581A" w:rsidRPr="00DB22E3" w:rsidRDefault="00B8581A" w:rsidP="00B8581A">
      <w:pPr>
        <w:spacing w:line="240" w:lineRule="auto"/>
        <w:jc w:val="both"/>
        <w:rPr>
          <w:rFonts w:ascii="Times New Roman" w:hAnsi="Times New Roman" w:cs="Times New Roman"/>
          <w:b/>
          <w:bCs/>
          <w:sz w:val="24"/>
          <w:szCs w:val="24"/>
        </w:rPr>
      </w:pPr>
      <w:r w:rsidRPr="00DB22E3">
        <w:rPr>
          <w:rFonts w:ascii="Times New Roman" w:hAnsi="Times New Roman" w:cs="Times New Roman"/>
          <w:b/>
          <w:bCs/>
          <w:sz w:val="24"/>
          <w:szCs w:val="24"/>
        </w:rPr>
        <w:t>REVIEW OF LITERATURE</w:t>
      </w:r>
    </w:p>
    <w:p w14:paraId="77EE63F1" w14:textId="5A3B0C86" w:rsidR="00B8581A" w:rsidRPr="00DB22E3" w:rsidRDefault="00B8581A" w:rsidP="00B8581A">
      <w:pPr>
        <w:spacing w:line="240" w:lineRule="auto"/>
        <w:jc w:val="both"/>
        <w:rPr>
          <w:rFonts w:ascii="Times New Roman" w:hAnsi="Times New Roman" w:cs="Times New Roman"/>
          <w:sz w:val="24"/>
          <w:szCs w:val="24"/>
        </w:rPr>
      </w:pPr>
      <w:r w:rsidRPr="00DB22E3">
        <w:rPr>
          <w:rFonts w:ascii="Times New Roman" w:hAnsi="Times New Roman" w:cs="Times New Roman"/>
          <w:b/>
          <w:bCs/>
          <w:sz w:val="24"/>
          <w:szCs w:val="24"/>
        </w:rPr>
        <w:tab/>
      </w:r>
      <w:r w:rsidR="002919CB" w:rsidRPr="00BF6740">
        <w:rPr>
          <w:rFonts w:ascii="Times New Roman" w:hAnsi="Times New Roman" w:cs="Times New Roman"/>
          <w:sz w:val="24"/>
          <w:szCs w:val="24"/>
          <w:highlight w:val="red"/>
        </w:rPr>
        <w:t>K.M.</w:t>
      </w:r>
      <w:r w:rsidR="002919CB" w:rsidRPr="00DB22E3">
        <w:rPr>
          <w:rFonts w:ascii="Times New Roman" w:hAnsi="Times New Roman" w:cs="Times New Roman"/>
          <w:sz w:val="24"/>
          <w:szCs w:val="24"/>
        </w:rPr>
        <w:t xml:space="preserve"> </w:t>
      </w:r>
      <w:r w:rsidR="002919CB" w:rsidRPr="00E924A3">
        <w:rPr>
          <w:rFonts w:ascii="Times New Roman" w:hAnsi="Times New Roman" w:cs="Times New Roman"/>
          <w:i/>
          <w:iCs/>
          <w:sz w:val="24"/>
          <w:szCs w:val="24"/>
        </w:rPr>
        <w:t>et al.</w:t>
      </w:r>
      <w:r w:rsidR="002919CB" w:rsidRPr="00DB22E3">
        <w:rPr>
          <w:rFonts w:ascii="Times New Roman" w:hAnsi="Times New Roman" w:cs="Times New Roman"/>
          <w:sz w:val="24"/>
          <w:szCs w:val="24"/>
        </w:rPr>
        <w:t xml:space="preserve"> (2021) </w:t>
      </w:r>
      <w:r w:rsidR="00BF6740">
        <w:rPr>
          <w:rFonts w:ascii="Times New Roman" w:hAnsi="Times New Roman" w:cs="Times New Roman"/>
          <w:sz w:val="24"/>
          <w:szCs w:val="24"/>
        </w:rPr>
        <w:t>(</w:t>
      </w:r>
      <w:r w:rsidR="00BF6740" w:rsidRPr="00BF6740">
        <w:rPr>
          <w:rFonts w:ascii="Times New Roman" w:hAnsi="Times New Roman" w:cs="Times New Roman"/>
          <w:sz w:val="24"/>
          <w:szCs w:val="24"/>
          <w:highlight w:val="green"/>
        </w:rPr>
        <w:t>surname not initials</w:t>
      </w:r>
      <w:r w:rsidR="00BF6740">
        <w:rPr>
          <w:rFonts w:ascii="Times New Roman" w:hAnsi="Times New Roman" w:cs="Times New Roman"/>
          <w:sz w:val="24"/>
          <w:szCs w:val="24"/>
        </w:rPr>
        <w:t xml:space="preserve">) </w:t>
      </w:r>
      <w:r w:rsidR="002919CB" w:rsidRPr="00DB22E3">
        <w:rPr>
          <w:rFonts w:ascii="Times New Roman" w:hAnsi="Times New Roman" w:cs="Times New Roman"/>
          <w:sz w:val="24"/>
          <w:szCs w:val="24"/>
        </w:rPr>
        <w:t xml:space="preserve">analyzed the impact of key government schemes like MSP, PM-KISAN, PM-KUSUM, and PMFBY on agriculture. The study found these initiatives effective in improving productivity, income stability, and financial inclusion. It emphasized the importance of integrating modern technology and allied activities like poultry and beekeeping to support rural transformation and economic growth. The study of </w:t>
      </w:r>
      <w:r w:rsidR="002919CB" w:rsidRPr="00DB22E3">
        <w:rPr>
          <w:rFonts w:ascii="Times New Roman" w:hAnsi="Times New Roman" w:cs="Times New Roman"/>
          <w:sz w:val="24"/>
          <w:szCs w:val="24"/>
        </w:rPr>
        <w:lastRenderedPageBreak/>
        <w:t>Guno and Agaton (2022) examined the socio-economic and environmental impacts of solar irrigation for small-scale farmers in the Philippines. The study found significant CO₂ reductions, high returns on investment, and an average payback period of 2.88 years. While 69% of farmers showed interest, high initial costs remained a barrier. The authors recommended policy support to improve accessibility and promote sustainable agriculture.</w:t>
      </w:r>
    </w:p>
    <w:p w14:paraId="4F086789" w14:textId="77777777" w:rsidR="00BF6740" w:rsidRDefault="00DB22E3" w:rsidP="00B8581A">
      <w:pPr>
        <w:spacing w:line="240" w:lineRule="auto"/>
        <w:jc w:val="both"/>
        <w:rPr>
          <w:rFonts w:ascii="Times New Roman" w:hAnsi="Times New Roman" w:cs="Times New Roman"/>
          <w:sz w:val="24"/>
          <w:szCs w:val="24"/>
        </w:rPr>
      </w:pPr>
      <w:r w:rsidRPr="00DB22E3">
        <w:rPr>
          <w:rFonts w:ascii="Times New Roman" w:hAnsi="Times New Roman" w:cs="Times New Roman"/>
          <w:sz w:val="24"/>
          <w:szCs w:val="24"/>
        </w:rPr>
        <w:tab/>
        <w:t xml:space="preserve">Kumar </w:t>
      </w:r>
      <w:r w:rsidRPr="00E924A3">
        <w:rPr>
          <w:rFonts w:ascii="Times New Roman" w:hAnsi="Times New Roman" w:cs="Times New Roman"/>
          <w:i/>
          <w:iCs/>
          <w:sz w:val="24"/>
          <w:szCs w:val="24"/>
        </w:rPr>
        <w:t>et al.</w:t>
      </w:r>
      <w:r w:rsidRPr="00DB22E3">
        <w:rPr>
          <w:rFonts w:ascii="Times New Roman" w:hAnsi="Times New Roman" w:cs="Times New Roman"/>
          <w:sz w:val="24"/>
          <w:szCs w:val="24"/>
        </w:rPr>
        <w:t xml:space="preserve"> (2024) studied factors influencing the adoption of solar water-pumping systems in Gujarat. Economic benefits (33.2%) and government policy (26.3%) were key drivers. Affordable costs, subsidies, and energy savings motivated adoption. The study recommended expanding such schemes, promoting farmer awareness, and integrating solar with drip irrigation for higher income and sustainability. It also emphasized reducing grid dependency and carbon emissions through policy support and financial assistance. The study of Aditya and Dagmar (2024) analyzed the adoption of solar pumping systems among vegetable farmers in Senegal using a sequential logit model. They found that awareness was shaped by socio-economic factors like age, credit access, and climate change knowledge, while initial and continued use were influenced by plot size, location, gender, and household size. Access to credit was crucial for sustained adoption. The study highlighted the need for targeted institutional and financial support to promote long-term use of solar irrigation systems.</w:t>
      </w:r>
      <w:r w:rsidR="00BF6740">
        <w:rPr>
          <w:rFonts w:ascii="Times New Roman" w:hAnsi="Times New Roman" w:cs="Times New Roman"/>
          <w:sz w:val="24"/>
          <w:szCs w:val="24"/>
        </w:rPr>
        <w:t xml:space="preserve"> </w:t>
      </w:r>
    </w:p>
    <w:p w14:paraId="275FD5DE" w14:textId="7428301A" w:rsidR="00DB22E3" w:rsidRDefault="00BF6740" w:rsidP="00B8581A">
      <w:pPr>
        <w:spacing w:line="240" w:lineRule="auto"/>
        <w:jc w:val="both"/>
        <w:rPr>
          <w:rFonts w:ascii="Times New Roman" w:hAnsi="Times New Roman" w:cs="Times New Roman"/>
          <w:sz w:val="24"/>
          <w:szCs w:val="24"/>
        </w:rPr>
      </w:pPr>
      <w:r w:rsidRPr="00F77F42">
        <w:rPr>
          <w:rFonts w:ascii="Times New Roman" w:hAnsi="Times New Roman" w:cs="Times New Roman"/>
          <w:sz w:val="24"/>
          <w:szCs w:val="24"/>
          <w:highlight w:val="green"/>
        </w:rPr>
        <w:t>(</w:t>
      </w:r>
      <w:r w:rsidR="00F77F42" w:rsidRPr="00F77F42">
        <w:rPr>
          <w:rFonts w:ascii="Times New Roman" w:hAnsi="Times New Roman" w:cs="Times New Roman"/>
          <w:sz w:val="24"/>
          <w:szCs w:val="24"/>
          <w:highlight w:val="green"/>
        </w:rPr>
        <w:t>Identify and report the research gaps in the studies conducted by K.M. et al. (2021), Guno and Agaton (2022), Kumar et al. (2024), and Aditya and Dagmar (2024), and explain how your study addresses these gaps in a paragraph</w:t>
      </w:r>
      <w:r w:rsidRPr="00F77F42">
        <w:rPr>
          <w:rFonts w:ascii="Times New Roman" w:hAnsi="Times New Roman" w:cs="Times New Roman"/>
          <w:sz w:val="24"/>
          <w:szCs w:val="24"/>
          <w:highlight w:val="green"/>
        </w:rPr>
        <w:t>)</w:t>
      </w:r>
    </w:p>
    <w:p w14:paraId="70EEBD30" w14:textId="1A6144F4" w:rsidR="00DB22E3" w:rsidRPr="002A66F1" w:rsidRDefault="0049445C" w:rsidP="00E924A3">
      <w:pPr>
        <w:spacing w:line="240" w:lineRule="auto"/>
        <w:jc w:val="both"/>
        <w:rPr>
          <w:rFonts w:ascii="Times New Roman" w:hAnsi="Times New Roman" w:cs="Times New Roman"/>
          <w:b/>
          <w:bCs/>
          <w:sz w:val="24"/>
          <w:szCs w:val="24"/>
        </w:rPr>
      </w:pPr>
      <w:r w:rsidRPr="002A66F1">
        <w:rPr>
          <w:rFonts w:ascii="Times New Roman" w:hAnsi="Times New Roman" w:cs="Times New Roman"/>
          <w:b/>
          <w:bCs/>
          <w:sz w:val="24"/>
          <w:szCs w:val="24"/>
        </w:rPr>
        <w:t>MATERIALS AND METHODS</w:t>
      </w:r>
    </w:p>
    <w:p w14:paraId="507E83F7" w14:textId="3023E29E" w:rsidR="00D561D7" w:rsidRDefault="007F00F0" w:rsidP="00B8581A">
      <w:pPr>
        <w:spacing w:line="240" w:lineRule="auto"/>
        <w:jc w:val="both"/>
        <w:rPr>
          <w:rFonts w:ascii="Times New Roman" w:hAnsi="Times New Roman" w:cs="Times New Roman"/>
          <w:b/>
          <w:bCs/>
          <w:sz w:val="24"/>
          <w:szCs w:val="24"/>
        </w:rPr>
      </w:pPr>
      <w:r w:rsidRPr="009B10BA">
        <w:rPr>
          <w:rFonts w:ascii="Times New Roman" w:hAnsi="Times New Roman" w:cs="Times New Roman"/>
          <w:b/>
          <w:bCs/>
          <w:sz w:val="24"/>
          <w:szCs w:val="24"/>
          <w:highlight w:val="red"/>
        </w:rPr>
        <w:t>1</w:t>
      </w:r>
      <w:r w:rsidR="00E924A3" w:rsidRPr="009B10BA">
        <w:rPr>
          <w:rFonts w:ascii="Times New Roman" w:hAnsi="Times New Roman" w:cs="Times New Roman"/>
          <w:b/>
          <w:bCs/>
          <w:sz w:val="24"/>
          <w:szCs w:val="24"/>
          <w:highlight w:val="red"/>
        </w:rPr>
        <w:t>.</w:t>
      </w:r>
      <w:r w:rsidRPr="009B10BA">
        <w:rPr>
          <w:rFonts w:ascii="Times New Roman" w:hAnsi="Times New Roman" w:cs="Times New Roman"/>
          <w:b/>
          <w:bCs/>
          <w:sz w:val="24"/>
          <w:szCs w:val="24"/>
          <w:highlight w:val="red"/>
        </w:rPr>
        <w:t xml:space="preserve"> </w:t>
      </w:r>
      <w:r w:rsidR="00D561D7" w:rsidRPr="009B10BA">
        <w:rPr>
          <w:rFonts w:ascii="Times New Roman" w:hAnsi="Times New Roman" w:cs="Times New Roman"/>
          <w:b/>
          <w:bCs/>
          <w:sz w:val="24"/>
          <w:szCs w:val="24"/>
          <w:highlight w:val="red"/>
        </w:rPr>
        <w:t>Study area and sampling</w:t>
      </w:r>
      <w:r w:rsidR="00F77F42">
        <w:rPr>
          <w:rFonts w:ascii="Times New Roman" w:hAnsi="Times New Roman" w:cs="Times New Roman"/>
          <w:b/>
          <w:bCs/>
          <w:sz w:val="24"/>
          <w:szCs w:val="24"/>
        </w:rPr>
        <w:t xml:space="preserve"> </w:t>
      </w:r>
    </w:p>
    <w:p w14:paraId="6BB990E7" w14:textId="77777777" w:rsidR="009B10BA" w:rsidRPr="00CD65D7" w:rsidRDefault="00E63308" w:rsidP="00B8581A">
      <w:pPr>
        <w:spacing w:line="240" w:lineRule="auto"/>
        <w:jc w:val="both"/>
        <w:rPr>
          <w:rFonts w:ascii="Times New Roman" w:hAnsi="Times New Roman" w:cs="Times New Roman"/>
          <w:b/>
          <w:bCs/>
          <w:sz w:val="24"/>
          <w:szCs w:val="24"/>
          <w:highlight w:val="green"/>
        </w:rPr>
      </w:pPr>
      <w:bookmarkStart w:id="0" w:name="_GoBack"/>
      <w:r w:rsidRPr="00CD65D7">
        <w:rPr>
          <w:rFonts w:ascii="Times New Roman" w:hAnsi="Times New Roman" w:cs="Times New Roman"/>
          <w:b/>
          <w:bCs/>
          <w:sz w:val="24"/>
          <w:szCs w:val="24"/>
          <w:highlight w:val="green"/>
        </w:rPr>
        <w:t xml:space="preserve">1. </w:t>
      </w:r>
      <w:r w:rsidR="009B10BA" w:rsidRPr="00CD65D7">
        <w:rPr>
          <w:rFonts w:ascii="Times New Roman" w:hAnsi="Times New Roman" w:cs="Times New Roman"/>
          <w:b/>
          <w:bCs/>
          <w:sz w:val="24"/>
          <w:szCs w:val="24"/>
          <w:highlight w:val="green"/>
        </w:rPr>
        <w:t xml:space="preserve">Description of the Study Area </w:t>
      </w:r>
    </w:p>
    <w:p w14:paraId="5F77E662" w14:textId="7FCE1101" w:rsidR="00E63308" w:rsidRPr="00C92F95" w:rsidRDefault="00C92F95" w:rsidP="00B8581A">
      <w:pPr>
        <w:spacing w:line="240" w:lineRule="auto"/>
        <w:jc w:val="both"/>
        <w:rPr>
          <w:rFonts w:ascii="Times New Roman" w:hAnsi="Times New Roman" w:cs="Times New Roman"/>
          <w:bCs/>
          <w:sz w:val="24"/>
          <w:szCs w:val="24"/>
          <w:highlight w:val="green"/>
        </w:rPr>
      </w:pPr>
      <w:r w:rsidRPr="00C92F95">
        <w:rPr>
          <w:rFonts w:ascii="Times New Roman" w:hAnsi="Times New Roman" w:cs="Times New Roman"/>
          <w:bCs/>
          <w:sz w:val="24"/>
          <w:szCs w:val="24"/>
          <w:highlight w:val="green"/>
        </w:rPr>
        <w:t>Provide</w:t>
      </w:r>
      <w:r w:rsidR="009B10BA" w:rsidRPr="00C92F95">
        <w:rPr>
          <w:rFonts w:ascii="Times New Roman" w:hAnsi="Times New Roman" w:cs="Times New Roman"/>
          <w:bCs/>
          <w:sz w:val="24"/>
          <w:szCs w:val="24"/>
          <w:highlight w:val="green"/>
        </w:rPr>
        <w:t xml:space="preserve"> a discussion of the study area's characteristics, including its geographical location, potential for irrigation farming, and solar energy potential.</w:t>
      </w:r>
    </w:p>
    <w:p w14:paraId="79502571" w14:textId="3956DEB5" w:rsidR="009B10BA" w:rsidRPr="00CD65D7" w:rsidRDefault="009B10BA" w:rsidP="00B8581A">
      <w:pPr>
        <w:spacing w:line="240" w:lineRule="auto"/>
        <w:jc w:val="both"/>
        <w:rPr>
          <w:rFonts w:ascii="Times New Roman" w:hAnsi="Times New Roman" w:cs="Times New Roman"/>
          <w:b/>
          <w:bCs/>
          <w:sz w:val="24"/>
          <w:szCs w:val="24"/>
          <w:highlight w:val="green"/>
        </w:rPr>
      </w:pPr>
      <w:r w:rsidRPr="00CD65D7">
        <w:rPr>
          <w:rFonts w:ascii="Times New Roman" w:hAnsi="Times New Roman" w:cs="Times New Roman"/>
          <w:b/>
          <w:bCs/>
          <w:sz w:val="24"/>
          <w:szCs w:val="24"/>
          <w:highlight w:val="green"/>
        </w:rPr>
        <w:t>2. Data Collection and Sampling</w:t>
      </w:r>
    </w:p>
    <w:p w14:paraId="0E1BB34D" w14:textId="78A39C9D" w:rsidR="00C92F95" w:rsidRPr="00C92F95" w:rsidRDefault="00C92F95" w:rsidP="00C92F95">
      <w:pPr>
        <w:rPr>
          <w:rFonts w:ascii="Times New Roman" w:hAnsi="Times New Roman" w:cs="Times New Roman"/>
          <w:bCs/>
          <w:sz w:val="24"/>
          <w:szCs w:val="24"/>
        </w:rPr>
      </w:pPr>
      <w:r w:rsidRPr="00C92F95">
        <w:rPr>
          <w:rFonts w:ascii="Times New Roman" w:hAnsi="Times New Roman" w:cs="Times New Roman"/>
          <w:bCs/>
          <w:sz w:val="24"/>
          <w:szCs w:val="24"/>
          <w:highlight w:val="green"/>
        </w:rPr>
        <w:t>Provide the methodology used for data collection. Include details on the sampling techniques, and the instruments used.</w:t>
      </w:r>
      <w:r w:rsidRPr="00C92F95">
        <w:rPr>
          <w:rFonts w:ascii="Times New Roman" w:hAnsi="Times New Roman" w:cs="Times New Roman"/>
          <w:bCs/>
          <w:sz w:val="24"/>
          <w:szCs w:val="24"/>
        </w:rPr>
        <w:t xml:space="preserve"> </w:t>
      </w:r>
    </w:p>
    <w:bookmarkEnd w:id="0"/>
    <w:p w14:paraId="1FF82AE0" w14:textId="77777777" w:rsidR="0023393F" w:rsidRDefault="003C3147" w:rsidP="00E924A3">
      <w:pPr>
        <w:spacing w:line="240" w:lineRule="auto"/>
        <w:ind w:firstLine="720"/>
        <w:jc w:val="both"/>
        <w:rPr>
          <w:rFonts w:ascii="Times New Roman" w:hAnsi="Times New Roman" w:cs="Times New Roman"/>
          <w:sz w:val="24"/>
          <w:szCs w:val="24"/>
        </w:rPr>
      </w:pPr>
      <w:r w:rsidRPr="003C3147">
        <w:rPr>
          <w:rFonts w:ascii="Times New Roman" w:hAnsi="Times New Roman" w:cs="Times New Roman"/>
          <w:sz w:val="24"/>
          <w:szCs w:val="24"/>
        </w:rPr>
        <w:t xml:space="preserve">The survey was conducted in the </w:t>
      </w:r>
      <w:r w:rsidR="002B60C6">
        <w:rPr>
          <w:rFonts w:ascii="Times New Roman" w:hAnsi="Times New Roman" w:cs="Times New Roman"/>
          <w:sz w:val="24"/>
          <w:szCs w:val="24"/>
        </w:rPr>
        <w:t>Bahraich</w:t>
      </w:r>
      <w:r w:rsidRPr="003C3147">
        <w:rPr>
          <w:rFonts w:ascii="Times New Roman" w:hAnsi="Times New Roman" w:cs="Times New Roman"/>
          <w:sz w:val="24"/>
          <w:szCs w:val="24"/>
        </w:rPr>
        <w:t xml:space="preserve"> district of </w:t>
      </w:r>
      <w:r w:rsidR="002B60C6">
        <w:rPr>
          <w:rFonts w:ascii="Times New Roman" w:hAnsi="Times New Roman" w:cs="Times New Roman"/>
          <w:sz w:val="24"/>
          <w:szCs w:val="24"/>
        </w:rPr>
        <w:t>Uttar Pradesh</w:t>
      </w:r>
      <w:r w:rsidR="00944D12">
        <w:rPr>
          <w:rFonts w:ascii="Times New Roman" w:hAnsi="Times New Roman" w:cs="Times New Roman"/>
          <w:sz w:val="24"/>
          <w:szCs w:val="24"/>
        </w:rPr>
        <w:t>.</w:t>
      </w:r>
      <w:r w:rsidR="000A4F62">
        <w:rPr>
          <w:rFonts w:ascii="Times New Roman" w:hAnsi="Times New Roman" w:cs="Times New Roman"/>
          <w:sz w:val="24"/>
          <w:szCs w:val="24"/>
        </w:rPr>
        <w:t xml:space="preserve"> </w:t>
      </w:r>
      <w:r w:rsidR="00075FF4">
        <w:rPr>
          <w:rFonts w:ascii="Times New Roman" w:hAnsi="Times New Roman" w:cs="Times New Roman"/>
          <w:sz w:val="24"/>
          <w:szCs w:val="24"/>
        </w:rPr>
        <w:t>It</w:t>
      </w:r>
      <w:r w:rsidR="000A4F62">
        <w:rPr>
          <w:rFonts w:ascii="Times New Roman" w:hAnsi="Times New Roman" w:cs="Times New Roman"/>
          <w:sz w:val="24"/>
          <w:szCs w:val="24"/>
        </w:rPr>
        <w:t xml:space="preserve"> </w:t>
      </w:r>
      <w:r w:rsidR="000A4F62" w:rsidRPr="00ED20D8">
        <w:rPr>
          <w:rFonts w:ascii="Times New Roman" w:hAnsi="Times New Roman" w:cs="Times New Roman"/>
          <w:sz w:val="24"/>
          <w:szCs w:val="24"/>
        </w:rPr>
        <w:t xml:space="preserve">was purposively selected </w:t>
      </w:r>
      <w:r w:rsidR="00D2594D">
        <w:rPr>
          <w:rFonts w:ascii="Times New Roman" w:hAnsi="Times New Roman" w:cs="Times New Roman"/>
          <w:sz w:val="24"/>
          <w:szCs w:val="24"/>
        </w:rPr>
        <w:t>because this</w:t>
      </w:r>
      <w:r w:rsidRPr="003C3147">
        <w:rPr>
          <w:rFonts w:ascii="Times New Roman" w:hAnsi="Times New Roman" w:cs="Times New Roman"/>
          <w:sz w:val="24"/>
          <w:szCs w:val="24"/>
        </w:rPr>
        <w:t xml:space="preserve"> region </w:t>
      </w:r>
      <w:r w:rsidR="00E50CF3">
        <w:rPr>
          <w:rFonts w:ascii="Times New Roman" w:hAnsi="Times New Roman" w:cs="Times New Roman"/>
          <w:sz w:val="24"/>
          <w:szCs w:val="24"/>
        </w:rPr>
        <w:t xml:space="preserve">is </w:t>
      </w:r>
      <w:r w:rsidRPr="003C3147">
        <w:rPr>
          <w:rFonts w:ascii="Times New Roman" w:hAnsi="Times New Roman" w:cs="Times New Roman"/>
          <w:sz w:val="24"/>
          <w:szCs w:val="24"/>
        </w:rPr>
        <w:t xml:space="preserve">known for its challenging </w:t>
      </w:r>
      <w:r w:rsidR="004C7B23">
        <w:rPr>
          <w:rFonts w:ascii="Times New Roman" w:hAnsi="Times New Roman" w:cs="Times New Roman"/>
          <w:sz w:val="24"/>
          <w:szCs w:val="24"/>
        </w:rPr>
        <w:t xml:space="preserve">educational level and </w:t>
      </w:r>
      <w:r w:rsidR="00944D12">
        <w:rPr>
          <w:rFonts w:ascii="Times New Roman" w:hAnsi="Times New Roman" w:cs="Times New Roman"/>
          <w:sz w:val="24"/>
          <w:szCs w:val="24"/>
        </w:rPr>
        <w:t>comes</w:t>
      </w:r>
      <w:r w:rsidR="004C7B23">
        <w:rPr>
          <w:rFonts w:ascii="Times New Roman" w:hAnsi="Times New Roman" w:cs="Times New Roman"/>
          <w:sz w:val="24"/>
          <w:szCs w:val="24"/>
        </w:rPr>
        <w:t xml:space="preserve"> under the list of </w:t>
      </w:r>
      <w:r w:rsidR="00075FF4">
        <w:rPr>
          <w:rFonts w:ascii="Times New Roman" w:hAnsi="Times New Roman" w:cs="Times New Roman"/>
          <w:sz w:val="24"/>
          <w:szCs w:val="24"/>
        </w:rPr>
        <w:t xml:space="preserve">the </w:t>
      </w:r>
      <w:r w:rsidR="00ED20D8" w:rsidRPr="00ED20D8">
        <w:rPr>
          <w:rFonts w:ascii="Times New Roman" w:hAnsi="Times New Roman" w:cs="Times New Roman"/>
          <w:sz w:val="24"/>
          <w:szCs w:val="24"/>
        </w:rPr>
        <w:t>Aspirational District Programme (launched in 2018), which focuses on various developmental aspects, including agriculture and water resources.</w:t>
      </w:r>
      <w:r w:rsidR="00FC5F0F">
        <w:rPr>
          <w:rFonts w:ascii="Times New Roman" w:hAnsi="Times New Roman" w:cs="Times New Roman"/>
          <w:sz w:val="24"/>
          <w:szCs w:val="24"/>
        </w:rPr>
        <w:t xml:space="preserve"> </w:t>
      </w:r>
      <w:r w:rsidR="00DE754F" w:rsidRPr="00DE754F">
        <w:rPr>
          <w:rFonts w:ascii="Times New Roman" w:hAnsi="Times New Roman" w:cs="Times New Roman"/>
          <w:sz w:val="24"/>
          <w:szCs w:val="24"/>
        </w:rPr>
        <w:t>The main source of irrigation in the district of Bahraich is tube wells and wells. The source-wise irrigated area in the district during 2021-22</w:t>
      </w:r>
      <w:r w:rsidR="00CE594F">
        <w:rPr>
          <w:rFonts w:ascii="Times New Roman" w:hAnsi="Times New Roman" w:cs="Times New Roman"/>
          <w:sz w:val="24"/>
          <w:szCs w:val="24"/>
        </w:rPr>
        <w:t>,</w:t>
      </w:r>
      <w:r w:rsidR="00DE754F" w:rsidRPr="00DE754F">
        <w:rPr>
          <w:rFonts w:ascii="Times New Roman" w:hAnsi="Times New Roman" w:cs="Times New Roman"/>
          <w:sz w:val="24"/>
          <w:szCs w:val="24"/>
        </w:rPr>
        <w:t xml:space="preserve"> Tube wells and wells</w:t>
      </w:r>
      <w:r w:rsidR="0023393F">
        <w:rPr>
          <w:rFonts w:ascii="Times New Roman" w:hAnsi="Times New Roman" w:cs="Times New Roman"/>
          <w:sz w:val="24"/>
          <w:szCs w:val="24"/>
        </w:rPr>
        <w:t>,</w:t>
      </w:r>
      <w:r w:rsidR="00DE754F" w:rsidRPr="00DE754F">
        <w:rPr>
          <w:rFonts w:ascii="Times New Roman" w:hAnsi="Times New Roman" w:cs="Times New Roman"/>
          <w:sz w:val="24"/>
          <w:szCs w:val="24"/>
        </w:rPr>
        <w:t xml:space="preserve"> 58.1 and 36.07 percent</w:t>
      </w:r>
      <w:r w:rsidR="0023393F">
        <w:rPr>
          <w:rFonts w:ascii="Times New Roman" w:hAnsi="Times New Roman" w:cs="Times New Roman"/>
          <w:sz w:val="24"/>
          <w:szCs w:val="24"/>
        </w:rPr>
        <w:t>,</w:t>
      </w:r>
      <w:r w:rsidR="00DE754F" w:rsidRPr="00DE754F">
        <w:rPr>
          <w:rFonts w:ascii="Times New Roman" w:hAnsi="Times New Roman" w:cs="Times New Roman"/>
          <w:sz w:val="24"/>
          <w:szCs w:val="24"/>
        </w:rPr>
        <w:t xml:space="preserve"> </w:t>
      </w:r>
      <w:r w:rsidR="008F49FD">
        <w:rPr>
          <w:rFonts w:ascii="Times New Roman" w:hAnsi="Times New Roman" w:cs="Times New Roman"/>
          <w:sz w:val="24"/>
          <w:szCs w:val="24"/>
        </w:rPr>
        <w:t>respectively</w:t>
      </w:r>
      <w:r w:rsidR="0023393F">
        <w:rPr>
          <w:rFonts w:ascii="Times New Roman" w:hAnsi="Times New Roman" w:cs="Times New Roman"/>
          <w:sz w:val="24"/>
          <w:szCs w:val="24"/>
        </w:rPr>
        <w:t>,</w:t>
      </w:r>
      <w:r w:rsidR="008F49FD">
        <w:rPr>
          <w:rFonts w:ascii="Times New Roman" w:hAnsi="Times New Roman" w:cs="Times New Roman"/>
          <w:sz w:val="24"/>
          <w:szCs w:val="24"/>
        </w:rPr>
        <w:t xml:space="preserve"> </w:t>
      </w:r>
      <w:r w:rsidR="00DE754F" w:rsidRPr="00DE754F">
        <w:rPr>
          <w:rFonts w:ascii="Times New Roman" w:hAnsi="Times New Roman" w:cs="Times New Roman"/>
          <w:sz w:val="24"/>
          <w:szCs w:val="24"/>
        </w:rPr>
        <w:t xml:space="preserve">of the total irrigated area in the district. There are two types of tube wells, i.e., state and private tube wells, which cover 2.4 and 55.7 percent, respectively </w:t>
      </w:r>
      <w:r w:rsidR="00DE754F" w:rsidRPr="00DE754F">
        <w:rPr>
          <w:rFonts w:ascii="Times New Roman" w:hAnsi="Times New Roman" w:cs="Times New Roman"/>
          <w:b/>
          <w:bCs/>
          <w:i/>
          <w:iCs/>
          <w:sz w:val="24"/>
          <w:szCs w:val="24"/>
        </w:rPr>
        <w:t>(District Statistical Journal, Bahraich 2021-22)</w:t>
      </w:r>
      <w:r w:rsidR="00706F9B">
        <w:rPr>
          <w:rFonts w:ascii="Times New Roman" w:hAnsi="Times New Roman" w:cs="Times New Roman"/>
          <w:b/>
          <w:bCs/>
          <w:i/>
          <w:iCs/>
          <w:sz w:val="24"/>
          <w:szCs w:val="24"/>
        </w:rPr>
        <w:t xml:space="preserve">. </w:t>
      </w:r>
      <w:r w:rsidR="00EE292E">
        <w:rPr>
          <w:rFonts w:ascii="Times New Roman" w:hAnsi="Times New Roman" w:cs="Times New Roman"/>
          <w:sz w:val="24"/>
          <w:szCs w:val="24"/>
        </w:rPr>
        <w:t>T</w:t>
      </w:r>
      <w:r w:rsidR="00706F9B" w:rsidRPr="00706F9B">
        <w:rPr>
          <w:rFonts w:ascii="Times New Roman" w:hAnsi="Times New Roman" w:cs="Times New Roman"/>
          <w:sz w:val="24"/>
          <w:szCs w:val="24"/>
        </w:rPr>
        <w:t xml:space="preserve">he diesel-powered pumps are high at 72323 all over the district, and </w:t>
      </w:r>
      <w:r w:rsidR="00706F9B">
        <w:rPr>
          <w:rFonts w:ascii="Times New Roman" w:hAnsi="Times New Roman" w:cs="Times New Roman"/>
          <w:sz w:val="24"/>
          <w:szCs w:val="24"/>
        </w:rPr>
        <w:t xml:space="preserve">the </w:t>
      </w:r>
      <w:r w:rsidR="00706F9B" w:rsidRPr="00706F9B">
        <w:rPr>
          <w:rFonts w:ascii="Times New Roman" w:hAnsi="Times New Roman" w:cs="Times New Roman"/>
          <w:sz w:val="24"/>
          <w:szCs w:val="24"/>
        </w:rPr>
        <w:t xml:space="preserve">electricity-powered pumps are only 328 over the district. So, we can say that the consumption of diesel in irrigation is higher than electricity </w:t>
      </w:r>
      <w:r w:rsidR="00706F9B" w:rsidRPr="003F4969">
        <w:rPr>
          <w:rFonts w:ascii="Times New Roman" w:hAnsi="Times New Roman" w:cs="Times New Roman"/>
          <w:b/>
          <w:bCs/>
          <w:i/>
          <w:iCs/>
          <w:sz w:val="24"/>
          <w:szCs w:val="24"/>
        </w:rPr>
        <w:t>(District Statistical Journal, Bahraich 2022-23).</w:t>
      </w:r>
      <w:r w:rsidR="002F2793">
        <w:rPr>
          <w:rFonts w:ascii="Times New Roman" w:hAnsi="Times New Roman" w:cs="Times New Roman"/>
          <w:sz w:val="24"/>
          <w:szCs w:val="24"/>
        </w:rPr>
        <w:t xml:space="preserve"> </w:t>
      </w:r>
    </w:p>
    <w:p w14:paraId="21417B65" w14:textId="77777777" w:rsidR="00524C21" w:rsidRDefault="003C3147" w:rsidP="00E924A3">
      <w:pPr>
        <w:spacing w:line="240" w:lineRule="auto"/>
        <w:ind w:firstLine="720"/>
        <w:jc w:val="both"/>
        <w:rPr>
          <w:rFonts w:ascii="Times New Roman" w:hAnsi="Times New Roman" w:cs="Times New Roman"/>
          <w:sz w:val="24"/>
          <w:szCs w:val="24"/>
        </w:rPr>
      </w:pPr>
      <w:r w:rsidRPr="003C3147">
        <w:rPr>
          <w:rFonts w:ascii="Times New Roman" w:hAnsi="Times New Roman" w:cs="Times New Roman"/>
          <w:sz w:val="24"/>
          <w:szCs w:val="24"/>
        </w:rPr>
        <w:t xml:space="preserve">To accomplish the study objectives, an initial step involved the selection of </w:t>
      </w:r>
      <w:r w:rsidR="00FA3F12">
        <w:rPr>
          <w:rFonts w:ascii="Times New Roman" w:hAnsi="Times New Roman" w:cs="Times New Roman"/>
          <w:sz w:val="24"/>
          <w:szCs w:val="24"/>
        </w:rPr>
        <w:t>six</w:t>
      </w:r>
      <w:r w:rsidRPr="003C3147">
        <w:rPr>
          <w:rFonts w:ascii="Times New Roman" w:hAnsi="Times New Roman" w:cs="Times New Roman"/>
          <w:sz w:val="24"/>
          <w:szCs w:val="24"/>
        </w:rPr>
        <w:t xml:space="preserve"> blocks, namely </w:t>
      </w:r>
      <w:r w:rsidR="00231A78" w:rsidRPr="000A6939">
        <w:rPr>
          <w:rFonts w:ascii="Times New Roman" w:hAnsi="Times New Roman" w:cs="Times New Roman"/>
          <w:sz w:val="24"/>
          <w:szCs w:val="24"/>
        </w:rPr>
        <w:t xml:space="preserve">Kaisarganj, </w:t>
      </w:r>
      <w:r w:rsidR="00231A78">
        <w:rPr>
          <w:rFonts w:ascii="Times New Roman" w:hAnsi="Times New Roman" w:cs="Times New Roman"/>
          <w:sz w:val="24"/>
          <w:szCs w:val="24"/>
        </w:rPr>
        <w:t>F</w:t>
      </w:r>
      <w:r w:rsidR="00231A78" w:rsidRPr="000A6939">
        <w:rPr>
          <w:rFonts w:ascii="Times New Roman" w:hAnsi="Times New Roman" w:cs="Times New Roman"/>
          <w:sz w:val="24"/>
          <w:szCs w:val="24"/>
        </w:rPr>
        <w:t xml:space="preserve">akharpur, Chittaura, Payagpur, </w:t>
      </w:r>
      <w:r w:rsidR="00231A78">
        <w:rPr>
          <w:rFonts w:ascii="Times New Roman" w:hAnsi="Times New Roman" w:cs="Times New Roman"/>
          <w:sz w:val="24"/>
          <w:szCs w:val="24"/>
        </w:rPr>
        <w:t>Shivpur</w:t>
      </w:r>
      <w:r w:rsidR="00231A78" w:rsidRPr="000A6939">
        <w:rPr>
          <w:rFonts w:ascii="Times New Roman" w:hAnsi="Times New Roman" w:cs="Times New Roman"/>
          <w:sz w:val="24"/>
          <w:szCs w:val="24"/>
        </w:rPr>
        <w:t>, and Mihinpurwa</w:t>
      </w:r>
      <w:r w:rsidR="00231A78">
        <w:rPr>
          <w:rFonts w:ascii="Times New Roman" w:hAnsi="Times New Roman" w:cs="Times New Roman"/>
          <w:sz w:val="24"/>
          <w:szCs w:val="24"/>
        </w:rPr>
        <w:t xml:space="preserve">, </w:t>
      </w:r>
      <w:r w:rsidRPr="003C3147">
        <w:rPr>
          <w:rFonts w:ascii="Times New Roman" w:hAnsi="Times New Roman" w:cs="Times New Roman"/>
          <w:sz w:val="24"/>
          <w:szCs w:val="24"/>
        </w:rPr>
        <w:t xml:space="preserve">within the </w:t>
      </w:r>
      <w:r w:rsidR="00231A78">
        <w:rPr>
          <w:rFonts w:ascii="Times New Roman" w:hAnsi="Times New Roman" w:cs="Times New Roman"/>
          <w:sz w:val="24"/>
          <w:szCs w:val="24"/>
        </w:rPr>
        <w:t>Bahraich</w:t>
      </w:r>
      <w:r w:rsidRPr="003C3147">
        <w:rPr>
          <w:rFonts w:ascii="Times New Roman" w:hAnsi="Times New Roman" w:cs="Times New Roman"/>
          <w:sz w:val="24"/>
          <w:szCs w:val="24"/>
        </w:rPr>
        <w:t xml:space="preserve"> district. Utilizing a </w:t>
      </w:r>
      <w:r w:rsidR="005B39F2" w:rsidRPr="000A6939">
        <w:rPr>
          <w:rFonts w:ascii="Times New Roman" w:hAnsi="Times New Roman" w:cs="Times New Roman"/>
          <w:sz w:val="24"/>
          <w:szCs w:val="24"/>
        </w:rPr>
        <w:t xml:space="preserve">multistage </w:t>
      </w:r>
      <w:r w:rsidRPr="003C3147">
        <w:rPr>
          <w:rFonts w:ascii="Times New Roman" w:hAnsi="Times New Roman" w:cs="Times New Roman"/>
          <w:sz w:val="24"/>
          <w:szCs w:val="24"/>
        </w:rPr>
        <w:t xml:space="preserve">sampling technique, </w:t>
      </w:r>
      <w:r w:rsidR="00983758">
        <w:rPr>
          <w:rFonts w:ascii="Times New Roman" w:hAnsi="Times New Roman" w:cs="Times New Roman"/>
          <w:sz w:val="24"/>
          <w:szCs w:val="24"/>
        </w:rPr>
        <w:t>two</w:t>
      </w:r>
      <w:r w:rsidRPr="003C3147">
        <w:rPr>
          <w:rFonts w:ascii="Times New Roman" w:hAnsi="Times New Roman" w:cs="Times New Roman"/>
          <w:sz w:val="24"/>
          <w:szCs w:val="24"/>
        </w:rPr>
        <w:t xml:space="preserve"> villages were chosen from </w:t>
      </w:r>
      <w:r w:rsidRPr="003C3147">
        <w:rPr>
          <w:rFonts w:ascii="Times New Roman" w:hAnsi="Times New Roman" w:cs="Times New Roman"/>
          <w:sz w:val="24"/>
          <w:szCs w:val="24"/>
        </w:rPr>
        <w:lastRenderedPageBreak/>
        <w:t xml:space="preserve">each block, followed by the selection of ten farmers from each village. As a result, a total sample size of </w:t>
      </w:r>
      <w:r w:rsidR="00983758">
        <w:rPr>
          <w:rFonts w:ascii="Times New Roman" w:hAnsi="Times New Roman" w:cs="Times New Roman"/>
          <w:sz w:val="24"/>
          <w:szCs w:val="24"/>
        </w:rPr>
        <w:t>120</w:t>
      </w:r>
      <w:r w:rsidRPr="003C3147">
        <w:rPr>
          <w:rFonts w:ascii="Times New Roman" w:hAnsi="Times New Roman" w:cs="Times New Roman"/>
          <w:sz w:val="24"/>
          <w:szCs w:val="24"/>
        </w:rPr>
        <w:t xml:space="preserve"> farmers was obtained</w:t>
      </w:r>
      <w:r w:rsidR="009D3013">
        <w:rPr>
          <w:rFonts w:ascii="Times New Roman" w:hAnsi="Times New Roman" w:cs="Times New Roman"/>
          <w:sz w:val="24"/>
          <w:szCs w:val="24"/>
        </w:rPr>
        <w:t>.</w:t>
      </w:r>
      <w:r w:rsidRPr="003C3147">
        <w:rPr>
          <w:rFonts w:ascii="Times New Roman" w:hAnsi="Times New Roman" w:cs="Times New Roman"/>
          <w:sz w:val="24"/>
          <w:szCs w:val="24"/>
        </w:rPr>
        <w:t xml:space="preserve"> </w:t>
      </w:r>
      <w:r w:rsidR="00E42081" w:rsidRPr="00E42081">
        <w:rPr>
          <w:rFonts w:ascii="Times New Roman" w:hAnsi="Times New Roman" w:cs="Times New Roman"/>
          <w:sz w:val="24"/>
          <w:szCs w:val="24"/>
        </w:rPr>
        <w:t>Among them, 84 respondents, who had installed solar irrigation pumps, were selected using the snowball sampling method, while the remaining 36 respondents were selected using random sampling.</w:t>
      </w:r>
      <w:r w:rsidR="009D3013">
        <w:rPr>
          <w:rFonts w:ascii="Times New Roman" w:hAnsi="Times New Roman" w:cs="Times New Roman"/>
          <w:sz w:val="24"/>
          <w:szCs w:val="24"/>
        </w:rPr>
        <w:t xml:space="preserve"> </w:t>
      </w:r>
      <w:r w:rsidR="00BD260B">
        <w:rPr>
          <w:rFonts w:ascii="Times New Roman" w:hAnsi="Times New Roman" w:cs="Times New Roman"/>
          <w:sz w:val="24"/>
          <w:szCs w:val="24"/>
        </w:rPr>
        <w:t xml:space="preserve">The </w:t>
      </w:r>
      <w:r w:rsidR="006D49D7">
        <w:rPr>
          <w:rFonts w:ascii="Times New Roman" w:hAnsi="Times New Roman" w:cs="Times New Roman"/>
          <w:sz w:val="24"/>
          <w:szCs w:val="24"/>
        </w:rPr>
        <w:t>survey schedule</w:t>
      </w:r>
      <w:r w:rsidR="00077C71">
        <w:rPr>
          <w:rFonts w:ascii="Times New Roman" w:hAnsi="Times New Roman" w:cs="Times New Roman"/>
          <w:sz w:val="24"/>
          <w:szCs w:val="24"/>
        </w:rPr>
        <w:t xml:space="preserve"> was prepared for </w:t>
      </w:r>
      <w:r w:rsidR="006D49D7">
        <w:rPr>
          <w:rFonts w:ascii="Times New Roman" w:hAnsi="Times New Roman" w:cs="Times New Roman"/>
          <w:sz w:val="24"/>
          <w:szCs w:val="24"/>
        </w:rPr>
        <w:t xml:space="preserve">the </w:t>
      </w:r>
      <w:r w:rsidR="00077C71">
        <w:rPr>
          <w:rFonts w:ascii="Times New Roman" w:hAnsi="Times New Roman" w:cs="Times New Roman"/>
          <w:sz w:val="24"/>
          <w:szCs w:val="24"/>
        </w:rPr>
        <w:t xml:space="preserve">collection </w:t>
      </w:r>
      <w:r w:rsidR="006D49D7">
        <w:rPr>
          <w:rFonts w:ascii="Times New Roman" w:hAnsi="Times New Roman" w:cs="Times New Roman"/>
          <w:sz w:val="24"/>
          <w:szCs w:val="24"/>
        </w:rPr>
        <w:t xml:space="preserve">of </w:t>
      </w:r>
      <w:r w:rsidR="00077C71">
        <w:rPr>
          <w:rFonts w:ascii="Times New Roman" w:hAnsi="Times New Roman" w:cs="Times New Roman"/>
          <w:sz w:val="24"/>
          <w:szCs w:val="24"/>
        </w:rPr>
        <w:t>primary data</w:t>
      </w:r>
      <w:r w:rsidR="006D49D7">
        <w:rPr>
          <w:rFonts w:ascii="Times New Roman" w:hAnsi="Times New Roman" w:cs="Times New Roman"/>
          <w:sz w:val="24"/>
          <w:szCs w:val="24"/>
        </w:rPr>
        <w:t xml:space="preserve">. </w:t>
      </w:r>
    </w:p>
    <w:p w14:paraId="537C62A2" w14:textId="77777777" w:rsidR="00524C21" w:rsidRDefault="00524C21" w:rsidP="00B8581A">
      <w:pPr>
        <w:spacing w:line="240" w:lineRule="auto"/>
        <w:jc w:val="both"/>
        <w:rPr>
          <w:rFonts w:ascii="Times New Roman" w:hAnsi="Times New Roman" w:cs="Times New Roman"/>
          <w:sz w:val="24"/>
          <w:szCs w:val="24"/>
        </w:rPr>
      </w:pPr>
    </w:p>
    <w:p w14:paraId="3FF76228" w14:textId="77DD4E61" w:rsidR="0043622B" w:rsidRPr="002A66F1" w:rsidRDefault="007F00F0" w:rsidP="00B8581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924A3">
        <w:rPr>
          <w:rFonts w:ascii="Times New Roman" w:hAnsi="Times New Roman" w:cs="Times New Roman"/>
          <w:b/>
          <w:bCs/>
          <w:sz w:val="24"/>
          <w:szCs w:val="24"/>
        </w:rPr>
        <w:t>.</w:t>
      </w:r>
      <w:r>
        <w:rPr>
          <w:rFonts w:ascii="Times New Roman" w:hAnsi="Times New Roman" w:cs="Times New Roman"/>
          <w:b/>
          <w:bCs/>
          <w:sz w:val="24"/>
          <w:szCs w:val="24"/>
        </w:rPr>
        <w:t xml:space="preserve"> </w:t>
      </w:r>
      <w:r w:rsidR="0043622B" w:rsidRPr="002A66F1">
        <w:rPr>
          <w:rFonts w:ascii="Times New Roman" w:hAnsi="Times New Roman" w:cs="Times New Roman"/>
          <w:b/>
          <w:bCs/>
          <w:sz w:val="24"/>
          <w:szCs w:val="24"/>
        </w:rPr>
        <w:t>Empirical Methodology</w:t>
      </w:r>
    </w:p>
    <w:p w14:paraId="56F3640B" w14:textId="6E9718FC" w:rsidR="002A66F1" w:rsidRPr="002A66F1" w:rsidRDefault="002A66F1" w:rsidP="00E924A3">
      <w:pPr>
        <w:spacing w:line="240" w:lineRule="auto"/>
        <w:ind w:firstLine="720"/>
        <w:jc w:val="both"/>
        <w:rPr>
          <w:rFonts w:ascii="Times New Roman" w:hAnsi="Times New Roman" w:cs="Times New Roman"/>
          <w:sz w:val="24"/>
          <w:szCs w:val="24"/>
        </w:rPr>
      </w:pPr>
      <w:r w:rsidRPr="002A66F1">
        <w:rPr>
          <w:rFonts w:ascii="Times New Roman" w:hAnsi="Times New Roman" w:cs="Times New Roman"/>
          <w:sz w:val="24"/>
          <w:szCs w:val="24"/>
        </w:rPr>
        <w:t>The Binary Logit Model, also known as logistic regression, was employed as a statistical tool to analyze the relationship between a binary dependent variable and a set of independent variables. It was particularly suitable for this study, as the outcome variable had two possible categories, such as "Yes" or "No"</w:t>
      </w:r>
      <w:r w:rsidR="00F357B4">
        <w:rPr>
          <w:rFonts w:ascii="Times New Roman" w:hAnsi="Times New Roman" w:cs="Times New Roman"/>
          <w:sz w:val="24"/>
          <w:szCs w:val="24"/>
        </w:rPr>
        <w:t>,</w:t>
      </w:r>
      <w:r w:rsidRPr="002A66F1">
        <w:rPr>
          <w:rFonts w:ascii="Times New Roman" w:hAnsi="Times New Roman" w:cs="Times New Roman"/>
          <w:sz w:val="24"/>
          <w:szCs w:val="24"/>
        </w:rPr>
        <w:t xml:space="preserve"> representing the awareness status of the respondents. The model utilized a logistic function to transform the linear combination of the independent variables into a probability score ranging between 0 and 1. In this study, the binary logit model was used to examine the influence of various socioeconomic factors on the farmer’s level of awareness regarding the PM-KUSUM scheme </w:t>
      </w:r>
      <w:r w:rsidRPr="002A66F1">
        <w:rPr>
          <w:rFonts w:ascii="Times New Roman" w:hAnsi="Times New Roman" w:cs="Times New Roman"/>
          <w:b/>
          <w:bCs/>
          <w:i/>
          <w:iCs/>
          <w:sz w:val="24"/>
          <w:szCs w:val="24"/>
        </w:rPr>
        <w:t>(Kumar, 2024).</w:t>
      </w:r>
    </w:p>
    <w:p w14:paraId="5251D45C" w14:textId="77777777" w:rsidR="002A66F1" w:rsidRPr="002A66F1" w:rsidRDefault="002A66F1" w:rsidP="002A66F1">
      <w:pPr>
        <w:spacing w:line="240" w:lineRule="auto"/>
        <w:jc w:val="both"/>
        <w:rPr>
          <w:rFonts w:ascii="Times New Roman" w:hAnsi="Times New Roman" w:cs="Times New Roman"/>
          <w:sz w:val="24"/>
          <w:szCs w:val="24"/>
        </w:rPr>
      </w:pPr>
      <w:r w:rsidRPr="002A66F1">
        <w:rPr>
          <w:rFonts w:ascii="Times New Roman" w:hAnsi="Times New Roman" w:cs="Times New Roman"/>
          <w:sz w:val="24"/>
          <w:szCs w:val="24"/>
        </w:rPr>
        <w:t>The formula used for binary logit analysis was:</w:t>
      </w:r>
    </w:p>
    <w:p w14:paraId="284CA983" w14:textId="77777777" w:rsidR="002A66F1" w:rsidRPr="002A66F1" w:rsidRDefault="002A66F1" w:rsidP="002A66F1">
      <w:pPr>
        <w:spacing w:line="240" w:lineRule="auto"/>
        <w:jc w:val="both"/>
        <w:rPr>
          <w:rFonts w:ascii="Times New Roman" w:hAnsi="Times New Roman" w:cs="Times New Roman"/>
          <w:b/>
          <w:sz w:val="24"/>
          <w:szCs w:val="24"/>
        </w:rPr>
      </w:pPr>
    </w:p>
    <w:p w14:paraId="200FC322" w14:textId="621931A2" w:rsidR="002A66F1" w:rsidRPr="002A66F1" w:rsidRDefault="002A66F1" w:rsidP="002A66F1">
      <w:pPr>
        <w:spacing w:line="240" w:lineRule="auto"/>
        <w:jc w:val="both"/>
        <w:rPr>
          <w:rFonts w:ascii="Times New Roman" w:hAnsi="Times New Roman" w:cs="Times New Roman"/>
          <w:b/>
          <w:bCs/>
          <w:sz w:val="24"/>
          <w:szCs w:val="24"/>
        </w:rPr>
      </w:pPr>
      <m:oMathPara>
        <m:oMath>
          <m:r>
            <m:rPr>
              <m:sty m:val="bi"/>
            </m:rPr>
            <w:rPr>
              <w:rFonts w:ascii="Cambria Math" w:hAnsi="Cambria Math" w:cs="Times New Roman"/>
              <w:sz w:val="24"/>
              <w:szCs w:val="24"/>
            </w:rPr>
            <m:t>P</m:t>
          </m:r>
          <m:d>
            <m:dPr>
              <m:ctrlPr>
                <w:rPr>
                  <w:rFonts w:ascii="Cambria Math" w:hAnsi="Cambria Math" w:cs="Times New Roman"/>
                  <w:b/>
                  <w:bCs/>
                  <w:i/>
                  <w:sz w:val="24"/>
                  <w:szCs w:val="24"/>
                </w:rPr>
              </m:ctrlPr>
            </m:dPr>
            <m:e>
              <m:r>
                <m:rPr>
                  <m:sty m:val="bi"/>
                </m:rPr>
                <w:rPr>
                  <w:rFonts w:ascii="Cambria Math" w:hAnsi="Cambria Math" w:cs="Times New Roman"/>
                  <w:sz w:val="24"/>
                  <w:szCs w:val="24"/>
                </w:rPr>
                <m:t>Y=1</m:t>
              </m:r>
            </m:e>
          </m:d>
          <m:r>
            <m:rPr>
              <m:sty m:val="bi"/>
            </m:rPr>
            <w:rPr>
              <w:rFonts w:ascii="Cambria Math" w:hAnsi="Cambria Math" w:cs="Times New Roman"/>
              <w:sz w:val="24"/>
              <w:szCs w:val="24"/>
            </w:rPr>
            <m:t>=</m:t>
          </m:r>
          <m:f>
            <m:fPr>
              <m:ctrlPr>
                <w:rPr>
                  <w:rFonts w:ascii="Cambria Math" w:hAnsi="Cambria Math" w:cs="Times New Roman"/>
                  <w:b/>
                  <w:bCs/>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1+e-(</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1</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2</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k</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k</m:t>
                  </m:r>
                </m:sub>
              </m:sSub>
              <m:r>
                <m:rPr>
                  <m:sty m:val="bi"/>
                </m:rPr>
                <w:rPr>
                  <w:rFonts w:ascii="Cambria Math" w:hAnsi="Cambria Math" w:cs="Times New Roman"/>
                  <w:sz w:val="24"/>
                  <w:szCs w:val="24"/>
                </w:rPr>
                <m:t>)</m:t>
              </m:r>
            </m:den>
          </m:f>
        </m:oMath>
      </m:oMathPara>
    </w:p>
    <w:p w14:paraId="17BDC034" w14:textId="77777777" w:rsidR="002A66F1" w:rsidRPr="002A66F1" w:rsidRDefault="002A66F1" w:rsidP="002A66F1">
      <w:pPr>
        <w:spacing w:line="240" w:lineRule="auto"/>
        <w:jc w:val="both"/>
        <w:rPr>
          <w:rFonts w:ascii="Times New Roman" w:hAnsi="Times New Roman" w:cs="Times New Roman"/>
          <w:sz w:val="24"/>
          <w:szCs w:val="24"/>
        </w:rPr>
      </w:pPr>
    </w:p>
    <w:p w14:paraId="1FBEBEBB" w14:textId="65E0B0A6" w:rsidR="002A66F1" w:rsidRDefault="002A66F1" w:rsidP="00E924A3">
      <w:pPr>
        <w:spacing w:line="240" w:lineRule="auto"/>
        <w:ind w:firstLine="720"/>
        <w:jc w:val="both"/>
        <w:rPr>
          <w:rFonts w:ascii="Times New Roman" w:hAnsi="Times New Roman" w:cs="Times New Roman"/>
          <w:sz w:val="24"/>
          <w:szCs w:val="24"/>
        </w:rPr>
      </w:pPr>
      <w:r w:rsidRPr="002A66F1">
        <w:rPr>
          <w:rFonts w:ascii="Times New Roman" w:hAnsi="Times New Roman" w:cs="Times New Roman"/>
          <w:sz w:val="24"/>
          <w:szCs w:val="24"/>
        </w:rPr>
        <w:t>Where,</w:t>
      </w:r>
      <w:r w:rsidR="006674BA">
        <w:rPr>
          <w:rFonts w:ascii="Times New Roman" w:hAnsi="Times New Roman" w:cs="Times New Roman"/>
          <w:sz w:val="24"/>
          <w:szCs w:val="24"/>
        </w:rPr>
        <w:t xml:space="preserve"> </w:t>
      </w:r>
      <w:r w:rsidRPr="002A66F1">
        <w:rPr>
          <w:rFonts w:ascii="Times New Roman" w:hAnsi="Times New Roman" w:cs="Times New Roman"/>
          <w:sz w:val="24"/>
          <w:szCs w:val="24"/>
        </w:rPr>
        <w:t>P</w:t>
      </w:r>
      <w:bookmarkStart w:id="1" w:name="_Hlk178449961"/>
      <w:r w:rsidRPr="002A66F1">
        <w:rPr>
          <w:rFonts w:ascii="Times New Roman" w:hAnsi="Times New Roman" w:cs="Times New Roman"/>
          <w:sz w:val="24"/>
          <w:szCs w:val="24"/>
        </w:rPr>
        <w:t>(Y=1)</w:t>
      </w:r>
      <w:bookmarkEnd w:id="1"/>
      <w:r w:rsidRPr="002A66F1">
        <w:rPr>
          <w:rFonts w:ascii="Times New Roman" w:hAnsi="Times New Roman" w:cs="Times New Roman"/>
          <w:sz w:val="24"/>
          <w:szCs w:val="24"/>
        </w:rPr>
        <w:t xml:space="preserve"> is the probability of the dependent variable Y being 1 (success, positive outcome)</w:t>
      </w:r>
      <w:r w:rsidR="006674BA">
        <w:rPr>
          <w:rFonts w:ascii="Times New Roman" w:hAnsi="Times New Roman" w:cs="Times New Roman"/>
          <w:sz w:val="24"/>
          <w:szCs w:val="24"/>
        </w:rPr>
        <w:t xml:space="preserve">; </w:t>
      </w:r>
      <w:r w:rsidRPr="002A66F1">
        <w:rPr>
          <w:rFonts w:ascii="Times New Roman" w:hAnsi="Times New Roman" w:cs="Times New Roman"/>
          <w:sz w:val="24"/>
          <w:szCs w:val="24"/>
        </w:rPr>
        <w:t>e is the base of the natural logarithm</w:t>
      </w:r>
      <w:r w:rsidR="006674BA">
        <w:rPr>
          <w:rFonts w:ascii="Times New Roman" w:hAnsi="Times New Roman" w:cs="Times New Roman"/>
          <w:sz w:val="24"/>
          <w:szCs w:val="24"/>
        </w:rPr>
        <w:t xml:space="preserve">; </w:t>
      </w:r>
      <w:r w:rsidRPr="002A66F1">
        <w:rPr>
          <w:rFonts w:ascii="Times New Roman" w:hAnsi="Times New Roman" w:cs="Times New Roman"/>
          <w:sz w:val="24"/>
          <w:szCs w:val="24"/>
        </w:rPr>
        <w:t>β</w:t>
      </w:r>
      <w:r w:rsidRPr="002A66F1">
        <w:rPr>
          <w:rFonts w:ascii="Times New Roman" w:hAnsi="Times New Roman" w:cs="Times New Roman"/>
          <w:sz w:val="24"/>
          <w:szCs w:val="24"/>
          <w:vertAlign w:val="subscript"/>
        </w:rPr>
        <w:t>0</w:t>
      </w:r>
      <w:r w:rsidRPr="002A66F1">
        <w:rPr>
          <w:rFonts w:ascii="Times New Roman" w:hAnsi="Times New Roman" w:cs="Times New Roman"/>
          <w:sz w:val="24"/>
          <w:szCs w:val="24"/>
        </w:rPr>
        <w:t xml:space="preserve"> is the intercept</w:t>
      </w:r>
      <w:r w:rsidR="006674BA">
        <w:rPr>
          <w:rFonts w:ascii="Times New Roman" w:hAnsi="Times New Roman" w:cs="Times New Roman"/>
          <w:sz w:val="24"/>
          <w:szCs w:val="24"/>
        </w:rPr>
        <w:t xml:space="preserve">; </w:t>
      </w:r>
      <w:r w:rsidRPr="002A66F1">
        <w:rPr>
          <w:rFonts w:ascii="Times New Roman" w:hAnsi="Times New Roman" w:cs="Times New Roman"/>
          <w:sz w:val="24"/>
          <w:szCs w:val="24"/>
        </w:rPr>
        <w:t>β</w:t>
      </w:r>
      <w:r w:rsidRPr="002A66F1">
        <w:rPr>
          <w:rFonts w:ascii="Times New Roman" w:hAnsi="Times New Roman" w:cs="Times New Roman"/>
          <w:sz w:val="24"/>
          <w:szCs w:val="24"/>
          <w:vertAlign w:val="subscript"/>
        </w:rPr>
        <w:t>1</w:t>
      </w:r>
      <w:r w:rsidRPr="002A66F1">
        <w:rPr>
          <w:rFonts w:ascii="Times New Roman" w:hAnsi="Times New Roman" w:cs="Times New Roman"/>
          <w:sz w:val="24"/>
          <w:szCs w:val="24"/>
        </w:rPr>
        <w:t>, β</w:t>
      </w:r>
      <w:r w:rsidRPr="002A66F1">
        <w:rPr>
          <w:rFonts w:ascii="Times New Roman" w:hAnsi="Times New Roman" w:cs="Times New Roman"/>
          <w:sz w:val="24"/>
          <w:szCs w:val="24"/>
          <w:vertAlign w:val="subscript"/>
        </w:rPr>
        <w:t>2</w:t>
      </w:r>
      <w:r w:rsidRPr="002A66F1">
        <w:rPr>
          <w:rFonts w:ascii="Times New Roman" w:hAnsi="Times New Roman" w:cs="Times New Roman"/>
          <w:sz w:val="24"/>
          <w:szCs w:val="24"/>
        </w:rPr>
        <w:t>…, βk are the coefficients associated with the predictor variables X</w:t>
      </w:r>
      <w:r w:rsidRPr="002A66F1">
        <w:rPr>
          <w:rFonts w:ascii="Times New Roman" w:hAnsi="Times New Roman" w:cs="Times New Roman"/>
          <w:sz w:val="24"/>
          <w:szCs w:val="24"/>
          <w:vertAlign w:val="subscript"/>
        </w:rPr>
        <w:t>1</w:t>
      </w:r>
      <w:r w:rsidRPr="002A66F1">
        <w:rPr>
          <w:rFonts w:ascii="Times New Roman" w:hAnsi="Times New Roman" w:cs="Times New Roman"/>
          <w:sz w:val="24"/>
          <w:szCs w:val="24"/>
        </w:rPr>
        <w:t>, X</w:t>
      </w:r>
      <w:r w:rsidRPr="002A66F1">
        <w:rPr>
          <w:rFonts w:ascii="Times New Roman" w:hAnsi="Times New Roman" w:cs="Times New Roman"/>
          <w:sz w:val="24"/>
          <w:szCs w:val="24"/>
          <w:vertAlign w:val="subscript"/>
        </w:rPr>
        <w:t>2</w:t>
      </w:r>
      <w:r w:rsidRPr="002A66F1">
        <w:rPr>
          <w:rFonts w:ascii="Times New Roman" w:hAnsi="Times New Roman" w:cs="Times New Roman"/>
          <w:sz w:val="24"/>
          <w:szCs w:val="24"/>
        </w:rPr>
        <w:t>…,X</w:t>
      </w:r>
      <w:r w:rsidRPr="002A66F1">
        <w:rPr>
          <w:rFonts w:ascii="Times New Roman" w:hAnsi="Times New Roman" w:cs="Times New Roman"/>
          <w:sz w:val="24"/>
          <w:szCs w:val="24"/>
          <w:vertAlign w:val="subscript"/>
        </w:rPr>
        <w:t>k</w:t>
      </w:r>
      <w:r w:rsidR="005F77DB">
        <w:rPr>
          <w:rFonts w:ascii="Times New Roman" w:hAnsi="Times New Roman" w:cs="Times New Roman"/>
          <w:sz w:val="24"/>
          <w:szCs w:val="24"/>
        </w:rPr>
        <w:t xml:space="preserve">;  </w:t>
      </w:r>
      <w:r w:rsidRPr="002A66F1">
        <w:rPr>
          <w:rFonts w:ascii="Times New Roman" w:hAnsi="Times New Roman" w:cs="Times New Roman"/>
          <w:sz w:val="24"/>
          <w:szCs w:val="24"/>
        </w:rPr>
        <w:t>X</w:t>
      </w:r>
      <w:r w:rsidRPr="002A66F1">
        <w:rPr>
          <w:rFonts w:ascii="Times New Roman" w:hAnsi="Times New Roman" w:cs="Times New Roman"/>
          <w:sz w:val="24"/>
          <w:szCs w:val="24"/>
          <w:vertAlign w:val="subscript"/>
        </w:rPr>
        <w:t>1</w:t>
      </w:r>
      <w:r w:rsidRPr="002A66F1">
        <w:rPr>
          <w:rFonts w:ascii="Times New Roman" w:hAnsi="Times New Roman" w:cs="Times New Roman"/>
          <w:sz w:val="24"/>
          <w:szCs w:val="24"/>
        </w:rPr>
        <w:t>, X</w:t>
      </w:r>
      <w:r w:rsidRPr="002A66F1">
        <w:rPr>
          <w:rFonts w:ascii="Times New Roman" w:hAnsi="Times New Roman" w:cs="Times New Roman"/>
          <w:sz w:val="24"/>
          <w:szCs w:val="24"/>
          <w:vertAlign w:val="subscript"/>
        </w:rPr>
        <w:t>2</w:t>
      </w:r>
      <w:r w:rsidRPr="002A66F1">
        <w:rPr>
          <w:rFonts w:ascii="Times New Roman" w:hAnsi="Times New Roman" w:cs="Times New Roman"/>
          <w:sz w:val="24"/>
          <w:szCs w:val="24"/>
        </w:rPr>
        <w:t>…, X</w:t>
      </w:r>
      <w:r w:rsidRPr="002A66F1">
        <w:rPr>
          <w:rFonts w:ascii="Times New Roman" w:hAnsi="Times New Roman" w:cs="Times New Roman"/>
          <w:sz w:val="24"/>
          <w:szCs w:val="24"/>
          <w:vertAlign w:val="subscript"/>
        </w:rPr>
        <w:t>k</w:t>
      </w:r>
      <w:r w:rsidRPr="002A66F1">
        <w:rPr>
          <w:rFonts w:ascii="Times New Roman" w:hAnsi="Times New Roman" w:cs="Times New Roman"/>
          <w:sz w:val="24"/>
          <w:szCs w:val="24"/>
        </w:rPr>
        <w:t xml:space="preserve"> are the predictor variables.</w:t>
      </w:r>
      <w:r w:rsidR="00524C21">
        <w:rPr>
          <w:rFonts w:ascii="Times New Roman" w:hAnsi="Times New Roman" w:cs="Times New Roman"/>
          <w:sz w:val="24"/>
          <w:szCs w:val="24"/>
        </w:rPr>
        <w:t xml:space="preserve"> </w:t>
      </w:r>
      <w:r w:rsidRPr="002A66F1">
        <w:rPr>
          <w:rFonts w:ascii="Times New Roman" w:hAnsi="Times New Roman" w:cs="Times New Roman"/>
          <w:sz w:val="24"/>
          <w:szCs w:val="24"/>
        </w:rPr>
        <w:t xml:space="preserve">The logistic regression equation estimates the log odds (logit) of the event happening. The probability of Y=0 (failure, negative outcome) is then 1−P(Y=1). </w:t>
      </w:r>
    </w:p>
    <w:p w14:paraId="5B40F35F" w14:textId="179FDDAF" w:rsidR="002A66F1" w:rsidRPr="002A66F1" w:rsidRDefault="00847974" w:rsidP="00E924A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SPSS</w:t>
      </w:r>
      <w:r w:rsidRPr="00847974">
        <w:rPr>
          <w:rFonts w:ascii="Times New Roman" w:hAnsi="Times New Roman" w:cs="Times New Roman"/>
          <w:sz w:val="24"/>
          <w:szCs w:val="24"/>
        </w:rPr>
        <w:t xml:space="preserve"> software (version 1</w:t>
      </w:r>
      <w:r>
        <w:rPr>
          <w:rFonts w:ascii="Times New Roman" w:hAnsi="Times New Roman" w:cs="Times New Roman"/>
          <w:sz w:val="24"/>
          <w:szCs w:val="24"/>
        </w:rPr>
        <w:t>6</w:t>
      </w:r>
      <w:r w:rsidRPr="00847974">
        <w:rPr>
          <w:rFonts w:ascii="Times New Roman" w:hAnsi="Times New Roman" w:cs="Times New Roman"/>
          <w:sz w:val="24"/>
          <w:szCs w:val="24"/>
        </w:rPr>
        <w:t xml:space="preserve">.0) is used to conduct data analysis and run the </w:t>
      </w:r>
      <w:r w:rsidR="009C41C6">
        <w:rPr>
          <w:rFonts w:ascii="Times New Roman" w:hAnsi="Times New Roman" w:cs="Times New Roman"/>
          <w:sz w:val="24"/>
          <w:szCs w:val="24"/>
        </w:rPr>
        <w:t>logit</w:t>
      </w:r>
      <w:r w:rsidRPr="00847974">
        <w:rPr>
          <w:rFonts w:ascii="Times New Roman" w:hAnsi="Times New Roman" w:cs="Times New Roman"/>
          <w:sz w:val="24"/>
          <w:szCs w:val="24"/>
        </w:rPr>
        <w:t xml:space="preserve"> regression model. Definition and explanation of all variables are given in Table 1. The farmers' responses to statements concerning their awareness are methodically recorded on a three-point continuum scale: 'fully aware – 2’, 'partially aware - 1', and 'not aware – 0’. Subsequently, the cumulative scores acquired are utilized to categorize the respondents into low and high levels of awareness. Finally, a score of 0 is assigned to respondents exhibiting low awareness, while a score of 1 is attributed to those demonstrating high awareness, for utilization in a </w:t>
      </w:r>
      <w:r w:rsidR="009C41C6">
        <w:rPr>
          <w:rFonts w:ascii="Times New Roman" w:hAnsi="Times New Roman" w:cs="Times New Roman"/>
          <w:sz w:val="24"/>
          <w:szCs w:val="24"/>
        </w:rPr>
        <w:t>logit</w:t>
      </w:r>
      <w:r w:rsidRPr="00847974">
        <w:rPr>
          <w:rFonts w:ascii="Times New Roman" w:hAnsi="Times New Roman" w:cs="Times New Roman"/>
          <w:sz w:val="24"/>
          <w:szCs w:val="24"/>
        </w:rPr>
        <w:t xml:space="preserve"> model. </w:t>
      </w:r>
    </w:p>
    <w:p w14:paraId="181A8357" w14:textId="014A87C3" w:rsidR="0043622B" w:rsidRPr="007F00F0" w:rsidRDefault="00E275FE" w:rsidP="005F7667">
      <w:pPr>
        <w:spacing w:line="240" w:lineRule="auto"/>
        <w:jc w:val="both"/>
        <w:rPr>
          <w:rFonts w:ascii="Times New Roman" w:hAnsi="Times New Roman" w:cs="Times New Roman"/>
          <w:b/>
          <w:bCs/>
          <w:sz w:val="24"/>
          <w:szCs w:val="24"/>
        </w:rPr>
      </w:pPr>
      <w:r w:rsidRPr="007F00F0">
        <w:rPr>
          <w:rFonts w:ascii="Times New Roman" w:hAnsi="Times New Roman" w:cs="Times New Roman"/>
          <w:b/>
          <w:bCs/>
          <w:sz w:val="24"/>
          <w:szCs w:val="24"/>
        </w:rPr>
        <w:t>RESULT</w:t>
      </w:r>
      <w:r w:rsidR="0067620B" w:rsidRPr="007F00F0">
        <w:rPr>
          <w:rFonts w:ascii="Times New Roman" w:hAnsi="Times New Roman" w:cs="Times New Roman"/>
          <w:b/>
          <w:bCs/>
          <w:sz w:val="24"/>
          <w:szCs w:val="24"/>
        </w:rPr>
        <w:t>S AND DISCUSSION</w:t>
      </w:r>
    </w:p>
    <w:p w14:paraId="3E888868" w14:textId="53AA6EEB" w:rsidR="0067620B" w:rsidRPr="007F00F0" w:rsidRDefault="007F00F0" w:rsidP="00B8581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5F7667">
        <w:rPr>
          <w:rFonts w:ascii="Times New Roman" w:hAnsi="Times New Roman" w:cs="Times New Roman"/>
          <w:b/>
          <w:bCs/>
          <w:sz w:val="24"/>
          <w:szCs w:val="24"/>
        </w:rPr>
        <w:t>.</w:t>
      </w:r>
      <w:r>
        <w:rPr>
          <w:rFonts w:ascii="Times New Roman" w:hAnsi="Times New Roman" w:cs="Times New Roman"/>
          <w:b/>
          <w:bCs/>
          <w:sz w:val="24"/>
          <w:szCs w:val="24"/>
        </w:rPr>
        <w:t xml:space="preserve"> </w:t>
      </w:r>
      <w:r w:rsidR="0067620B" w:rsidRPr="007F00F0">
        <w:rPr>
          <w:rFonts w:ascii="Times New Roman" w:hAnsi="Times New Roman" w:cs="Times New Roman"/>
          <w:b/>
          <w:bCs/>
          <w:sz w:val="24"/>
          <w:szCs w:val="24"/>
        </w:rPr>
        <w:t>Socio-economic profile of the respondent</w:t>
      </w:r>
    </w:p>
    <w:p w14:paraId="20E04B44" w14:textId="2532F9E2" w:rsidR="00C57FEA" w:rsidRDefault="00661ECB" w:rsidP="00124647">
      <w:pPr>
        <w:spacing w:line="240" w:lineRule="auto"/>
        <w:ind w:firstLine="720"/>
        <w:jc w:val="both"/>
        <w:rPr>
          <w:rFonts w:ascii="Times New Roman" w:hAnsi="Times New Roman" w:cs="Times New Roman"/>
          <w:b/>
          <w:bCs/>
          <w:sz w:val="24"/>
          <w:szCs w:val="24"/>
        </w:rPr>
      </w:pPr>
      <w:r w:rsidRPr="00661ECB">
        <w:rPr>
          <w:rFonts w:ascii="Times New Roman" w:hAnsi="Times New Roman" w:cs="Times New Roman"/>
          <w:sz w:val="24"/>
          <w:szCs w:val="24"/>
        </w:rPr>
        <w:t>The average age of the sampled farmers is 4</w:t>
      </w:r>
      <w:r w:rsidR="0025447D">
        <w:rPr>
          <w:rFonts w:ascii="Times New Roman" w:hAnsi="Times New Roman" w:cs="Times New Roman"/>
          <w:sz w:val="24"/>
          <w:szCs w:val="24"/>
        </w:rPr>
        <w:t>8</w:t>
      </w:r>
      <w:r w:rsidRPr="00661ECB">
        <w:rPr>
          <w:rFonts w:ascii="Times New Roman" w:hAnsi="Times New Roman" w:cs="Times New Roman"/>
          <w:sz w:val="24"/>
          <w:szCs w:val="24"/>
        </w:rPr>
        <w:t xml:space="preserve"> years, with 8</w:t>
      </w:r>
      <w:r w:rsidR="002E19C6">
        <w:rPr>
          <w:rFonts w:ascii="Times New Roman" w:hAnsi="Times New Roman" w:cs="Times New Roman"/>
          <w:sz w:val="24"/>
          <w:szCs w:val="24"/>
        </w:rPr>
        <w:t>2.50</w:t>
      </w:r>
      <w:r w:rsidRPr="00661ECB">
        <w:rPr>
          <w:rFonts w:ascii="Times New Roman" w:hAnsi="Times New Roman" w:cs="Times New Roman"/>
          <w:sz w:val="24"/>
          <w:szCs w:val="24"/>
        </w:rPr>
        <w:t xml:space="preserve">% of the total respondents being male, as shown in Table </w:t>
      </w:r>
      <w:r w:rsidR="00B6106D">
        <w:rPr>
          <w:rFonts w:ascii="Times New Roman" w:hAnsi="Times New Roman" w:cs="Times New Roman"/>
          <w:sz w:val="24"/>
          <w:szCs w:val="24"/>
        </w:rPr>
        <w:t>1</w:t>
      </w:r>
      <w:r w:rsidRPr="00661ECB">
        <w:rPr>
          <w:rFonts w:ascii="Times New Roman" w:hAnsi="Times New Roman" w:cs="Times New Roman"/>
          <w:sz w:val="24"/>
          <w:szCs w:val="24"/>
        </w:rPr>
        <w:t xml:space="preserve">. The majority of respondents fall within the age group of 46 to 55 years. </w:t>
      </w:r>
      <w:r w:rsidR="006542A7">
        <w:rPr>
          <w:rFonts w:ascii="Times New Roman" w:hAnsi="Times New Roman" w:cs="Times New Roman"/>
          <w:sz w:val="24"/>
          <w:szCs w:val="24"/>
        </w:rPr>
        <w:t xml:space="preserve">The </w:t>
      </w:r>
      <w:r w:rsidR="00157BA0">
        <w:rPr>
          <w:rFonts w:ascii="Times New Roman" w:hAnsi="Times New Roman" w:cs="Times New Roman"/>
          <w:sz w:val="24"/>
          <w:szCs w:val="24"/>
        </w:rPr>
        <w:t xml:space="preserve">major caste in </w:t>
      </w:r>
      <w:r w:rsidR="00CF7E29">
        <w:rPr>
          <w:rFonts w:ascii="Times New Roman" w:hAnsi="Times New Roman" w:cs="Times New Roman"/>
          <w:sz w:val="24"/>
          <w:szCs w:val="24"/>
        </w:rPr>
        <w:t>the surye</w:t>
      </w:r>
      <w:r w:rsidR="00157BA0">
        <w:rPr>
          <w:rFonts w:ascii="Times New Roman" w:hAnsi="Times New Roman" w:cs="Times New Roman"/>
          <w:sz w:val="24"/>
          <w:szCs w:val="24"/>
        </w:rPr>
        <w:t xml:space="preserve"> area is </w:t>
      </w:r>
      <w:r w:rsidR="00157BA0" w:rsidRPr="0011603C">
        <w:rPr>
          <w:rFonts w:ascii="Times New Roman" w:hAnsi="Times New Roman" w:cs="Times New Roman"/>
          <w:sz w:val="24"/>
          <w:szCs w:val="24"/>
          <w:highlight w:val="red"/>
        </w:rPr>
        <w:t>OBC</w:t>
      </w:r>
      <w:r w:rsidR="00CF7E29">
        <w:rPr>
          <w:rFonts w:ascii="Times New Roman" w:hAnsi="Times New Roman" w:cs="Times New Roman"/>
          <w:sz w:val="24"/>
          <w:szCs w:val="24"/>
        </w:rPr>
        <w:t>,</w:t>
      </w:r>
      <w:r w:rsidR="00157BA0">
        <w:rPr>
          <w:rFonts w:ascii="Times New Roman" w:hAnsi="Times New Roman" w:cs="Times New Roman"/>
          <w:sz w:val="24"/>
          <w:szCs w:val="24"/>
        </w:rPr>
        <w:t xml:space="preserve"> </w:t>
      </w:r>
      <w:r w:rsidR="00DB4B73">
        <w:rPr>
          <w:rFonts w:ascii="Times New Roman" w:hAnsi="Times New Roman" w:cs="Times New Roman"/>
          <w:sz w:val="24"/>
          <w:szCs w:val="24"/>
        </w:rPr>
        <w:t xml:space="preserve">which is 47.50% of </w:t>
      </w:r>
      <w:r w:rsidR="00CF7E29">
        <w:rPr>
          <w:rFonts w:ascii="Times New Roman" w:hAnsi="Times New Roman" w:cs="Times New Roman"/>
          <w:sz w:val="24"/>
          <w:szCs w:val="24"/>
        </w:rPr>
        <w:t xml:space="preserve">the </w:t>
      </w:r>
      <w:r w:rsidR="00DB4B73">
        <w:rPr>
          <w:rFonts w:ascii="Times New Roman" w:hAnsi="Times New Roman" w:cs="Times New Roman"/>
          <w:sz w:val="24"/>
          <w:szCs w:val="24"/>
        </w:rPr>
        <w:t xml:space="preserve">total </w:t>
      </w:r>
      <w:r w:rsidR="00391377">
        <w:rPr>
          <w:rFonts w:ascii="Times New Roman" w:hAnsi="Times New Roman" w:cs="Times New Roman"/>
          <w:sz w:val="24"/>
          <w:szCs w:val="24"/>
        </w:rPr>
        <w:t xml:space="preserve">selected </w:t>
      </w:r>
      <w:r w:rsidR="005B0CEA">
        <w:rPr>
          <w:rFonts w:ascii="Times New Roman" w:hAnsi="Times New Roman" w:cs="Times New Roman"/>
          <w:sz w:val="24"/>
          <w:szCs w:val="24"/>
        </w:rPr>
        <w:t>respondents</w:t>
      </w:r>
      <w:r w:rsidR="00391377">
        <w:rPr>
          <w:rFonts w:ascii="Times New Roman" w:hAnsi="Times New Roman" w:cs="Times New Roman"/>
          <w:sz w:val="24"/>
          <w:szCs w:val="24"/>
        </w:rPr>
        <w:t xml:space="preserve">. </w:t>
      </w:r>
      <w:r w:rsidR="00CF7E29">
        <w:rPr>
          <w:rFonts w:ascii="Times New Roman" w:hAnsi="Times New Roman" w:cs="Times New Roman"/>
          <w:sz w:val="24"/>
          <w:szCs w:val="24"/>
        </w:rPr>
        <w:t>The family</w:t>
      </w:r>
      <w:r w:rsidR="00391377">
        <w:rPr>
          <w:rFonts w:ascii="Times New Roman" w:hAnsi="Times New Roman" w:cs="Times New Roman"/>
          <w:sz w:val="24"/>
          <w:szCs w:val="24"/>
        </w:rPr>
        <w:t xml:space="preserve"> type of </w:t>
      </w:r>
      <w:r w:rsidR="00CF7E29">
        <w:rPr>
          <w:rFonts w:ascii="Times New Roman" w:hAnsi="Times New Roman" w:cs="Times New Roman"/>
          <w:sz w:val="24"/>
          <w:szCs w:val="24"/>
        </w:rPr>
        <w:t>the selected</w:t>
      </w:r>
      <w:r w:rsidR="001F2EDC">
        <w:rPr>
          <w:rFonts w:ascii="Times New Roman" w:hAnsi="Times New Roman" w:cs="Times New Roman"/>
          <w:sz w:val="24"/>
          <w:szCs w:val="24"/>
        </w:rPr>
        <w:t xml:space="preserve"> area is joint</w:t>
      </w:r>
      <w:r w:rsidR="00CF7E29">
        <w:rPr>
          <w:rFonts w:ascii="Times New Roman" w:hAnsi="Times New Roman" w:cs="Times New Roman"/>
          <w:sz w:val="24"/>
          <w:szCs w:val="24"/>
        </w:rPr>
        <w:t>,</w:t>
      </w:r>
      <w:r w:rsidR="001F2EDC">
        <w:rPr>
          <w:rFonts w:ascii="Times New Roman" w:hAnsi="Times New Roman" w:cs="Times New Roman"/>
          <w:sz w:val="24"/>
          <w:szCs w:val="24"/>
        </w:rPr>
        <w:t xml:space="preserve"> which is </w:t>
      </w:r>
      <w:r w:rsidR="00CF7E29">
        <w:rPr>
          <w:rFonts w:ascii="Times New Roman" w:hAnsi="Times New Roman" w:cs="Times New Roman"/>
          <w:sz w:val="24"/>
          <w:szCs w:val="24"/>
        </w:rPr>
        <w:t xml:space="preserve">60.83 %. </w:t>
      </w:r>
    </w:p>
    <w:p w14:paraId="5F7BC1C0" w14:textId="7DE49D50" w:rsidR="00F631E2" w:rsidRPr="0061064A" w:rsidRDefault="00F631E2" w:rsidP="0061064A">
      <w:pPr>
        <w:spacing w:line="240" w:lineRule="auto"/>
        <w:jc w:val="center"/>
        <w:rPr>
          <w:rFonts w:ascii="Times New Roman" w:hAnsi="Times New Roman" w:cs="Times New Roman"/>
          <w:b/>
          <w:bCs/>
          <w:sz w:val="24"/>
          <w:szCs w:val="24"/>
        </w:rPr>
      </w:pPr>
      <w:r w:rsidRPr="0061064A">
        <w:rPr>
          <w:rFonts w:ascii="Times New Roman" w:hAnsi="Times New Roman" w:cs="Times New Roman"/>
          <w:b/>
          <w:bCs/>
          <w:sz w:val="24"/>
          <w:szCs w:val="24"/>
        </w:rPr>
        <w:t xml:space="preserve">Table </w:t>
      </w:r>
      <w:r w:rsidR="005F7667">
        <w:rPr>
          <w:rFonts w:ascii="Times New Roman" w:hAnsi="Times New Roman" w:cs="Times New Roman"/>
          <w:b/>
          <w:bCs/>
          <w:sz w:val="24"/>
          <w:szCs w:val="24"/>
        </w:rPr>
        <w:t>1</w:t>
      </w:r>
      <w:r w:rsidRPr="0061064A">
        <w:rPr>
          <w:rFonts w:ascii="Times New Roman" w:hAnsi="Times New Roman" w:cs="Times New Roman"/>
          <w:b/>
          <w:bCs/>
          <w:sz w:val="24"/>
          <w:szCs w:val="24"/>
        </w:rPr>
        <w:t>: Descriptive statistics of socioeconomic characteristics of the respondents</w:t>
      </w:r>
    </w:p>
    <w:tbl>
      <w:tblPr>
        <w:tblStyle w:val="TableGrid"/>
        <w:tblW w:w="0" w:type="auto"/>
        <w:tblLook w:val="04A0" w:firstRow="1" w:lastRow="0" w:firstColumn="1" w:lastColumn="0" w:noHBand="0" w:noVBand="1"/>
      </w:tblPr>
      <w:tblGrid>
        <w:gridCol w:w="2254"/>
        <w:gridCol w:w="2254"/>
        <w:gridCol w:w="2254"/>
        <w:gridCol w:w="2254"/>
      </w:tblGrid>
      <w:tr w:rsidR="00F631E2" w:rsidRPr="00A11720" w14:paraId="59521FA6" w14:textId="77777777" w:rsidTr="00FB526A">
        <w:tc>
          <w:tcPr>
            <w:tcW w:w="2254" w:type="dxa"/>
          </w:tcPr>
          <w:p w14:paraId="29C4C236"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Particulars</w:t>
            </w:r>
          </w:p>
        </w:tc>
        <w:tc>
          <w:tcPr>
            <w:tcW w:w="2254" w:type="dxa"/>
          </w:tcPr>
          <w:p w14:paraId="7C5B54D3"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Frequency (n=120)</w:t>
            </w:r>
          </w:p>
        </w:tc>
        <w:tc>
          <w:tcPr>
            <w:tcW w:w="2254" w:type="dxa"/>
          </w:tcPr>
          <w:p w14:paraId="56D2203B"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Percentage (%)</w:t>
            </w:r>
          </w:p>
        </w:tc>
        <w:tc>
          <w:tcPr>
            <w:tcW w:w="2254" w:type="dxa"/>
          </w:tcPr>
          <w:p w14:paraId="562B61C1"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Mean</w:t>
            </w:r>
          </w:p>
        </w:tc>
      </w:tr>
      <w:tr w:rsidR="00F631E2" w14:paraId="755DE806" w14:textId="77777777" w:rsidTr="00FB526A">
        <w:tc>
          <w:tcPr>
            <w:tcW w:w="6762" w:type="dxa"/>
            <w:gridSpan w:val="3"/>
          </w:tcPr>
          <w:p w14:paraId="3E950AC8"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Gender</w:t>
            </w:r>
          </w:p>
        </w:tc>
        <w:tc>
          <w:tcPr>
            <w:tcW w:w="2254" w:type="dxa"/>
          </w:tcPr>
          <w:p w14:paraId="76CB6E93"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0.83</w:t>
            </w:r>
          </w:p>
        </w:tc>
      </w:tr>
      <w:tr w:rsidR="00F631E2" w14:paraId="5CD97404" w14:textId="77777777" w:rsidTr="00FB526A">
        <w:tc>
          <w:tcPr>
            <w:tcW w:w="2254" w:type="dxa"/>
          </w:tcPr>
          <w:p w14:paraId="2E9B1A4D"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lastRenderedPageBreak/>
              <w:t>Male</w:t>
            </w:r>
          </w:p>
        </w:tc>
        <w:tc>
          <w:tcPr>
            <w:tcW w:w="2254" w:type="dxa"/>
          </w:tcPr>
          <w:p w14:paraId="0F4CDA03"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99</w:t>
            </w:r>
          </w:p>
        </w:tc>
        <w:tc>
          <w:tcPr>
            <w:tcW w:w="2254" w:type="dxa"/>
          </w:tcPr>
          <w:p w14:paraId="125456FF"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82.50</w:t>
            </w:r>
          </w:p>
        </w:tc>
        <w:tc>
          <w:tcPr>
            <w:tcW w:w="2254" w:type="dxa"/>
          </w:tcPr>
          <w:p w14:paraId="489A2710" w14:textId="77777777" w:rsidR="00F631E2" w:rsidRPr="00A11720" w:rsidRDefault="00F631E2" w:rsidP="0018182C">
            <w:pPr>
              <w:jc w:val="center"/>
              <w:rPr>
                <w:rFonts w:ascii="Times New Roman" w:hAnsi="Times New Roman" w:cs="Times New Roman"/>
                <w:b/>
                <w:bCs/>
                <w:sz w:val="24"/>
                <w:szCs w:val="24"/>
              </w:rPr>
            </w:pPr>
          </w:p>
        </w:tc>
      </w:tr>
      <w:tr w:rsidR="00F631E2" w14:paraId="3B69E0C9" w14:textId="77777777" w:rsidTr="00FB526A">
        <w:tc>
          <w:tcPr>
            <w:tcW w:w="2254" w:type="dxa"/>
          </w:tcPr>
          <w:p w14:paraId="1D44AA2D"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Female</w:t>
            </w:r>
          </w:p>
        </w:tc>
        <w:tc>
          <w:tcPr>
            <w:tcW w:w="2254" w:type="dxa"/>
          </w:tcPr>
          <w:p w14:paraId="6E414953"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21</w:t>
            </w:r>
          </w:p>
        </w:tc>
        <w:tc>
          <w:tcPr>
            <w:tcW w:w="2254" w:type="dxa"/>
          </w:tcPr>
          <w:p w14:paraId="59A6F235"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17.50</w:t>
            </w:r>
          </w:p>
        </w:tc>
        <w:tc>
          <w:tcPr>
            <w:tcW w:w="2254" w:type="dxa"/>
          </w:tcPr>
          <w:p w14:paraId="74A6BB3C" w14:textId="77777777" w:rsidR="00F631E2" w:rsidRPr="00A11720" w:rsidRDefault="00F631E2" w:rsidP="0018182C">
            <w:pPr>
              <w:jc w:val="center"/>
              <w:rPr>
                <w:rFonts w:ascii="Times New Roman" w:hAnsi="Times New Roman" w:cs="Times New Roman"/>
                <w:b/>
                <w:bCs/>
                <w:sz w:val="24"/>
                <w:szCs w:val="24"/>
              </w:rPr>
            </w:pPr>
          </w:p>
        </w:tc>
      </w:tr>
      <w:tr w:rsidR="00F631E2" w14:paraId="7DCFCB8C" w14:textId="77777777" w:rsidTr="00FB526A">
        <w:tc>
          <w:tcPr>
            <w:tcW w:w="6762" w:type="dxa"/>
            <w:gridSpan w:val="3"/>
          </w:tcPr>
          <w:p w14:paraId="67E15FC0"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Age</w:t>
            </w:r>
          </w:p>
        </w:tc>
        <w:tc>
          <w:tcPr>
            <w:tcW w:w="2254" w:type="dxa"/>
          </w:tcPr>
          <w:p w14:paraId="4C2335B2"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47.8</w:t>
            </w:r>
          </w:p>
        </w:tc>
      </w:tr>
      <w:tr w:rsidR="00F631E2" w14:paraId="0D7A8062" w14:textId="77777777" w:rsidTr="00FB526A">
        <w:tc>
          <w:tcPr>
            <w:tcW w:w="2254" w:type="dxa"/>
          </w:tcPr>
          <w:p w14:paraId="27C0AA8E"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18-25</w:t>
            </w:r>
          </w:p>
        </w:tc>
        <w:tc>
          <w:tcPr>
            <w:tcW w:w="2254" w:type="dxa"/>
          </w:tcPr>
          <w:p w14:paraId="255BC442"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2</w:t>
            </w:r>
          </w:p>
        </w:tc>
        <w:tc>
          <w:tcPr>
            <w:tcW w:w="2254" w:type="dxa"/>
          </w:tcPr>
          <w:p w14:paraId="4C84D412"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1.67</w:t>
            </w:r>
          </w:p>
        </w:tc>
        <w:tc>
          <w:tcPr>
            <w:tcW w:w="2254" w:type="dxa"/>
          </w:tcPr>
          <w:p w14:paraId="1EC883F1" w14:textId="77777777" w:rsidR="00F631E2" w:rsidRPr="00A11720" w:rsidRDefault="00F631E2" w:rsidP="0018182C">
            <w:pPr>
              <w:jc w:val="center"/>
              <w:rPr>
                <w:rFonts w:ascii="Times New Roman" w:hAnsi="Times New Roman" w:cs="Times New Roman"/>
                <w:b/>
                <w:bCs/>
                <w:sz w:val="24"/>
                <w:szCs w:val="24"/>
              </w:rPr>
            </w:pPr>
          </w:p>
        </w:tc>
      </w:tr>
      <w:tr w:rsidR="00F631E2" w14:paraId="21A85815" w14:textId="77777777" w:rsidTr="00FB526A">
        <w:tc>
          <w:tcPr>
            <w:tcW w:w="2254" w:type="dxa"/>
          </w:tcPr>
          <w:p w14:paraId="2F9BDC2F"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26-35</w:t>
            </w:r>
          </w:p>
        </w:tc>
        <w:tc>
          <w:tcPr>
            <w:tcW w:w="2254" w:type="dxa"/>
          </w:tcPr>
          <w:p w14:paraId="095AD3D7"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9</w:t>
            </w:r>
          </w:p>
        </w:tc>
        <w:tc>
          <w:tcPr>
            <w:tcW w:w="2254" w:type="dxa"/>
          </w:tcPr>
          <w:p w14:paraId="7C7D8DA2"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7.50</w:t>
            </w:r>
          </w:p>
        </w:tc>
        <w:tc>
          <w:tcPr>
            <w:tcW w:w="2254" w:type="dxa"/>
          </w:tcPr>
          <w:p w14:paraId="77AF7855" w14:textId="77777777" w:rsidR="00F631E2" w:rsidRPr="00A11720" w:rsidRDefault="00F631E2" w:rsidP="0018182C">
            <w:pPr>
              <w:jc w:val="center"/>
              <w:rPr>
                <w:rFonts w:ascii="Times New Roman" w:hAnsi="Times New Roman" w:cs="Times New Roman"/>
                <w:b/>
                <w:bCs/>
                <w:sz w:val="24"/>
                <w:szCs w:val="24"/>
              </w:rPr>
            </w:pPr>
          </w:p>
        </w:tc>
      </w:tr>
      <w:tr w:rsidR="00F631E2" w14:paraId="248F7113" w14:textId="77777777" w:rsidTr="00FB526A">
        <w:tc>
          <w:tcPr>
            <w:tcW w:w="2254" w:type="dxa"/>
          </w:tcPr>
          <w:p w14:paraId="5247D334"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36-45</w:t>
            </w:r>
          </w:p>
        </w:tc>
        <w:tc>
          <w:tcPr>
            <w:tcW w:w="2254" w:type="dxa"/>
          </w:tcPr>
          <w:p w14:paraId="287E46DC"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32</w:t>
            </w:r>
          </w:p>
        </w:tc>
        <w:tc>
          <w:tcPr>
            <w:tcW w:w="2254" w:type="dxa"/>
          </w:tcPr>
          <w:p w14:paraId="0F713F04"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26.67</w:t>
            </w:r>
          </w:p>
        </w:tc>
        <w:tc>
          <w:tcPr>
            <w:tcW w:w="2254" w:type="dxa"/>
          </w:tcPr>
          <w:p w14:paraId="068B2ECF" w14:textId="77777777" w:rsidR="00F631E2" w:rsidRPr="00A11720" w:rsidRDefault="00F631E2" w:rsidP="0018182C">
            <w:pPr>
              <w:jc w:val="center"/>
              <w:rPr>
                <w:rFonts w:ascii="Times New Roman" w:hAnsi="Times New Roman" w:cs="Times New Roman"/>
                <w:b/>
                <w:bCs/>
                <w:sz w:val="24"/>
                <w:szCs w:val="24"/>
              </w:rPr>
            </w:pPr>
          </w:p>
        </w:tc>
      </w:tr>
      <w:tr w:rsidR="00F631E2" w14:paraId="3ECAD42C" w14:textId="77777777" w:rsidTr="00FB526A">
        <w:tc>
          <w:tcPr>
            <w:tcW w:w="2254" w:type="dxa"/>
          </w:tcPr>
          <w:p w14:paraId="2DF1B062"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46-55</w:t>
            </w:r>
          </w:p>
        </w:tc>
        <w:tc>
          <w:tcPr>
            <w:tcW w:w="2254" w:type="dxa"/>
          </w:tcPr>
          <w:p w14:paraId="2C086835"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48</w:t>
            </w:r>
          </w:p>
        </w:tc>
        <w:tc>
          <w:tcPr>
            <w:tcW w:w="2254" w:type="dxa"/>
          </w:tcPr>
          <w:p w14:paraId="59929377"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40</w:t>
            </w:r>
          </w:p>
        </w:tc>
        <w:tc>
          <w:tcPr>
            <w:tcW w:w="2254" w:type="dxa"/>
          </w:tcPr>
          <w:p w14:paraId="673030BE" w14:textId="77777777" w:rsidR="00F631E2" w:rsidRPr="00A11720" w:rsidRDefault="00F631E2" w:rsidP="0018182C">
            <w:pPr>
              <w:jc w:val="center"/>
              <w:rPr>
                <w:rFonts w:ascii="Times New Roman" w:hAnsi="Times New Roman" w:cs="Times New Roman"/>
                <w:b/>
                <w:bCs/>
                <w:sz w:val="24"/>
                <w:szCs w:val="24"/>
              </w:rPr>
            </w:pPr>
          </w:p>
        </w:tc>
      </w:tr>
      <w:tr w:rsidR="00F631E2" w14:paraId="49A906FD" w14:textId="77777777" w:rsidTr="00FB526A">
        <w:tc>
          <w:tcPr>
            <w:tcW w:w="2254" w:type="dxa"/>
          </w:tcPr>
          <w:p w14:paraId="063A6C16"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&gt;56</w:t>
            </w:r>
          </w:p>
        </w:tc>
        <w:tc>
          <w:tcPr>
            <w:tcW w:w="2254" w:type="dxa"/>
          </w:tcPr>
          <w:p w14:paraId="0A514224"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29</w:t>
            </w:r>
          </w:p>
        </w:tc>
        <w:tc>
          <w:tcPr>
            <w:tcW w:w="2254" w:type="dxa"/>
          </w:tcPr>
          <w:p w14:paraId="6A6310C1"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24.17</w:t>
            </w:r>
          </w:p>
        </w:tc>
        <w:tc>
          <w:tcPr>
            <w:tcW w:w="2254" w:type="dxa"/>
          </w:tcPr>
          <w:p w14:paraId="7586A65C" w14:textId="77777777" w:rsidR="00F631E2" w:rsidRPr="00A11720" w:rsidRDefault="00F631E2" w:rsidP="0018182C">
            <w:pPr>
              <w:jc w:val="center"/>
              <w:rPr>
                <w:rFonts w:ascii="Times New Roman" w:hAnsi="Times New Roman" w:cs="Times New Roman"/>
                <w:b/>
                <w:bCs/>
                <w:sz w:val="24"/>
                <w:szCs w:val="24"/>
              </w:rPr>
            </w:pPr>
          </w:p>
        </w:tc>
      </w:tr>
      <w:tr w:rsidR="00F631E2" w14:paraId="6BE88E99" w14:textId="77777777" w:rsidTr="00FB526A">
        <w:tc>
          <w:tcPr>
            <w:tcW w:w="6762" w:type="dxa"/>
            <w:gridSpan w:val="3"/>
          </w:tcPr>
          <w:p w14:paraId="747E0394"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Caste</w:t>
            </w:r>
          </w:p>
        </w:tc>
        <w:tc>
          <w:tcPr>
            <w:tcW w:w="2254" w:type="dxa"/>
          </w:tcPr>
          <w:p w14:paraId="215C45A5"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1.94</w:t>
            </w:r>
          </w:p>
        </w:tc>
      </w:tr>
      <w:tr w:rsidR="00F631E2" w14:paraId="350AA643" w14:textId="77777777" w:rsidTr="00FB526A">
        <w:tc>
          <w:tcPr>
            <w:tcW w:w="2254" w:type="dxa"/>
          </w:tcPr>
          <w:p w14:paraId="53B3849C"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General</w:t>
            </w:r>
          </w:p>
        </w:tc>
        <w:tc>
          <w:tcPr>
            <w:tcW w:w="2254" w:type="dxa"/>
          </w:tcPr>
          <w:p w14:paraId="28F3266C"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35</w:t>
            </w:r>
          </w:p>
        </w:tc>
        <w:tc>
          <w:tcPr>
            <w:tcW w:w="2254" w:type="dxa"/>
          </w:tcPr>
          <w:p w14:paraId="1315B73B"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29.17</w:t>
            </w:r>
          </w:p>
        </w:tc>
        <w:tc>
          <w:tcPr>
            <w:tcW w:w="2254" w:type="dxa"/>
          </w:tcPr>
          <w:p w14:paraId="43231C8A" w14:textId="77777777" w:rsidR="00F631E2" w:rsidRPr="00A11720" w:rsidRDefault="00F631E2" w:rsidP="0018182C">
            <w:pPr>
              <w:jc w:val="center"/>
              <w:rPr>
                <w:rFonts w:ascii="Times New Roman" w:hAnsi="Times New Roman" w:cs="Times New Roman"/>
                <w:b/>
                <w:bCs/>
                <w:sz w:val="24"/>
                <w:szCs w:val="24"/>
              </w:rPr>
            </w:pPr>
          </w:p>
        </w:tc>
      </w:tr>
      <w:tr w:rsidR="00F631E2" w14:paraId="7C206E6C" w14:textId="77777777" w:rsidTr="00FB526A">
        <w:tc>
          <w:tcPr>
            <w:tcW w:w="2254" w:type="dxa"/>
          </w:tcPr>
          <w:p w14:paraId="749920CB"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OBC</w:t>
            </w:r>
          </w:p>
        </w:tc>
        <w:tc>
          <w:tcPr>
            <w:tcW w:w="2254" w:type="dxa"/>
          </w:tcPr>
          <w:p w14:paraId="318BFE63"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57</w:t>
            </w:r>
          </w:p>
        </w:tc>
        <w:tc>
          <w:tcPr>
            <w:tcW w:w="2254" w:type="dxa"/>
          </w:tcPr>
          <w:p w14:paraId="62AAF281"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47.50</w:t>
            </w:r>
          </w:p>
        </w:tc>
        <w:tc>
          <w:tcPr>
            <w:tcW w:w="2254" w:type="dxa"/>
          </w:tcPr>
          <w:p w14:paraId="53263733" w14:textId="77777777" w:rsidR="00F631E2" w:rsidRPr="00A11720" w:rsidRDefault="00F631E2" w:rsidP="0018182C">
            <w:pPr>
              <w:jc w:val="center"/>
              <w:rPr>
                <w:rFonts w:ascii="Times New Roman" w:hAnsi="Times New Roman" w:cs="Times New Roman"/>
                <w:b/>
                <w:bCs/>
                <w:sz w:val="24"/>
                <w:szCs w:val="24"/>
              </w:rPr>
            </w:pPr>
          </w:p>
        </w:tc>
      </w:tr>
      <w:tr w:rsidR="00F631E2" w14:paraId="3591A8FC" w14:textId="77777777" w:rsidTr="00FB526A">
        <w:tc>
          <w:tcPr>
            <w:tcW w:w="2254" w:type="dxa"/>
          </w:tcPr>
          <w:p w14:paraId="03392FB5"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SC</w:t>
            </w:r>
          </w:p>
        </w:tc>
        <w:tc>
          <w:tcPr>
            <w:tcW w:w="2254" w:type="dxa"/>
          </w:tcPr>
          <w:p w14:paraId="43E7D9A4"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28</w:t>
            </w:r>
          </w:p>
        </w:tc>
        <w:tc>
          <w:tcPr>
            <w:tcW w:w="2254" w:type="dxa"/>
          </w:tcPr>
          <w:p w14:paraId="30954CD6"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23.33</w:t>
            </w:r>
          </w:p>
        </w:tc>
        <w:tc>
          <w:tcPr>
            <w:tcW w:w="2254" w:type="dxa"/>
          </w:tcPr>
          <w:p w14:paraId="6AB17991" w14:textId="77777777" w:rsidR="00F631E2" w:rsidRPr="00A11720" w:rsidRDefault="00F631E2" w:rsidP="0018182C">
            <w:pPr>
              <w:jc w:val="center"/>
              <w:rPr>
                <w:rFonts w:ascii="Times New Roman" w:hAnsi="Times New Roman" w:cs="Times New Roman"/>
                <w:b/>
                <w:bCs/>
                <w:sz w:val="24"/>
                <w:szCs w:val="24"/>
              </w:rPr>
            </w:pPr>
          </w:p>
        </w:tc>
      </w:tr>
      <w:tr w:rsidR="00F631E2" w14:paraId="1992F8EA" w14:textId="77777777" w:rsidTr="00FB526A">
        <w:tc>
          <w:tcPr>
            <w:tcW w:w="2254" w:type="dxa"/>
          </w:tcPr>
          <w:p w14:paraId="300CA84F"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ST</w:t>
            </w:r>
          </w:p>
        </w:tc>
        <w:tc>
          <w:tcPr>
            <w:tcW w:w="2254" w:type="dxa"/>
          </w:tcPr>
          <w:p w14:paraId="70A1B397"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0</w:t>
            </w:r>
          </w:p>
        </w:tc>
        <w:tc>
          <w:tcPr>
            <w:tcW w:w="2254" w:type="dxa"/>
          </w:tcPr>
          <w:p w14:paraId="0673A058"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0.0</w:t>
            </w:r>
          </w:p>
        </w:tc>
        <w:tc>
          <w:tcPr>
            <w:tcW w:w="2254" w:type="dxa"/>
          </w:tcPr>
          <w:p w14:paraId="1CDB0672" w14:textId="77777777" w:rsidR="00F631E2" w:rsidRPr="00A11720" w:rsidRDefault="00F631E2" w:rsidP="0018182C">
            <w:pPr>
              <w:jc w:val="center"/>
              <w:rPr>
                <w:rFonts w:ascii="Times New Roman" w:hAnsi="Times New Roman" w:cs="Times New Roman"/>
                <w:b/>
                <w:bCs/>
                <w:sz w:val="24"/>
                <w:szCs w:val="24"/>
              </w:rPr>
            </w:pPr>
          </w:p>
        </w:tc>
      </w:tr>
      <w:tr w:rsidR="00F631E2" w14:paraId="2DE6A388" w14:textId="77777777" w:rsidTr="00FB526A">
        <w:tc>
          <w:tcPr>
            <w:tcW w:w="6762" w:type="dxa"/>
            <w:gridSpan w:val="3"/>
          </w:tcPr>
          <w:p w14:paraId="3663F702"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Family Type</w:t>
            </w:r>
          </w:p>
        </w:tc>
        <w:tc>
          <w:tcPr>
            <w:tcW w:w="2254" w:type="dxa"/>
          </w:tcPr>
          <w:p w14:paraId="3407E4F0"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0.61</w:t>
            </w:r>
          </w:p>
        </w:tc>
      </w:tr>
      <w:tr w:rsidR="00F631E2" w14:paraId="06D8A65C" w14:textId="77777777" w:rsidTr="00FB526A">
        <w:tc>
          <w:tcPr>
            <w:tcW w:w="2254" w:type="dxa"/>
          </w:tcPr>
          <w:p w14:paraId="041C51CE"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Joint</w:t>
            </w:r>
          </w:p>
        </w:tc>
        <w:tc>
          <w:tcPr>
            <w:tcW w:w="2254" w:type="dxa"/>
          </w:tcPr>
          <w:p w14:paraId="4D7B048E"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73</w:t>
            </w:r>
          </w:p>
        </w:tc>
        <w:tc>
          <w:tcPr>
            <w:tcW w:w="2254" w:type="dxa"/>
          </w:tcPr>
          <w:p w14:paraId="036AA8B0"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60.83</w:t>
            </w:r>
          </w:p>
        </w:tc>
        <w:tc>
          <w:tcPr>
            <w:tcW w:w="2254" w:type="dxa"/>
          </w:tcPr>
          <w:p w14:paraId="2DD60709" w14:textId="77777777" w:rsidR="00F631E2" w:rsidRPr="00A11720" w:rsidRDefault="00F631E2" w:rsidP="0018182C">
            <w:pPr>
              <w:jc w:val="center"/>
              <w:rPr>
                <w:rFonts w:ascii="Times New Roman" w:hAnsi="Times New Roman" w:cs="Times New Roman"/>
                <w:b/>
                <w:bCs/>
                <w:sz w:val="24"/>
                <w:szCs w:val="24"/>
              </w:rPr>
            </w:pPr>
          </w:p>
        </w:tc>
      </w:tr>
      <w:tr w:rsidR="00F631E2" w14:paraId="0C07AB97" w14:textId="77777777" w:rsidTr="00FB526A">
        <w:tc>
          <w:tcPr>
            <w:tcW w:w="2254" w:type="dxa"/>
          </w:tcPr>
          <w:p w14:paraId="4072D2D7"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Nuclear</w:t>
            </w:r>
          </w:p>
        </w:tc>
        <w:tc>
          <w:tcPr>
            <w:tcW w:w="2254" w:type="dxa"/>
          </w:tcPr>
          <w:p w14:paraId="100F5D85"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47</w:t>
            </w:r>
          </w:p>
        </w:tc>
        <w:tc>
          <w:tcPr>
            <w:tcW w:w="2254" w:type="dxa"/>
          </w:tcPr>
          <w:p w14:paraId="388381DF"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39.17</w:t>
            </w:r>
          </w:p>
        </w:tc>
        <w:tc>
          <w:tcPr>
            <w:tcW w:w="2254" w:type="dxa"/>
          </w:tcPr>
          <w:p w14:paraId="281A1796" w14:textId="77777777" w:rsidR="00F631E2" w:rsidRPr="00A11720" w:rsidRDefault="00F631E2" w:rsidP="0018182C">
            <w:pPr>
              <w:jc w:val="center"/>
              <w:rPr>
                <w:rFonts w:ascii="Times New Roman" w:hAnsi="Times New Roman" w:cs="Times New Roman"/>
                <w:b/>
                <w:bCs/>
                <w:sz w:val="24"/>
                <w:szCs w:val="24"/>
              </w:rPr>
            </w:pPr>
          </w:p>
        </w:tc>
      </w:tr>
      <w:tr w:rsidR="00F631E2" w14:paraId="6D75661F" w14:textId="77777777" w:rsidTr="00FB526A">
        <w:tc>
          <w:tcPr>
            <w:tcW w:w="6762" w:type="dxa"/>
            <w:gridSpan w:val="3"/>
          </w:tcPr>
          <w:p w14:paraId="1D4E6805"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Education</w:t>
            </w:r>
          </w:p>
        </w:tc>
        <w:tc>
          <w:tcPr>
            <w:tcW w:w="2254" w:type="dxa"/>
          </w:tcPr>
          <w:p w14:paraId="63F94914"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3.02</w:t>
            </w:r>
          </w:p>
        </w:tc>
      </w:tr>
      <w:tr w:rsidR="00F631E2" w14:paraId="7B842F30" w14:textId="77777777" w:rsidTr="00FB526A">
        <w:tc>
          <w:tcPr>
            <w:tcW w:w="2254" w:type="dxa"/>
          </w:tcPr>
          <w:p w14:paraId="4BDB95A4"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Illiterate</w:t>
            </w:r>
          </w:p>
        </w:tc>
        <w:tc>
          <w:tcPr>
            <w:tcW w:w="2254" w:type="dxa"/>
          </w:tcPr>
          <w:p w14:paraId="4208A173"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36</w:t>
            </w:r>
          </w:p>
        </w:tc>
        <w:tc>
          <w:tcPr>
            <w:tcW w:w="2254" w:type="dxa"/>
          </w:tcPr>
          <w:p w14:paraId="60268FB1"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30</w:t>
            </w:r>
          </w:p>
        </w:tc>
        <w:tc>
          <w:tcPr>
            <w:tcW w:w="2254" w:type="dxa"/>
          </w:tcPr>
          <w:p w14:paraId="42636E1D" w14:textId="77777777" w:rsidR="00F631E2" w:rsidRPr="00A11720" w:rsidRDefault="00F631E2" w:rsidP="0018182C">
            <w:pPr>
              <w:jc w:val="center"/>
              <w:rPr>
                <w:rFonts w:ascii="Times New Roman" w:hAnsi="Times New Roman" w:cs="Times New Roman"/>
                <w:b/>
                <w:bCs/>
                <w:sz w:val="24"/>
                <w:szCs w:val="24"/>
              </w:rPr>
            </w:pPr>
          </w:p>
        </w:tc>
      </w:tr>
      <w:tr w:rsidR="00F631E2" w14:paraId="5541EEA4" w14:textId="77777777" w:rsidTr="00FB526A">
        <w:tc>
          <w:tcPr>
            <w:tcW w:w="2254" w:type="dxa"/>
          </w:tcPr>
          <w:p w14:paraId="191350C8"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Primary</w:t>
            </w:r>
          </w:p>
        </w:tc>
        <w:tc>
          <w:tcPr>
            <w:tcW w:w="2254" w:type="dxa"/>
          </w:tcPr>
          <w:p w14:paraId="150EC461"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20</w:t>
            </w:r>
          </w:p>
        </w:tc>
        <w:tc>
          <w:tcPr>
            <w:tcW w:w="2254" w:type="dxa"/>
          </w:tcPr>
          <w:p w14:paraId="729067CB"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16.67</w:t>
            </w:r>
          </w:p>
        </w:tc>
        <w:tc>
          <w:tcPr>
            <w:tcW w:w="2254" w:type="dxa"/>
          </w:tcPr>
          <w:p w14:paraId="28EADD8B" w14:textId="77777777" w:rsidR="00F631E2" w:rsidRPr="00A11720" w:rsidRDefault="00F631E2" w:rsidP="0018182C">
            <w:pPr>
              <w:jc w:val="center"/>
              <w:rPr>
                <w:rFonts w:ascii="Times New Roman" w:hAnsi="Times New Roman" w:cs="Times New Roman"/>
                <w:b/>
                <w:bCs/>
                <w:sz w:val="24"/>
                <w:szCs w:val="24"/>
              </w:rPr>
            </w:pPr>
          </w:p>
        </w:tc>
      </w:tr>
      <w:tr w:rsidR="00F631E2" w14:paraId="612EC68C" w14:textId="77777777" w:rsidTr="00FB526A">
        <w:tc>
          <w:tcPr>
            <w:tcW w:w="2254" w:type="dxa"/>
          </w:tcPr>
          <w:p w14:paraId="5D6CFEEA"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High School</w:t>
            </w:r>
          </w:p>
        </w:tc>
        <w:tc>
          <w:tcPr>
            <w:tcW w:w="2254" w:type="dxa"/>
          </w:tcPr>
          <w:p w14:paraId="397C4215"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5</w:t>
            </w:r>
          </w:p>
        </w:tc>
        <w:tc>
          <w:tcPr>
            <w:tcW w:w="2254" w:type="dxa"/>
          </w:tcPr>
          <w:p w14:paraId="6EFFE8C2"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4.17</w:t>
            </w:r>
          </w:p>
        </w:tc>
        <w:tc>
          <w:tcPr>
            <w:tcW w:w="2254" w:type="dxa"/>
          </w:tcPr>
          <w:p w14:paraId="6A913F1A" w14:textId="77777777" w:rsidR="00F631E2" w:rsidRPr="00A11720" w:rsidRDefault="00F631E2" w:rsidP="0018182C">
            <w:pPr>
              <w:jc w:val="center"/>
              <w:rPr>
                <w:rFonts w:ascii="Times New Roman" w:hAnsi="Times New Roman" w:cs="Times New Roman"/>
                <w:b/>
                <w:bCs/>
                <w:sz w:val="24"/>
                <w:szCs w:val="24"/>
              </w:rPr>
            </w:pPr>
          </w:p>
        </w:tc>
      </w:tr>
      <w:tr w:rsidR="00F631E2" w14:paraId="4CAA4D4E" w14:textId="77777777" w:rsidTr="00FB526A">
        <w:tc>
          <w:tcPr>
            <w:tcW w:w="2254" w:type="dxa"/>
          </w:tcPr>
          <w:p w14:paraId="5A83DD99"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Intermediate</w:t>
            </w:r>
          </w:p>
        </w:tc>
        <w:tc>
          <w:tcPr>
            <w:tcW w:w="2254" w:type="dxa"/>
          </w:tcPr>
          <w:p w14:paraId="0FD91046"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24</w:t>
            </w:r>
          </w:p>
        </w:tc>
        <w:tc>
          <w:tcPr>
            <w:tcW w:w="2254" w:type="dxa"/>
          </w:tcPr>
          <w:p w14:paraId="1552112B"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20</w:t>
            </w:r>
          </w:p>
        </w:tc>
        <w:tc>
          <w:tcPr>
            <w:tcW w:w="2254" w:type="dxa"/>
          </w:tcPr>
          <w:p w14:paraId="086959E5" w14:textId="77777777" w:rsidR="00F631E2" w:rsidRPr="00A11720" w:rsidRDefault="00F631E2" w:rsidP="0018182C">
            <w:pPr>
              <w:jc w:val="center"/>
              <w:rPr>
                <w:rFonts w:ascii="Times New Roman" w:hAnsi="Times New Roman" w:cs="Times New Roman"/>
                <w:b/>
                <w:bCs/>
                <w:sz w:val="24"/>
                <w:szCs w:val="24"/>
              </w:rPr>
            </w:pPr>
          </w:p>
        </w:tc>
      </w:tr>
      <w:tr w:rsidR="00F631E2" w14:paraId="243E4CA0" w14:textId="77777777" w:rsidTr="00FB526A">
        <w:tc>
          <w:tcPr>
            <w:tcW w:w="2254" w:type="dxa"/>
          </w:tcPr>
          <w:p w14:paraId="3C647C22"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Graduation</w:t>
            </w:r>
          </w:p>
        </w:tc>
        <w:tc>
          <w:tcPr>
            <w:tcW w:w="2254" w:type="dxa"/>
          </w:tcPr>
          <w:p w14:paraId="75FAF32C"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35</w:t>
            </w:r>
          </w:p>
        </w:tc>
        <w:tc>
          <w:tcPr>
            <w:tcW w:w="2254" w:type="dxa"/>
          </w:tcPr>
          <w:p w14:paraId="374FE27C"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29.17</w:t>
            </w:r>
          </w:p>
        </w:tc>
        <w:tc>
          <w:tcPr>
            <w:tcW w:w="2254" w:type="dxa"/>
          </w:tcPr>
          <w:p w14:paraId="0EB0807F" w14:textId="77777777" w:rsidR="00F631E2" w:rsidRPr="00A11720" w:rsidRDefault="00F631E2" w:rsidP="0018182C">
            <w:pPr>
              <w:jc w:val="center"/>
              <w:rPr>
                <w:rFonts w:ascii="Times New Roman" w:hAnsi="Times New Roman" w:cs="Times New Roman"/>
                <w:b/>
                <w:bCs/>
                <w:sz w:val="24"/>
                <w:szCs w:val="24"/>
              </w:rPr>
            </w:pPr>
          </w:p>
        </w:tc>
      </w:tr>
      <w:tr w:rsidR="00F631E2" w14:paraId="15092BB3" w14:textId="77777777" w:rsidTr="00FB526A">
        <w:tc>
          <w:tcPr>
            <w:tcW w:w="6762" w:type="dxa"/>
            <w:gridSpan w:val="3"/>
          </w:tcPr>
          <w:p w14:paraId="050E4A5B"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Annual income</w:t>
            </w:r>
          </w:p>
        </w:tc>
        <w:tc>
          <w:tcPr>
            <w:tcW w:w="2254" w:type="dxa"/>
          </w:tcPr>
          <w:p w14:paraId="10472954"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67,469</w:t>
            </w:r>
          </w:p>
        </w:tc>
      </w:tr>
      <w:tr w:rsidR="00F631E2" w14:paraId="126F7E59" w14:textId="77777777" w:rsidTr="00FB526A">
        <w:tc>
          <w:tcPr>
            <w:tcW w:w="2254" w:type="dxa"/>
          </w:tcPr>
          <w:p w14:paraId="1BDE1DA3"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&lt;50,000</w:t>
            </w:r>
          </w:p>
        </w:tc>
        <w:tc>
          <w:tcPr>
            <w:tcW w:w="2254" w:type="dxa"/>
          </w:tcPr>
          <w:p w14:paraId="3323C51E"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13</w:t>
            </w:r>
          </w:p>
        </w:tc>
        <w:tc>
          <w:tcPr>
            <w:tcW w:w="2254" w:type="dxa"/>
          </w:tcPr>
          <w:p w14:paraId="7E4DCDA3"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10.83</w:t>
            </w:r>
          </w:p>
        </w:tc>
        <w:tc>
          <w:tcPr>
            <w:tcW w:w="2254" w:type="dxa"/>
          </w:tcPr>
          <w:p w14:paraId="09D6D9D5" w14:textId="77777777" w:rsidR="00F631E2" w:rsidRPr="00A11720" w:rsidRDefault="00F631E2" w:rsidP="0018182C">
            <w:pPr>
              <w:jc w:val="center"/>
              <w:rPr>
                <w:rFonts w:ascii="Times New Roman" w:hAnsi="Times New Roman" w:cs="Times New Roman"/>
                <w:b/>
                <w:bCs/>
                <w:sz w:val="24"/>
                <w:szCs w:val="24"/>
              </w:rPr>
            </w:pPr>
          </w:p>
        </w:tc>
      </w:tr>
      <w:tr w:rsidR="00F631E2" w14:paraId="3965A1A7" w14:textId="77777777" w:rsidTr="00FB526A">
        <w:tc>
          <w:tcPr>
            <w:tcW w:w="2254" w:type="dxa"/>
          </w:tcPr>
          <w:p w14:paraId="5A4ED820"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50,001-75,000</w:t>
            </w:r>
          </w:p>
        </w:tc>
        <w:tc>
          <w:tcPr>
            <w:tcW w:w="2254" w:type="dxa"/>
          </w:tcPr>
          <w:p w14:paraId="1DC61B85"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60</w:t>
            </w:r>
          </w:p>
        </w:tc>
        <w:tc>
          <w:tcPr>
            <w:tcW w:w="2254" w:type="dxa"/>
          </w:tcPr>
          <w:p w14:paraId="541A7344"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50</w:t>
            </w:r>
          </w:p>
        </w:tc>
        <w:tc>
          <w:tcPr>
            <w:tcW w:w="2254" w:type="dxa"/>
          </w:tcPr>
          <w:p w14:paraId="15C4C927" w14:textId="77777777" w:rsidR="00F631E2" w:rsidRPr="00A11720" w:rsidRDefault="00F631E2" w:rsidP="0018182C">
            <w:pPr>
              <w:jc w:val="center"/>
              <w:rPr>
                <w:rFonts w:ascii="Times New Roman" w:hAnsi="Times New Roman" w:cs="Times New Roman"/>
                <w:b/>
                <w:bCs/>
                <w:sz w:val="24"/>
                <w:szCs w:val="24"/>
              </w:rPr>
            </w:pPr>
          </w:p>
        </w:tc>
      </w:tr>
      <w:tr w:rsidR="00F631E2" w14:paraId="7E6F5D84" w14:textId="77777777" w:rsidTr="00FB526A">
        <w:tc>
          <w:tcPr>
            <w:tcW w:w="2254" w:type="dxa"/>
          </w:tcPr>
          <w:p w14:paraId="0AF75E43"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75,001-1,00,000</w:t>
            </w:r>
          </w:p>
        </w:tc>
        <w:tc>
          <w:tcPr>
            <w:tcW w:w="2254" w:type="dxa"/>
          </w:tcPr>
          <w:p w14:paraId="4EE7D49B"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31</w:t>
            </w:r>
          </w:p>
        </w:tc>
        <w:tc>
          <w:tcPr>
            <w:tcW w:w="2254" w:type="dxa"/>
          </w:tcPr>
          <w:p w14:paraId="2ED414DA"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25.83</w:t>
            </w:r>
          </w:p>
        </w:tc>
        <w:tc>
          <w:tcPr>
            <w:tcW w:w="2254" w:type="dxa"/>
          </w:tcPr>
          <w:p w14:paraId="1930C12B" w14:textId="77777777" w:rsidR="00F631E2" w:rsidRPr="00A11720" w:rsidRDefault="00F631E2" w:rsidP="0018182C">
            <w:pPr>
              <w:jc w:val="center"/>
              <w:rPr>
                <w:rFonts w:ascii="Times New Roman" w:hAnsi="Times New Roman" w:cs="Times New Roman"/>
                <w:b/>
                <w:bCs/>
                <w:sz w:val="24"/>
                <w:szCs w:val="24"/>
              </w:rPr>
            </w:pPr>
          </w:p>
        </w:tc>
      </w:tr>
      <w:tr w:rsidR="00F631E2" w14:paraId="671829E8" w14:textId="77777777" w:rsidTr="00FB526A">
        <w:tc>
          <w:tcPr>
            <w:tcW w:w="2254" w:type="dxa"/>
          </w:tcPr>
          <w:p w14:paraId="11639B6C" w14:textId="77777777" w:rsidR="00F631E2" w:rsidRPr="00A11720" w:rsidRDefault="00F631E2" w:rsidP="0018182C">
            <w:pPr>
              <w:jc w:val="center"/>
              <w:rPr>
                <w:rFonts w:ascii="Times New Roman" w:hAnsi="Times New Roman" w:cs="Times New Roman"/>
                <w:b/>
                <w:bCs/>
                <w:sz w:val="24"/>
                <w:szCs w:val="24"/>
              </w:rPr>
            </w:pPr>
            <w:r w:rsidRPr="00A11720">
              <w:rPr>
                <w:rFonts w:ascii="Times New Roman" w:hAnsi="Times New Roman" w:cs="Times New Roman"/>
                <w:b/>
                <w:bCs/>
                <w:sz w:val="24"/>
                <w:szCs w:val="24"/>
              </w:rPr>
              <w:t>&gt;1,00,000</w:t>
            </w:r>
          </w:p>
        </w:tc>
        <w:tc>
          <w:tcPr>
            <w:tcW w:w="2254" w:type="dxa"/>
          </w:tcPr>
          <w:p w14:paraId="354E4B7D"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16</w:t>
            </w:r>
          </w:p>
        </w:tc>
        <w:tc>
          <w:tcPr>
            <w:tcW w:w="2254" w:type="dxa"/>
          </w:tcPr>
          <w:p w14:paraId="17B2B84E" w14:textId="77777777" w:rsidR="00F631E2" w:rsidRDefault="00F631E2" w:rsidP="0018182C">
            <w:pPr>
              <w:jc w:val="center"/>
              <w:rPr>
                <w:rFonts w:ascii="Times New Roman" w:hAnsi="Times New Roman" w:cs="Times New Roman"/>
                <w:sz w:val="24"/>
                <w:szCs w:val="24"/>
              </w:rPr>
            </w:pPr>
            <w:r>
              <w:rPr>
                <w:rFonts w:ascii="Times New Roman" w:hAnsi="Times New Roman" w:cs="Times New Roman"/>
                <w:sz w:val="24"/>
                <w:szCs w:val="24"/>
              </w:rPr>
              <w:t>13.33</w:t>
            </w:r>
          </w:p>
        </w:tc>
        <w:tc>
          <w:tcPr>
            <w:tcW w:w="2254" w:type="dxa"/>
          </w:tcPr>
          <w:p w14:paraId="3E553D29" w14:textId="77777777" w:rsidR="00F631E2" w:rsidRPr="00A11720" w:rsidRDefault="00F631E2" w:rsidP="0018182C">
            <w:pPr>
              <w:jc w:val="center"/>
              <w:rPr>
                <w:rFonts w:ascii="Times New Roman" w:hAnsi="Times New Roman" w:cs="Times New Roman"/>
                <w:b/>
                <w:bCs/>
                <w:sz w:val="24"/>
                <w:szCs w:val="24"/>
              </w:rPr>
            </w:pPr>
          </w:p>
        </w:tc>
      </w:tr>
    </w:tbl>
    <w:p w14:paraId="614642C1" w14:textId="77777777" w:rsidR="00F631E2" w:rsidRDefault="00F631E2" w:rsidP="00661ECB">
      <w:pPr>
        <w:spacing w:line="240" w:lineRule="auto"/>
        <w:ind w:firstLine="720"/>
        <w:jc w:val="both"/>
        <w:rPr>
          <w:rFonts w:ascii="Times New Roman" w:hAnsi="Times New Roman" w:cs="Times New Roman"/>
          <w:sz w:val="24"/>
          <w:szCs w:val="24"/>
        </w:rPr>
      </w:pPr>
    </w:p>
    <w:p w14:paraId="5B24B113" w14:textId="77777777" w:rsidR="00C57FEA" w:rsidRDefault="00C57FEA" w:rsidP="00C57FEA">
      <w:pPr>
        <w:spacing w:line="240" w:lineRule="auto"/>
        <w:ind w:firstLine="720"/>
        <w:jc w:val="both"/>
        <w:rPr>
          <w:rFonts w:ascii="Times New Roman" w:hAnsi="Times New Roman" w:cs="Times New Roman"/>
          <w:sz w:val="24"/>
          <w:szCs w:val="24"/>
        </w:rPr>
      </w:pPr>
      <w:r w:rsidRPr="00661ECB">
        <w:rPr>
          <w:rFonts w:ascii="Times New Roman" w:hAnsi="Times New Roman" w:cs="Times New Roman"/>
          <w:sz w:val="24"/>
          <w:szCs w:val="24"/>
        </w:rPr>
        <w:t>Findings show that the</w:t>
      </w:r>
      <w:r>
        <w:rPr>
          <w:rFonts w:ascii="Times New Roman" w:hAnsi="Times New Roman" w:cs="Times New Roman"/>
          <w:sz w:val="24"/>
          <w:szCs w:val="24"/>
        </w:rPr>
        <w:t xml:space="preserve"> maximum</w:t>
      </w:r>
      <w:r w:rsidRPr="00661ECB">
        <w:rPr>
          <w:rFonts w:ascii="Times New Roman" w:hAnsi="Times New Roman" w:cs="Times New Roman"/>
          <w:sz w:val="24"/>
          <w:szCs w:val="24"/>
        </w:rPr>
        <w:t xml:space="preserve"> respondents </w:t>
      </w:r>
      <w:r>
        <w:rPr>
          <w:rFonts w:ascii="Times New Roman" w:hAnsi="Times New Roman" w:cs="Times New Roman"/>
          <w:sz w:val="24"/>
          <w:szCs w:val="24"/>
        </w:rPr>
        <w:t>are</w:t>
      </w:r>
      <w:r w:rsidRPr="00661ECB">
        <w:rPr>
          <w:rFonts w:ascii="Times New Roman" w:hAnsi="Times New Roman" w:cs="Times New Roman"/>
          <w:sz w:val="24"/>
          <w:szCs w:val="24"/>
        </w:rPr>
        <w:t xml:space="preserve"> </w:t>
      </w:r>
      <w:r>
        <w:rPr>
          <w:rFonts w:ascii="Times New Roman" w:hAnsi="Times New Roman" w:cs="Times New Roman"/>
          <w:sz w:val="24"/>
          <w:szCs w:val="24"/>
        </w:rPr>
        <w:t>illiterate</w:t>
      </w:r>
      <w:r w:rsidRPr="00661ECB">
        <w:rPr>
          <w:rFonts w:ascii="Times New Roman" w:hAnsi="Times New Roman" w:cs="Times New Roman"/>
          <w:sz w:val="24"/>
          <w:szCs w:val="24"/>
        </w:rPr>
        <w:t xml:space="preserve">. Moreover, the distribution of average annual income among the respondents indicated that approximately 50% of them fall into the medium income category, with earnings ranging between Rs. </w:t>
      </w:r>
      <w:r>
        <w:rPr>
          <w:rFonts w:ascii="Times New Roman" w:hAnsi="Times New Roman" w:cs="Times New Roman"/>
          <w:sz w:val="24"/>
          <w:szCs w:val="24"/>
        </w:rPr>
        <w:t>50,001</w:t>
      </w:r>
      <w:r w:rsidRPr="00661ECB">
        <w:rPr>
          <w:rFonts w:ascii="Times New Roman" w:hAnsi="Times New Roman" w:cs="Times New Roman"/>
          <w:sz w:val="24"/>
          <w:szCs w:val="24"/>
        </w:rPr>
        <w:t xml:space="preserve"> and Rs. </w:t>
      </w:r>
      <w:r>
        <w:rPr>
          <w:rFonts w:ascii="Times New Roman" w:hAnsi="Times New Roman" w:cs="Times New Roman"/>
          <w:sz w:val="24"/>
          <w:szCs w:val="24"/>
        </w:rPr>
        <w:t>75,000.</w:t>
      </w:r>
    </w:p>
    <w:p w14:paraId="44F1B638" w14:textId="184832A5" w:rsidR="00F631E2" w:rsidRDefault="00F631E2" w:rsidP="00F631E2">
      <w:pPr>
        <w:spacing w:line="360" w:lineRule="auto"/>
        <w:ind w:firstLine="720"/>
        <w:jc w:val="center"/>
        <w:rPr>
          <w:rFonts w:ascii="Times New Roman" w:hAnsi="Times New Roman" w:cs="Times New Roman"/>
          <w:sz w:val="24"/>
          <w:szCs w:val="24"/>
        </w:rPr>
      </w:pPr>
      <w:r>
        <w:rPr>
          <w:rFonts w:ascii="Times New Roman" w:hAnsi="Times New Roman" w:cs="Times New Roman"/>
          <w:b/>
          <w:bCs/>
          <w:sz w:val="24"/>
          <w:szCs w:val="24"/>
        </w:rPr>
        <w:t xml:space="preserve">Table </w:t>
      </w:r>
      <w:r w:rsidR="00B6106D">
        <w:rPr>
          <w:rFonts w:ascii="Times New Roman" w:hAnsi="Times New Roman" w:cs="Times New Roman"/>
          <w:b/>
          <w:bCs/>
          <w:sz w:val="24"/>
          <w:szCs w:val="24"/>
        </w:rPr>
        <w:t>2</w:t>
      </w:r>
      <w:r>
        <w:rPr>
          <w:rFonts w:ascii="Times New Roman" w:hAnsi="Times New Roman" w:cs="Times New Roman"/>
          <w:b/>
          <w:bCs/>
          <w:sz w:val="24"/>
          <w:szCs w:val="24"/>
        </w:rPr>
        <w:t xml:space="preserve">: </w:t>
      </w:r>
      <w:r w:rsidRPr="00A4565B">
        <w:rPr>
          <w:rFonts w:ascii="Times New Roman" w:hAnsi="Times New Roman" w:cs="Times New Roman"/>
          <w:b/>
          <w:bCs/>
          <w:sz w:val="24"/>
          <w:szCs w:val="24"/>
        </w:rPr>
        <w:t xml:space="preserve">Age-wise education status of </w:t>
      </w:r>
      <w:r>
        <w:rPr>
          <w:rFonts w:ascii="Times New Roman" w:hAnsi="Times New Roman" w:cs="Times New Roman"/>
          <w:b/>
          <w:bCs/>
          <w:sz w:val="24"/>
          <w:szCs w:val="24"/>
        </w:rPr>
        <w:t>respondents</w:t>
      </w:r>
      <w:r w:rsidR="000759CF">
        <w:rPr>
          <w:rFonts w:ascii="Times New Roman" w:hAnsi="Times New Roman" w:cs="Times New Roman"/>
          <w:b/>
          <w:bCs/>
          <w:sz w:val="24"/>
          <w:szCs w:val="24"/>
        </w:rPr>
        <w:t xml:space="preserve"> in the study area</w:t>
      </w:r>
    </w:p>
    <w:tbl>
      <w:tblPr>
        <w:tblStyle w:val="TableGrid"/>
        <w:tblW w:w="5000" w:type="pct"/>
        <w:tblLook w:val="04A0" w:firstRow="1" w:lastRow="0" w:firstColumn="1" w:lastColumn="0" w:noHBand="0" w:noVBand="1"/>
      </w:tblPr>
      <w:tblGrid>
        <w:gridCol w:w="1513"/>
        <w:gridCol w:w="1150"/>
        <w:gridCol w:w="1126"/>
        <w:gridCol w:w="1394"/>
        <w:gridCol w:w="1473"/>
        <w:gridCol w:w="1179"/>
        <w:gridCol w:w="1407"/>
      </w:tblGrid>
      <w:tr w:rsidR="00D76C70" w:rsidRPr="00A4565B" w14:paraId="09C3E6B3" w14:textId="77777777" w:rsidTr="0018182C">
        <w:trPr>
          <w:trHeight w:val="288"/>
        </w:trPr>
        <w:tc>
          <w:tcPr>
            <w:tcW w:w="819" w:type="pct"/>
            <w:vMerge w:val="restart"/>
            <w:noWrap/>
            <w:vAlign w:val="center"/>
            <w:hideMark/>
          </w:tcPr>
          <w:p w14:paraId="07E84CAD" w14:textId="77777777" w:rsidR="00D76C70" w:rsidRPr="008E13F2" w:rsidRDefault="00D76C70" w:rsidP="0018182C">
            <w:pPr>
              <w:spacing w:line="360" w:lineRule="auto"/>
              <w:jc w:val="center"/>
              <w:rPr>
                <w:rFonts w:ascii="Times New Roman" w:hAnsi="Times New Roman" w:cs="Times New Roman"/>
                <w:b/>
                <w:bCs/>
              </w:rPr>
            </w:pPr>
            <w:r w:rsidRPr="008E13F2">
              <w:rPr>
                <w:rFonts w:ascii="Times New Roman" w:hAnsi="Times New Roman" w:cs="Times New Roman"/>
                <w:b/>
                <w:bCs/>
              </w:rPr>
              <w:t>Age group</w:t>
            </w:r>
          </w:p>
        </w:tc>
        <w:tc>
          <w:tcPr>
            <w:tcW w:w="3420" w:type="pct"/>
            <w:gridSpan w:val="5"/>
            <w:noWrap/>
            <w:vAlign w:val="center"/>
            <w:hideMark/>
          </w:tcPr>
          <w:p w14:paraId="75D24383" w14:textId="77777777" w:rsidR="00D76C70" w:rsidRPr="008E13F2" w:rsidRDefault="00D76C70" w:rsidP="0018182C">
            <w:pPr>
              <w:spacing w:line="360" w:lineRule="auto"/>
              <w:jc w:val="center"/>
              <w:rPr>
                <w:rFonts w:ascii="Times New Roman" w:hAnsi="Times New Roman" w:cs="Times New Roman"/>
                <w:b/>
                <w:bCs/>
              </w:rPr>
            </w:pPr>
            <w:r w:rsidRPr="008E13F2">
              <w:rPr>
                <w:rFonts w:ascii="Times New Roman" w:hAnsi="Times New Roman" w:cs="Times New Roman"/>
                <w:b/>
                <w:bCs/>
              </w:rPr>
              <w:t>Level of education</w:t>
            </w:r>
          </w:p>
        </w:tc>
        <w:tc>
          <w:tcPr>
            <w:tcW w:w="761" w:type="pct"/>
            <w:vMerge w:val="restart"/>
            <w:noWrap/>
            <w:vAlign w:val="center"/>
            <w:hideMark/>
          </w:tcPr>
          <w:p w14:paraId="1E750169" w14:textId="1AD8FB70" w:rsidR="00D76C70" w:rsidRPr="008E13F2" w:rsidRDefault="00D76C70" w:rsidP="0018182C">
            <w:pPr>
              <w:spacing w:line="360" w:lineRule="auto"/>
              <w:jc w:val="center"/>
              <w:rPr>
                <w:rFonts w:ascii="Times New Roman" w:hAnsi="Times New Roman" w:cs="Times New Roman"/>
                <w:b/>
                <w:bCs/>
              </w:rPr>
            </w:pPr>
            <w:r w:rsidRPr="008E13F2">
              <w:rPr>
                <w:rFonts w:ascii="Times New Roman" w:hAnsi="Times New Roman" w:cs="Times New Roman"/>
                <w:b/>
                <w:bCs/>
              </w:rPr>
              <w:t>Grand Total</w:t>
            </w:r>
          </w:p>
        </w:tc>
      </w:tr>
      <w:tr w:rsidR="00D76C70" w:rsidRPr="00A4565B" w14:paraId="4963FE11" w14:textId="77777777" w:rsidTr="00C57FEA">
        <w:trPr>
          <w:trHeight w:val="288"/>
        </w:trPr>
        <w:tc>
          <w:tcPr>
            <w:tcW w:w="819" w:type="pct"/>
            <w:vMerge/>
            <w:vAlign w:val="center"/>
            <w:hideMark/>
          </w:tcPr>
          <w:p w14:paraId="3B76146E" w14:textId="77777777" w:rsidR="00D76C70" w:rsidRPr="008E13F2" w:rsidRDefault="00D76C70" w:rsidP="0018182C">
            <w:pPr>
              <w:spacing w:line="360" w:lineRule="auto"/>
              <w:ind w:firstLine="720"/>
              <w:jc w:val="center"/>
              <w:rPr>
                <w:rFonts w:ascii="Times New Roman" w:hAnsi="Times New Roman" w:cs="Times New Roman"/>
                <w:b/>
                <w:bCs/>
              </w:rPr>
            </w:pPr>
          </w:p>
        </w:tc>
        <w:tc>
          <w:tcPr>
            <w:tcW w:w="622" w:type="pct"/>
            <w:noWrap/>
            <w:vAlign w:val="center"/>
            <w:hideMark/>
          </w:tcPr>
          <w:p w14:paraId="3BFA8AAA" w14:textId="77777777" w:rsidR="00D76C70" w:rsidRPr="008E13F2" w:rsidRDefault="00D76C70" w:rsidP="0018182C">
            <w:pPr>
              <w:spacing w:line="360" w:lineRule="auto"/>
              <w:jc w:val="center"/>
              <w:rPr>
                <w:rFonts w:ascii="Times New Roman" w:hAnsi="Times New Roman" w:cs="Times New Roman"/>
                <w:b/>
                <w:bCs/>
              </w:rPr>
            </w:pPr>
            <w:r w:rsidRPr="008E13F2">
              <w:rPr>
                <w:rFonts w:ascii="Times New Roman" w:hAnsi="Times New Roman" w:cs="Times New Roman"/>
                <w:b/>
                <w:bCs/>
              </w:rPr>
              <w:t>Illiterate</w:t>
            </w:r>
          </w:p>
        </w:tc>
        <w:tc>
          <w:tcPr>
            <w:tcW w:w="609" w:type="pct"/>
            <w:noWrap/>
            <w:vAlign w:val="center"/>
            <w:hideMark/>
          </w:tcPr>
          <w:p w14:paraId="15A67945" w14:textId="77777777" w:rsidR="00D76C70" w:rsidRPr="008E13F2" w:rsidRDefault="00D76C70" w:rsidP="0018182C">
            <w:pPr>
              <w:spacing w:line="360" w:lineRule="auto"/>
              <w:jc w:val="center"/>
              <w:rPr>
                <w:rFonts w:ascii="Times New Roman" w:hAnsi="Times New Roman" w:cs="Times New Roman"/>
                <w:b/>
                <w:bCs/>
              </w:rPr>
            </w:pPr>
            <w:r w:rsidRPr="008E13F2">
              <w:rPr>
                <w:rFonts w:ascii="Times New Roman" w:hAnsi="Times New Roman" w:cs="Times New Roman"/>
                <w:b/>
                <w:bCs/>
              </w:rPr>
              <w:t>Primary</w:t>
            </w:r>
          </w:p>
        </w:tc>
        <w:tc>
          <w:tcPr>
            <w:tcW w:w="754" w:type="pct"/>
            <w:noWrap/>
            <w:vAlign w:val="center"/>
            <w:hideMark/>
          </w:tcPr>
          <w:p w14:paraId="2E8719EB" w14:textId="77777777" w:rsidR="00D76C70" w:rsidRPr="008E13F2" w:rsidRDefault="00D76C70" w:rsidP="0018182C">
            <w:pPr>
              <w:spacing w:line="360" w:lineRule="auto"/>
              <w:jc w:val="center"/>
              <w:rPr>
                <w:rFonts w:ascii="Times New Roman" w:hAnsi="Times New Roman" w:cs="Times New Roman"/>
                <w:b/>
                <w:bCs/>
              </w:rPr>
            </w:pPr>
            <w:r w:rsidRPr="008E13F2">
              <w:rPr>
                <w:rFonts w:ascii="Times New Roman" w:hAnsi="Times New Roman" w:cs="Times New Roman"/>
                <w:b/>
                <w:bCs/>
              </w:rPr>
              <w:t>High School</w:t>
            </w:r>
          </w:p>
        </w:tc>
        <w:tc>
          <w:tcPr>
            <w:tcW w:w="797" w:type="pct"/>
            <w:noWrap/>
            <w:vAlign w:val="center"/>
            <w:hideMark/>
          </w:tcPr>
          <w:p w14:paraId="0FFA1BA6" w14:textId="77777777" w:rsidR="00D76C70" w:rsidRPr="008E13F2" w:rsidRDefault="00D76C70" w:rsidP="0018182C">
            <w:pPr>
              <w:spacing w:line="360" w:lineRule="auto"/>
              <w:jc w:val="center"/>
              <w:rPr>
                <w:rFonts w:ascii="Times New Roman" w:hAnsi="Times New Roman" w:cs="Times New Roman"/>
                <w:b/>
                <w:bCs/>
              </w:rPr>
            </w:pPr>
            <w:r w:rsidRPr="008E13F2">
              <w:rPr>
                <w:rFonts w:ascii="Times New Roman" w:hAnsi="Times New Roman" w:cs="Times New Roman"/>
                <w:b/>
                <w:bCs/>
              </w:rPr>
              <w:t>Intermediate</w:t>
            </w:r>
          </w:p>
        </w:tc>
        <w:tc>
          <w:tcPr>
            <w:tcW w:w="637" w:type="pct"/>
            <w:noWrap/>
            <w:vAlign w:val="center"/>
            <w:hideMark/>
          </w:tcPr>
          <w:p w14:paraId="09036987" w14:textId="77777777" w:rsidR="00D76C70" w:rsidRPr="008E13F2" w:rsidRDefault="00D76C70" w:rsidP="0018182C">
            <w:pPr>
              <w:spacing w:line="360" w:lineRule="auto"/>
              <w:jc w:val="center"/>
              <w:rPr>
                <w:rFonts w:ascii="Times New Roman" w:hAnsi="Times New Roman" w:cs="Times New Roman"/>
                <w:b/>
                <w:bCs/>
              </w:rPr>
            </w:pPr>
            <w:r w:rsidRPr="008E13F2">
              <w:rPr>
                <w:rFonts w:ascii="Times New Roman" w:hAnsi="Times New Roman" w:cs="Times New Roman"/>
                <w:b/>
                <w:bCs/>
              </w:rPr>
              <w:t>Graduate</w:t>
            </w:r>
          </w:p>
        </w:tc>
        <w:tc>
          <w:tcPr>
            <w:tcW w:w="761" w:type="pct"/>
            <w:vMerge/>
            <w:noWrap/>
            <w:vAlign w:val="center"/>
            <w:hideMark/>
          </w:tcPr>
          <w:p w14:paraId="62F418B0" w14:textId="267DBA3B" w:rsidR="00D76C70" w:rsidRPr="008E13F2" w:rsidRDefault="00D76C70" w:rsidP="0018182C">
            <w:pPr>
              <w:spacing w:line="360" w:lineRule="auto"/>
              <w:jc w:val="center"/>
              <w:rPr>
                <w:rFonts w:ascii="Times New Roman" w:hAnsi="Times New Roman" w:cs="Times New Roman"/>
                <w:b/>
                <w:bCs/>
              </w:rPr>
            </w:pPr>
          </w:p>
        </w:tc>
      </w:tr>
      <w:tr w:rsidR="00F631E2" w:rsidRPr="00A4565B" w14:paraId="2C9AD14B" w14:textId="77777777" w:rsidTr="00C57FEA">
        <w:trPr>
          <w:trHeight w:val="288"/>
        </w:trPr>
        <w:tc>
          <w:tcPr>
            <w:tcW w:w="819" w:type="pct"/>
            <w:vMerge w:val="restart"/>
            <w:noWrap/>
            <w:vAlign w:val="center"/>
            <w:hideMark/>
          </w:tcPr>
          <w:p w14:paraId="1C169BC2" w14:textId="77777777" w:rsidR="00F631E2" w:rsidRPr="008E13F2" w:rsidRDefault="00F631E2" w:rsidP="0018182C">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18-25</w:t>
            </w:r>
          </w:p>
        </w:tc>
        <w:tc>
          <w:tcPr>
            <w:tcW w:w="622" w:type="pct"/>
            <w:noWrap/>
            <w:vAlign w:val="center"/>
            <w:hideMark/>
          </w:tcPr>
          <w:p w14:paraId="2A622331"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609" w:type="pct"/>
            <w:noWrap/>
            <w:vAlign w:val="center"/>
            <w:hideMark/>
          </w:tcPr>
          <w:p w14:paraId="11ECCDBE"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54" w:type="pct"/>
            <w:noWrap/>
            <w:vAlign w:val="center"/>
            <w:hideMark/>
          </w:tcPr>
          <w:p w14:paraId="449DBBAE"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97" w:type="pct"/>
            <w:noWrap/>
            <w:vAlign w:val="center"/>
            <w:hideMark/>
          </w:tcPr>
          <w:p w14:paraId="7235CAE3"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637" w:type="pct"/>
            <w:noWrap/>
            <w:vAlign w:val="center"/>
            <w:hideMark/>
          </w:tcPr>
          <w:p w14:paraId="14B56E03"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w:t>
            </w:r>
          </w:p>
        </w:tc>
        <w:tc>
          <w:tcPr>
            <w:tcW w:w="761" w:type="pct"/>
            <w:noWrap/>
            <w:vAlign w:val="center"/>
            <w:hideMark/>
          </w:tcPr>
          <w:p w14:paraId="0F4A3332"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w:t>
            </w:r>
          </w:p>
        </w:tc>
      </w:tr>
      <w:tr w:rsidR="00F631E2" w:rsidRPr="00A4565B" w14:paraId="639056CA" w14:textId="77777777" w:rsidTr="00C57FEA">
        <w:trPr>
          <w:trHeight w:val="288"/>
        </w:trPr>
        <w:tc>
          <w:tcPr>
            <w:tcW w:w="819" w:type="pct"/>
            <w:vMerge/>
            <w:vAlign w:val="center"/>
            <w:hideMark/>
          </w:tcPr>
          <w:p w14:paraId="4A5BF2B4" w14:textId="77777777" w:rsidR="00F631E2" w:rsidRPr="008E13F2" w:rsidRDefault="00F631E2" w:rsidP="0018182C">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447AAFAB"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609" w:type="pct"/>
            <w:noWrap/>
            <w:vAlign w:val="center"/>
            <w:hideMark/>
          </w:tcPr>
          <w:p w14:paraId="31B20984"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54" w:type="pct"/>
            <w:noWrap/>
            <w:vAlign w:val="center"/>
            <w:hideMark/>
          </w:tcPr>
          <w:p w14:paraId="1623D0FE"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97" w:type="pct"/>
            <w:noWrap/>
            <w:vAlign w:val="center"/>
            <w:hideMark/>
          </w:tcPr>
          <w:p w14:paraId="7715510C"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637" w:type="pct"/>
            <w:noWrap/>
            <w:vAlign w:val="center"/>
            <w:hideMark/>
          </w:tcPr>
          <w:p w14:paraId="07D34315"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1.67%</w:t>
            </w:r>
          </w:p>
        </w:tc>
        <w:tc>
          <w:tcPr>
            <w:tcW w:w="761" w:type="pct"/>
            <w:noWrap/>
            <w:vAlign w:val="center"/>
            <w:hideMark/>
          </w:tcPr>
          <w:p w14:paraId="4EC12AB6"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1.67%</w:t>
            </w:r>
          </w:p>
        </w:tc>
      </w:tr>
      <w:tr w:rsidR="00F631E2" w:rsidRPr="00A4565B" w14:paraId="699A57A1" w14:textId="77777777" w:rsidTr="00C57FEA">
        <w:trPr>
          <w:trHeight w:val="288"/>
        </w:trPr>
        <w:tc>
          <w:tcPr>
            <w:tcW w:w="819" w:type="pct"/>
            <w:vMerge w:val="restart"/>
            <w:noWrap/>
            <w:vAlign w:val="center"/>
            <w:hideMark/>
          </w:tcPr>
          <w:p w14:paraId="335E78F2" w14:textId="77777777" w:rsidR="00F631E2" w:rsidRPr="008E13F2" w:rsidRDefault="00F631E2" w:rsidP="0018182C">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26-35</w:t>
            </w:r>
          </w:p>
        </w:tc>
        <w:tc>
          <w:tcPr>
            <w:tcW w:w="622" w:type="pct"/>
            <w:noWrap/>
            <w:vAlign w:val="center"/>
            <w:hideMark/>
          </w:tcPr>
          <w:p w14:paraId="4A52B587"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609" w:type="pct"/>
            <w:noWrap/>
            <w:vAlign w:val="center"/>
            <w:hideMark/>
          </w:tcPr>
          <w:p w14:paraId="620ADF2C"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54" w:type="pct"/>
            <w:noWrap/>
            <w:vAlign w:val="center"/>
            <w:hideMark/>
          </w:tcPr>
          <w:p w14:paraId="562080BC"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97" w:type="pct"/>
            <w:noWrap/>
            <w:vAlign w:val="center"/>
            <w:hideMark/>
          </w:tcPr>
          <w:p w14:paraId="37F79FC3"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637" w:type="pct"/>
            <w:noWrap/>
            <w:vAlign w:val="center"/>
            <w:hideMark/>
          </w:tcPr>
          <w:p w14:paraId="31B8D229"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7</w:t>
            </w:r>
          </w:p>
        </w:tc>
        <w:tc>
          <w:tcPr>
            <w:tcW w:w="761" w:type="pct"/>
            <w:noWrap/>
            <w:vAlign w:val="center"/>
            <w:hideMark/>
          </w:tcPr>
          <w:p w14:paraId="1A632BF7"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9</w:t>
            </w:r>
          </w:p>
        </w:tc>
      </w:tr>
      <w:tr w:rsidR="00F631E2" w:rsidRPr="00A4565B" w14:paraId="4329C1EA" w14:textId="77777777" w:rsidTr="00C57FEA">
        <w:trPr>
          <w:trHeight w:val="288"/>
        </w:trPr>
        <w:tc>
          <w:tcPr>
            <w:tcW w:w="819" w:type="pct"/>
            <w:vMerge/>
            <w:vAlign w:val="center"/>
            <w:hideMark/>
          </w:tcPr>
          <w:p w14:paraId="61209E78" w14:textId="77777777" w:rsidR="00F631E2" w:rsidRPr="008E13F2" w:rsidRDefault="00F631E2" w:rsidP="0018182C">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3B6C3969"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609" w:type="pct"/>
            <w:noWrap/>
            <w:vAlign w:val="center"/>
            <w:hideMark/>
          </w:tcPr>
          <w:p w14:paraId="41E3467D"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54" w:type="pct"/>
            <w:noWrap/>
            <w:vAlign w:val="center"/>
            <w:hideMark/>
          </w:tcPr>
          <w:p w14:paraId="4713FEFA"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97" w:type="pct"/>
            <w:noWrap/>
            <w:vAlign w:val="center"/>
            <w:hideMark/>
          </w:tcPr>
          <w:p w14:paraId="6529A74B"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637" w:type="pct"/>
            <w:noWrap/>
            <w:vAlign w:val="center"/>
            <w:hideMark/>
          </w:tcPr>
          <w:p w14:paraId="0A03C65C"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5.83%</w:t>
            </w:r>
          </w:p>
        </w:tc>
        <w:tc>
          <w:tcPr>
            <w:tcW w:w="761" w:type="pct"/>
            <w:noWrap/>
            <w:vAlign w:val="center"/>
            <w:hideMark/>
          </w:tcPr>
          <w:p w14:paraId="4DDD704B"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7.50%</w:t>
            </w:r>
          </w:p>
        </w:tc>
      </w:tr>
      <w:tr w:rsidR="00F631E2" w:rsidRPr="00A4565B" w14:paraId="292E031A" w14:textId="77777777" w:rsidTr="00C57FEA">
        <w:trPr>
          <w:trHeight w:val="288"/>
        </w:trPr>
        <w:tc>
          <w:tcPr>
            <w:tcW w:w="819" w:type="pct"/>
            <w:vMerge w:val="restart"/>
            <w:noWrap/>
            <w:vAlign w:val="center"/>
            <w:hideMark/>
          </w:tcPr>
          <w:p w14:paraId="34011197" w14:textId="77777777" w:rsidR="00F631E2" w:rsidRPr="008E13F2" w:rsidRDefault="00F631E2" w:rsidP="0018182C">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36-45</w:t>
            </w:r>
          </w:p>
        </w:tc>
        <w:tc>
          <w:tcPr>
            <w:tcW w:w="622" w:type="pct"/>
            <w:noWrap/>
            <w:vAlign w:val="center"/>
            <w:hideMark/>
          </w:tcPr>
          <w:p w14:paraId="280C90B1"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609" w:type="pct"/>
            <w:noWrap/>
            <w:vAlign w:val="center"/>
            <w:hideMark/>
          </w:tcPr>
          <w:p w14:paraId="0517B10B"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8</w:t>
            </w:r>
          </w:p>
        </w:tc>
        <w:tc>
          <w:tcPr>
            <w:tcW w:w="754" w:type="pct"/>
            <w:noWrap/>
            <w:vAlign w:val="center"/>
            <w:hideMark/>
          </w:tcPr>
          <w:p w14:paraId="78EFA532"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797" w:type="pct"/>
            <w:noWrap/>
            <w:vAlign w:val="center"/>
            <w:hideMark/>
          </w:tcPr>
          <w:p w14:paraId="1CA163D4"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637" w:type="pct"/>
            <w:noWrap/>
            <w:vAlign w:val="center"/>
            <w:hideMark/>
          </w:tcPr>
          <w:p w14:paraId="767F8ECF"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12</w:t>
            </w:r>
          </w:p>
        </w:tc>
        <w:tc>
          <w:tcPr>
            <w:tcW w:w="761" w:type="pct"/>
            <w:noWrap/>
            <w:vAlign w:val="center"/>
            <w:hideMark/>
          </w:tcPr>
          <w:p w14:paraId="16969064"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32</w:t>
            </w:r>
          </w:p>
        </w:tc>
      </w:tr>
      <w:tr w:rsidR="00F631E2" w:rsidRPr="00A4565B" w14:paraId="3463F416" w14:textId="77777777" w:rsidTr="00C57FEA">
        <w:trPr>
          <w:trHeight w:val="288"/>
        </w:trPr>
        <w:tc>
          <w:tcPr>
            <w:tcW w:w="819" w:type="pct"/>
            <w:vMerge/>
            <w:vAlign w:val="center"/>
            <w:hideMark/>
          </w:tcPr>
          <w:p w14:paraId="6539CDD1" w14:textId="77777777" w:rsidR="00F631E2" w:rsidRPr="008E13F2" w:rsidRDefault="00F631E2" w:rsidP="0018182C">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7599AECD"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609" w:type="pct"/>
            <w:noWrap/>
            <w:vAlign w:val="center"/>
            <w:hideMark/>
          </w:tcPr>
          <w:p w14:paraId="23D3F38C"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6.67%</w:t>
            </w:r>
          </w:p>
        </w:tc>
        <w:tc>
          <w:tcPr>
            <w:tcW w:w="754" w:type="pct"/>
            <w:noWrap/>
            <w:vAlign w:val="center"/>
            <w:hideMark/>
          </w:tcPr>
          <w:p w14:paraId="15330C1E"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797" w:type="pct"/>
            <w:noWrap/>
            <w:vAlign w:val="center"/>
            <w:hideMark/>
          </w:tcPr>
          <w:p w14:paraId="62648E99"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8.33%</w:t>
            </w:r>
          </w:p>
        </w:tc>
        <w:tc>
          <w:tcPr>
            <w:tcW w:w="637" w:type="pct"/>
            <w:noWrap/>
            <w:vAlign w:val="center"/>
            <w:hideMark/>
          </w:tcPr>
          <w:p w14:paraId="46BF6A29"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761" w:type="pct"/>
            <w:noWrap/>
            <w:vAlign w:val="center"/>
            <w:hideMark/>
          </w:tcPr>
          <w:p w14:paraId="385873EC"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26.67%</w:t>
            </w:r>
          </w:p>
        </w:tc>
      </w:tr>
      <w:tr w:rsidR="00F631E2" w:rsidRPr="00A4565B" w14:paraId="03733DD4" w14:textId="77777777" w:rsidTr="00C57FEA">
        <w:trPr>
          <w:trHeight w:val="288"/>
        </w:trPr>
        <w:tc>
          <w:tcPr>
            <w:tcW w:w="819" w:type="pct"/>
            <w:vMerge w:val="restart"/>
            <w:noWrap/>
            <w:vAlign w:val="center"/>
            <w:hideMark/>
          </w:tcPr>
          <w:p w14:paraId="7997B12D" w14:textId="77777777" w:rsidR="00F631E2" w:rsidRPr="008E13F2" w:rsidRDefault="00F631E2" w:rsidP="0018182C">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46-55</w:t>
            </w:r>
          </w:p>
        </w:tc>
        <w:tc>
          <w:tcPr>
            <w:tcW w:w="622" w:type="pct"/>
            <w:noWrap/>
            <w:vAlign w:val="center"/>
            <w:hideMark/>
          </w:tcPr>
          <w:p w14:paraId="4B750C99"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13</w:t>
            </w:r>
          </w:p>
        </w:tc>
        <w:tc>
          <w:tcPr>
            <w:tcW w:w="609" w:type="pct"/>
            <w:noWrap/>
            <w:vAlign w:val="center"/>
            <w:hideMark/>
          </w:tcPr>
          <w:p w14:paraId="64713028"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754" w:type="pct"/>
            <w:noWrap/>
            <w:vAlign w:val="center"/>
            <w:hideMark/>
          </w:tcPr>
          <w:p w14:paraId="655161EB"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3</w:t>
            </w:r>
          </w:p>
        </w:tc>
        <w:tc>
          <w:tcPr>
            <w:tcW w:w="797" w:type="pct"/>
            <w:noWrap/>
            <w:vAlign w:val="center"/>
            <w:hideMark/>
          </w:tcPr>
          <w:p w14:paraId="7E266A14"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637" w:type="pct"/>
            <w:noWrap/>
            <w:vAlign w:val="center"/>
            <w:hideMark/>
          </w:tcPr>
          <w:p w14:paraId="22C08F2F"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12</w:t>
            </w:r>
          </w:p>
        </w:tc>
        <w:tc>
          <w:tcPr>
            <w:tcW w:w="761" w:type="pct"/>
            <w:noWrap/>
            <w:vAlign w:val="center"/>
            <w:hideMark/>
          </w:tcPr>
          <w:p w14:paraId="5041B2C0"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48</w:t>
            </w:r>
          </w:p>
        </w:tc>
      </w:tr>
      <w:tr w:rsidR="00F631E2" w:rsidRPr="00A4565B" w14:paraId="4D298621" w14:textId="77777777" w:rsidTr="00C57FEA">
        <w:trPr>
          <w:trHeight w:val="288"/>
        </w:trPr>
        <w:tc>
          <w:tcPr>
            <w:tcW w:w="819" w:type="pct"/>
            <w:vMerge/>
            <w:vAlign w:val="center"/>
            <w:hideMark/>
          </w:tcPr>
          <w:p w14:paraId="7717ABD4" w14:textId="77777777" w:rsidR="00F631E2" w:rsidRPr="008E13F2" w:rsidRDefault="00F631E2" w:rsidP="0018182C">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6227DE99"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10.83%</w:t>
            </w:r>
          </w:p>
        </w:tc>
        <w:tc>
          <w:tcPr>
            <w:tcW w:w="609" w:type="pct"/>
            <w:noWrap/>
            <w:vAlign w:val="center"/>
            <w:hideMark/>
          </w:tcPr>
          <w:p w14:paraId="2E9373B7"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8.33%</w:t>
            </w:r>
          </w:p>
        </w:tc>
        <w:tc>
          <w:tcPr>
            <w:tcW w:w="754" w:type="pct"/>
            <w:noWrap/>
            <w:vAlign w:val="center"/>
            <w:hideMark/>
          </w:tcPr>
          <w:p w14:paraId="69CB0F0A"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2.50%</w:t>
            </w:r>
          </w:p>
        </w:tc>
        <w:tc>
          <w:tcPr>
            <w:tcW w:w="797" w:type="pct"/>
            <w:noWrap/>
            <w:vAlign w:val="center"/>
            <w:hideMark/>
          </w:tcPr>
          <w:p w14:paraId="2E0CF17D"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8.33%</w:t>
            </w:r>
          </w:p>
        </w:tc>
        <w:tc>
          <w:tcPr>
            <w:tcW w:w="637" w:type="pct"/>
            <w:noWrap/>
            <w:vAlign w:val="center"/>
            <w:hideMark/>
          </w:tcPr>
          <w:p w14:paraId="41990FBE"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761" w:type="pct"/>
            <w:noWrap/>
            <w:vAlign w:val="center"/>
            <w:hideMark/>
          </w:tcPr>
          <w:p w14:paraId="27FDC2DE"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40%</w:t>
            </w:r>
          </w:p>
        </w:tc>
      </w:tr>
      <w:tr w:rsidR="00F631E2" w:rsidRPr="00A4565B" w14:paraId="636A3691" w14:textId="77777777" w:rsidTr="00C57FEA">
        <w:trPr>
          <w:trHeight w:val="288"/>
        </w:trPr>
        <w:tc>
          <w:tcPr>
            <w:tcW w:w="819" w:type="pct"/>
            <w:vMerge w:val="restart"/>
            <w:noWrap/>
            <w:vAlign w:val="center"/>
            <w:hideMark/>
          </w:tcPr>
          <w:p w14:paraId="4D0B84C4" w14:textId="77777777" w:rsidR="00F631E2" w:rsidRPr="008E13F2" w:rsidRDefault="00F631E2" w:rsidP="0018182C">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&gt;56</w:t>
            </w:r>
          </w:p>
        </w:tc>
        <w:tc>
          <w:tcPr>
            <w:tcW w:w="622" w:type="pct"/>
            <w:noWrap/>
            <w:vAlign w:val="center"/>
            <w:hideMark/>
          </w:tcPr>
          <w:p w14:paraId="4DF138CE"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21</w:t>
            </w:r>
          </w:p>
        </w:tc>
        <w:tc>
          <w:tcPr>
            <w:tcW w:w="609" w:type="pct"/>
            <w:noWrap/>
            <w:vAlign w:val="center"/>
            <w:hideMark/>
          </w:tcPr>
          <w:p w14:paraId="3A1D1C5D"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w:t>
            </w:r>
          </w:p>
        </w:tc>
        <w:tc>
          <w:tcPr>
            <w:tcW w:w="754" w:type="pct"/>
            <w:noWrap/>
            <w:vAlign w:val="center"/>
            <w:hideMark/>
          </w:tcPr>
          <w:p w14:paraId="09D5FA59"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797" w:type="pct"/>
            <w:noWrap/>
            <w:vAlign w:val="center"/>
            <w:hideMark/>
          </w:tcPr>
          <w:p w14:paraId="70F1E4A6"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3</w:t>
            </w:r>
          </w:p>
        </w:tc>
        <w:tc>
          <w:tcPr>
            <w:tcW w:w="637" w:type="pct"/>
            <w:noWrap/>
            <w:vAlign w:val="center"/>
            <w:hideMark/>
          </w:tcPr>
          <w:p w14:paraId="0ADD969D"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w:t>
            </w:r>
          </w:p>
        </w:tc>
        <w:tc>
          <w:tcPr>
            <w:tcW w:w="761" w:type="pct"/>
            <w:noWrap/>
            <w:vAlign w:val="center"/>
            <w:hideMark/>
          </w:tcPr>
          <w:p w14:paraId="71E7C47F"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29</w:t>
            </w:r>
          </w:p>
        </w:tc>
      </w:tr>
      <w:tr w:rsidR="00F631E2" w:rsidRPr="00A4565B" w14:paraId="61DCEACF" w14:textId="77777777" w:rsidTr="00C57FEA">
        <w:trPr>
          <w:trHeight w:val="288"/>
        </w:trPr>
        <w:tc>
          <w:tcPr>
            <w:tcW w:w="819" w:type="pct"/>
            <w:vMerge/>
            <w:vAlign w:val="center"/>
            <w:hideMark/>
          </w:tcPr>
          <w:p w14:paraId="7CBC5162" w14:textId="77777777" w:rsidR="00F631E2" w:rsidRPr="008E13F2" w:rsidRDefault="00F631E2" w:rsidP="0018182C">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5F8B0E57"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17.50%</w:t>
            </w:r>
          </w:p>
        </w:tc>
        <w:tc>
          <w:tcPr>
            <w:tcW w:w="609" w:type="pct"/>
            <w:noWrap/>
            <w:vAlign w:val="center"/>
            <w:hideMark/>
          </w:tcPr>
          <w:p w14:paraId="74B2159D"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1.67%</w:t>
            </w:r>
          </w:p>
        </w:tc>
        <w:tc>
          <w:tcPr>
            <w:tcW w:w="754" w:type="pct"/>
            <w:noWrap/>
            <w:vAlign w:val="center"/>
            <w:hideMark/>
          </w:tcPr>
          <w:p w14:paraId="6EF42B75"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797" w:type="pct"/>
            <w:noWrap/>
            <w:vAlign w:val="center"/>
            <w:hideMark/>
          </w:tcPr>
          <w:p w14:paraId="2834186C"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2.50%</w:t>
            </w:r>
          </w:p>
        </w:tc>
        <w:tc>
          <w:tcPr>
            <w:tcW w:w="637" w:type="pct"/>
            <w:noWrap/>
            <w:vAlign w:val="center"/>
            <w:hideMark/>
          </w:tcPr>
          <w:p w14:paraId="7199B6E1"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1.67%</w:t>
            </w:r>
          </w:p>
        </w:tc>
        <w:tc>
          <w:tcPr>
            <w:tcW w:w="761" w:type="pct"/>
            <w:noWrap/>
            <w:vAlign w:val="center"/>
            <w:hideMark/>
          </w:tcPr>
          <w:p w14:paraId="3109D92A" w14:textId="77777777" w:rsidR="00F631E2" w:rsidRPr="00A4565B" w:rsidRDefault="00F631E2" w:rsidP="0018182C">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24.17%</w:t>
            </w:r>
          </w:p>
        </w:tc>
      </w:tr>
      <w:tr w:rsidR="00F631E2" w:rsidRPr="00A4565B" w14:paraId="45194A4C" w14:textId="77777777" w:rsidTr="00C57FEA">
        <w:trPr>
          <w:trHeight w:val="288"/>
        </w:trPr>
        <w:tc>
          <w:tcPr>
            <w:tcW w:w="819" w:type="pct"/>
            <w:vMerge w:val="restart"/>
            <w:noWrap/>
            <w:vAlign w:val="center"/>
            <w:hideMark/>
          </w:tcPr>
          <w:p w14:paraId="7328FD22" w14:textId="77777777" w:rsidR="00F631E2" w:rsidRPr="008E13F2" w:rsidRDefault="00F631E2" w:rsidP="0018182C">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Grand Total</w:t>
            </w:r>
          </w:p>
        </w:tc>
        <w:tc>
          <w:tcPr>
            <w:tcW w:w="622" w:type="pct"/>
            <w:noWrap/>
            <w:vAlign w:val="center"/>
            <w:hideMark/>
          </w:tcPr>
          <w:p w14:paraId="0683FDD0" w14:textId="77777777" w:rsidR="00F631E2" w:rsidRPr="008E13F2" w:rsidRDefault="00F631E2" w:rsidP="0018182C">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36</w:t>
            </w:r>
          </w:p>
        </w:tc>
        <w:tc>
          <w:tcPr>
            <w:tcW w:w="609" w:type="pct"/>
            <w:noWrap/>
            <w:vAlign w:val="center"/>
            <w:hideMark/>
          </w:tcPr>
          <w:p w14:paraId="10ACBCCD" w14:textId="77777777" w:rsidR="00F631E2" w:rsidRPr="008E13F2" w:rsidRDefault="00F631E2" w:rsidP="0018182C">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20</w:t>
            </w:r>
          </w:p>
        </w:tc>
        <w:tc>
          <w:tcPr>
            <w:tcW w:w="754" w:type="pct"/>
            <w:noWrap/>
            <w:vAlign w:val="center"/>
            <w:hideMark/>
          </w:tcPr>
          <w:p w14:paraId="4DD3CCB4" w14:textId="77777777" w:rsidR="00F631E2" w:rsidRPr="008E13F2" w:rsidRDefault="00F631E2" w:rsidP="0018182C">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5</w:t>
            </w:r>
          </w:p>
        </w:tc>
        <w:tc>
          <w:tcPr>
            <w:tcW w:w="797" w:type="pct"/>
            <w:noWrap/>
            <w:vAlign w:val="center"/>
            <w:hideMark/>
          </w:tcPr>
          <w:p w14:paraId="5160F320" w14:textId="77777777" w:rsidR="00F631E2" w:rsidRPr="008E13F2" w:rsidRDefault="00F631E2" w:rsidP="0018182C">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24</w:t>
            </w:r>
          </w:p>
        </w:tc>
        <w:tc>
          <w:tcPr>
            <w:tcW w:w="637" w:type="pct"/>
            <w:noWrap/>
            <w:vAlign w:val="center"/>
            <w:hideMark/>
          </w:tcPr>
          <w:p w14:paraId="0F5BF562" w14:textId="77777777" w:rsidR="00F631E2" w:rsidRPr="008E13F2" w:rsidRDefault="00F631E2" w:rsidP="0018182C">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35</w:t>
            </w:r>
          </w:p>
        </w:tc>
        <w:tc>
          <w:tcPr>
            <w:tcW w:w="761" w:type="pct"/>
            <w:noWrap/>
            <w:vAlign w:val="center"/>
            <w:hideMark/>
          </w:tcPr>
          <w:p w14:paraId="55E17383" w14:textId="77777777" w:rsidR="00F631E2" w:rsidRPr="008E13F2" w:rsidRDefault="00F631E2" w:rsidP="0018182C">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120</w:t>
            </w:r>
          </w:p>
        </w:tc>
      </w:tr>
      <w:tr w:rsidR="00F631E2" w:rsidRPr="00A4565B" w14:paraId="2C1F2231" w14:textId="77777777" w:rsidTr="00C57FEA">
        <w:trPr>
          <w:trHeight w:val="288"/>
        </w:trPr>
        <w:tc>
          <w:tcPr>
            <w:tcW w:w="819" w:type="pct"/>
            <w:vMerge/>
            <w:vAlign w:val="center"/>
            <w:hideMark/>
          </w:tcPr>
          <w:p w14:paraId="76441A0D" w14:textId="77777777" w:rsidR="00F631E2" w:rsidRPr="008E13F2" w:rsidRDefault="00F631E2" w:rsidP="0018182C">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2DA859C3" w14:textId="77777777" w:rsidR="00F631E2" w:rsidRPr="008E13F2" w:rsidRDefault="00F631E2" w:rsidP="0018182C">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30%</w:t>
            </w:r>
          </w:p>
        </w:tc>
        <w:tc>
          <w:tcPr>
            <w:tcW w:w="609" w:type="pct"/>
            <w:noWrap/>
            <w:vAlign w:val="center"/>
            <w:hideMark/>
          </w:tcPr>
          <w:p w14:paraId="2E885D31" w14:textId="77777777" w:rsidR="00F631E2" w:rsidRPr="008E13F2" w:rsidRDefault="00F631E2" w:rsidP="0018182C">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16.67%</w:t>
            </w:r>
          </w:p>
        </w:tc>
        <w:tc>
          <w:tcPr>
            <w:tcW w:w="754" w:type="pct"/>
            <w:noWrap/>
            <w:vAlign w:val="center"/>
            <w:hideMark/>
          </w:tcPr>
          <w:p w14:paraId="406BE1FD" w14:textId="77777777" w:rsidR="00F631E2" w:rsidRPr="008E13F2" w:rsidRDefault="00F631E2" w:rsidP="0018182C">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4.17%</w:t>
            </w:r>
          </w:p>
        </w:tc>
        <w:tc>
          <w:tcPr>
            <w:tcW w:w="797" w:type="pct"/>
            <w:noWrap/>
            <w:vAlign w:val="center"/>
            <w:hideMark/>
          </w:tcPr>
          <w:p w14:paraId="05C981CD" w14:textId="77777777" w:rsidR="00F631E2" w:rsidRPr="008E13F2" w:rsidRDefault="00F631E2" w:rsidP="0018182C">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20%</w:t>
            </w:r>
          </w:p>
        </w:tc>
        <w:tc>
          <w:tcPr>
            <w:tcW w:w="637" w:type="pct"/>
            <w:noWrap/>
            <w:vAlign w:val="center"/>
            <w:hideMark/>
          </w:tcPr>
          <w:p w14:paraId="1E85559D" w14:textId="77777777" w:rsidR="00F631E2" w:rsidRPr="008E13F2" w:rsidRDefault="00F631E2" w:rsidP="0018182C">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29.17%</w:t>
            </w:r>
          </w:p>
        </w:tc>
        <w:tc>
          <w:tcPr>
            <w:tcW w:w="761" w:type="pct"/>
            <w:noWrap/>
            <w:vAlign w:val="center"/>
            <w:hideMark/>
          </w:tcPr>
          <w:p w14:paraId="7C322E17" w14:textId="77777777" w:rsidR="00F631E2" w:rsidRPr="008E13F2" w:rsidRDefault="00F631E2" w:rsidP="0018182C">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100.00%</w:t>
            </w:r>
          </w:p>
        </w:tc>
      </w:tr>
    </w:tbl>
    <w:p w14:paraId="25B87152" w14:textId="77777777" w:rsidR="00A11720" w:rsidRDefault="00A11720" w:rsidP="00F631E2">
      <w:pPr>
        <w:spacing w:line="240" w:lineRule="auto"/>
        <w:jc w:val="both"/>
        <w:rPr>
          <w:rFonts w:ascii="Times New Roman" w:hAnsi="Times New Roman" w:cs="Times New Roman"/>
          <w:sz w:val="24"/>
          <w:szCs w:val="24"/>
        </w:rPr>
      </w:pPr>
    </w:p>
    <w:p w14:paraId="40610259" w14:textId="77777777" w:rsidR="00124647" w:rsidRDefault="00A11720" w:rsidP="0012464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C57FEA" w:rsidRPr="004162E3">
        <w:rPr>
          <w:rFonts w:ascii="Times New Roman" w:hAnsi="Times New Roman" w:cs="Times New Roman"/>
          <w:sz w:val="24"/>
          <w:szCs w:val="24"/>
        </w:rPr>
        <w:t xml:space="preserve">n Table </w:t>
      </w:r>
      <w:r w:rsidR="00B6106D">
        <w:rPr>
          <w:rFonts w:ascii="Times New Roman" w:hAnsi="Times New Roman" w:cs="Times New Roman"/>
          <w:sz w:val="24"/>
          <w:szCs w:val="24"/>
        </w:rPr>
        <w:t>2</w:t>
      </w:r>
      <w:r w:rsidR="00C57FEA" w:rsidRPr="004162E3">
        <w:rPr>
          <w:rFonts w:ascii="Times New Roman" w:hAnsi="Times New Roman" w:cs="Times New Roman"/>
          <w:sz w:val="24"/>
          <w:szCs w:val="24"/>
        </w:rPr>
        <w:t>, the majority of respondents</w:t>
      </w:r>
      <w:r w:rsidR="00C57FEA">
        <w:rPr>
          <w:rFonts w:ascii="Times New Roman" w:hAnsi="Times New Roman" w:cs="Times New Roman"/>
          <w:sz w:val="24"/>
          <w:szCs w:val="24"/>
        </w:rPr>
        <w:t>, 48 (40%),</w:t>
      </w:r>
      <w:r w:rsidR="00C57FEA" w:rsidRPr="004162E3">
        <w:rPr>
          <w:rFonts w:ascii="Times New Roman" w:hAnsi="Times New Roman" w:cs="Times New Roman"/>
          <w:sz w:val="24"/>
          <w:szCs w:val="24"/>
        </w:rPr>
        <w:t xml:space="preserve"> fall within the age group of 46–55 years, </w:t>
      </w:r>
      <w:r w:rsidR="00C57FEA">
        <w:rPr>
          <w:rFonts w:ascii="Times New Roman" w:hAnsi="Times New Roman" w:cs="Times New Roman"/>
          <w:sz w:val="24"/>
          <w:szCs w:val="24"/>
        </w:rPr>
        <w:t>and</w:t>
      </w:r>
      <w:r w:rsidR="00C57FEA" w:rsidRPr="004162E3">
        <w:rPr>
          <w:rFonts w:ascii="Times New Roman" w:hAnsi="Times New Roman" w:cs="Times New Roman"/>
          <w:sz w:val="24"/>
          <w:szCs w:val="24"/>
        </w:rPr>
        <w:t xml:space="preserve"> the highest number being </w:t>
      </w:r>
      <w:r w:rsidR="00C57FEA">
        <w:rPr>
          <w:rFonts w:ascii="Times New Roman" w:hAnsi="Times New Roman" w:cs="Times New Roman"/>
          <w:sz w:val="24"/>
          <w:szCs w:val="24"/>
        </w:rPr>
        <w:t>illiterates is 36 (30%)</w:t>
      </w:r>
      <w:r w:rsidR="00C57FEA" w:rsidRPr="004162E3">
        <w:rPr>
          <w:rFonts w:ascii="Times New Roman" w:hAnsi="Times New Roman" w:cs="Times New Roman"/>
          <w:sz w:val="24"/>
          <w:szCs w:val="24"/>
        </w:rPr>
        <w:t>. The data also indicate that illiteracy tends to increase with age</w:t>
      </w:r>
      <w:r w:rsidR="00E80E0C">
        <w:rPr>
          <w:rFonts w:ascii="Times New Roman" w:hAnsi="Times New Roman" w:cs="Times New Roman"/>
          <w:sz w:val="24"/>
          <w:szCs w:val="24"/>
        </w:rPr>
        <w:t>,</w:t>
      </w:r>
      <w:r w:rsidR="00C30B34">
        <w:rPr>
          <w:rFonts w:ascii="Times New Roman" w:hAnsi="Times New Roman" w:cs="Times New Roman"/>
          <w:sz w:val="24"/>
          <w:szCs w:val="24"/>
        </w:rPr>
        <w:t xml:space="preserve"> as </w:t>
      </w:r>
      <w:r w:rsidR="00213FC4">
        <w:rPr>
          <w:rFonts w:ascii="Times New Roman" w:hAnsi="Times New Roman" w:cs="Times New Roman"/>
          <w:sz w:val="24"/>
          <w:szCs w:val="24"/>
        </w:rPr>
        <w:t xml:space="preserve">we see in </w:t>
      </w:r>
      <w:r w:rsidR="00673933">
        <w:rPr>
          <w:rFonts w:ascii="Times New Roman" w:hAnsi="Times New Roman" w:cs="Times New Roman"/>
          <w:sz w:val="24"/>
          <w:szCs w:val="24"/>
        </w:rPr>
        <w:t>table</w:t>
      </w:r>
      <w:r w:rsidR="00213FC4">
        <w:rPr>
          <w:rFonts w:ascii="Times New Roman" w:hAnsi="Times New Roman" w:cs="Times New Roman"/>
          <w:sz w:val="24"/>
          <w:szCs w:val="24"/>
        </w:rPr>
        <w:t xml:space="preserve"> </w:t>
      </w:r>
      <w:r w:rsidR="00D56F46">
        <w:rPr>
          <w:rFonts w:ascii="Times New Roman" w:hAnsi="Times New Roman" w:cs="Times New Roman"/>
          <w:sz w:val="24"/>
          <w:szCs w:val="24"/>
        </w:rPr>
        <w:t>17.50</w:t>
      </w:r>
      <w:r w:rsidR="00673933">
        <w:rPr>
          <w:rFonts w:ascii="Times New Roman" w:hAnsi="Times New Roman" w:cs="Times New Roman"/>
          <w:sz w:val="24"/>
          <w:szCs w:val="24"/>
        </w:rPr>
        <w:t>,</w:t>
      </w:r>
      <w:r w:rsidR="00D56F46">
        <w:rPr>
          <w:rFonts w:ascii="Times New Roman" w:hAnsi="Times New Roman" w:cs="Times New Roman"/>
          <w:sz w:val="24"/>
          <w:szCs w:val="24"/>
        </w:rPr>
        <w:t xml:space="preserve"> per cent</w:t>
      </w:r>
      <w:r w:rsidR="00673933">
        <w:rPr>
          <w:rFonts w:ascii="Times New Roman" w:hAnsi="Times New Roman" w:cs="Times New Roman"/>
          <w:sz w:val="24"/>
          <w:szCs w:val="24"/>
        </w:rPr>
        <w:t xml:space="preserve"> of respondents</w:t>
      </w:r>
      <w:r w:rsidR="00D56F46">
        <w:rPr>
          <w:rFonts w:ascii="Times New Roman" w:hAnsi="Times New Roman" w:cs="Times New Roman"/>
          <w:sz w:val="24"/>
          <w:szCs w:val="24"/>
        </w:rPr>
        <w:t xml:space="preserve"> </w:t>
      </w:r>
      <w:r w:rsidR="00673933">
        <w:rPr>
          <w:rFonts w:ascii="Times New Roman" w:hAnsi="Times New Roman" w:cs="Times New Roman"/>
          <w:sz w:val="24"/>
          <w:szCs w:val="24"/>
        </w:rPr>
        <w:t xml:space="preserve">who </w:t>
      </w:r>
      <w:r w:rsidR="00D56F46">
        <w:rPr>
          <w:rFonts w:ascii="Times New Roman" w:hAnsi="Times New Roman" w:cs="Times New Roman"/>
          <w:sz w:val="24"/>
          <w:szCs w:val="24"/>
        </w:rPr>
        <w:t xml:space="preserve">are </w:t>
      </w:r>
      <w:r w:rsidR="00E80E0C">
        <w:rPr>
          <w:rFonts w:ascii="Times New Roman" w:hAnsi="Times New Roman" w:cs="Times New Roman"/>
          <w:sz w:val="24"/>
          <w:szCs w:val="24"/>
        </w:rPr>
        <w:t>illiterate</w:t>
      </w:r>
      <w:r w:rsidR="00F64477">
        <w:rPr>
          <w:rFonts w:ascii="Times New Roman" w:hAnsi="Times New Roman" w:cs="Times New Roman"/>
          <w:sz w:val="24"/>
          <w:szCs w:val="24"/>
        </w:rPr>
        <w:t xml:space="preserve"> </w:t>
      </w:r>
      <w:r w:rsidR="00673933">
        <w:rPr>
          <w:rFonts w:ascii="Times New Roman" w:hAnsi="Times New Roman" w:cs="Times New Roman"/>
          <w:sz w:val="24"/>
          <w:szCs w:val="24"/>
        </w:rPr>
        <w:t>is</w:t>
      </w:r>
      <w:r w:rsidR="00F64477">
        <w:rPr>
          <w:rFonts w:ascii="Times New Roman" w:hAnsi="Times New Roman" w:cs="Times New Roman"/>
          <w:sz w:val="24"/>
          <w:szCs w:val="24"/>
        </w:rPr>
        <w:t xml:space="preserve"> more than 56 </w:t>
      </w:r>
      <w:r w:rsidR="00E80E0C">
        <w:rPr>
          <w:rFonts w:ascii="Times New Roman" w:hAnsi="Times New Roman" w:cs="Times New Roman"/>
          <w:sz w:val="24"/>
          <w:szCs w:val="24"/>
        </w:rPr>
        <w:t>years</w:t>
      </w:r>
      <w:r w:rsidR="00F64477">
        <w:rPr>
          <w:rFonts w:ascii="Times New Roman" w:hAnsi="Times New Roman" w:cs="Times New Roman"/>
          <w:sz w:val="24"/>
          <w:szCs w:val="24"/>
        </w:rPr>
        <w:t xml:space="preserve"> old</w:t>
      </w:r>
      <w:r w:rsidR="00C30B34">
        <w:rPr>
          <w:rFonts w:ascii="Times New Roman" w:hAnsi="Times New Roman" w:cs="Times New Roman"/>
          <w:sz w:val="24"/>
          <w:szCs w:val="24"/>
        </w:rPr>
        <w:t>.</w:t>
      </w:r>
      <w:r w:rsidR="00673933">
        <w:rPr>
          <w:rFonts w:ascii="Times New Roman" w:hAnsi="Times New Roman" w:cs="Times New Roman"/>
          <w:sz w:val="24"/>
          <w:szCs w:val="24"/>
        </w:rPr>
        <w:t xml:space="preserve"> </w:t>
      </w:r>
      <w:r w:rsidR="0096391F">
        <w:rPr>
          <w:rFonts w:ascii="Times New Roman" w:hAnsi="Times New Roman" w:cs="Times New Roman"/>
          <w:sz w:val="24"/>
          <w:szCs w:val="24"/>
        </w:rPr>
        <w:t>The older</w:t>
      </w:r>
      <w:r w:rsidR="00BD6636">
        <w:rPr>
          <w:rFonts w:ascii="Times New Roman" w:hAnsi="Times New Roman" w:cs="Times New Roman"/>
          <w:sz w:val="24"/>
          <w:szCs w:val="24"/>
        </w:rPr>
        <w:t xml:space="preserve"> </w:t>
      </w:r>
      <w:r w:rsidR="0079753E">
        <w:rPr>
          <w:rFonts w:ascii="Times New Roman" w:hAnsi="Times New Roman" w:cs="Times New Roman"/>
          <w:sz w:val="24"/>
          <w:szCs w:val="24"/>
        </w:rPr>
        <w:t xml:space="preserve">generation has </w:t>
      </w:r>
      <w:r w:rsidR="002916CA">
        <w:rPr>
          <w:rFonts w:ascii="Times New Roman" w:hAnsi="Times New Roman" w:cs="Times New Roman"/>
          <w:sz w:val="24"/>
          <w:szCs w:val="24"/>
        </w:rPr>
        <w:t>a lower</w:t>
      </w:r>
      <w:r w:rsidR="0079753E">
        <w:rPr>
          <w:rFonts w:ascii="Times New Roman" w:hAnsi="Times New Roman" w:cs="Times New Roman"/>
          <w:sz w:val="24"/>
          <w:szCs w:val="24"/>
        </w:rPr>
        <w:t xml:space="preserve"> </w:t>
      </w:r>
      <w:r w:rsidR="002916CA">
        <w:rPr>
          <w:rFonts w:ascii="Times New Roman" w:hAnsi="Times New Roman" w:cs="Times New Roman"/>
          <w:sz w:val="24"/>
          <w:szCs w:val="24"/>
        </w:rPr>
        <w:t>literacy</w:t>
      </w:r>
      <w:r w:rsidR="0079753E">
        <w:rPr>
          <w:rFonts w:ascii="Times New Roman" w:hAnsi="Times New Roman" w:cs="Times New Roman"/>
          <w:sz w:val="24"/>
          <w:szCs w:val="24"/>
        </w:rPr>
        <w:t xml:space="preserve"> rate as comparision to </w:t>
      </w:r>
      <w:r w:rsidR="002916CA">
        <w:rPr>
          <w:rFonts w:ascii="Times New Roman" w:hAnsi="Times New Roman" w:cs="Times New Roman"/>
          <w:sz w:val="24"/>
          <w:szCs w:val="24"/>
        </w:rPr>
        <w:t xml:space="preserve">the </w:t>
      </w:r>
      <w:r w:rsidR="0079753E">
        <w:rPr>
          <w:rFonts w:ascii="Times New Roman" w:hAnsi="Times New Roman" w:cs="Times New Roman"/>
          <w:sz w:val="24"/>
          <w:szCs w:val="24"/>
        </w:rPr>
        <w:t xml:space="preserve">newest generation because of </w:t>
      </w:r>
      <w:r w:rsidR="002916CA">
        <w:rPr>
          <w:rFonts w:ascii="Times New Roman" w:hAnsi="Times New Roman" w:cs="Times New Roman"/>
          <w:sz w:val="24"/>
          <w:szCs w:val="24"/>
        </w:rPr>
        <w:t xml:space="preserve">the </w:t>
      </w:r>
      <w:r w:rsidR="0079753E">
        <w:rPr>
          <w:rFonts w:ascii="Times New Roman" w:hAnsi="Times New Roman" w:cs="Times New Roman"/>
          <w:sz w:val="24"/>
          <w:szCs w:val="24"/>
        </w:rPr>
        <w:t xml:space="preserve">resources </w:t>
      </w:r>
      <w:r w:rsidR="0096391F">
        <w:rPr>
          <w:rFonts w:ascii="Times New Roman" w:hAnsi="Times New Roman" w:cs="Times New Roman"/>
          <w:sz w:val="24"/>
          <w:szCs w:val="24"/>
        </w:rPr>
        <w:t xml:space="preserve">they </w:t>
      </w:r>
      <w:r w:rsidR="00673933">
        <w:rPr>
          <w:rFonts w:ascii="Times New Roman" w:hAnsi="Times New Roman" w:cs="Times New Roman"/>
          <w:sz w:val="24"/>
          <w:szCs w:val="24"/>
        </w:rPr>
        <w:t>have access to</w:t>
      </w:r>
      <w:r w:rsidR="0096391F">
        <w:rPr>
          <w:rFonts w:ascii="Times New Roman" w:hAnsi="Times New Roman" w:cs="Times New Roman"/>
          <w:sz w:val="24"/>
          <w:szCs w:val="24"/>
        </w:rPr>
        <w:t xml:space="preserve"> according there generations. </w:t>
      </w:r>
      <w:r w:rsidR="00C57FEA" w:rsidRPr="004162E3">
        <w:rPr>
          <w:rFonts w:ascii="Times New Roman" w:hAnsi="Times New Roman" w:cs="Times New Roman"/>
          <w:sz w:val="24"/>
          <w:szCs w:val="24"/>
        </w:rPr>
        <w:t>Interestingly, the number of illiterate respondents (36) is nearly equal to the number of graduates (35). This can be attributed to the fact that, in the survey, a larger proportion of respondents who owned solar pumps were included compared to those who did not.</w:t>
      </w:r>
      <w:r>
        <w:rPr>
          <w:rFonts w:ascii="Times New Roman" w:hAnsi="Times New Roman" w:cs="Times New Roman"/>
          <w:sz w:val="24"/>
          <w:szCs w:val="24"/>
        </w:rPr>
        <w:t xml:space="preserve"> </w:t>
      </w:r>
    </w:p>
    <w:p w14:paraId="6B928F2F" w14:textId="1109CF43" w:rsidR="00F631E2" w:rsidRDefault="00F631E2" w:rsidP="00124647">
      <w:pPr>
        <w:spacing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B6106D">
        <w:rPr>
          <w:rFonts w:ascii="Times New Roman" w:hAnsi="Times New Roman" w:cs="Times New Roman"/>
          <w:b/>
          <w:bCs/>
          <w:sz w:val="24"/>
          <w:szCs w:val="24"/>
        </w:rPr>
        <w:t>3</w:t>
      </w:r>
      <w:r>
        <w:rPr>
          <w:rFonts w:ascii="Times New Roman" w:hAnsi="Times New Roman" w:cs="Times New Roman"/>
          <w:b/>
          <w:bCs/>
          <w:sz w:val="24"/>
          <w:szCs w:val="24"/>
        </w:rPr>
        <w:t xml:space="preserve">: </w:t>
      </w:r>
      <w:r w:rsidR="000759CF">
        <w:rPr>
          <w:rFonts w:ascii="Times New Roman" w:hAnsi="Times New Roman" w:cs="Times New Roman"/>
          <w:b/>
          <w:bCs/>
          <w:sz w:val="24"/>
          <w:szCs w:val="24"/>
        </w:rPr>
        <w:t>Caste wise education status</w:t>
      </w:r>
      <w:r w:rsidRPr="007B48FE">
        <w:rPr>
          <w:rFonts w:ascii="Times New Roman" w:hAnsi="Times New Roman" w:cs="Times New Roman"/>
          <w:b/>
          <w:bCs/>
          <w:sz w:val="24"/>
          <w:szCs w:val="24"/>
        </w:rPr>
        <w:t xml:space="preserve"> of </w:t>
      </w:r>
      <w:r>
        <w:rPr>
          <w:rFonts w:ascii="Times New Roman" w:hAnsi="Times New Roman" w:cs="Times New Roman"/>
          <w:b/>
          <w:bCs/>
          <w:sz w:val="24"/>
          <w:szCs w:val="24"/>
        </w:rPr>
        <w:t xml:space="preserve">the </w:t>
      </w:r>
      <w:r w:rsidRPr="007B48FE">
        <w:rPr>
          <w:rFonts w:ascii="Times New Roman" w:hAnsi="Times New Roman" w:cs="Times New Roman"/>
          <w:b/>
          <w:bCs/>
          <w:sz w:val="24"/>
          <w:szCs w:val="24"/>
        </w:rPr>
        <w:t>respondent</w:t>
      </w:r>
      <w:r w:rsidR="00656274">
        <w:rPr>
          <w:rFonts w:ascii="Times New Roman" w:hAnsi="Times New Roman" w:cs="Times New Roman"/>
          <w:b/>
          <w:bCs/>
          <w:sz w:val="24"/>
          <w:szCs w:val="24"/>
        </w:rPr>
        <w:t>s</w:t>
      </w:r>
      <w:r w:rsidR="000759CF">
        <w:rPr>
          <w:rFonts w:ascii="Times New Roman" w:hAnsi="Times New Roman" w:cs="Times New Roman"/>
          <w:b/>
          <w:bCs/>
          <w:sz w:val="24"/>
          <w:szCs w:val="24"/>
        </w:rPr>
        <w:t xml:space="preserve"> in the study area</w:t>
      </w:r>
    </w:p>
    <w:tbl>
      <w:tblPr>
        <w:tblStyle w:val="TableGrid"/>
        <w:tblW w:w="5000" w:type="pct"/>
        <w:tblLook w:val="04A0" w:firstRow="1" w:lastRow="0" w:firstColumn="1" w:lastColumn="0" w:noHBand="0" w:noVBand="1"/>
      </w:tblPr>
      <w:tblGrid>
        <w:gridCol w:w="2251"/>
        <w:gridCol w:w="1732"/>
        <w:gridCol w:w="1712"/>
        <w:gridCol w:w="1712"/>
        <w:gridCol w:w="1835"/>
      </w:tblGrid>
      <w:tr w:rsidR="00F631E2" w:rsidRPr="007B48FE" w14:paraId="734F30A7" w14:textId="77777777" w:rsidTr="0018182C">
        <w:trPr>
          <w:trHeight w:val="288"/>
        </w:trPr>
        <w:tc>
          <w:tcPr>
            <w:tcW w:w="1217" w:type="pct"/>
            <w:vMerge w:val="restart"/>
            <w:noWrap/>
            <w:vAlign w:val="center"/>
            <w:hideMark/>
          </w:tcPr>
          <w:p w14:paraId="708BF0F0"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Qualification</w:t>
            </w:r>
          </w:p>
        </w:tc>
        <w:tc>
          <w:tcPr>
            <w:tcW w:w="2789" w:type="pct"/>
            <w:gridSpan w:val="3"/>
            <w:noWrap/>
            <w:vAlign w:val="center"/>
            <w:hideMark/>
          </w:tcPr>
          <w:p w14:paraId="43A7128F"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Caste</w:t>
            </w:r>
          </w:p>
        </w:tc>
        <w:tc>
          <w:tcPr>
            <w:tcW w:w="993" w:type="pct"/>
            <w:vMerge w:val="restart"/>
            <w:noWrap/>
            <w:vAlign w:val="center"/>
            <w:hideMark/>
          </w:tcPr>
          <w:p w14:paraId="7B7FDD06"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Grand Total</w:t>
            </w:r>
          </w:p>
        </w:tc>
      </w:tr>
      <w:tr w:rsidR="00F631E2" w:rsidRPr="007B48FE" w14:paraId="0A86B698" w14:textId="77777777" w:rsidTr="0018182C">
        <w:trPr>
          <w:trHeight w:val="288"/>
        </w:trPr>
        <w:tc>
          <w:tcPr>
            <w:tcW w:w="1217" w:type="pct"/>
            <w:vMerge/>
            <w:noWrap/>
            <w:vAlign w:val="center"/>
            <w:hideMark/>
          </w:tcPr>
          <w:p w14:paraId="400A7213" w14:textId="77777777" w:rsidR="00F631E2" w:rsidRPr="002F39DC" w:rsidRDefault="00F631E2" w:rsidP="0018182C">
            <w:pPr>
              <w:spacing w:line="360" w:lineRule="auto"/>
              <w:jc w:val="center"/>
              <w:rPr>
                <w:rFonts w:ascii="Times New Roman" w:hAnsi="Times New Roman" w:cs="Times New Roman"/>
                <w:b/>
                <w:bCs/>
                <w:sz w:val="24"/>
                <w:szCs w:val="24"/>
              </w:rPr>
            </w:pPr>
          </w:p>
        </w:tc>
        <w:tc>
          <w:tcPr>
            <w:tcW w:w="937" w:type="pct"/>
            <w:noWrap/>
            <w:vAlign w:val="center"/>
            <w:hideMark/>
          </w:tcPr>
          <w:p w14:paraId="6BC72308"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General</w:t>
            </w:r>
          </w:p>
        </w:tc>
        <w:tc>
          <w:tcPr>
            <w:tcW w:w="926" w:type="pct"/>
            <w:noWrap/>
            <w:vAlign w:val="center"/>
            <w:hideMark/>
          </w:tcPr>
          <w:p w14:paraId="5197EBD5"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OBC</w:t>
            </w:r>
          </w:p>
        </w:tc>
        <w:tc>
          <w:tcPr>
            <w:tcW w:w="926" w:type="pct"/>
            <w:noWrap/>
            <w:vAlign w:val="center"/>
            <w:hideMark/>
          </w:tcPr>
          <w:p w14:paraId="4C3F2305"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SC</w:t>
            </w:r>
          </w:p>
        </w:tc>
        <w:tc>
          <w:tcPr>
            <w:tcW w:w="993" w:type="pct"/>
            <w:vMerge/>
            <w:noWrap/>
            <w:vAlign w:val="center"/>
            <w:hideMark/>
          </w:tcPr>
          <w:p w14:paraId="2D2F4C16" w14:textId="77777777" w:rsidR="00F631E2" w:rsidRPr="007B48FE" w:rsidRDefault="00F631E2" w:rsidP="0018182C">
            <w:pPr>
              <w:spacing w:line="360" w:lineRule="auto"/>
              <w:jc w:val="center"/>
              <w:rPr>
                <w:rFonts w:ascii="Times New Roman" w:hAnsi="Times New Roman" w:cs="Times New Roman"/>
                <w:sz w:val="24"/>
                <w:szCs w:val="24"/>
              </w:rPr>
            </w:pPr>
          </w:p>
        </w:tc>
      </w:tr>
      <w:tr w:rsidR="00F631E2" w:rsidRPr="007B48FE" w14:paraId="0545BF16" w14:textId="77777777" w:rsidTr="0018182C">
        <w:trPr>
          <w:trHeight w:val="288"/>
        </w:trPr>
        <w:tc>
          <w:tcPr>
            <w:tcW w:w="1217" w:type="pct"/>
            <w:vMerge w:val="restart"/>
            <w:noWrap/>
            <w:vAlign w:val="center"/>
            <w:hideMark/>
          </w:tcPr>
          <w:p w14:paraId="6D17AD72"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Illiterate</w:t>
            </w:r>
          </w:p>
        </w:tc>
        <w:tc>
          <w:tcPr>
            <w:tcW w:w="937" w:type="pct"/>
            <w:noWrap/>
            <w:vAlign w:val="center"/>
            <w:hideMark/>
          </w:tcPr>
          <w:p w14:paraId="4065F283"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5</w:t>
            </w:r>
          </w:p>
        </w:tc>
        <w:tc>
          <w:tcPr>
            <w:tcW w:w="926" w:type="pct"/>
            <w:noWrap/>
            <w:vAlign w:val="center"/>
            <w:hideMark/>
          </w:tcPr>
          <w:p w14:paraId="22156E6C"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20</w:t>
            </w:r>
          </w:p>
        </w:tc>
        <w:tc>
          <w:tcPr>
            <w:tcW w:w="926" w:type="pct"/>
            <w:noWrap/>
            <w:vAlign w:val="center"/>
            <w:hideMark/>
          </w:tcPr>
          <w:p w14:paraId="2B39EF1E"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11</w:t>
            </w:r>
          </w:p>
        </w:tc>
        <w:tc>
          <w:tcPr>
            <w:tcW w:w="993" w:type="pct"/>
            <w:noWrap/>
            <w:vAlign w:val="center"/>
            <w:hideMark/>
          </w:tcPr>
          <w:p w14:paraId="6897091E"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36</w:t>
            </w:r>
          </w:p>
        </w:tc>
      </w:tr>
      <w:tr w:rsidR="00F631E2" w:rsidRPr="007B48FE" w14:paraId="30554E33" w14:textId="77777777" w:rsidTr="0018182C">
        <w:trPr>
          <w:trHeight w:val="288"/>
        </w:trPr>
        <w:tc>
          <w:tcPr>
            <w:tcW w:w="1217" w:type="pct"/>
            <w:vMerge/>
            <w:noWrap/>
            <w:vAlign w:val="center"/>
            <w:hideMark/>
          </w:tcPr>
          <w:p w14:paraId="5FC053C8" w14:textId="77777777" w:rsidR="00F631E2" w:rsidRPr="002F39DC" w:rsidRDefault="00F631E2" w:rsidP="0018182C">
            <w:pPr>
              <w:spacing w:line="360" w:lineRule="auto"/>
              <w:jc w:val="center"/>
              <w:rPr>
                <w:rFonts w:ascii="Times New Roman" w:hAnsi="Times New Roman" w:cs="Times New Roman"/>
                <w:b/>
                <w:bCs/>
                <w:sz w:val="24"/>
                <w:szCs w:val="24"/>
              </w:rPr>
            </w:pPr>
          </w:p>
        </w:tc>
        <w:tc>
          <w:tcPr>
            <w:tcW w:w="937" w:type="pct"/>
            <w:noWrap/>
            <w:vAlign w:val="center"/>
            <w:hideMark/>
          </w:tcPr>
          <w:p w14:paraId="705B009C"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4.17%</w:t>
            </w:r>
          </w:p>
        </w:tc>
        <w:tc>
          <w:tcPr>
            <w:tcW w:w="926" w:type="pct"/>
            <w:noWrap/>
            <w:vAlign w:val="center"/>
            <w:hideMark/>
          </w:tcPr>
          <w:p w14:paraId="6E336285"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16.67%</w:t>
            </w:r>
          </w:p>
        </w:tc>
        <w:tc>
          <w:tcPr>
            <w:tcW w:w="926" w:type="pct"/>
            <w:noWrap/>
            <w:vAlign w:val="center"/>
            <w:hideMark/>
          </w:tcPr>
          <w:p w14:paraId="44578047"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9.17%</w:t>
            </w:r>
          </w:p>
        </w:tc>
        <w:tc>
          <w:tcPr>
            <w:tcW w:w="993" w:type="pct"/>
            <w:noWrap/>
            <w:vAlign w:val="center"/>
            <w:hideMark/>
          </w:tcPr>
          <w:p w14:paraId="6BE0F649"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30%</w:t>
            </w:r>
          </w:p>
        </w:tc>
      </w:tr>
      <w:tr w:rsidR="00F631E2" w:rsidRPr="007B48FE" w14:paraId="28A9C73C" w14:textId="77777777" w:rsidTr="0018182C">
        <w:trPr>
          <w:trHeight w:val="288"/>
        </w:trPr>
        <w:tc>
          <w:tcPr>
            <w:tcW w:w="1217" w:type="pct"/>
            <w:vMerge w:val="restart"/>
            <w:noWrap/>
            <w:vAlign w:val="center"/>
            <w:hideMark/>
          </w:tcPr>
          <w:p w14:paraId="53A5C1C9"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Primary</w:t>
            </w:r>
          </w:p>
        </w:tc>
        <w:tc>
          <w:tcPr>
            <w:tcW w:w="937" w:type="pct"/>
            <w:noWrap/>
            <w:vAlign w:val="center"/>
            <w:hideMark/>
          </w:tcPr>
          <w:p w14:paraId="19080BE5"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w:t>
            </w:r>
          </w:p>
        </w:tc>
        <w:tc>
          <w:tcPr>
            <w:tcW w:w="926" w:type="pct"/>
            <w:noWrap/>
            <w:vAlign w:val="center"/>
            <w:hideMark/>
          </w:tcPr>
          <w:p w14:paraId="64BD1BCB"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9</w:t>
            </w:r>
          </w:p>
        </w:tc>
        <w:tc>
          <w:tcPr>
            <w:tcW w:w="926" w:type="pct"/>
            <w:noWrap/>
            <w:vAlign w:val="center"/>
            <w:hideMark/>
          </w:tcPr>
          <w:p w14:paraId="45E01F26"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9</w:t>
            </w:r>
          </w:p>
        </w:tc>
        <w:tc>
          <w:tcPr>
            <w:tcW w:w="993" w:type="pct"/>
            <w:noWrap/>
            <w:vAlign w:val="center"/>
            <w:hideMark/>
          </w:tcPr>
          <w:p w14:paraId="4217DDEE"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20</w:t>
            </w:r>
          </w:p>
        </w:tc>
      </w:tr>
      <w:tr w:rsidR="00F631E2" w:rsidRPr="007B48FE" w14:paraId="2EA6D841" w14:textId="77777777" w:rsidTr="0018182C">
        <w:trPr>
          <w:trHeight w:val="288"/>
        </w:trPr>
        <w:tc>
          <w:tcPr>
            <w:tcW w:w="1217" w:type="pct"/>
            <w:vMerge/>
            <w:noWrap/>
            <w:vAlign w:val="center"/>
            <w:hideMark/>
          </w:tcPr>
          <w:p w14:paraId="144CFF1F" w14:textId="77777777" w:rsidR="00F631E2" w:rsidRPr="002F39DC" w:rsidRDefault="00F631E2" w:rsidP="0018182C">
            <w:pPr>
              <w:spacing w:line="360" w:lineRule="auto"/>
              <w:jc w:val="center"/>
              <w:rPr>
                <w:rFonts w:ascii="Times New Roman" w:hAnsi="Times New Roman" w:cs="Times New Roman"/>
                <w:b/>
                <w:bCs/>
                <w:sz w:val="24"/>
                <w:szCs w:val="24"/>
              </w:rPr>
            </w:pPr>
          </w:p>
        </w:tc>
        <w:tc>
          <w:tcPr>
            <w:tcW w:w="937" w:type="pct"/>
            <w:noWrap/>
            <w:vAlign w:val="center"/>
            <w:hideMark/>
          </w:tcPr>
          <w:p w14:paraId="68E4162F"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1.67%</w:t>
            </w:r>
          </w:p>
        </w:tc>
        <w:tc>
          <w:tcPr>
            <w:tcW w:w="926" w:type="pct"/>
            <w:noWrap/>
            <w:vAlign w:val="center"/>
            <w:hideMark/>
          </w:tcPr>
          <w:p w14:paraId="113405AF"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7.50%</w:t>
            </w:r>
          </w:p>
        </w:tc>
        <w:tc>
          <w:tcPr>
            <w:tcW w:w="926" w:type="pct"/>
            <w:noWrap/>
            <w:vAlign w:val="center"/>
            <w:hideMark/>
          </w:tcPr>
          <w:p w14:paraId="13CAC0AD"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7.50%</w:t>
            </w:r>
          </w:p>
        </w:tc>
        <w:tc>
          <w:tcPr>
            <w:tcW w:w="993" w:type="pct"/>
            <w:noWrap/>
            <w:vAlign w:val="center"/>
            <w:hideMark/>
          </w:tcPr>
          <w:p w14:paraId="644E65DE"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16.67%</w:t>
            </w:r>
          </w:p>
        </w:tc>
      </w:tr>
      <w:tr w:rsidR="00F631E2" w:rsidRPr="007B48FE" w14:paraId="6B1FAD86" w14:textId="77777777" w:rsidTr="0018182C">
        <w:trPr>
          <w:trHeight w:val="288"/>
        </w:trPr>
        <w:tc>
          <w:tcPr>
            <w:tcW w:w="1217" w:type="pct"/>
            <w:vMerge w:val="restart"/>
            <w:noWrap/>
            <w:vAlign w:val="center"/>
            <w:hideMark/>
          </w:tcPr>
          <w:p w14:paraId="51C310F3"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High School</w:t>
            </w:r>
          </w:p>
        </w:tc>
        <w:tc>
          <w:tcPr>
            <w:tcW w:w="937" w:type="pct"/>
            <w:noWrap/>
            <w:vAlign w:val="center"/>
            <w:hideMark/>
          </w:tcPr>
          <w:p w14:paraId="436E243A"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w:t>
            </w:r>
          </w:p>
        </w:tc>
        <w:tc>
          <w:tcPr>
            <w:tcW w:w="926" w:type="pct"/>
            <w:noWrap/>
            <w:vAlign w:val="center"/>
            <w:hideMark/>
          </w:tcPr>
          <w:p w14:paraId="737098C3"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w:t>
            </w:r>
          </w:p>
        </w:tc>
        <w:tc>
          <w:tcPr>
            <w:tcW w:w="926" w:type="pct"/>
            <w:noWrap/>
            <w:vAlign w:val="center"/>
            <w:hideMark/>
          </w:tcPr>
          <w:p w14:paraId="41A16CEC"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w:t>
            </w:r>
          </w:p>
        </w:tc>
        <w:tc>
          <w:tcPr>
            <w:tcW w:w="993" w:type="pct"/>
            <w:noWrap/>
            <w:vAlign w:val="center"/>
            <w:hideMark/>
          </w:tcPr>
          <w:p w14:paraId="68DC6BC7"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5</w:t>
            </w:r>
          </w:p>
        </w:tc>
      </w:tr>
      <w:tr w:rsidR="00F631E2" w:rsidRPr="007B48FE" w14:paraId="58729CD4" w14:textId="77777777" w:rsidTr="0018182C">
        <w:trPr>
          <w:trHeight w:val="288"/>
        </w:trPr>
        <w:tc>
          <w:tcPr>
            <w:tcW w:w="1217" w:type="pct"/>
            <w:vMerge/>
            <w:noWrap/>
            <w:vAlign w:val="center"/>
            <w:hideMark/>
          </w:tcPr>
          <w:p w14:paraId="3950CDAA" w14:textId="77777777" w:rsidR="00F631E2" w:rsidRPr="002F39DC" w:rsidRDefault="00F631E2" w:rsidP="0018182C">
            <w:pPr>
              <w:spacing w:line="360" w:lineRule="auto"/>
              <w:jc w:val="center"/>
              <w:rPr>
                <w:rFonts w:ascii="Times New Roman" w:hAnsi="Times New Roman" w:cs="Times New Roman"/>
                <w:b/>
                <w:bCs/>
                <w:sz w:val="24"/>
                <w:szCs w:val="24"/>
              </w:rPr>
            </w:pPr>
          </w:p>
        </w:tc>
        <w:tc>
          <w:tcPr>
            <w:tcW w:w="937" w:type="pct"/>
            <w:noWrap/>
            <w:vAlign w:val="center"/>
            <w:hideMark/>
          </w:tcPr>
          <w:p w14:paraId="6BEEC075"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1.67%</w:t>
            </w:r>
          </w:p>
        </w:tc>
        <w:tc>
          <w:tcPr>
            <w:tcW w:w="926" w:type="pct"/>
            <w:noWrap/>
            <w:vAlign w:val="center"/>
            <w:hideMark/>
          </w:tcPr>
          <w:p w14:paraId="415A3034"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1.67%</w:t>
            </w:r>
          </w:p>
        </w:tc>
        <w:tc>
          <w:tcPr>
            <w:tcW w:w="926" w:type="pct"/>
            <w:noWrap/>
            <w:vAlign w:val="center"/>
            <w:hideMark/>
          </w:tcPr>
          <w:p w14:paraId="3BF823B7"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0.83%</w:t>
            </w:r>
          </w:p>
        </w:tc>
        <w:tc>
          <w:tcPr>
            <w:tcW w:w="993" w:type="pct"/>
            <w:noWrap/>
            <w:vAlign w:val="center"/>
            <w:hideMark/>
          </w:tcPr>
          <w:p w14:paraId="397F01BE"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4.17%</w:t>
            </w:r>
          </w:p>
        </w:tc>
      </w:tr>
      <w:tr w:rsidR="00F631E2" w:rsidRPr="007B48FE" w14:paraId="59241D98" w14:textId="77777777" w:rsidTr="0018182C">
        <w:trPr>
          <w:trHeight w:val="288"/>
        </w:trPr>
        <w:tc>
          <w:tcPr>
            <w:tcW w:w="1217" w:type="pct"/>
            <w:vMerge w:val="restart"/>
            <w:noWrap/>
            <w:vAlign w:val="center"/>
            <w:hideMark/>
          </w:tcPr>
          <w:p w14:paraId="3FF763CE"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Intermediate</w:t>
            </w:r>
          </w:p>
        </w:tc>
        <w:tc>
          <w:tcPr>
            <w:tcW w:w="937" w:type="pct"/>
            <w:noWrap/>
            <w:vAlign w:val="center"/>
            <w:hideMark/>
          </w:tcPr>
          <w:p w14:paraId="10BCBA2B"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7</w:t>
            </w:r>
          </w:p>
        </w:tc>
        <w:tc>
          <w:tcPr>
            <w:tcW w:w="926" w:type="pct"/>
            <w:noWrap/>
            <w:vAlign w:val="center"/>
            <w:hideMark/>
          </w:tcPr>
          <w:p w14:paraId="333EBF6A"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13</w:t>
            </w:r>
          </w:p>
        </w:tc>
        <w:tc>
          <w:tcPr>
            <w:tcW w:w="926" w:type="pct"/>
            <w:noWrap/>
            <w:vAlign w:val="center"/>
            <w:hideMark/>
          </w:tcPr>
          <w:p w14:paraId="09421D67"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4</w:t>
            </w:r>
          </w:p>
        </w:tc>
        <w:tc>
          <w:tcPr>
            <w:tcW w:w="993" w:type="pct"/>
            <w:noWrap/>
            <w:vAlign w:val="center"/>
            <w:hideMark/>
          </w:tcPr>
          <w:p w14:paraId="486EAE5E"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24</w:t>
            </w:r>
          </w:p>
        </w:tc>
      </w:tr>
      <w:tr w:rsidR="00F631E2" w:rsidRPr="007B48FE" w14:paraId="3E953CA8" w14:textId="77777777" w:rsidTr="0018182C">
        <w:trPr>
          <w:trHeight w:val="288"/>
        </w:trPr>
        <w:tc>
          <w:tcPr>
            <w:tcW w:w="1217" w:type="pct"/>
            <w:vMerge/>
            <w:noWrap/>
            <w:vAlign w:val="center"/>
            <w:hideMark/>
          </w:tcPr>
          <w:p w14:paraId="59903B11" w14:textId="77777777" w:rsidR="00F631E2" w:rsidRPr="002F39DC" w:rsidRDefault="00F631E2" w:rsidP="0018182C">
            <w:pPr>
              <w:spacing w:line="360" w:lineRule="auto"/>
              <w:jc w:val="center"/>
              <w:rPr>
                <w:rFonts w:ascii="Times New Roman" w:hAnsi="Times New Roman" w:cs="Times New Roman"/>
                <w:b/>
                <w:bCs/>
                <w:sz w:val="24"/>
                <w:szCs w:val="24"/>
              </w:rPr>
            </w:pPr>
          </w:p>
        </w:tc>
        <w:tc>
          <w:tcPr>
            <w:tcW w:w="937" w:type="pct"/>
            <w:noWrap/>
            <w:vAlign w:val="center"/>
            <w:hideMark/>
          </w:tcPr>
          <w:p w14:paraId="0D36D5C4"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5.83%</w:t>
            </w:r>
          </w:p>
        </w:tc>
        <w:tc>
          <w:tcPr>
            <w:tcW w:w="926" w:type="pct"/>
            <w:noWrap/>
            <w:vAlign w:val="center"/>
            <w:hideMark/>
          </w:tcPr>
          <w:p w14:paraId="0BB38AD6"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10.83%</w:t>
            </w:r>
          </w:p>
        </w:tc>
        <w:tc>
          <w:tcPr>
            <w:tcW w:w="926" w:type="pct"/>
            <w:noWrap/>
            <w:vAlign w:val="center"/>
            <w:hideMark/>
          </w:tcPr>
          <w:p w14:paraId="01E1E3ED"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3.33%</w:t>
            </w:r>
          </w:p>
        </w:tc>
        <w:tc>
          <w:tcPr>
            <w:tcW w:w="993" w:type="pct"/>
            <w:noWrap/>
            <w:vAlign w:val="center"/>
            <w:hideMark/>
          </w:tcPr>
          <w:p w14:paraId="51F1A6B5"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20%</w:t>
            </w:r>
          </w:p>
        </w:tc>
      </w:tr>
      <w:tr w:rsidR="00F631E2" w:rsidRPr="007B48FE" w14:paraId="0BEFCC4D" w14:textId="77777777" w:rsidTr="0018182C">
        <w:trPr>
          <w:trHeight w:val="288"/>
        </w:trPr>
        <w:tc>
          <w:tcPr>
            <w:tcW w:w="1217" w:type="pct"/>
            <w:vMerge w:val="restart"/>
            <w:noWrap/>
            <w:vAlign w:val="center"/>
            <w:hideMark/>
          </w:tcPr>
          <w:p w14:paraId="7E44CDC6"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Graduate</w:t>
            </w:r>
          </w:p>
        </w:tc>
        <w:tc>
          <w:tcPr>
            <w:tcW w:w="937" w:type="pct"/>
            <w:noWrap/>
            <w:vAlign w:val="center"/>
            <w:hideMark/>
          </w:tcPr>
          <w:p w14:paraId="30970F7B"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19</w:t>
            </w:r>
          </w:p>
        </w:tc>
        <w:tc>
          <w:tcPr>
            <w:tcW w:w="926" w:type="pct"/>
            <w:noWrap/>
            <w:vAlign w:val="center"/>
            <w:hideMark/>
          </w:tcPr>
          <w:p w14:paraId="2E39A08D"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13</w:t>
            </w:r>
          </w:p>
        </w:tc>
        <w:tc>
          <w:tcPr>
            <w:tcW w:w="926" w:type="pct"/>
            <w:noWrap/>
            <w:vAlign w:val="center"/>
            <w:hideMark/>
          </w:tcPr>
          <w:p w14:paraId="73D103E8"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3</w:t>
            </w:r>
          </w:p>
        </w:tc>
        <w:tc>
          <w:tcPr>
            <w:tcW w:w="993" w:type="pct"/>
            <w:noWrap/>
            <w:vAlign w:val="center"/>
            <w:hideMark/>
          </w:tcPr>
          <w:p w14:paraId="348FCE72"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35</w:t>
            </w:r>
          </w:p>
        </w:tc>
      </w:tr>
      <w:tr w:rsidR="00F631E2" w:rsidRPr="007B48FE" w14:paraId="1EE5AA1D" w14:textId="77777777" w:rsidTr="0018182C">
        <w:trPr>
          <w:trHeight w:val="288"/>
        </w:trPr>
        <w:tc>
          <w:tcPr>
            <w:tcW w:w="1217" w:type="pct"/>
            <w:vMerge/>
            <w:noWrap/>
            <w:vAlign w:val="center"/>
            <w:hideMark/>
          </w:tcPr>
          <w:p w14:paraId="097D5422" w14:textId="77777777" w:rsidR="00F631E2" w:rsidRPr="002F39DC" w:rsidRDefault="00F631E2" w:rsidP="0018182C">
            <w:pPr>
              <w:spacing w:line="360" w:lineRule="auto"/>
              <w:jc w:val="center"/>
              <w:rPr>
                <w:rFonts w:ascii="Times New Roman" w:hAnsi="Times New Roman" w:cs="Times New Roman"/>
                <w:b/>
                <w:bCs/>
                <w:sz w:val="24"/>
                <w:szCs w:val="24"/>
              </w:rPr>
            </w:pPr>
          </w:p>
        </w:tc>
        <w:tc>
          <w:tcPr>
            <w:tcW w:w="937" w:type="pct"/>
            <w:noWrap/>
            <w:vAlign w:val="center"/>
            <w:hideMark/>
          </w:tcPr>
          <w:p w14:paraId="28114BA2"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15.83%</w:t>
            </w:r>
          </w:p>
        </w:tc>
        <w:tc>
          <w:tcPr>
            <w:tcW w:w="926" w:type="pct"/>
            <w:noWrap/>
            <w:vAlign w:val="center"/>
            <w:hideMark/>
          </w:tcPr>
          <w:p w14:paraId="3A8F50EE"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10.83%</w:t>
            </w:r>
          </w:p>
        </w:tc>
        <w:tc>
          <w:tcPr>
            <w:tcW w:w="926" w:type="pct"/>
            <w:noWrap/>
            <w:vAlign w:val="center"/>
            <w:hideMark/>
          </w:tcPr>
          <w:p w14:paraId="27209474"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2.50%</w:t>
            </w:r>
          </w:p>
        </w:tc>
        <w:tc>
          <w:tcPr>
            <w:tcW w:w="993" w:type="pct"/>
            <w:noWrap/>
            <w:vAlign w:val="center"/>
            <w:hideMark/>
          </w:tcPr>
          <w:p w14:paraId="27EBDF63"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29.17%</w:t>
            </w:r>
          </w:p>
        </w:tc>
      </w:tr>
      <w:tr w:rsidR="00F631E2" w:rsidRPr="007B48FE" w14:paraId="1C741CA7" w14:textId="77777777" w:rsidTr="0018182C">
        <w:trPr>
          <w:trHeight w:val="288"/>
        </w:trPr>
        <w:tc>
          <w:tcPr>
            <w:tcW w:w="1217" w:type="pct"/>
            <w:vMerge w:val="restart"/>
            <w:noWrap/>
            <w:vAlign w:val="center"/>
            <w:hideMark/>
          </w:tcPr>
          <w:p w14:paraId="6BBBE982"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Grand Total</w:t>
            </w:r>
          </w:p>
        </w:tc>
        <w:tc>
          <w:tcPr>
            <w:tcW w:w="937" w:type="pct"/>
            <w:noWrap/>
            <w:vAlign w:val="center"/>
            <w:hideMark/>
          </w:tcPr>
          <w:p w14:paraId="22FA0B4D"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35</w:t>
            </w:r>
          </w:p>
        </w:tc>
        <w:tc>
          <w:tcPr>
            <w:tcW w:w="926" w:type="pct"/>
            <w:noWrap/>
            <w:vAlign w:val="center"/>
            <w:hideMark/>
          </w:tcPr>
          <w:p w14:paraId="6D90522D"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57</w:t>
            </w:r>
          </w:p>
        </w:tc>
        <w:tc>
          <w:tcPr>
            <w:tcW w:w="926" w:type="pct"/>
            <w:noWrap/>
            <w:vAlign w:val="center"/>
            <w:hideMark/>
          </w:tcPr>
          <w:p w14:paraId="54AD73F2"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28</w:t>
            </w:r>
          </w:p>
        </w:tc>
        <w:tc>
          <w:tcPr>
            <w:tcW w:w="993" w:type="pct"/>
            <w:noWrap/>
            <w:vAlign w:val="center"/>
            <w:hideMark/>
          </w:tcPr>
          <w:p w14:paraId="1D45DE76"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120</w:t>
            </w:r>
          </w:p>
        </w:tc>
      </w:tr>
      <w:tr w:rsidR="00F631E2" w:rsidRPr="007B48FE" w14:paraId="7A9EC2B2" w14:textId="77777777" w:rsidTr="0018182C">
        <w:trPr>
          <w:trHeight w:val="288"/>
        </w:trPr>
        <w:tc>
          <w:tcPr>
            <w:tcW w:w="1217" w:type="pct"/>
            <w:vMerge/>
            <w:noWrap/>
            <w:vAlign w:val="center"/>
            <w:hideMark/>
          </w:tcPr>
          <w:p w14:paraId="2D7BE698" w14:textId="77777777" w:rsidR="00F631E2" w:rsidRPr="007B48FE" w:rsidRDefault="00F631E2" w:rsidP="0018182C">
            <w:pPr>
              <w:spacing w:line="360" w:lineRule="auto"/>
              <w:ind w:firstLine="720"/>
              <w:jc w:val="center"/>
              <w:rPr>
                <w:rFonts w:ascii="Times New Roman" w:hAnsi="Times New Roman" w:cs="Times New Roman"/>
                <w:sz w:val="24"/>
                <w:szCs w:val="24"/>
              </w:rPr>
            </w:pPr>
          </w:p>
        </w:tc>
        <w:tc>
          <w:tcPr>
            <w:tcW w:w="937" w:type="pct"/>
            <w:noWrap/>
            <w:vAlign w:val="center"/>
            <w:hideMark/>
          </w:tcPr>
          <w:p w14:paraId="054A2A57"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29.17%</w:t>
            </w:r>
          </w:p>
        </w:tc>
        <w:tc>
          <w:tcPr>
            <w:tcW w:w="926" w:type="pct"/>
            <w:noWrap/>
            <w:vAlign w:val="center"/>
            <w:hideMark/>
          </w:tcPr>
          <w:p w14:paraId="09470C46"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47.50%</w:t>
            </w:r>
          </w:p>
        </w:tc>
        <w:tc>
          <w:tcPr>
            <w:tcW w:w="926" w:type="pct"/>
            <w:noWrap/>
            <w:vAlign w:val="center"/>
            <w:hideMark/>
          </w:tcPr>
          <w:p w14:paraId="05AE838B" w14:textId="77777777" w:rsidR="00F631E2" w:rsidRPr="007B48FE" w:rsidRDefault="00F631E2" w:rsidP="0018182C">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23.33%</w:t>
            </w:r>
          </w:p>
        </w:tc>
        <w:tc>
          <w:tcPr>
            <w:tcW w:w="993" w:type="pct"/>
            <w:noWrap/>
            <w:vAlign w:val="center"/>
            <w:hideMark/>
          </w:tcPr>
          <w:p w14:paraId="12F9221F" w14:textId="77777777" w:rsidR="00F631E2" w:rsidRPr="002F39DC" w:rsidRDefault="00F631E2" w:rsidP="0018182C">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100.00%</w:t>
            </w:r>
          </w:p>
        </w:tc>
      </w:tr>
    </w:tbl>
    <w:p w14:paraId="2BB0FD64" w14:textId="77777777" w:rsidR="008D01A9" w:rsidRDefault="008D01A9" w:rsidP="00F631E2">
      <w:pPr>
        <w:spacing w:line="240" w:lineRule="auto"/>
        <w:jc w:val="both"/>
        <w:rPr>
          <w:rFonts w:ascii="Times New Roman" w:hAnsi="Times New Roman" w:cs="Times New Roman"/>
          <w:sz w:val="24"/>
          <w:szCs w:val="24"/>
        </w:rPr>
      </w:pPr>
    </w:p>
    <w:p w14:paraId="37A012C9" w14:textId="5C104EAE" w:rsidR="00F631E2" w:rsidRDefault="00C57FEA" w:rsidP="008D01A9">
      <w:pPr>
        <w:spacing w:line="240" w:lineRule="auto"/>
        <w:ind w:firstLine="720"/>
        <w:jc w:val="both"/>
        <w:rPr>
          <w:rFonts w:ascii="Times New Roman" w:hAnsi="Times New Roman" w:cs="Times New Roman"/>
          <w:sz w:val="24"/>
          <w:szCs w:val="24"/>
        </w:rPr>
      </w:pPr>
      <w:r w:rsidRPr="00DD7B47">
        <w:rPr>
          <w:rFonts w:ascii="Times New Roman" w:hAnsi="Times New Roman" w:cs="Times New Roman"/>
          <w:sz w:val="24"/>
          <w:szCs w:val="24"/>
        </w:rPr>
        <w:t xml:space="preserve">Table </w:t>
      </w:r>
      <w:r w:rsidR="00B6106D">
        <w:rPr>
          <w:rFonts w:ascii="Times New Roman" w:hAnsi="Times New Roman" w:cs="Times New Roman"/>
          <w:sz w:val="24"/>
          <w:szCs w:val="24"/>
        </w:rPr>
        <w:t>3</w:t>
      </w:r>
      <w:r w:rsidRPr="00DD7B47">
        <w:rPr>
          <w:rFonts w:ascii="Times New Roman" w:hAnsi="Times New Roman" w:cs="Times New Roman"/>
          <w:sz w:val="24"/>
          <w:szCs w:val="24"/>
        </w:rPr>
        <w:t xml:space="preserve"> shows the relationship between caste and level of education. It reveals that </w:t>
      </w:r>
      <w:r>
        <w:rPr>
          <w:rFonts w:ascii="Times New Roman" w:hAnsi="Times New Roman" w:cs="Times New Roman"/>
          <w:sz w:val="24"/>
          <w:szCs w:val="24"/>
        </w:rPr>
        <w:t>most</w:t>
      </w:r>
      <w:r w:rsidRPr="00DD7B47">
        <w:rPr>
          <w:rFonts w:ascii="Times New Roman" w:hAnsi="Times New Roman" w:cs="Times New Roman"/>
          <w:sz w:val="24"/>
          <w:szCs w:val="24"/>
        </w:rPr>
        <w:t xml:space="preserve"> respondents </w:t>
      </w:r>
      <w:r>
        <w:rPr>
          <w:rFonts w:ascii="Times New Roman" w:hAnsi="Times New Roman" w:cs="Times New Roman"/>
          <w:sz w:val="24"/>
          <w:szCs w:val="24"/>
        </w:rPr>
        <w:t xml:space="preserve">which are </w:t>
      </w:r>
      <w:r w:rsidRPr="00DD7B47">
        <w:rPr>
          <w:rFonts w:ascii="Times New Roman" w:hAnsi="Times New Roman" w:cs="Times New Roman"/>
          <w:sz w:val="24"/>
          <w:szCs w:val="24"/>
        </w:rPr>
        <w:t>belong to the OBC and SC categories</w:t>
      </w:r>
      <w:r>
        <w:rPr>
          <w:rFonts w:ascii="Times New Roman" w:hAnsi="Times New Roman" w:cs="Times New Roman"/>
          <w:sz w:val="24"/>
          <w:szCs w:val="24"/>
        </w:rPr>
        <w:t xml:space="preserve"> are illiterate, 16.67% and 9.17% respectively</w:t>
      </w:r>
      <w:r w:rsidRPr="00DD7B47">
        <w:rPr>
          <w:rFonts w:ascii="Times New Roman" w:hAnsi="Times New Roman" w:cs="Times New Roman"/>
          <w:sz w:val="24"/>
          <w:szCs w:val="24"/>
        </w:rPr>
        <w:t>. In contrast, individuals from the General category have the highest proportion of graduates (15.83%).</w:t>
      </w:r>
      <w:r>
        <w:rPr>
          <w:rFonts w:ascii="Times New Roman" w:hAnsi="Times New Roman" w:cs="Times New Roman"/>
          <w:sz w:val="24"/>
          <w:szCs w:val="24"/>
        </w:rPr>
        <w:t xml:space="preserve"> </w:t>
      </w:r>
      <w:r w:rsidR="008D01A9">
        <w:rPr>
          <w:rFonts w:ascii="Times New Roman" w:hAnsi="Times New Roman" w:cs="Times New Roman"/>
          <w:sz w:val="24"/>
          <w:szCs w:val="24"/>
        </w:rPr>
        <w:t>Th</w:t>
      </w:r>
      <w:r w:rsidR="009B4F69">
        <w:rPr>
          <w:rFonts w:ascii="Times New Roman" w:hAnsi="Times New Roman" w:cs="Times New Roman"/>
          <w:sz w:val="24"/>
          <w:szCs w:val="24"/>
        </w:rPr>
        <w:t xml:space="preserve">ere </w:t>
      </w:r>
      <w:r w:rsidR="008D01A9">
        <w:rPr>
          <w:rFonts w:ascii="Times New Roman" w:hAnsi="Times New Roman" w:cs="Times New Roman"/>
          <w:sz w:val="24"/>
          <w:szCs w:val="24"/>
        </w:rPr>
        <w:t xml:space="preserve">is </w:t>
      </w:r>
      <w:r w:rsidR="00561860">
        <w:rPr>
          <w:rFonts w:ascii="Times New Roman" w:hAnsi="Times New Roman" w:cs="Times New Roman"/>
          <w:sz w:val="24"/>
          <w:szCs w:val="24"/>
        </w:rPr>
        <w:t xml:space="preserve">some reason that is why </w:t>
      </w:r>
      <w:r w:rsidR="009F41F0">
        <w:rPr>
          <w:rFonts w:ascii="Times New Roman" w:hAnsi="Times New Roman" w:cs="Times New Roman"/>
          <w:sz w:val="24"/>
          <w:szCs w:val="24"/>
        </w:rPr>
        <w:t>they</w:t>
      </w:r>
      <w:r w:rsidR="00561860">
        <w:rPr>
          <w:rFonts w:ascii="Times New Roman" w:hAnsi="Times New Roman" w:cs="Times New Roman"/>
          <w:sz w:val="24"/>
          <w:szCs w:val="24"/>
        </w:rPr>
        <w:t xml:space="preserve"> did not </w:t>
      </w:r>
      <w:r w:rsidR="00823F11">
        <w:rPr>
          <w:rFonts w:ascii="Times New Roman" w:hAnsi="Times New Roman" w:cs="Times New Roman"/>
          <w:sz w:val="24"/>
          <w:szCs w:val="24"/>
        </w:rPr>
        <w:t xml:space="preserve">get </w:t>
      </w:r>
      <w:r w:rsidR="009F41F0">
        <w:rPr>
          <w:rFonts w:ascii="Times New Roman" w:hAnsi="Times New Roman" w:cs="Times New Roman"/>
          <w:sz w:val="24"/>
          <w:szCs w:val="24"/>
        </w:rPr>
        <w:t xml:space="preserve">an </w:t>
      </w:r>
      <w:r w:rsidR="00823F11">
        <w:rPr>
          <w:rFonts w:ascii="Times New Roman" w:hAnsi="Times New Roman" w:cs="Times New Roman"/>
          <w:sz w:val="24"/>
          <w:szCs w:val="24"/>
        </w:rPr>
        <w:t>education</w:t>
      </w:r>
      <w:r w:rsidR="009F41F0">
        <w:rPr>
          <w:rFonts w:ascii="Times New Roman" w:hAnsi="Times New Roman" w:cs="Times New Roman"/>
          <w:sz w:val="24"/>
          <w:szCs w:val="24"/>
        </w:rPr>
        <w:t>,</w:t>
      </w:r>
      <w:r w:rsidR="00823F11">
        <w:rPr>
          <w:rFonts w:ascii="Times New Roman" w:hAnsi="Times New Roman" w:cs="Times New Roman"/>
          <w:sz w:val="24"/>
          <w:szCs w:val="24"/>
        </w:rPr>
        <w:t xml:space="preserve"> like some level of caste</w:t>
      </w:r>
      <w:r w:rsidR="00970482">
        <w:rPr>
          <w:rFonts w:ascii="Times New Roman" w:hAnsi="Times New Roman" w:cs="Times New Roman"/>
          <w:sz w:val="24"/>
          <w:szCs w:val="24"/>
        </w:rPr>
        <w:t>-</w:t>
      </w:r>
      <w:r w:rsidR="00823F11">
        <w:rPr>
          <w:rFonts w:ascii="Times New Roman" w:hAnsi="Times New Roman" w:cs="Times New Roman"/>
          <w:sz w:val="24"/>
          <w:szCs w:val="24"/>
        </w:rPr>
        <w:t xml:space="preserve">based discrimination, </w:t>
      </w:r>
      <w:r w:rsidR="003D5578">
        <w:rPr>
          <w:rFonts w:ascii="Times New Roman" w:hAnsi="Times New Roman" w:cs="Times New Roman"/>
          <w:sz w:val="24"/>
          <w:szCs w:val="24"/>
        </w:rPr>
        <w:t>poor family planning</w:t>
      </w:r>
      <w:r w:rsidR="009F41F0">
        <w:rPr>
          <w:rFonts w:ascii="Times New Roman" w:hAnsi="Times New Roman" w:cs="Times New Roman"/>
          <w:sz w:val="24"/>
          <w:szCs w:val="24"/>
        </w:rPr>
        <w:t>,</w:t>
      </w:r>
      <w:r w:rsidR="003D5578">
        <w:rPr>
          <w:rFonts w:ascii="Times New Roman" w:hAnsi="Times New Roman" w:cs="Times New Roman"/>
          <w:sz w:val="24"/>
          <w:szCs w:val="24"/>
        </w:rPr>
        <w:t xml:space="preserve"> so </w:t>
      </w:r>
      <w:r w:rsidR="00640BD3">
        <w:rPr>
          <w:rFonts w:ascii="Times New Roman" w:hAnsi="Times New Roman" w:cs="Times New Roman"/>
          <w:sz w:val="24"/>
          <w:szCs w:val="24"/>
        </w:rPr>
        <w:t xml:space="preserve">children have to </w:t>
      </w:r>
      <w:r w:rsidR="009F41F0">
        <w:rPr>
          <w:rFonts w:ascii="Times New Roman" w:hAnsi="Times New Roman" w:cs="Times New Roman"/>
          <w:sz w:val="24"/>
          <w:szCs w:val="24"/>
        </w:rPr>
        <w:t>work</w:t>
      </w:r>
      <w:r w:rsidR="00640BD3">
        <w:rPr>
          <w:rFonts w:ascii="Times New Roman" w:hAnsi="Times New Roman" w:cs="Times New Roman"/>
          <w:sz w:val="24"/>
          <w:szCs w:val="24"/>
        </w:rPr>
        <w:t xml:space="preserve"> to support </w:t>
      </w:r>
      <w:r w:rsidR="009F41F0">
        <w:rPr>
          <w:rFonts w:ascii="Times New Roman" w:hAnsi="Times New Roman" w:cs="Times New Roman"/>
          <w:sz w:val="24"/>
          <w:szCs w:val="24"/>
        </w:rPr>
        <w:t xml:space="preserve">their </w:t>
      </w:r>
      <w:r w:rsidR="00640BD3">
        <w:rPr>
          <w:rFonts w:ascii="Times New Roman" w:hAnsi="Times New Roman" w:cs="Times New Roman"/>
          <w:sz w:val="24"/>
          <w:szCs w:val="24"/>
        </w:rPr>
        <w:t xml:space="preserve">family rather than getting </w:t>
      </w:r>
      <w:r w:rsidR="009F41F0">
        <w:rPr>
          <w:rFonts w:ascii="Times New Roman" w:hAnsi="Times New Roman" w:cs="Times New Roman"/>
          <w:sz w:val="24"/>
          <w:szCs w:val="24"/>
        </w:rPr>
        <w:t xml:space="preserve">an </w:t>
      </w:r>
      <w:r w:rsidR="00640BD3">
        <w:rPr>
          <w:rFonts w:ascii="Times New Roman" w:hAnsi="Times New Roman" w:cs="Times New Roman"/>
          <w:sz w:val="24"/>
          <w:szCs w:val="24"/>
        </w:rPr>
        <w:t>education</w:t>
      </w:r>
      <w:r w:rsidR="009F41F0">
        <w:rPr>
          <w:rFonts w:ascii="Times New Roman" w:hAnsi="Times New Roman" w:cs="Times New Roman"/>
          <w:sz w:val="24"/>
          <w:szCs w:val="24"/>
        </w:rPr>
        <w:t>.</w:t>
      </w:r>
    </w:p>
    <w:p w14:paraId="12FD870F" w14:textId="43B89BE9" w:rsidR="00F631E2" w:rsidRDefault="00F631E2" w:rsidP="00F631E2">
      <w:pPr>
        <w:spacing w:line="360" w:lineRule="auto"/>
        <w:ind w:firstLine="720"/>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Table </w:t>
      </w:r>
      <w:r w:rsidR="00B6106D">
        <w:rPr>
          <w:rFonts w:ascii="Times New Roman" w:hAnsi="Times New Roman" w:cs="Times New Roman"/>
          <w:b/>
          <w:bCs/>
          <w:sz w:val="24"/>
          <w:szCs w:val="24"/>
        </w:rPr>
        <w:t>4</w:t>
      </w:r>
      <w:r>
        <w:rPr>
          <w:rFonts w:ascii="Times New Roman" w:hAnsi="Times New Roman" w:cs="Times New Roman"/>
          <w:b/>
          <w:bCs/>
          <w:sz w:val="24"/>
          <w:szCs w:val="24"/>
        </w:rPr>
        <w:t xml:space="preserve">: </w:t>
      </w:r>
      <w:r w:rsidR="00C17B7E">
        <w:rPr>
          <w:rFonts w:ascii="Times New Roman" w:hAnsi="Times New Roman" w:cs="Times New Roman"/>
          <w:b/>
          <w:bCs/>
          <w:sz w:val="24"/>
          <w:szCs w:val="24"/>
        </w:rPr>
        <w:t>Family-wise</w:t>
      </w:r>
      <w:r w:rsidR="00D63E1D">
        <w:rPr>
          <w:rFonts w:ascii="Times New Roman" w:hAnsi="Times New Roman" w:cs="Times New Roman"/>
          <w:b/>
          <w:bCs/>
          <w:sz w:val="24"/>
          <w:szCs w:val="24"/>
        </w:rPr>
        <w:t xml:space="preserve"> education status in the study area</w:t>
      </w:r>
    </w:p>
    <w:tbl>
      <w:tblPr>
        <w:tblStyle w:val="TableGrid"/>
        <w:tblW w:w="5000" w:type="pct"/>
        <w:tblLook w:val="04A0" w:firstRow="1" w:lastRow="0" w:firstColumn="1" w:lastColumn="0" w:noHBand="0" w:noVBand="1"/>
      </w:tblPr>
      <w:tblGrid>
        <w:gridCol w:w="2764"/>
        <w:gridCol w:w="2102"/>
        <w:gridCol w:w="2128"/>
        <w:gridCol w:w="2248"/>
      </w:tblGrid>
      <w:tr w:rsidR="00F631E2" w:rsidRPr="00471B2D" w14:paraId="7DA1C4F8" w14:textId="77777777" w:rsidTr="00C57FEA">
        <w:trPr>
          <w:trHeight w:val="288"/>
        </w:trPr>
        <w:tc>
          <w:tcPr>
            <w:tcW w:w="1496" w:type="pct"/>
            <w:vMerge w:val="restart"/>
            <w:noWrap/>
            <w:vAlign w:val="center"/>
            <w:hideMark/>
          </w:tcPr>
          <w:p w14:paraId="2332FC5B" w14:textId="77777777" w:rsidR="00F631E2" w:rsidRPr="00471B2D" w:rsidRDefault="00F631E2" w:rsidP="0018182C">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Qualification</w:t>
            </w:r>
          </w:p>
        </w:tc>
        <w:tc>
          <w:tcPr>
            <w:tcW w:w="2288" w:type="pct"/>
            <w:gridSpan w:val="2"/>
            <w:noWrap/>
            <w:vAlign w:val="center"/>
            <w:hideMark/>
          </w:tcPr>
          <w:p w14:paraId="7607E17B" w14:textId="77777777" w:rsidR="00F631E2" w:rsidRPr="00471B2D" w:rsidRDefault="00F631E2" w:rsidP="0018182C">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Family type</w:t>
            </w:r>
          </w:p>
        </w:tc>
        <w:tc>
          <w:tcPr>
            <w:tcW w:w="1217" w:type="pct"/>
            <w:vMerge w:val="restart"/>
            <w:noWrap/>
            <w:vAlign w:val="center"/>
            <w:hideMark/>
          </w:tcPr>
          <w:p w14:paraId="27623541" w14:textId="77777777" w:rsidR="00F631E2" w:rsidRPr="00471B2D" w:rsidRDefault="00F631E2" w:rsidP="0018182C">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Grand Total</w:t>
            </w:r>
          </w:p>
        </w:tc>
      </w:tr>
      <w:tr w:rsidR="00F631E2" w:rsidRPr="00471B2D" w14:paraId="18BB3521" w14:textId="77777777" w:rsidTr="00C57FEA">
        <w:trPr>
          <w:trHeight w:val="288"/>
        </w:trPr>
        <w:tc>
          <w:tcPr>
            <w:tcW w:w="1496" w:type="pct"/>
            <w:vMerge/>
            <w:noWrap/>
            <w:vAlign w:val="center"/>
            <w:hideMark/>
          </w:tcPr>
          <w:p w14:paraId="420E4D70" w14:textId="77777777" w:rsidR="00F631E2" w:rsidRPr="00471B2D" w:rsidRDefault="00F631E2" w:rsidP="0018182C">
            <w:pPr>
              <w:spacing w:line="360" w:lineRule="auto"/>
              <w:jc w:val="center"/>
              <w:rPr>
                <w:rFonts w:ascii="Times New Roman" w:hAnsi="Times New Roman" w:cs="Times New Roman"/>
                <w:b/>
                <w:bCs/>
                <w:sz w:val="24"/>
                <w:szCs w:val="24"/>
              </w:rPr>
            </w:pPr>
          </w:p>
        </w:tc>
        <w:tc>
          <w:tcPr>
            <w:tcW w:w="1137" w:type="pct"/>
            <w:noWrap/>
            <w:vAlign w:val="center"/>
            <w:hideMark/>
          </w:tcPr>
          <w:p w14:paraId="39BD9888" w14:textId="77777777" w:rsidR="00F631E2" w:rsidRPr="00471B2D" w:rsidRDefault="00F631E2" w:rsidP="0018182C">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Joint</w:t>
            </w:r>
          </w:p>
        </w:tc>
        <w:tc>
          <w:tcPr>
            <w:tcW w:w="1151" w:type="pct"/>
            <w:noWrap/>
            <w:vAlign w:val="center"/>
            <w:hideMark/>
          </w:tcPr>
          <w:p w14:paraId="399160E3" w14:textId="77777777" w:rsidR="00F631E2" w:rsidRPr="00471B2D" w:rsidRDefault="00F631E2" w:rsidP="0018182C">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Nuclear</w:t>
            </w:r>
          </w:p>
        </w:tc>
        <w:tc>
          <w:tcPr>
            <w:tcW w:w="1217" w:type="pct"/>
            <w:vMerge/>
            <w:noWrap/>
            <w:vAlign w:val="center"/>
            <w:hideMark/>
          </w:tcPr>
          <w:p w14:paraId="193EC93F" w14:textId="77777777" w:rsidR="00F631E2" w:rsidRPr="00471B2D" w:rsidRDefault="00F631E2" w:rsidP="0018182C">
            <w:pPr>
              <w:spacing w:line="360" w:lineRule="auto"/>
              <w:jc w:val="center"/>
              <w:rPr>
                <w:rFonts w:ascii="Times New Roman" w:hAnsi="Times New Roman" w:cs="Times New Roman"/>
                <w:b/>
                <w:bCs/>
                <w:sz w:val="24"/>
                <w:szCs w:val="24"/>
              </w:rPr>
            </w:pPr>
          </w:p>
        </w:tc>
      </w:tr>
      <w:tr w:rsidR="00F631E2" w:rsidRPr="00471B2D" w14:paraId="3CC07A94" w14:textId="77777777" w:rsidTr="00C57FEA">
        <w:trPr>
          <w:trHeight w:val="288"/>
        </w:trPr>
        <w:tc>
          <w:tcPr>
            <w:tcW w:w="1496" w:type="pct"/>
            <w:vMerge w:val="restart"/>
            <w:noWrap/>
            <w:vAlign w:val="center"/>
            <w:hideMark/>
          </w:tcPr>
          <w:p w14:paraId="60F1F227" w14:textId="77777777" w:rsidR="00F631E2" w:rsidRPr="00471B2D" w:rsidRDefault="00F631E2" w:rsidP="0018182C">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Illiterate</w:t>
            </w:r>
          </w:p>
          <w:p w14:paraId="3CE3A0BA" w14:textId="77777777" w:rsidR="00F631E2" w:rsidRPr="00471B2D" w:rsidRDefault="00F631E2" w:rsidP="0018182C">
            <w:pPr>
              <w:spacing w:line="360" w:lineRule="auto"/>
              <w:jc w:val="center"/>
              <w:rPr>
                <w:rFonts w:ascii="Times New Roman" w:hAnsi="Times New Roman" w:cs="Times New Roman"/>
                <w:b/>
                <w:bCs/>
                <w:sz w:val="24"/>
                <w:szCs w:val="24"/>
              </w:rPr>
            </w:pPr>
          </w:p>
        </w:tc>
        <w:tc>
          <w:tcPr>
            <w:tcW w:w="1137" w:type="pct"/>
            <w:noWrap/>
            <w:vAlign w:val="center"/>
            <w:hideMark/>
          </w:tcPr>
          <w:p w14:paraId="0399E241"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27</w:t>
            </w:r>
          </w:p>
        </w:tc>
        <w:tc>
          <w:tcPr>
            <w:tcW w:w="1151" w:type="pct"/>
            <w:noWrap/>
            <w:vAlign w:val="center"/>
            <w:hideMark/>
          </w:tcPr>
          <w:p w14:paraId="4189938E"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9</w:t>
            </w:r>
          </w:p>
        </w:tc>
        <w:tc>
          <w:tcPr>
            <w:tcW w:w="1217" w:type="pct"/>
            <w:noWrap/>
            <w:vAlign w:val="center"/>
            <w:hideMark/>
          </w:tcPr>
          <w:p w14:paraId="55EE946A"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36</w:t>
            </w:r>
          </w:p>
        </w:tc>
      </w:tr>
      <w:tr w:rsidR="00F631E2" w:rsidRPr="00471B2D" w14:paraId="0892E37A" w14:textId="77777777" w:rsidTr="00C57FEA">
        <w:trPr>
          <w:trHeight w:val="288"/>
        </w:trPr>
        <w:tc>
          <w:tcPr>
            <w:tcW w:w="1496" w:type="pct"/>
            <w:vMerge/>
            <w:noWrap/>
            <w:vAlign w:val="center"/>
            <w:hideMark/>
          </w:tcPr>
          <w:p w14:paraId="3F2B51F6" w14:textId="77777777" w:rsidR="00F631E2" w:rsidRPr="00471B2D" w:rsidRDefault="00F631E2" w:rsidP="0018182C">
            <w:pPr>
              <w:spacing w:line="360" w:lineRule="auto"/>
              <w:jc w:val="center"/>
              <w:rPr>
                <w:rFonts w:ascii="Times New Roman" w:hAnsi="Times New Roman" w:cs="Times New Roman"/>
                <w:b/>
                <w:bCs/>
                <w:sz w:val="24"/>
                <w:szCs w:val="24"/>
              </w:rPr>
            </w:pPr>
          </w:p>
        </w:tc>
        <w:tc>
          <w:tcPr>
            <w:tcW w:w="1137" w:type="pct"/>
            <w:noWrap/>
            <w:vAlign w:val="center"/>
            <w:hideMark/>
          </w:tcPr>
          <w:p w14:paraId="7BF42E2B"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22.50%</w:t>
            </w:r>
          </w:p>
        </w:tc>
        <w:tc>
          <w:tcPr>
            <w:tcW w:w="1151" w:type="pct"/>
            <w:noWrap/>
            <w:vAlign w:val="center"/>
            <w:hideMark/>
          </w:tcPr>
          <w:p w14:paraId="619C25B9"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7.50%</w:t>
            </w:r>
          </w:p>
        </w:tc>
        <w:tc>
          <w:tcPr>
            <w:tcW w:w="1217" w:type="pct"/>
            <w:noWrap/>
            <w:vAlign w:val="center"/>
            <w:hideMark/>
          </w:tcPr>
          <w:p w14:paraId="3E601F05"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30%</w:t>
            </w:r>
          </w:p>
        </w:tc>
      </w:tr>
      <w:tr w:rsidR="00F631E2" w:rsidRPr="00471B2D" w14:paraId="191B62B6" w14:textId="77777777" w:rsidTr="00C57FEA">
        <w:trPr>
          <w:trHeight w:val="288"/>
        </w:trPr>
        <w:tc>
          <w:tcPr>
            <w:tcW w:w="1496" w:type="pct"/>
            <w:vMerge w:val="restart"/>
            <w:noWrap/>
            <w:vAlign w:val="center"/>
            <w:hideMark/>
          </w:tcPr>
          <w:p w14:paraId="062D7EF0" w14:textId="77777777" w:rsidR="00F631E2" w:rsidRPr="00471B2D" w:rsidRDefault="00F631E2" w:rsidP="0018182C">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Primary</w:t>
            </w:r>
          </w:p>
          <w:p w14:paraId="1A6B78D5" w14:textId="77777777" w:rsidR="00F631E2" w:rsidRPr="00471B2D" w:rsidRDefault="00F631E2" w:rsidP="0018182C">
            <w:pPr>
              <w:spacing w:line="360" w:lineRule="auto"/>
              <w:jc w:val="center"/>
              <w:rPr>
                <w:rFonts w:ascii="Times New Roman" w:hAnsi="Times New Roman" w:cs="Times New Roman"/>
                <w:b/>
                <w:bCs/>
                <w:sz w:val="24"/>
                <w:szCs w:val="24"/>
              </w:rPr>
            </w:pPr>
          </w:p>
        </w:tc>
        <w:tc>
          <w:tcPr>
            <w:tcW w:w="1137" w:type="pct"/>
            <w:noWrap/>
            <w:vAlign w:val="center"/>
            <w:hideMark/>
          </w:tcPr>
          <w:p w14:paraId="28074D56"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15</w:t>
            </w:r>
          </w:p>
        </w:tc>
        <w:tc>
          <w:tcPr>
            <w:tcW w:w="1151" w:type="pct"/>
            <w:noWrap/>
            <w:vAlign w:val="center"/>
            <w:hideMark/>
          </w:tcPr>
          <w:p w14:paraId="3B2E9A6F"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5</w:t>
            </w:r>
          </w:p>
        </w:tc>
        <w:tc>
          <w:tcPr>
            <w:tcW w:w="1217" w:type="pct"/>
            <w:noWrap/>
            <w:vAlign w:val="center"/>
            <w:hideMark/>
          </w:tcPr>
          <w:p w14:paraId="05E76507"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20</w:t>
            </w:r>
          </w:p>
        </w:tc>
      </w:tr>
      <w:tr w:rsidR="00F631E2" w:rsidRPr="00471B2D" w14:paraId="54E03760" w14:textId="77777777" w:rsidTr="00C57FEA">
        <w:trPr>
          <w:trHeight w:val="288"/>
        </w:trPr>
        <w:tc>
          <w:tcPr>
            <w:tcW w:w="1496" w:type="pct"/>
            <w:vMerge/>
            <w:noWrap/>
            <w:vAlign w:val="center"/>
            <w:hideMark/>
          </w:tcPr>
          <w:p w14:paraId="4AA69730" w14:textId="77777777" w:rsidR="00F631E2" w:rsidRPr="00471B2D" w:rsidRDefault="00F631E2" w:rsidP="0018182C">
            <w:pPr>
              <w:spacing w:line="360" w:lineRule="auto"/>
              <w:jc w:val="center"/>
              <w:rPr>
                <w:rFonts w:ascii="Times New Roman" w:hAnsi="Times New Roman" w:cs="Times New Roman"/>
                <w:b/>
                <w:bCs/>
                <w:sz w:val="24"/>
                <w:szCs w:val="24"/>
              </w:rPr>
            </w:pPr>
          </w:p>
        </w:tc>
        <w:tc>
          <w:tcPr>
            <w:tcW w:w="1137" w:type="pct"/>
            <w:noWrap/>
            <w:vAlign w:val="center"/>
            <w:hideMark/>
          </w:tcPr>
          <w:p w14:paraId="7402F9AE"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12.50%</w:t>
            </w:r>
          </w:p>
        </w:tc>
        <w:tc>
          <w:tcPr>
            <w:tcW w:w="1151" w:type="pct"/>
            <w:noWrap/>
            <w:vAlign w:val="center"/>
            <w:hideMark/>
          </w:tcPr>
          <w:p w14:paraId="313181F8"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4.17%</w:t>
            </w:r>
          </w:p>
        </w:tc>
        <w:tc>
          <w:tcPr>
            <w:tcW w:w="1217" w:type="pct"/>
            <w:noWrap/>
            <w:vAlign w:val="center"/>
            <w:hideMark/>
          </w:tcPr>
          <w:p w14:paraId="5353E760"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16.67%</w:t>
            </w:r>
          </w:p>
        </w:tc>
      </w:tr>
      <w:tr w:rsidR="00F631E2" w:rsidRPr="00471B2D" w14:paraId="07FF797A" w14:textId="77777777" w:rsidTr="00C57FEA">
        <w:trPr>
          <w:trHeight w:val="288"/>
        </w:trPr>
        <w:tc>
          <w:tcPr>
            <w:tcW w:w="1496" w:type="pct"/>
            <w:vMerge w:val="restart"/>
            <w:noWrap/>
            <w:vAlign w:val="center"/>
            <w:hideMark/>
          </w:tcPr>
          <w:p w14:paraId="38B92E20" w14:textId="77777777" w:rsidR="00F631E2" w:rsidRPr="00471B2D" w:rsidRDefault="00F631E2" w:rsidP="0018182C">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High School</w:t>
            </w:r>
          </w:p>
          <w:p w14:paraId="332B49B5" w14:textId="77777777" w:rsidR="00F631E2" w:rsidRPr="00471B2D" w:rsidRDefault="00F631E2" w:rsidP="0018182C">
            <w:pPr>
              <w:spacing w:line="360" w:lineRule="auto"/>
              <w:jc w:val="center"/>
              <w:rPr>
                <w:rFonts w:ascii="Times New Roman" w:hAnsi="Times New Roman" w:cs="Times New Roman"/>
                <w:b/>
                <w:bCs/>
                <w:sz w:val="24"/>
                <w:szCs w:val="24"/>
              </w:rPr>
            </w:pPr>
          </w:p>
        </w:tc>
        <w:tc>
          <w:tcPr>
            <w:tcW w:w="1137" w:type="pct"/>
            <w:noWrap/>
            <w:vAlign w:val="center"/>
            <w:hideMark/>
          </w:tcPr>
          <w:p w14:paraId="1EB7748E"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4</w:t>
            </w:r>
          </w:p>
        </w:tc>
        <w:tc>
          <w:tcPr>
            <w:tcW w:w="1151" w:type="pct"/>
            <w:noWrap/>
            <w:vAlign w:val="center"/>
            <w:hideMark/>
          </w:tcPr>
          <w:p w14:paraId="7EFF3037"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w:t>
            </w:r>
          </w:p>
        </w:tc>
        <w:tc>
          <w:tcPr>
            <w:tcW w:w="1217" w:type="pct"/>
            <w:noWrap/>
            <w:vAlign w:val="center"/>
            <w:hideMark/>
          </w:tcPr>
          <w:p w14:paraId="1EE9BCDF"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5</w:t>
            </w:r>
          </w:p>
        </w:tc>
      </w:tr>
      <w:tr w:rsidR="00F631E2" w:rsidRPr="00471B2D" w14:paraId="732605E7" w14:textId="77777777" w:rsidTr="00C57FEA">
        <w:trPr>
          <w:trHeight w:val="288"/>
        </w:trPr>
        <w:tc>
          <w:tcPr>
            <w:tcW w:w="1496" w:type="pct"/>
            <w:vMerge/>
            <w:noWrap/>
            <w:vAlign w:val="center"/>
            <w:hideMark/>
          </w:tcPr>
          <w:p w14:paraId="6EE3F537" w14:textId="77777777" w:rsidR="00F631E2" w:rsidRPr="00471B2D" w:rsidRDefault="00F631E2" w:rsidP="0018182C">
            <w:pPr>
              <w:spacing w:line="360" w:lineRule="auto"/>
              <w:jc w:val="center"/>
              <w:rPr>
                <w:rFonts w:ascii="Times New Roman" w:hAnsi="Times New Roman" w:cs="Times New Roman"/>
                <w:b/>
                <w:bCs/>
                <w:sz w:val="24"/>
                <w:szCs w:val="24"/>
              </w:rPr>
            </w:pPr>
          </w:p>
        </w:tc>
        <w:tc>
          <w:tcPr>
            <w:tcW w:w="1137" w:type="pct"/>
            <w:noWrap/>
            <w:vAlign w:val="center"/>
            <w:hideMark/>
          </w:tcPr>
          <w:p w14:paraId="3A432C27"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3.33%</w:t>
            </w:r>
          </w:p>
        </w:tc>
        <w:tc>
          <w:tcPr>
            <w:tcW w:w="1151" w:type="pct"/>
            <w:noWrap/>
            <w:vAlign w:val="center"/>
            <w:hideMark/>
          </w:tcPr>
          <w:p w14:paraId="3E01A0AC"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0.83%</w:t>
            </w:r>
          </w:p>
        </w:tc>
        <w:tc>
          <w:tcPr>
            <w:tcW w:w="1217" w:type="pct"/>
            <w:noWrap/>
            <w:vAlign w:val="center"/>
            <w:hideMark/>
          </w:tcPr>
          <w:p w14:paraId="5F7DAB6B"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4.17%</w:t>
            </w:r>
          </w:p>
        </w:tc>
      </w:tr>
      <w:tr w:rsidR="00F631E2" w:rsidRPr="00471B2D" w14:paraId="3149AA47" w14:textId="77777777" w:rsidTr="00C57FEA">
        <w:trPr>
          <w:trHeight w:val="288"/>
        </w:trPr>
        <w:tc>
          <w:tcPr>
            <w:tcW w:w="1496" w:type="pct"/>
            <w:vMerge w:val="restart"/>
            <w:noWrap/>
            <w:vAlign w:val="center"/>
            <w:hideMark/>
          </w:tcPr>
          <w:p w14:paraId="14BD6D8D" w14:textId="77777777" w:rsidR="00F631E2" w:rsidRPr="00471B2D" w:rsidRDefault="00F631E2" w:rsidP="0018182C">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Intermediate</w:t>
            </w:r>
          </w:p>
          <w:p w14:paraId="42206CCD" w14:textId="77777777" w:rsidR="00F631E2" w:rsidRPr="00471B2D" w:rsidRDefault="00F631E2" w:rsidP="0018182C">
            <w:pPr>
              <w:spacing w:line="360" w:lineRule="auto"/>
              <w:jc w:val="center"/>
              <w:rPr>
                <w:rFonts w:ascii="Times New Roman" w:hAnsi="Times New Roman" w:cs="Times New Roman"/>
                <w:b/>
                <w:bCs/>
                <w:sz w:val="24"/>
                <w:szCs w:val="24"/>
              </w:rPr>
            </w:pPr>
          </w:p>
        </w:tc>
        <w:tc>
          <w:tcPr>
            <w:tcW w:w="1137" w:type="pct"/>
            <w:noWrap/>
            <w:vAlign w:val="center"/>
            <w:hideMark/>
          </w:tcPr>
          <w:p w14:paraId="70FABF40"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16</w:t>
            </w:r>
          </w:p>
        </w:tc>
        <w:tc>
          <w:tcPr>
            <w:tcW w:w="1151" w:type="pct"/>
            <w:noWrap/>
            <w:vAlign w:val="center"/>
            <w:hideMark/>
          </w:tcPr>
          <w:p w14:paraId="5E87DEBA"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8</w:t>
            </w:r>
          </w:p>
        </w:tc>
        <w:tc>
          <w:tcPr>
            <w:tcW w:w="1217" w:type="pct"/>
            <w:noWrap/>
            <w:vAlign w:val="center"/>
            <w:hideMark/>
          </w:tcPr>
          <w:p w14:paraId="1D7875BE"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24</w:t>
            </w:r>
          </w:p>
        </w:tc>
      </w:tr>
      <w:tr w:rsidR="00F631E2" w:rsidRPr="00471B2D" w14:paraId="3A5B2B4F" w14:textId="77777777" w:rsidTr="00C57FEA">
        <w:trPr>
          <w:trHeight w:val="288"/>
        </w:trPr>
        <w:tc>
          <w:tcPr>
            <w:tcW w:w="1496" w:type="pct"/>
            <w:vMerge/>
            <w:noWrap/>
            <w:vAlign w:val="center"/>
            <w:hideMark/>
          </w:tcPr>
          <w:p w14:paraId="72163EBB" w14:textId="77777777" w:rsidR="00F631E2" w:rsidRPr="00471B2D" w:rsidRDefault="00F631E2" w:rsidP="0018182C">
            <w:pPr>
              <w:spacing w:line="360" w:lineRule="auto"/>
              <w:jc w:val="center"/>
              <w:rPr>
                <w:rFonts w:ascii="Times New Roman" w:hAnsi="Times New Roman" w:cs="Times New Roman"/>
                <w:b/>
                <w:bCs/>
                <w:sz w:val="24"/>
                <w:szCs w:val="24"/>
              </w:rPr>
            </w:pPr>
          </w:p>
        </w:tc>
        <w:tc>
          <w:tcPr>
            <w:tcW w:w="1137" w:type="pct"/>
            <w:noWrap/>
            <w:vAlign w:val="center"/>
            <w:hideMark/>
          </w:tcPr>
          <w:p w14:paraId="5A717D13"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13.33%</w:t>
            </w:r>
          </w:p>
        </w:tc>
        <w:tc>
          <w:tcPr>
            <w:tcW w:w="1151" w:type="pct"/>
            <w:noWrap/>
            <w:vAlign w:val="center"/>
            <w:hideMark/>
          </w:tcPr>
          <w:p w14:paraId="4ED82688"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6.67%</w:t>
            </w:r>
          </w:p>
        </w:tc>
        <w:tc>
          <w:tcPr>
            <w:tcW w:w="1217" w:type="pct"/>
            <w:noWrap/>
            <w:vAlign w:val="center"/>
            <w:hideMark/>
          </w:tcPr>
          <w:p w14:paraId="554B0712"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20%</w:t>
            </w:r>
          </w:p>
        </w:tc>
      </w:tr>
      <w:tr w:rsidR="00F631E2" w:rsidRPr="00471B2D" w14:paraId="36ABC9CF" w14:textId="77777777" w:rsidTr="00C57FEA">
        <w:trPr>
          <w:trHeight w:val="288"/>
        </w:trPr>
        <w:tc>
          <w:tcPr>
            <w:tcW w:w="1496" w:type="pct"/>
            <w:vMerge w:val="restart"/>
            <w:noWrap/>
            <w:vAlign w:val="center"/>
            <w:hideMark/>
          </w:tcPr>
          <w:p w14:paraId="56995382" w14:textId="77777777" w:rsidR="00F631E2" w:rsidRPr="00471B2D" w:rsidRDefault="00F631E2" w:rsidP="0018182C">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Graduate</w:t>
            </w:r>
          </w:p>
          <w:p w14:paraId="53258BF3" w14:textId="77777777" w:rsidR="00F631E2" w:rsidRPr="00471B2D" w:rsidRDefault="00F631E2" w:rsidP="0018182C">
            <w:pPr>
              <w:spacing w:line="360" w:lineRule="auto"/>
              <w:jc w:val="center"/>
              <w:rPr>
                <w:rFonts w:ascii="Times New Roman" w:hAnsi="Times New Roman" w:cs="Times New Roman"/>
                <w:b/>
                <w:bCs/>
                <w:sz w:val="24"/>
                <w:szCs w:val="24"/>
              </w:rPr>
            </w:pPr>
          </w:p>
        </w:tc>
        <w:tc>
          <w:tcPr>
            <w:tcW w:w="1137" w:type="pct"/>
            <w:noWrap/>
            <w:vAlign w:val="center"/>
            <w:hideMark/>
          </w:tcPr>
          <w:p w14:paraId="6276CE6E"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11</w:t>
            </w:r>
          </w:p>
        </w:tc>
        <w:tc>
          <w:tcPr>
            <w:tcW w:w="1151" w:type="pct"/>
            <w:noWrap/>
            <w:vAlign w:val="center"/>
            <w:hideMark/>
          </w:tcPr>
          <w:p w14:paraId="02DA340C"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24</w:t>
            </w:r>
          </w:p>
        </w:tc>
        <w:tc>
          <w:tcPr>
            <w:tcW w:w="1217" w:type="pct"/>
            <w:noWrap/>
            <w:vAlign w:val="center"/>
            <w:hideMark/>
          </w:tcPr>
          <w:p w14:paraId="080B5AEC"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35</w:t>
            </w:r>
          </w:p>
        </w:tc>
      </w:tr>
      <w:tr w:rsidR="00F631E2" w:rsidRPr="00471B2D" w14:paraId="0667E30D" w14:textId="77777777" w:rsidTr="00C57FEA">
        <w:trPr>
          <w:trHeight w:val="288"/>
        </w:trPr>
        <w:tc>
          <w:tcPr>
            <w:tcW w:w="1496" w:type="pct"/>
            <w:vMerge/>
            <w:noWrap/>
            <w:vAlign w:val="center"/>
            <w:hideMark/>
          </w:tcPr>
          <w:p w14:paraId="7769CBE6" w14:textId="77777777" w:rsidR="00F631E2" w:rsidRPr="00471B2D" w:rsidRDefault="00F631E2" w:rsidP="0018182C">
            <w:pPr>
              <w:spacing w:line="360" w:lineRule="auto"/>
              <w:jc w:val="center"/>
              <w:rPr>
                <w:rFonts w:ascii="Times New Roman" w:hAnsi="Times New Roman" w:cs="Times New Roman"/>
                <w:b/>
                <w:bCs/>
                <w:sz w:val="24"/>
                <w:szCs w:val="24"/>
              </w:rPr>
            </w:pPr>
          </w:p>
        </w:tc>
        <w:tc>
          <w:tcPr>
            <w:tcW w:w="1137" w:type="pct"/>
            <w:noWrap/>
            <w:vAlign w:val="center"/>
            <w:hideMark/>
          </w:tcPr>
          <w:p w14:paraId="30C032F0"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9.17%</w:t>
            </w:r>
          </w:p>
        </w:tc>
        <w:tc>
          <w:tcPr>
            <w:tcW w:w="1151" w:type="pct"/>
            <w:noWrap/>
            <w:vAlign w:val="center"/>
            <w:hideMark/>
          </w:tcPr>
          <w:p w14:paraId="586EE8BE"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20%</w:t>
            </w:r>
          </w:p>
        </w:tc>
        <w:tc>
          <w:tcPr>
            <w:tcW w:w="1217" w:type="pct"/>
            <w:noWrap/>
            <w:vAlign w:val="center"/>
            <w:hideMark/>
          </w:tcPr>
          <w:p w14:paraId="31E3ACC6" w14:textId="77777777" w:rsidR="00F631E2" w:rsidRPr="00471B2D" w:rsidRDefault="00F631E2" w:rsidP="0018182C">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29.17%</w:t>
            </w:r>
          </w:p>
        </w:tc>
      </w:tr>
      <w:tr w:rsidR="00F631E2" w:rsidRPr="00471B2D" w14:paraId="72111CBD" w14:textId="77777777" w:rsidTr="00C57FEA">
        <w:trPr>
          <w:trHeight w:val="288"/>
        </w:trPr>
        <w:tc>
          <w:tcPr>
            <w:tcW w:w="1496" w:type="pct"/>
            <w:vMerge w:val="restart"/>
            <w:noWrap/>
            <w:vAlign w:val="center"/>
            <w:hideMark/>
          </w:tcPr>
          <w:p w14:paraId="5A7E2943" w14:textId="77777777" w:rsidR="00F631E2" w:rsidRPr="00471B2D" w:rsidRDefault="00F631E2" w:rsidP="0018182C">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Grand Total</w:t>
            </w:r>
          </w:p>
        </w:tc>
        <w:tc>
          <w:tcPr>
            <w:tcW w:w="1137" w:type="pct"/>
            <w:noWrap/>
            <w:vAlign w:val="center"/>
            <w:hideMark/>
          </w:tcPr>
          <w:p w14:paraId="3501CA61" w14:textId="77777777" w:rsidR="00F631E2" w:rsidRPr="00471B2D" w:rsidRDefault="00F631E2" w:rsidP="0018182C">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73</w:t>
            </w:r>
          </w:p>
        </w:tc>
        <w:tc>
          <w:tcPr>
            <w:tcW w:w="1151" w:type="pct"/>
            <w:noWrap/>
            <w:vAlign w:val="center"/>
            <w:hideMark/>
          </w:tcPr>
          <w:p w14:paraId="20BDB951" w14:textId="77777777" w:rsidR="00F631E2" w:rsidRPr="00471B2D" w:rsidRDefault="00F631E2" w:rsidP="0018182C">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47</w:t>
            </w:r>
          </w:p>
        </w:tc>
        <w:tc>
          <w:tcPr>
            <w:tcW w:w="1217" w:type="pct"/>
            <w:noWrap/>
            <w:vAlign w:val="center"/>
            <w:hideMark/>
          </w:tcPr>
          <w:p w14:paraId="297B163E" w14:textId="77777777" w:rsidR="00F631E2" w:rsidRPr="00471B2D" w:rsidRDefault="00F631E2" w:rsidP="0018182C">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120</w:t>
            </w:r>
          </w:p>
        </w:tc>
      </w:tr>
      <w:tr w:rsidR="00F631E2" w:rsidRPr="00471B2D" w14:paraId="5201C752" w14:textId="77777777" w:rsidTr="00C57FEA">
        <w:trPr>
          <w:trHeight w:val="288"/>
        </w:trPr>
        <w:tc>
          <w:tcPr>
            <w:tcW w:w="1496" w:type="pct"/>
            <w:vMerge/>
            <w:noWrap/>
            <w:vAlign w:val="center"/>
            <w:hideMark/>
          </w:tcPr>
          <w:p w14:paraId="15888529" w14:textId="77777777" w:rsidR="00F631E2" w:rsidRPr="00471B2D" w:rsidRDefault="00F631E2" w:rsidP="0018182C">
            <w:pPr>
              <w:spacing w:line="360" w:lineRule="auto"/>
              <w:jc w:val="center"/>
              <w:rPr>
                <w:rFonts w:ascii="Times New Roman" w:hAnsi="Times New Roman" w:cs="Times New Roman"/>
                <w:b/>
                <w:bCs/>
                <w:sz w:val="24"/>
                <w:szCs w:val="24"/>
              </w:rPr>
            </w:pPr>
          </w:p>
        </w:tc>
        <w:tc>
          <w:tcPr>
            <w:tcW w:w="1137" w:type="pct"/>
            <w:noWrap/>
            <w:vAlign w:val="center"/>
            <w:hideMark/>
          </w:tcPr>
          <w:p w14:paraId="31692B2B" w14:textId="77777777" w:rsidR="00F631E2" w:rsidRPr="00471B2D" w:rsidRDefault="00F631E2" w:rsidP="0018182C">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60.83%</w:t>
            </w:r>
          </w:p>
        </w:tc>
        <w:tc>
          <w:tcPr>
            <w:tcW w:w="1151" w:type="pct"/>
            <w:noWrap/>
            <w:vAlign w:val="center"/>
            <w:hideMark/>
          </w:tcPr>
          <w:p w14:paraId="2AA9F015" w14:textId="77777777" w:rsidR="00F631E2" w:rsidRPr="00471B2D" w:rsidRDefault="00F631E2" w:rsidP="0018182C">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39.17%</w:t>
            </w:r>
          </w:p>
        </w:tc>
        <w:tc>
          <w:tcPr>
            <w:tcW w:w="1217" w:type="pct"/>
            <w:noWrap/>
            <w:vAlign w:val="center"/>
            <w:hideMark/>
          </w:tcPr>
          <w:p w14:paraId="546C18D7" w14:textId="77777777" w:rsidR="00F631E2" w:rsidRPr="00471B2D" w:rsidRDefault="00F631E2" w:rsidP="0018182C">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100.00%</w:t>
            </w:r>
          </w:p>
        </w:tc>
      </w:tr>
    </w:tbl>
    <w:p w14:paraId="1F9C8FB5" w14:textId="77777777" w:rsidR="00970482" w:rsidRDefault="00970482" w:rsidP="00F631E2">
      <w:pPr>
        <w:spacing w:line="240" w:lineRule="auto"/>
        <w:jc w:val="both"/>
        <w:rPr>
          <w:rFonts w:ascii="Times New Roman" w:hAnsi="Times New Roman" w:cs="Times New Roman"/>
          <w:sz w:val="24"/>
          <w:szCs w:val="24"/>
        </w:rPr>
      </w:pPr>
    </w:p>
    <w:p w14:paraId="7E5E2D4F" w14:textId="305F31C9" w:rsidR="00E864DC" w:rsidRDefault="00C57FEA" w:rsidP="00E864DC">
      <w:pPr>
        <w:spacing w:line="240" w:lineRule="auto"/>
        <w:ind w:firstLine="720"/>
        <w:jc w:val="both"/>
        <w:rPr>
          <w:rFonts w:ascii="Times New Roman" w:hAnsi="Times New Roman" w:cs="Times New Roman"/>
          <w:sz w:val="24"/>
          <w:szCs w:val="24"/>
        </w:rPr>
      </w:pPr>
      <w:r w:rsidRPr="00442F32">
        <w:rPr>
          <w:rFonts w:ascii="Times New Roman" w:hAnsi="Times New Roman" w:cs="Times New Roman"/>
          <w:sz w:val="24"/>
          <w:szCs w:val="24"/>
        </w:rPr>
        <w:t xml:space="preserve">Table </w:t>
      </w:r>
      <w:r w:rsidR="00B6106D">
        <w:rPr>
          <w:rFonts w:ascii="Times New Roman" w:hAnsi="Times New Roman" w:cs="Times New Roman"/>
          <w:sz w:val="24"/>
          <w:szCs w:val="24"/>
        </w:rPr>
        <w:t>4</w:t>
      </w:r>
      <w:r w:rsidRPr="00442F32">
        <w:rPr>
          <w:rFonts w:ascii="Times New Roman" w:hAnsi="Times New Roman" w:cs="Times New Roman"/>
          <w:sz w:val="24"/>
          <w:szCs w:val="24"/>
        </w:rPr>
        <w:t xml:space="preserve"> examines the relationship between family type and level of education. It shows that most </w:t>
      </w:r>
      <w:r>
        <w:rPr>
          <w:rFonts w:ascii="Times New Roman" w:hAnsi="Times New Roman" w:cs="Times New Roman"/>
          <w:sz w:val="24"/>
          <w:szCs w:val="24"/>
        </w:rPr>
        <w:t>of the</w:t>
      </w:r>
      <w:r w:rsidRPr="00442F32">
        <w:rPr>
          <w:rFonts w:ascii="Times New Roman" w:hAnsi="Times New Roman" w:cs="Times New Roman"/>
          <w:sz w:val="24"/>
          <w:szCs w:val="24"/>
        </w:rPr>
        <w:t xml:space="preserve"> joint families</w:t>
      </w:r>
      <w:r>
        <w:rPr>
          <w:rFonts w:ascii="Times New Roman" w:hAnsi="Times New Roman" w:cs="Times New Roman"/>
          <w:sz w:val="24"/>
          <w:szCs w:val="24"/>
        </w:rPr>
        <w:t xml:space="preserve"> have the highest number of illiterate respondents, 27 (22.50%)</w:t>
      </w:r>
      <w:r w:rsidRPr="00442F32">
        <w:rPr>
          <w:rFonts w:ascii="Times New Roman" w:hAnsi="Times New Roman" w:cs="Times New Roman"/>
          <w:sz w:val="24"/>
          <w:szCs w:val="24"/>
        </w:rPr>
        <w:t xml:space="preserve">, while </w:t>
      </w:r>
      <w:r>
        <w:rPr>
          <w:rFonts w:ascii="Times New Roman" w:hAnsi="Times New Roman" w:cs="Times New Roman"/>
          <w:sz w:val="24"/>
          <w:szCs w:val="24"/>
        </w:rPr>
        <w:t xml:space="preserve">in </w:t>
      </w:r>
      <w:r w:rsidRPr="00442F32">
        <w:rPr>
          <w:rFonts w:ascii="Times New Roman" w:hAnsi="Times New Roman" w:cs="Times New Roman"/>
          <w:sz w:val="24"/>
          <w:szCs w:val="24"/>
        </w:rPr>
        <w:t>nuclear families</w:t>
      </w:r>
      <w:r>
        <w:rPr>
          <w:rFonts w:ascii="Times New Roman" w:hAnsi="Times New Roman" w:cs="Times New Roman"/>
          <w:sz w:val="24"/>
          <w:szCs w:val="24"/>
        </w:rPr>
        <w:t>, the maximum number of respondents are graduates, 24 (20%)</w:t>
      </w:r>
      <w:r w:rsidRPr="00442F32">
        <w:rPr>
          <w:rFonts w:ascii="Times New Roman" w:hAnsi="Times New Roman" w:cs="Times New Roman"/>
          <w:sz w:val="24"/>
          <w:szCs w:val="24"/>
        </w:rPr>
        <w:t>.</w:t>
      </w:r>
      <w:r>
        <w:rPr>
          <w:rFonts w:ascii="Times New Roman" w:hAnsi="Times New Roman" w:cs="Times New Roman"/>
          <w:sz w:val="24"/>
          <w:szCs w:val="24"/>
        </w:rPr>
        <w:t xml:space="preserve"> </w:t>
      </w:r>
      <w:r w:rsidR="00180871">
        <w:rPr>
          <w:rFonts w:ascii="Times New Roman" w:hAnsi="Times New Roman" w:cs="Times New Roman"/>
          <w:sz w:val="24"/>
          <w:szCs w:val="24"/>
        </w:rPr>
        <w:t xml:space="preserve"> </w:t>
      </w:r>
      <w:r w:rsidR="002E40F7">
        <w:rPr>
          <w:rFonts w:ascii="Times New Roman" w:hAnsi="Times New Roman" w:cs="Times New Roman"/>
          <w:sz w:val="24"/>
          <w:szCs w:val="24"/>
        </w:rPr>
        <w:t xml:space="preserve">This is because the </w:t>
      </w:r>
      <w:r w:rsidR="00E864DC" w:rsidRPr="00E864DC">
        <w:rPr>
          <w:rFonts w:ascii="Times New Roman" w:hAnsi="Times New Roman" w:cs="Times New Roman"/>
          <w:sz w:val="24"/>
          <w:szCs w:val="24"/>
        </w:rPr>
        <w:t xml:space="preserve">income and resources </w:t>
      </w:r>
      <w:r w:rsidR="002E40F7">
        <w:rPr>
          <w:rFonts w:ascii="Times New Roman" w:hAnsi="Times New Roman" w:cs="Times New Roman"/>
          <w:sz w:val="24"/>
          <w:szCs w:val="24"/>
        </w:rPr>
        <w:t>are shared among more members, which can limit the amount available to</w:t>
      </w:r>
      <w:r w:rsidR="00E864DC" w:rsidRPr="00E864DC">
        <w:rPr>
          <w:rFonts w:ascii="Times New Roman" w:hAnsi="Times New Roman" w:cs="Times New Roman"/>
          <w:sz w:val="24"/>
          <w:szCs w:val="24"/>
        </w:rPr>
        <w:t xml:space="preserve"> e</w:t>
      </w:r>
      <w:r w:rsidR="00D8619B">
        <w:rPr>
          <w:rFonts w:ascii="Times New Roman" w:hAnsi="Times New Roman" w:cs="Times New Roman"/>
          <w:sz w:val="24"/>
          <w:szCs w:val="24"/>
        </w:rPr>
        <w:t>very</w:t>
      </w:r>
      <w:r w:rsidR="00E864DC" w:rsidRPr="00E864DC">
        <w:rPr>
          <w:rFonts w:ascii="Times New Roman" w:hAnsi="Times New Roman" w:cs="Times New Roman"/>
          <w:sz w:val="24"/>
          <w:szCs w:val="24"/>
        </w:rPr>
        <w:t>one.</w:t>
      </w:r>
    </w:p>
    <w:p w14:paraId="5D414BB5" w14:textId="2A4828D2" w:rsidR="00F631E2" w:rsidRDefault="00F631E2" w:rsidP="00E864DC">
      <w:pPr>
        <w:spacing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B6106D">
        <w:rPr>
          <w:rFonts w:ascii="Times New Roman" w:hAnsi="Times New Roman" w:cs="Times New Roman"/>
          <w:b/>
          <w:bCs/>
          <w:sz w:val="24"/>
          <w:szCs w:val="24"/>
        </w:rPr>
        <w:t>5</w:t>
      </w:r>
      <w:r>
        <w:rPr>
          <w:rFonts w:ascii="Times New Roman" w:hAnsi="Times New Roman" w:cs="Times New Roman"/>
          <w:b/>
          <w:bCs/>
          <w:sz w:val="24"/>
          <w:szCs w:val="24"/>
        </w:rPr>
        <w:t>: Education-wise</w:t>
      </w:r>
      <w:r w:rsidRPr="001E41B3">
        <w:rPr>
          <w:rFonts w:ascii="Times New Roman" w:hAnsi="Times New Roman" w:cs="Times New Roman"/>
          <w:b/>
          <w:bCs/>
          <w:sz w:val="24"/>
          <w:szCs w:val="24"/>
        </w:rPr>
        <w:t xml:space="preserve"> annual income</w:t>
      </w:r>
      <w:r w:rsidR="00C17B7E">
        <w:rPr>
          <w:rFonts w:ascii="Times New Roman" w:hAnsi="Times New Roman" w:cs="Times New Roman"/>
          <w:b/>
          <w:bCs/>
          <w:sz w:val="24"/>
          <w:szCs w:val="24"/>
        </w:rPr>
        <w:t xml:space="preserve"> of the respondents in the study area</w:t>
      </w:r>
    </w:p>
    <w:tbl>
      <w:tblPr>
        <w:tblStyle w:val="TableGrid"/>
        <w:tblW w:w="5000" w:type="pct"/>
        <w:tblLook w:val="04A0" w:firstRow="1" w:lastRow="0" w:firstColumn="1" w:lastColumn="0" w:noHBand="0" w:noVBand="1"/>
      </w:tblPr>
      <w:tblGrid>
        <w:gridCol w:w="1812"/>
        <w:gridCol w:w="1382"/>
        <w:gridCol w:w="1534"/>
        <w:gridCol w:w="1656"/>
        <w:gridCol w:w="1381"/>
        <w:gridCol w:w="1477"/>
      </w:tblGrid>
      <w:tr w:rsidR="00F631E2" w:rsidRPr="001E41B3" w14:paraId="10F81B7A" w14:textId="77777777" w:rsidTr="00FB526A">
        <w:trPr>
          <w:trHeight w:val="288"/>
        </w:trPr>
        <w:tc>
          <w:tcPr>
            <w:tcW w:w="980" w:type="pct"/>
            <w:vMerge w:val="restart"/>
            <w:noWrap/>
            <w:vAlign w:val="center"/>
          </w:tcPr>
          <w:p w14:paraId="2D02463B"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Qualification</w:t>
            </w:r>
          </w:p>
        </w:tc>
        <w:tc>
          <w:tcPr>
            <w:tcW w:w="3220" w:type="pct"/>
            <w:gridSpan w:val="4"/>
            <w:noWrap/>
            <w:vAlign w:val="center"/>
          </w:tcPr>
          <w:p w14:paraId="4B4D195A"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Annual Income</w:t>
            </w:r>
          </w:p>
        </w:tc>
        <w:tc>
          <w:tcPr>
            <w:tcW w:w="799" w:type="pct"/>
            <w:vMerge w:val="restart"/>
            <w:noWrap/>
            <w:vAlign w:val="center"/>
          </w:tcPr>
          <w:p w14:paraId="67D27C51"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Total</w:t>
            </w:r>
          </w:p>
        </w:tc>
      </w:tr>
      <w:tr w:rsidR="00F631E2" w:rsidRPr="001E41B3" w14:paraId="0F06104E" w14:textId="77777777" w:rsidTr="00FB526A">
        <w:trPr>
          <w:trHeight w:val="288"/>
        </w:trPr>
        <w:tc>
          <w:tcPr>
            <w:tcW w:w="980" w:type="pct"/>
            <w:vMerge/>
            <w:noWrap/>
            <w:vAlign w:val="center"/>
            <w:hideMark/>
          </w:tcPr>
          <w:p w14:paraId="1942C7F4" w14:textId="77777777" w:rsidR="00F631E2" w:rsidRPr="0089679B" w:rsidRDefault="00F631E2" w:rsidP="0018182C">
            <w:pPr>
              <w:spacing w:line="360" w:lineRule="auto"/>
              <w:jc w:val="center"/>
              <w:rPr>
                <w:rFonts w:ascii="Times New Roman" w:hAnsi="Times New Roman" w:cs="Times New Roman"/>
                <w:b/>
                <w:bCs/>
                <w:sz w:val="24"/>
                <w:szCs w:val="24"/>
              </w:rPr>
            </w:pPr>
          </w:p>
        </w:tc>
        <w:tc>
          <w:tcPr>
            <w:tcW w:w="747" w:type="pct"/>
            <w:noWrap/>
            <w:vAlign w:val="center"/>
            <w:hideMark/>
          </w:tcPr>
          <w:p w14:paraId="31FD8AB2"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&lt; - 50000</w:t>
            </w:r>
          </w:p>
        </w:tc>
        <w:tc>
          <w:tcPr>
            <w:tcW w:w="830" w:type="pct"/>
            <w:noWrap/>
            <w:vAlign w:val="center"/>
            <w:hideMark/>
          </w:tcPr>
          <w:p w14:paraId="66BEAB33"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50001-75000</w:t>
            </w:r>
          </w:p>
        </w:tc>
        <w:tc>
          <w:tcPr>
            <w:tcW w:w="896" w:type="pct"/>
            <w:noWrap/>
            <w:vAlign w:val="center"/>
            <w:hideMark/>
          </w:tcPr>
          <w:p w14:paraId="3BBAA9E1"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75001-100000</w:t>
            </w:r>
          </w:p>
        </w:tc>
        <w:tc>
          <w:tcPr>
            <w:tcW w:w="747" w:type="pct"/>
            <w:noWrap/>
            <w:vAlign w:val="center"/>
            <w:hideMark/>
          </w:tcPr>
          <w:p w14:paraId="0313FB3A"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&gt;- 100001</w:t>
            </w:r>
          </w:p>
        </w:tc>
        <w:tc>
          <w:tcPr>
            <w:tcW w:w="799" w:type="pct"/>
            <w:vMerge/>
            <w:noWrap/>
            <w:vAlign w:val="center"/>
            <w:hideMark/>
          </w:tcPr>
          <w:p w14:paraId="3099956C" w14:textId="77777777" w:rsidR="00F631E2" w:rsidRPr="0089679B" w:rsidRDefault="00F631E2" w:rsidP="0018182C">
            <w:pPr>
              <w:spacing w:line="360" w:lineRule="auto"/>
              <w:jc w:val="center"/>
              <w:rPr>
                <w:rFonts w:ascii="Times New Roman" w:hAnsi="Times New Roman" w:cs="Times New Roman"/>
                <w:b/>
                <w:bCs/>
                <w:sz w:val="24"/>
                <w:szCs w:val="24"/>
              </w:rPr>
            </w:pPr>
          </w:p>
        </w:tc>
      </w:tr>
      <w:tr w:rsidR="00F631E2" w:rsidRPr="001E41B3" w14:paraId="37444134" w14:textId="77777777" w:rsidTr="00FB526A">
        <w:trPr>
          <w:trHeight w:val="288"/>
        </w:trPr>
        <w:tc>
          <w:tcPr>
            <w:tcW w:w="980" w:type="pct"/>
            <w:vMerge w:val="restart"/>
            <w:noWrap/>
            <w:vAlign w:val="center"/>
            <w:hideMark/>
          </w:tcPr>
          <w:p w14:paraId="76AC3010"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Illiterate</w:t>
            </w:r>
          </w:p>
          <w:p w14:paraId="46BCCAB3" w14:textId="77777777" w:rsidR="00F631E2" w:rsidRPr="0089679B" w:rsidRDefault="00F631E2" w:rsidP="0018182C">
            <w:pPr>
              <w:spacing w:line="360" w:lineRule="auto"/>
              <w:jc w:val="center"/>
              <w:rPr>
                <w:rFonts w:ascii="Times New Roman" w:hAnsi="Times New Roman" w:cs="Times New Roman"/>
                <w:b/>
                <w:bCs/>
                <w:sz w:val="24"/>
                <w:szCs w:val="24"/>
              </w:rPr>
            </w:pPr>
          </w:p>
        </w:tc>
        <w:tc>
          <w:tcPr>
            <w:tcW w:w="747" w:type="pct"/>
            <w:noWrap/>
            <w:vAlign w:val="center"/>
            <w:hideMark/>
          </w:tcPr>
          <w:p w14:paraId="53B91CA7"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7</w:t>
            </w:r>
          </w:p>
        </w:tc>
        <w:tc>
          <w:tcPr>
            <w:tcW w:w="830" w:type="pct"/>
            <w:noWrap/>
            <w:vAlign w:val="center"/>
            <w:hideMark/>
          </w:tcPr>
          <w:p w14:paraId="7F8D1485"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19</w:t>
            </w:r>
          </w:p>
        </w:tc>
        <w:tc>
          <w:tcPr>
            <w:tcW w:w="896" w:type="pct"/>
            <w:noWrap/>
            <w:vAlign w:val="center"/>
            <w:hideMark/>
          </w:tcPr>
          <w:p w14:paraId="62593B0F"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10</w:t>
            </w:r>
          </w:p>
        </w:tc>
        <w:tc>
          <w:tcPr>
            <w:tcW w:w="747" w:type="pct"/>
            <w:noWrap/>
            <w:vAlign w:val="center"/>
            <w:hideMark/>
          </w:tcPr>
          <w:p w14:paraId="143B9B53"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799" w:type="pct"/>
            <w:noWrap/>
            <w:vAlign w:val="center"/>
            <w:hideMark/>
          </w:tcPr>
          <w:p w14:paraId="4DC26FB5"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36</w:t>
            </w:r>
          </w:p>
        </w:tc>
      </w:tr>
      <w:tr w:rsidR="00F631E2" w:rsidRPr="001E41B3" w14:paraId="08DEB191" w14:textId="77777777" w:rsidTr="00FB526A">
        <w:trPr>
          <w:trHeight w:val="288"/>
        </w:trPr>
        <w:tc>
          <w:tcPr>
            <w:tcW w:w="980" w:type="pct"/>
            <w:vMerge/>
            <w:noWrap/>
            <w:vAlign w:val="center"/>
            <w:hideMark/>
          </w:tcPr>
          <w:p w14:paraId="5086488C" w14:textId="77777777" w:rsidR="00F631E2" w:rsidRPr="0089679B" w:rsidRDefault="00F631E2" w:rsidP="0018182C">
            <w:pPr>
              <w:spacing w:line="360" w:lineRule="auto"/>
              <w:jc w:val="center"/>
              <w:rPr>
                <w:rFonts w:ascii="Times New Roman" w:hAnsi="Times New Roman" w:cs="Times New Roman"/>
                <w:b/>
                <w:bCs/>
                <w:sz w:val="24"/>
                <w:szCs w:val="24"/>
              </w:rPr>
            </w:pPr>
          </w:p>
        </w:tc>
        <w:tc>
          <w:tcPr>
            <w:tcW w:w="747" w:type="pct"/>
            <w:noWrap/>
            <w:vAlign w:val="center"/>
            <w:hideMark/>
          </w:tcPr>
          <w:p w14:paraId="4A9A08D6"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5.83%</w:t>
            </w:r>
          </w:p>
        </w:tc>
        <w:tc>
          <w:tcPr>
            <w:tcW w:w="830" w:type="pct"/>
            <w:noWrap/>
            <w:vAlign w:val="center"/>
            <w:hideMark/>
          </w:tcPr>
          <w:p w14:paraId="1251DBC0"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15.83%</w:t>
            </w:r>
          </w:p>
        </w:tc>
        <w:tc>
          <w:tcPr>
            <w:tcW w:w="896" w:type="pct"/>
            <w:noWrap/>
            <w:vAlign w:val="center"/>
            <w:hideMark/>
          </w:tcPr>
          <w:p w14:paraId="69681EB4"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8.33%</w:t>
            </w:r>
          </w:p>
        </w:tc>
        <w:tc>
          <w:tcPr>
            <w:tcW w:w="747" w:type="pct"/>
            <w:noWrap/>
            <w:vAlign w:val="center"/>
            <w:hideMark/>
          </w:tcPr>
          <w:p w14:paraId="5A6EC3F1"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799" w:type="pct"/>
            <w:noWrap/>
            <w:vAlign w:val="center"/>
            <w:hideMark/>
          </w:tcPr>
          <w:p w14:paraId="665FEB9C"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30%</w:t>
            </w:r>
          </w:p>
        </w:tc>
      </w:tr>
      <w:tr w:rsidR="00F631E2" w:rsidRPr="001E41B3" w14:paraId="6CAADED0" w14:textId="77777777" w:rsidTr="00FB526A">
        <w:trPr>
          <w:trHeight w:val="288"/>
        </w:trPr>
        <w:tc>
          <w:tcPr>
            <w:tcW w:w="980" w:type="pct"/>
            <w:vMerge w:val="restart"/>
            <w:noWrap/>
            <w:vAlign w:val="center"/>
            <w:hideMark/>
          </w:tcPr>
          <w:p w14:paraId="624EBEBF"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Primary</w:t>
            </w:r>
          </w:p>
          <w:p w14:paraId="01F892A3" w14:textId="77777777" w:rsidR="00F631E2" w:rsidRPr="0089679B" w:rsidRDefault="00F631E2" w:rsidP="0018182C">
            <w:pPr>
              <w:spacing w:line="360" w:lineRule="auto"/>
              <w:jc w:val="center"/>
              <w:rPr>
                <w:rFonts w:ascii="Times New Roman" w:hAnsi="Times New Roman" w:cs="Times New Roman"/>
                <w:b/>
                <w:bCs/>
                <w:sz w:val="24"/>
                <w:szCs w:val="24"/>
              </w:rPr>
            </w:pPr>
          </w:p>
        </w:tc>
        <w:tc>
          <w:tcPr>
            <w:tcW w:w="747" w:type="pct"/>
            <w:noWrap/>
            <w:vAlign w:val="center"/>
            <w:hideMark/>
          </w:tcPr>
          <w:p w14:paraId="381E243F"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2</w:t>
            </w:r>
          </w:p>
        </w:tc>
        <w:tc>
          <w:tcPr>
            <w:tcW w:w="830" w:type="pct"/>
            <w:noWrap/>
            <w:vAlign w:val="center"/>
            <w:hideMark/>
          </w:tcPr>
          <w:p w14:paraId="77616518"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10</w:t>
            </w:r>
          </w:p>
        </w:tc>
        <w:tc>
          <w:tcPr>
            <w:tcW w:w="896" w:type="pct"/>
            <w:noWrap/>
            <w:vAlign w:val="center"/>
            <w:hideMark/>
          </w:tcPr>
          <w:p w14:paraId="6E704340"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7</w:t>
            </w:r>
          </w:p>
        </w:tc>
        <w:tc>
          <w:tcPr>
            <w:tcW w:w="747" w:type="pct"/>
            <w:noWrap/>
            <w:vAlign w:val="center"/>
            <w:hideMark/>
          </w:tcPr>
          <w:p w14:paraId="63D0E010"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w:t>
            </w:r>
          </w:p>
        </w:tc>
        <w:tc>
          <w:tcPr>
            <w:tcW w:w="799" w:type="pct"/>
            <w:noWrap/>
            <w:vAlign w:val="center"/>
            <w:hideMark/>
          </w:tcPr>
          <w:p w14:paraId="5F30C2B7"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20</w:t>
            </w:r>
          </w:p>
        </w:tc>
      </w:tr>
      <w:tr w:rsidR="00F631E2" w:rsidRPr="001E41B3" w14:paraId="653E4842" w14:textId="77777777" w:rsidTr="00FB526A">
        <w:trPr>
          <w:trHeight w:val="288"/>
        </w:trPr>
        <w:tc>
          <w:tcPr>
            <w:tcW w:w="980" w:type="pct"/>
            <w:vMerge/>
            <w:noWrap/>
            <w:vAlign w:val="center"/>
            <w:hideMark/>
          </w:tcPr>
          <w:p w14:paraId="7232C6D3" w14:textId="77777777" w:rsidR="00F631E2" w:rsidRPr="0089679B" w:rsidRDefault="00F631E2" w:rsidP="0018182C">
            <w:pPr>
              <w:spacing w:line="360" w:lineRule="auto"/>
              <w:jc w:val="center"/>
              <w:rPr>
                <w:rFonts w:ascii="Times New Roman" w:hAnsi="Times New Roman" w:cs="Times New Roman"/>
                <w:b/>
                <w:bCs/>
                <w:sz w:val="24"/>
                <w:szCs w:val="24"/>
              </w:rPr>
            </w:pPr>
          </w:p>
        </w:tc>
        <w:tc>
          <w:tcPr>
            <w:tcW w:w="747" w:type="pct"/>
            <w:noWrap/>
            <w:vAlign w:val="center"/>
            <w:hideMark/>
          </w:tcPr>
          <w:p w14:paraId="210270D5"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1.67%</w:t>
            </w:r>
          </w:p>
        </w:tc>
        <w:tc>
          <w:tcPr>
            <w:tcW w:w="830" w:type="pct"/>
            <w:noWrap/>
            <w:vAlign w:val="center"/>
            <w:hideMark/>
          </w:tcPr>
          <w:p w14:paraId="75AF6FAC"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8.33%</w:t>
            </w:r>
          </w:p>
        </w:tc>
        <w:tc>
          <w:tcPr>
            <w:tcW w:w="896" w:type="pct"/>
            <w:noWrap/>
            <w:vAlign w:val="center"/>
            <w:hideMark/>
          </w:tcPr>
          <w:p w14:paraId="665C0095"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5.83%</w:t>
            </w:r>
          </w:p>
        </w:tc>
        <w:tc>
          <w:tcPr>
            <w:tcW w:w="747" w:type="pct"/>
            <w:noWrap/>
            <w:vAlign w:val="center"/>
            <w:hideMark/>
          </w:tcPr>
          <w:p w14:paraId="728F51EE"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0.83%</w:t>
            </w:r>
          </w:p>
        </w:tc>
        <w:tc>
          <w:tcPr>
            <w:tcW w:w="799" w:type="pct"/>
            <w:noWrap/>
            <w:vAlign w:val="center"/>
            <w:hideMark/>
          </w:tcPr>
          <w:p w14:paraId="7F4716B0"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16.67%</w:t>
            </w:r>
          </w:p>
        </w:tc>
      </w:tr>
      <w:tr w:rsidR="00F631E2" w:rsidRPr="001E41B3" w14:paraId="5155A8C3" w14:textId="77777777" w:rsidTr="00FB526A">
        <w:trPr>
          <w:trHeight w:val="288"/>
        </w:trPr>
        <w:tc>
          <w:tcPr>
            <w:tcW w:w="980" w:type="pct"/>
            <w:vMerge w:val="restart"/>
            <w:noWrap/>
            <w:vAlign w:val="center"/>
            <w:hideMark/>
          </w:tcPr>
          <w:p w14:paraId="21670297"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High School</w:t>
            </w:r>
          </w:p>
          <w:p w14:paraId="07DB22F1" w14:textId="77777777" w:rsidR="00F631E2" w:rsidRPr="0089679B" w:rsidRDefault="00F631E2" w:rsidP="0018182C">
            <w:pPr>
              <w:spacing w:line="360" w:lineRule="auto"/>
              <w:jc w:val="center"/>
              <w:rPr>
                <w:rFonts w:ascii="Times New Roman" w:hAnsi="Times New Roman" w:cs="Times New Roman"/>
                <w:b/>
                <w:bCs/>
                <w:sz w:val="24"/>
                <w:szCs w:val="24"/>
              </w:rPr>
            </w:pPr>
          </w:p>
        </w:tc>
        <w:tc>
          <w:tcPr>
            <w:tcW w:w="747" w:type="pct"/>
            <w:noWrap/>
            <w:vAlign w:val="center"/>
            <w:hideMark/>
          </w:tcPr>
          <w:p w14:paraId="7CD820FC"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830" w:type="pct"/>
            <w:noWrap/>
            <w:vAlign w:val="center"/>
            <w:hideMark/>
          </w:tcPr>
          <w:p w14:paraId="0A764E8C"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w:t>
            </w:r>
          </w:p>
        </w:tc>
        <w:tc>
          <w:tcPr>
            <w:tcW w:w="896" w:type="pct"/>
            <w:noWrap/>
            <w:vAlign w:val="center"/>
            <w:hideMark/>
          </w:tcPr>
          <w:p w14:paraId="77B01305"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4</w:t>
            </w:r>
          </w:p>
        </w:tc>
        <w:tc>
          <w:tcPr>
            <w:tcW w:w="747" w:type="pct"/>
            <w:noWrap/>
            <w:vAlign w:val="center"/>
            <w:hideMark/>
          </w:tcPr>
          <w:p w14:paraId="38D68F91"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799" w:type="pct"/>
            <w:noWrap/>
            <w:vAlign w:val="center"/>
            <w:hideMark/>
          </w:tcPr>
          <w:p w14:paraId="1A4E851F"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5</w:t>
            </w:r>
          </w:p>
        </w:tc>
      </w:tr>
      <w:tr w:rsidR="00F631E2" w:rsidRPr="001E41B3" w14:paraId="259C5890" w14:textId="77777777" w:rsidTr="00FB526A">
        <w:trPr>
          <w:trHeight w:val="288"/>
        </w:trPr>
        <w:tc>
          <w:tcPr>
            <w:tcW w:w="980" w:type="pct"/>
            <w:vMerge/>
            <w:noWrap/>
            <w:vAlign w:val="center"/>
            <w:hideMark/>
          </w:tcPr>
          <w:p w14:paraId="5E382B03" w14:textId="77777777" w:rsidR="00F631E2" w:rsidRPr="0089679B" w:rsidRDefault="00F631E2" w:rsidP="0018182C">
            <w:pPr>
              <w:spacing w:line="360" w:lineRule="auto"/>
              <w:jc w:val="center"/>
              <w:rPr>
                <w:rFonts w:ascii="Times New Roman" w:hAnsi="Times New Roman" w:cs="Times New Roman"/>
                <w:b/>
                <w:bCs/>
                <w:sz w:val="24"/>
                <w:szCs w:val="24"/>
              </w:rPr>
            </w:pPr>
          </w:p>
        </w:tc>
        <w:tc>
          <w:tcPr>
            <w:tcW w:w="747" w:type="pct"/>
            <w:noWrap/>
            <w:vAlign w:val="center"/>
            <w:hideMark/>
          </w:tcPr>
          <w:p w14:paraId="2BD6FAB1"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830" w:type="pct"/>
            <w:noWrap/>
            <w:vAlign w:val="center"/>
            <w:hideMark/>
          </w:tcPr>
          <w:p w14:paraId="715C21A7"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0.83%</w:t>
            </w:r>
          </w:p>
        </w:tc>
        <w:tc>
          <w:tcPr>
            <w:tcW w:w="896" w:type="pct"/>
            <w:noWrap/>
            <w:vAlign w:val="center"/>
            <w:hideMark/>
          </w:tcPr>
          <w:p w14:paraId="7683FD33"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3.33%</w:t>
            </w:r>
          </w:p>
        </w:tc>
        <w:tc>
          <w:tcPr>
            <w:tcW w:w="747" w:type="pct"/>
            <w:noWrap/>
            <w:vAlign w:val="center"/>
            <w:hideMark/>
          </w:tcPr>
          <w:p w14:paraId="40957F58"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799" w:type="pct"/>
            <w:noWrap/>
            <w:vAlign w:val="center"/>
            <w:hideMark/>
          </w:tcPr>
          <w:p w14:paraId="42432983"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4.17%</w:t>
            </w:r>
          </w:p>
        </w:tc>
      </w:tr>
      <w:tr w:rsidR="00F631E2" w:rsidRPr="001E41B3" w14:paraId="60E3F8D5" w14:textId="77777777" w:rsidTr="00FB526A">
        <w:trPr>
          <w:trHeight w:val="288"/>
        </w:trPr>
        <w:tc>
          <w:tcPr>
            <w:tcW w:w="980" w:type="pct"/>
            <w:vMerge w:val="restart"/>
            <w:noWrap/>
            <w:vAlign w:val="center"/>
            <w:hideMark/>
          </w:tcPr>
          <w:p w14:paraId="79FE5B35"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Intermediate</w:t>
            </w:r>
          </w:p>
          <w:p w14:paraId="2DFE0AB9" w14:textId="77777777" w:rsidR="00F631E2" w:rsidRPr="0089679B" w:rsidRDefault="00F631E2" w:rsidP="0018182C">
            <w:pPr>
              <w:spacing w:line="360" w:lineRule="auto"/>
              <w:jc w:val="center"/>
              <w:rPr>
                <w:rFonts w:ascii="Times New Roman" w:hAnsi="Times New Roman" w:cs="Times New Roman"/>
                <w:b/>
                <w:bCs/>
                <w:sz w:val="24"/>
                <w:szCs w:val="24"/>
              </w:rPr>
            </w:pPr>
          </w:p>
        </w:tc>
        <w:tc>
          <w:tcPr>
            <w:tcW w:w="747" w:type="pct"/>
            <w:noWrap/>
            <w:vAlign w:val="center"/>
            <w:hideMark/>
          </w:tcPr>
          <w:p w14:paraId="05EE2876"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4</w:t>
            </w:r>
          </w:p>
        </w:tc>
        <w:tc>
          <w:tcPr>
            <w:tcW w:w="830" w:type="pct"/>
            <w:noWrap/>
            <w:vAlign w:val="center"/>
            <w:hideMark/>
          </w:tcPr>
          <w:p w14:paraId="1C92F4C3"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11</w:t>
            </w:r>
          </w:p>
        </w:tc>
        <w:tc>
          <w:tcPr>
            <w:tcW w:w="896" w:type="pct"/>
            <w:noWrap/>
            <w:vAlign w:val="center"/>
            <w:hideMark/>
          </w:tcPr>
          <w:p w14:paraId="4CC491AA"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3</w:t>
            </w:r>
          </w:p>
        </w:tc>
        <w:tc>
          <w:tcPr>
            <w:tcW w:w="747" w:type="pct"/>
            <w:noWrap/>
            <w:vAlign w:val="center"/>
            <w:hideMark/>
          </w:tcPr>
          <w:p w14:paraId="2C1502C5" w14:textId="77777777" w:rsidR="00F631E2" w:rsidRPr="001E41B3" w:rsidRDefault="00F631E2" w:rsidP="0018182C">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99" w:type="pct"/>
            <w:noWrap/>
            <w:vAlign w:val="center"/>
            <w:hideMark/>
          </w:tcPr>
          <w:p w14:paraId="3D181B81"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24</w:t>
            </w:r>
          </w:p>
        </w:tc>
      </w:tr>
      <w:tr w:rsidR="00F631E2" w:rsidRPr="001E41B3" w14:paraId="46F3A12B" w14:textId="77777777" w:rsidTr="00FB526A">
        <w:trPr>
          <w:trHeight w:val="288"/>
        </w:trPr>
        <w:tc>
          <w:tcPr>
            <w:tcW w:w="980" w:type="pct"/>
            <w:vMerge/>
            <w:noWrap/>
            <w:vAlign w:val="center"/>
            <w:hideMark/>
          </w:tcPr>
          <w:p w14:paraId="24CDDC78" w14:textId="77777777" w:rsidR="00F631E2" w:rsidRPr="0089679B" w:rsidRDefault="00F631E2" w:rsidP="0018182C">
            <w:pPr>
              <w:spacing w:line="360" w:lineRule="auto"/>
              <w:jc w:val="center"/>
              <w:rPr>
                <w:rFonts w:ascii="Times New Roman" w:hAnsi="Times New Roman" w:cs="Times New Roman"/>
                <w:b/>
                <w:bCs/>
                <w:sz w:val="24"/>
                <w:szCs w:val="24"/>
              </w:rPr>
            </w:pPr>
          </w:p>
        </w:tc>
        <w:tc>
          <w:tcPr>
            <w:tcW w:w="747" w:type="pct"/>
            <w:noWrap/>
            <w:vAlign w:val="center"/>
            <w:hideMark/>
          </w:tcPr>
          <w:p w14:paraId="088FC050"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3.33%</w:t>
            </w:r>
          </w:p>
        </w:tc>
        <w:tc>
          <w:tcPr>
            <w:tcW w:w="830" w:type="pct"/>
            <w:noWrap/>
            <w:vAlign w:val="center"/>
            <w:hideMark/>
          </w:tcPr>
          <w:p w14:paraId="0DD172F0"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9.17%</w:t>
            </w:r>
          </w:p>
        </w:tc>
        <w:tc>
          <w:tcPr>
            <w:tcW w:w="896" w:type="pct"/>
            <w:noWrap/>
            <w:vAlign w:val="center"/>
            <w:hideMark/>
          </w:tcPr>
          <w:p w14:paraId="37332BAB"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2.50%</w:t>
            </w:r>
          </w:p>
        </w:tc>
        <w:tc>
          <w:tcPr>
            <w:tcW w:w="747" w:type="pct"/>
            <w:noWrap/>
            <w:vAlign w:val="center"/>
            <w:hideMark/>
          </w:tcPr>
          <w:p w14:paraId="411F07BA" w14:textId="77777777" w:rsidR="00F631E2" w:rsidRPr="001E41B3" w:rsidRDefault="00F631E2" w:rsidP="0018182C">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Pr="001E41B3">
              <w:rPr>
                <w:rFonts w:ascii="Times New Roman" w:hAnsi="Times New Roman" w:cs="Times New Roman"/>
                <w:sz w:val="24"/>
                <w:szCs w:val="24"/>
              </w:rPr>
              <w:t>%</w:t>
            </w:r>
          </w:p>
        </w:tc>
        <w:tc>
          <w:tcPr>
            <w:tcW w:w="799" w:type="pct"/>
            <w:noWrap/>
            <w:vAlign w:val="center"/>
            <w:hideMark/>
          </w:tcPr>
          <w:p w14:paraId="5E7844C8"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20%</w:t>
            </w:r>
          </w:p>
        </w:tc>
      </w:tr>
      <w:tr w:rsidR="00F631E2" w:rsidRPr="001E41B3" w14:paraId="7F884091" w14:textId="77777777" w:rsidTr="00FB526A">
        <w:trPr>
          <w:trHeight w:val="288"/>
        </w:trPr>
        <w:tc>
          <w:tcPr>
            <w:tcW w:w="980" w:type="pct"/>
            <w:vMerge w:val="restart"/>
            <w:noWrap/>
            <w:vAlign w:val="center"/>
            <w:hideMark/>
          </w:tcPr>
          <w:p w14:paraId="0B7AD9C6"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Graduate</w:t>
            </w:r>
          </w:p>
          <w:p w14:paraId="03012AAB" w14:textId="77777777" w:rsidR="00F631E2" w:rsidRPr="0089679B" w:rsidRDefault="00F631E2" w:rsidP="0018182C">
            <w:pPr>
              <w:spacing w:line="360" w:lineRule="auto"/>
              <w:jc w:val="center"/>
              <w:rPr>
                <w:rFonts w:ascii="Times New Roman" w:hAnsi="Times New Roman" w:cs="Times New Roman"/>
                <w:b/>
                <w:bCs/>
                <w:sz w:val="24"/>
                <w:szCs w:val="24"/>
              </w:rPr>
            </w:pPr>
          </w:p>
        </w:tc>
        <w:tc>
          <w:tcPr>
            <w:tcW w:w="747" w:type="pct"/>
            <w:noWrap/>
            <w:vAlign w:val="center"/>
            <w:hideMark/>
          </w:tcPr>
          <w:p w14:paraId="5ECE9C44"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lastRenderedPageBreak/>
              <w:t>0</w:t>
            </w:r>
          </w:p>
        </w:tc>
        <w:tc>
          <w:tcPr>
            <w:tcW w:w="830" w:type="pct"/>
            <w:noWrap/>
            <w:vAlign w:val="center"/>
            <w:hideMark/>
          </w:tcPr>
          <w:p w14:paraId="374DB4BF"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19</w:t>
            </w:r>
          </w:p>
        </w:tc>
        <w:tc>
          <w:tcPr>
            <w:tcW w:w="896" w:type="pct"/>
            <w:noWrap/>
            <w:vAlign w:val="center"/>
            <w:hideMark/>
          </w:tcPr>
          <w:p w14:paraId="3B1BDE46"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7</w:t>
            </w:r>
          </w:p>
        </w:tc>
        <w:tc>
          <w:tcPr>
            <w:tcW w:w="747" w:type="pct"/>
            <w:noWrap/>
            <w:vAlign w:val="center"/>
            <w:hideMark/>
          </w:tcPr>
          <w:p w14:paraId="372B09EF"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9</w:t>
            </w:r>
          </w:p>
        </w:tc>
        <w:tc>
          <w:tcPr>
            <w:tcW w:w="799" w:type="pct"/>
            <w:noWrap/>
            <w:vAlign w:val="center"/>
            <w:hideMark/>
          </w:tcPr>
          <w:p w14:paraId="0928DBE3"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35</w:t>
            </w:r>
          </w:p>
        </w:tc>
      </w:tr>
      <w:tr w:rsidR="00F631E2" w:rsidRPr="001E41B3" w14:paraId="39FAA082" w14:textId="77777777" w:rsidTr="00FB526A">
        <w:trPr>
          <w:trHeight w:val="288"/>
        </w:trPr>
        <w:tc>
          <w:tcPr>
            <w:tcW w:w="980" w:type="pct"/>
            <w:vMerge/>
            <w:noWrap/>
            <w:vAlign w:val="center"/>
            <w:hideMark/>
          </w:tcPr>
          <w:p w14:paraId="29220838" w14:textId="77777777" w:rsidR="00F631E2" w:rsidRPr="0089679B" w:rsidRDefault="00F631E2" w:rsidP="0018182C">
            <w:pPr>
              <w:spacing w:line="360" w:lineRule="auto"/>
              <w:jc w:val="center"/>
              <w:rPr>
                <w:rFonts w:ascii="Times New Roman" w:hAnsi="Times New Roman" w:cs="Times New Roman"/>
                <w:b/>
                <w:bCs/>
                <w:sz w:val="24"/>
                <w:szCs w:val="24"/>
              </w:rPr>
            </w:pPr>
          </w:p>
        </w:tc>
        <w:tc>
          <w:tcPr>
            <w:tcW w:w="747" w:type="pct"/>
            <w:noWrap/>
            <w:vAlign w:val="center"/>
            <w:hideMark/>
          </w:tcPr>
          <w:p w14:paraId="19A20478"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830" w:type="pct"/>
            <w:noWrap/>
            <w:vAlign w:val="center"/>
            <w:hideMark/>
          </w:tcPr>
          <w:p w14:paraId="779224F1"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15.83%</w:t>
            </w:r>
          </w:p>
        </w:tc>
        <w:tc>
          <w:tcPr>
            <w:tcW w:w="896" w:type="pct"/>
            <w:noWrap/>
            <w:vAlign w:val="center"/>
            <w:hideMark/>
          </w:tcPr>
          <w:p w14:paraId="3CA017FA"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5.83%</w:t>
            </w:r>
          </w:p>
        </w:tc>
        <w:tc>
          <w:tcPr>
            <w:tcW w:w="747" w:type="pct"/>
            <w:noWrap/>
            <w:vAlign w:val="center"/>
            <w:hideMark/>
          </w:tcPr>
          <w:p w14:paraId="64C4B759" w14:textId="77777777" w:rsidR="00F631E2" w:rsidRPr="001E41B3" w:rsidRDefault="00F631E2" w:rsidP="0018182C">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7.50%</w:t>
            </w:r>
          </w:p>
        </w:tc>
        <w:tc>
          <w:tcPr>
            <w:tcW w:w="799" w:type="pct"/>
            <w:noWrap/>
            <w:vAlign w:val="center"/>
            <w:hideMark/>
          </w:tcPr>
          <w:p w14:paraId="69BAAFE4"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29.17%</w:t>
            </w:r>
          </w:p>
        </w:tc>
      </w:tr>
      <w:tr w:rsidR="00F631E2" w:rsidRPr="001E41B3" w14:paraId="4206186F" w14:textId="77777777" w:rsidTr="00FB526A">
        <w:trPr>
          <w:trHeight w:val="288"/>
        </w:trPr>
        <w:tc>
          <w:tcPr>
            <w:tcW w:w="980" w:type="pct"/>
            <w:vMerge w:val="restart"/>
            <w:noWrap/>
            <w:vAlign w:val="center"/>
            <w:hideMark/>
          </w:tcPr>
          <w:p w14:paraId="5EEC7D88"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lastRenderedPageBreak/>
              <w:t>Grand Total</w:t>
            </w:r>
          </w:p>
        </w:tc>
        <w:tc>
          <w:tcPr>
            <w:tcW w:w="747" w:type="pct"/>
            <w:noWrap/>
            <w:vAlign w:val="center"/>
            <w:hideMark/>
          </w:tcPr>
          <w:p w14:paraId="3198B03C"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13</w:t>
            </w:r>
          </w:p>
        </w:tc>
        <w:tc>
          <w:tcPr>
            <w:tcW w:w="830" w:type="pct"/>
            <w:noWrap/>
            <w:vAlign w:val="center"/>
            <w:hideMark/>
          </w:tcPr>
          <w:p w14:paraId="49ADC1DE"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60</w:t>
            </w:r>
          </w:p>
        </w:tc>
        <w:tc>
          <w:tcPr>
            <w:tcW w:w="896" w:type="pct"/>
            <w:noWrap/>
            <w:vAlign w:val="center"/>
            <w:hideMark/>
          </w:tcPr>
          <w:p w14:paraId="29F333D9"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31</w:t>
            </w:r>
          </w:p>
        </w:tc>
        <w:tc>
          <w:tcPr>
            <w:tcW w:w="747" w:type="pct"/>
            <w:noWrap/>
            <w:vAlign w:val="center"/>
            <w:hideMark/>
          </w:tcPr>
          <w:p w14:paraId="7218C945"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16</w:t>
            </w:r>
          </w:p>
        </w:tc>
        <w:tc>
          <w:tcPr>
            <w:tcW w:w="799" w:type="pct"/>
            <w:noWrap/>
            <w:vAlign w:val="center"/>
            <w:hideMark/>
          </w:tcPr>
          <w:p w14:paraId="3BEE5A2C"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120</w:t>
            </w:r>
          </w:p>
        </w:tc>
      </w:tr>
      <w:tr w:rsidR="00F631E2" w:rsidRPr="001E41B3" w14:paraId="535165C5" w14:textId="77777777" w:rsidTr="00FB526A">
        <w:trPr>
          <w:trHeight w:val="288"/>
        </w:trPr>
        <w:tc>
          <w:tcPr>
            <w:tcW w:w="980" w:type="pct"/>
            <w:vMerge/>
            <w:noWrap/>
            <w:vAlign w:val="center"/>
            <w:hideMark/>
          </w:tcPr>
          <w:p w14:paraId="7EE43AFA" w14:textId="77777777" w:rsidR="00F631E2" w:rsidRPr="001E41B3" w:rsidRDefault="00F631E2" w:rsidP="0018182C">
            <w:pPr>
              <w:spacing w:line="360" w:lineRule="auto"/>
              <w:jc w:val="center"/>
              <w:rPr>
                <w:rFonts w:ascii="Times New Roman" w:hAnsi="Times New Roman" w:cs="Times New Roman"/>
                <w:sz w:val="24"/>
                <w:szCs w:val="24"/>
              </w:rPr>
            </w:pPr>
          </w:p>
        </w:tc>
        <w:tc>
          <w:tcPr>
            <w:tcW w:w="747" w:type="pct"/>
            <w:noWrap/>
            <w:vAlign w:val="center"/>
            <w:hideMark/>
          </w:tcPr>
          <w:p w14:paraId="14B7952A"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10.83%</w:t>
            </w:r>
          </w:p>
        </w:tc>
        <w:tc>
          <w:tcPr>
            <w:tcW w:w="830" w:type="pct"/>
            <w:noWrap/>
            <w:vAlign w:val="center"/>
            <w:hideMark/>
          </w:tcPr>
          <w:p w14:paraId="61E227F9"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50%</w:t>
            </w:r>
          </w:p>
        </w:tc>
        <w:tc>
          <w:tcPr>
            <w:tcW w:w="896" w:type="pct"/>
            <w:noWrap/>
            <w:vAlign w:val="center"/>
            <w:hideMark/>
          </w:tcPr>
          <w:p w14:paraId="3C2472BE"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25.83%</w:t>
            </w:r>
          </w:p>
        </w:tc>
        <w:tc>
          <w:tcPr>
            <w:tcW w:w="747" w:type="pct"/>
            <w:noWrap/>
            <w:vAlign w:val="center"/>
            <w:hideMark/>
          </w:tcPr>
          <w:p w14:paraId="5D52C374"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13.33%</w:t>
            </w:r>
          </w:p>
        </w:tc>
        <w:tc>
          <w:tcPr>
            <w:tcW w:w="799" w:type="pct"/>
            <w:noWrap/>
            <w:vAlign w:val="center"/>
            <w:hideMark/>
          </w:tcPr>
          <w:p w14:paraId="4B213093" w14:textId="77777777" w:rsidR="00F631E2" w:rsidRPr="0089679B" w:rsidRDefault="00F631E2" w:rsidP="0018182C">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100.00%</w:t>
            </w:r>
          </w:p>
        </w:tc>
      </w:tr>
    </w:tbl>
    <w:p w14:paraId="7DE5142D" w14:textId="77777777" w:rsidR="00B6106D" w:rsidRDefault="00B6106D" w:rsidP="00FB526A">
      <w:pPr>
        <w:spacing w:line="240" w:lineRule="auto"/>
        <w:ind w:firstLine="720"/>
        <w:jc w:val="both"/>
        <w:rPr>
          <w:rFonts w:ascii="Times New Roman" w:hAnsi="Times New Roman" w:cs="Times New Roman"/>
          <w:sz w:val="24"/>
          <w:szCs w:val="24"/>
        </w:rPr>
      </w:pPr>
    </w:p>
    <w:p w14:paraId="0D9CEE94" w14:textId="5D678297" w:rsidR="00F631E2" w:rsidRDefault="00FB526A" w:rsidP="00B6106D">
      <w:pPr>
        <w:spacing w:line="240" w:lineRule="auto"/>
        <w:ind w:firstLine="720"/>
        <w:jc w:val="both"/>
        <w:rPr>
          <w:rFonts w:ascii="Times New Roman" w:hAnsi="Times New Roman" w:cs="Times New Roman"/>
          <w:sz w:val="24"/>
          <w:szCs w:val="24"/>
        </w:rPr>
      </w:pPr>
      <w:r w:rsidRPr="00E676B8">
        <w:rPr>
          <w:rFonts w:ascii="Times New Roman" w:hAnsi="Times New Roman" w:cs="Times New Roman"/>
          <w:sz w:val="24"/>
          <w:szCs w:val="24"/>
        </w:rPr>
        <w:t xml:space="preserve">Interestingly, Table </w:t>
      </w:r>
      <w:r w:rsidR="00B6106D">
        <w:rPr>
          <w:rFonts w:ascii="Times New Roman" w:hAnsi="Times New Roman" w:cs="Times New Roman"/>
          <w:sz w:val="24"/>
          <w:szCs w:val="24"/>
        </w:rPr>
        <w:t>5</w:t>
      </w:r>
      <w:r w:rsidRPr="00E676B8">
        <w:rPr>
          <w:rFonts w:ascii="Times New Roman" w:hAnsi="Times New Roman" w:cs="Times New Roman"/>
          <w:sz w:val="24"/>
          <w:szCs w:val="24"/>
        </w:rPr>
        <w:t xml:space="preserve"> shows that both illiterate and graduate respondents fall within the same annual income range of ₹50,001 to ₹75,000. </w:t>
      </w:r>
      <w:r>
        <w:rPr>
          <w:rFonts w:ascii="Times New Roman" w:hAnsi="Times New Roman" w:cs="Times New Roman"/>
          <w:sz w:val="24"/>
          <w:szCs w:val="24"/>
        </w:rPr>
        <w:t>Behind this, the major reason would be fewer job opportunities, and also</w:t>
      </w:r>
      <w:r w:rsidR="00B6106D">
        <w:rPr>
          <w:rFonts w:ascii="Times New Roman" w:hAnsi="Times New Roman" w:cs="Times New Roman"/>
          <w:sz w:val="24"/>
          <w:szCs w:val="24"/>
        </w:rPr>
        <w:t>,</w:t>
      </w:r>
      <w:r>
        <w:rPr>
          <w:rFonts w:ascii="Times New Roman" w:hAnsi="Times New Roman" w:cs="Times New Roman"/>
          <w:sz w:val="24"/>
          <w:szCs w:val="24"/>
        </w:rPr>
        <w:t xml:space="preserve"> t</w:t>
      </w:r>
      <w:r w:rsidRPr="00E676B8">
        <w:rPr>
          <w:rFonts w:ascii="Times New Roman" w:hAnsi="Times New Roman" w:cs="Times New Roman"/>
          <w:sz w:val="24"/>
          <w:szCs w:val="24"/>
        </w:rPr>
        <w:t xml:space="preserve">his suggests that higher educational qualifications do not necessarily translate to higher income in the context of small-scale farming. It also indicates that factors such as access to resources, type of crops grown, </w:t>
      </w:r>
      <w:r>
        <w:rPr>
          <w:rFonts w:ascii="Times New Roman" w:hAnsi="Times New Roman" w:cs="Times New Roman"/>
          <w:sz w:val="24"/>
          <w:szCs w:val="24"/>
        </w:rPr>
        <w:t xml:space="preserve">and </w:t>
      </w:r>
      <w:r w:rsidRPr="00E676B8">
        <w:rPr>
          <w:rFonts w:ascii="Times New Roman" w:hAnsi="Times New Roman" w:cs="Times New Roman"/>
          <w:sz w:val="24"/>
          <w:szCs w:val="24"/>
        </w:rPr>
        <w:t>irrigation facilities like solar pumps</w:t>
      </w:r>
      <w:r>
        <w:rPr>
          <w:rFonts w:ascii="Times New Roman" w:hAnsi="Times New Roman" w:cs="Times New Roman"/>
          <w:sz w:val="24"/>
          <w:szCs w:val="24"/>
        </w:rPr>
        <w:t xml:space="preserve"> </w:t>
      </w:r>
      <w:r w:rsidRPr="00E676B8">
        <w:rPr>
          <w:rFonts w:ascii="Times New Roman" w:hAnsi="Times New Roman" w:cs="Times New Roman"/>
          <w:sz w:val="24"/>
          <w:szCs w:val="24"/>
        </w:rPr>
        <w:t>may play a more significant role in determining income than education alone.</w:t>
      </w:r>
    </w:p>
    <w:p w14:paraId="1A84F59A" w14:textId="4C8789BD" w:rsidR="003D42B8" w:rsidRPr="007F00F0" w:rsidRDefault="007F00F0" w:rsidP="003D42B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B6106D">
        <w:rPr>
          <w:rFonts w:ascii="Times New Roman" w:hAnsi="Times New Roman" w:cs="Times New Roman"/>
          <w:b/>
          <w:bCs/>
          <w:sz w:val="24"/>
          <w:szCs w:val="24"/>
        </w:rPr>
        <w:t>.</w:t>
      </w:r>
      <w:r>
        <w:rPr>
          <w:rFonts w:ascii="Times New Roman" w:hAnsi="Times New Roman" w:cs="Times New Roman"/>
          <w:b/>
          <w:bCs/>
          <w:sz w:val="24"/>
          <w:szCs w:val="24"/>
        </w:rPr>
        <w:t xml:space="preserve"> </w:t>
      </w:r>
      <w:r w:rsidR="003D42B8" w:rsidRPr="007F00F0">
        <w:rPr>
          <w:rFonts w:ascii="Times New Roman" w:hAnsi="Times New Roman" w:cs="Times New Roman"/>
          <w:b/>
          <w:bCs/>
          <w:sz w:val="24"/>
          <w:szCs w:val="24"/>
        </w:rPr>
        <w:t>Awareness sour</w:t>
      </w:r>
      <w:r w:rsidR="00CE0DAB" w:rsidRPr="007F00F0">
        <w:rPr>
          <w:rFonts w:ascii="Times New Roman" w:hAnsi="Times New Roman" w:cs="Times New Roman"/>
          <w:b/>
          <w:bCs/>
          <w:sz w:val="24"/>
          <w:szCs w:val="24"/>
        </w:rPr>
        <w:t>ces of respondent</w:t>
      </w:r>
      <w:r w:rsidR="00E331F2" w:rsidRPr="007F00F0">
        <w:rPr>
          <w:rFonts w:ascii="Times New Roman" w:hAnsi="Times New Roman" w:cs="Times New Roman"/>
          <w:b/>
          <w:bCs/>
          <w:sz w:val="24"/>
          <w:szCs w:val="24"/>
        </w:rPr>
        <w:t xml:space="preserve">s for </w:t>
      </w:r>
      <w:r w:rsidR="00FA20AC" w:rsidRPr="007F00F0">
        <w:rPr>
          <w:rFonts w:ascii="Times New Roman" w:hAnsi="Times New Roman" w:cs="Times New Roman"/>
          <w:b/>
          <w:bCs/>
          <w:sz w:val="24"/>
          <w:szCs w:val="24"/>
        </w:rPr>
        <w:t xml:space="preserve">the </w:t>
      </w:r>
      <w:r w:rsidR="00E331F2" w:rsidRPr="007F00F0">
        <w:rPr>
          <w:rFonts w:ascii="Times New Roman" w:hAnsi="Times New Roman" w:cs="Times New Roman"/>
          <w:b/>
          <w:bCs/>
          <w:sz w:val="24"/>
          <w:szCs w:val="24"/>
        </w:rPr>
        <w:t>scheme</w:t>
      </w:r>
    </w:p>
    <w:p w14:paraId="4F254A68" w14:textId="77777777" w:rsidR="00C8771D" w:rsidRDefault="00C8771D" w:rsidP="00C8771D">
      <w:pPr>
        <w:spacing w:line="240" w:lineRule="auto"/>
        <w:jc w:val="both"/>
        <w:rPr>
          <w:rFonts w:ascii="Times New Roman" w:hAnsi="Times New Roman" w:cs="Times New Roman"/>
          <w:sz w:val="24"/>
          <w:szCs w:val="24"/>
        </w:rPr>
      </w:pPr>
      <w:r w:rsidRPr="00C8771D">
        <w:rPr>
          <w:rFonts w:ascii="Times New Roman" w:hAnsi="Times New Roman" w:cs="Times New Roman"/>
          <w:sz w:val="24"/>
          <w:szCs w:val="24"/>
        </w:rPr>
        <w:t>Awareness of the PM-KUSUM scheme is essential for linking farmers to solar irrigation benefits and government subsidies. In rural areas, effective information sources help bridge the gap between policy and practice, enabling farmers to make informed decisions and access the scheme.</w:t>
      </w:r>
    </w:p>
    <w:p w14:paraId="68286123" w14:textId="691FDFF7" w:rsidR="00F02CCD" w:rsidRDefault="00F02CCD" w:rsidP="00B6106D">
      <w:pPr>
        <w:spacing w:line="360" w:lineRule="auto"/>
        <w:jc w:val="center"/>
        <w:rPr>
          <w:rFonts w:ascii="Times New Roman" w:hAnsi="Times New Roman" w:cs="Times New Roman"/>
          <w:b/>
          <w:bCs/>
          <w:sz w:val="24"/>
          <w:szCs w:val="24"/>
        </w:rPr>
      </w:pPr>
      <w:r w:rsidRPr="00362F4F">
        <w:rPr>
          <w:rFonts w:ascii="Times New Roman" w:hAnsi="Times New Roman" w:cs="Times New Roman"/>
          <w:b/>
          <w:bCs/>
          <w:sz w:val="24"/>
          <w:szCs w:val="24"/>
        </w:rPr>
        <w:t xml:space="preserve">Table </w:t>
      </w:r>
      <w:r w:rsidR="00723A71">
        <w:rPr>
          <w:rFonts w:ascii="Times New Roman" w:hAnsi="Times New Roman" w:cs="Times New Roman"/>
          <w:b/>
          <w:bCs/>
          <w:sz w:val="24"/>
          <w:szCs w:val="24"/>
        </w:rPr>
        <w:t>6</w:t>
      </w:r>
      <w:r w:rsidRPr="00362F4F">
        <w:rPr>
          <w:rFonts w:ascii="Times New Roman" w:hAnsi="Times New Roman" w:cs="Times New Roman"/>
          <w:b/>
          <w:bCs/>
          <w:sz w:val="24"/>
          <w:szCs w:val="24"/>
        </w:rPr>
        <w:t xml:space="preserve">: </w:t>
      </w:r>
      <w:r w:rsidR="00842479" w:rsidRPr="00842479">
        <w:rPr>
          <w:rFonts w:ascii="Times New Roman" w:hAnsi="Times New Roman" w:cs="Times New Roman"/>
          <w:b/>
          <w:bCs/>
          <w:sz w:val="24"/>
          <w:szCs w:val="24"/>
        </w:rPr>
        <w:t>Awareness obtaining source</w:t>
      </w:r>
      <w:r w:rsidR="00B6106D">
        <w:rPr>
          <w:rFonts w:ascii="Times New Roman" w:hAnsi="Times New Roman" w:cs="Times New Roman"/>
          <w:b/>
          <w:bCs/>
          <w:sz w:val="24"/>
          <w:szCs w:val="24"/>
        </w:rPr>
        <w:t>s</w:t>
      </w:r>
      <w:r w:rsidR="00842479" w:rsidRPr="00842479">
        <w:rPr>
          <w:rFonts w:ascii="Times New Roman" w:hAnsi="Times New Roman" w:cs="Times New Roman"/>
          <w:b/>
          <w:bCs/>
          <w:sz w:val="24"/>
          <w:szCs w:val="24"/>
        </w:rPr>
        <w:t xml:space="preserve"> of respondents pertaining about PM KUSUM Scheme in the study area</w:t>
      </w:r>
    </w:p>
    <w:tbl>
      <w:tblPr>
        <w:tblStyle w:val="TableGrid"/>
        <w:tblW w:w="5000" w:type="pct"/>
        <w:tblLook w:val="04A0" w:firstRow="1" w:lastRow="0" w:firstColumn="1" w:lastColumn="0" w:noHBand="0" w:noVBand="1"/>
      </w:tblPr>
      <w:tblGrid>
        <w:gridCol w:w="1124"/>
        <w:gridCol w:w="1516"/>
        <w:gridCol w:w="839"/>
        <w:gridCol w:w="1312"/>
        <w:gridCol w:w="1935"/>
        <w:gridCol w:w="1597"/>
        <w:gridCol w:w="919"/>
      </w:tblGrid>
      <w:tr w:rsidR="00F02CCD" w:rsidRPr="00EB1D0A" w14:paraId="341BBA7D" w14:textId="77777777" w:rsidTr="00016E75">
        <w:tc>
          <w:tcPr>
            <w:tcW w:w="608" w:type="pct"/>
            <w:vMerge w:val="restart"/>
            <w:vAlign w:val="center"/>
          </w:tcPr>
          <w:p w14:paraId="70235793" w14:textId="77777777" w:rsidR="00F02CCD" w:rsidRPr="00EB1D0A" w:rsidRDefault="00F02CCD" w:rsidP="0018182C">
            <w:pPr>
              <w:spacing w:line="360" w:lineRule="auto"/>
              <w:jc w:val="center"/>
              <w:rPr>
                <w:rFonts w:ascii="Times New Roman" w:hAnsi="Times New Roman" w:cs="Times New Roman"/>
                <w:b/>
                <w:bCs/>
              </w:rPr>
            </w:pPr>
            <w:r w:rsidRPr="00EB1D0A">
              <w:rPr>
                <w:rFonts w:ascii="Times New Roman" w:hAnsi="Times New Roman" w:cs="Times New Roman"/>
                <w:b/>
                <w:bCs/>
              </w:rPr>
              <w:t>Scheme</w:t>
            </w:r>
          </w:p>
        </w:tc>
        <w:tc>
          <w:tcPr>
            <w:tcW w:w="4392" w:type="pct"/>
            <w:gridSpan w:val="6"/>
            <w:vAlign w:val="center"/>
          </w:tcPr>
          <w:p w14:paraId="16E396C5" w14:textId="77777777" w:rsidR="00F02CCD" w:rsidRPr="00C713BC" w:rsidRDefault="00F02CCD" w:rsidP="0018182C">
            <w:pPr>
              <w:spacing w:line="360" w:lineRule="auto"/>
              <w:jc w:val="center"/>
              <w:rPr>
                <w:rFonts w:ascii="Times New Roman" w:hAnsi="Times New Roman" w:cs="Times New Roman"/>
                <w:b/>
                <w:bCs/>
              </w:rPr>
            </w:pPr>
            <w:r w:rsidRPr="00C713BC">
              <w:rPr>
                <w:rFonts w:ascii="Times New Roman" w:hAnsi="Times New Roman" w:cs="Times New Roman"/>
                <w:b/>
                <w:bCs/>
                <w:sz w:val="24"/>
                <w:szCs w:val="24"/>
              </w:rPr>
              <w:t>Sources of Awareness</w:t>
            </w:r>
          </w:p>
        </w:tc>
      </w:tr>
      <w:tr w:rsidR="00F02CCD" w:rsidRPr="00EB1D0A" w14:paraId="60012F22" w14:textId="77777777" w:rsidTr="00016E75">
        <w:tc>
          <w:tcPr>
            <w:tcW w:w="608" w:type="pct"/>
            <w:vMerge/>
            <w:vAlign w:val="center"/>
          </w:tcPr>
          <w:p w14:paraId="26CE2CB9" w14:textId="77777777" w:rsidR="00F02CCD" w:rsidRPr="00EB1D0A" w:rsidRDefault="00F02CCD" w:rsidP="0018182C">
            <w:pPr>
              <w:spacing w:line="360" w:lineRule="auto"/>
              <w:jc w:val="center"/>
              <w:rPr>
                <w:rFonts w:ascii="Times New Roman" w:hAnsi="Times New Roman" w:cs="Times New Roman"/>
                <w:b/>
                <w:bCs/>
              </w:rPr>
            </w:pPr>
          </w:p>
        </w:tc>
        <w:tc>
          <w:tcPr>
            <w:tcW w:w="820" w:type="pct"/>
            <w:vAlign w:val="center"/>
          </w:tcPr>
          <w:p w14:paraId="4E966A7B" w14:textId="77777777" w:rsidR="00F02CCD" w:rsidRPr="00EB1D0A" w:rsidRDefault="00F02CCD" w:rsidP="0018182C">
            <w:pPr>
              <w:spacing w:line="360" w:lineRule="auto"/>
              <w:jc w:val="center"/>
              <w:rPr>
                <w:rFonts w:ascii="Times New Roman" w:hAnsi="Times New Roman" w:cs="Times New Roman"/>
                <w:b/>
                <w:bCs/>
              </w:rPr>
            </w:pPr>
            <w:r w:rsidRPr="00EB1D0A">
              <w:rPr>
                <w:rFonts w:ascii="Times New Roman" w:hAnsi="Times New Roman" w:cs="Times New Roman"/>
                <w:b/>
                <w:bCs/>
              </w:rPr>
              <w:t>Agricultural Officer</w:t>
            </w:r>
          </w:p>
        </w:tc>
        <w:tc>
          <w:tcPr>
            <w:tcW w:w="454" w:type="pct"/>
            <w:vAlign w:val="center"/>
          </w:tcPr>
          <w:p w14:paraId="7B7FD024" w14:textId="77777777" w:rsidR="00F02CCD" w:rsidRPr="00EB1D0A" w:rsidRDefault="00F02CCD" w:rsidP="0018182C">
            <w:pPr>
              <w:spacing w:line="360" w:lineRule="auto"/>
              <w:jc w:val="center"/>
              <w:rPr>
                <w:rFonts w:ascii="Times New Roman" w:hAnsi="Times New Roman" w:cs="Times New Roman"/>
                <w:b/>
                <w:bCs/>
              </w:rPr>
            </w:pPr>
            <w:r w:rsidRPr="00EB1D0A">
              <w:rPr>
                <w:rFonts w:ascii="Times New Roman" w:hAnsi="Times New Roman" w:cs="Times New Roman"/>
                <w:b/>
                <w:bCs/>
              </w:rPr>
              <w:t>Bank Agent</w:t>
            </w:r>
          </w:p>
        </w:tc>
        <w:tc>
          <w:tcPr>
            <w:tcW w:w="710" w:type="pct"/>
            <w:vAlign w:val="center"/>
          </w:tcPr>
          <w:p w14:paraId="7160DEA6" w14:textId="77777777" w:rsidR="00F02CCD" w:rsidRPr="00EB1D0A" w:rsidRDefault="00F02CCD" w:rsidP="0018182C">
            <w:pPr>
              <w:spacing w:line="360" w:lineRule="auto"/>
              <w:jc w:val="center"/>
              <w:rPr>
                <w:rFonts w:ascii="Times New Roman" w:hAnsi="Times New Roman" w:cs="Times New Roman"/>
                <w:b/>
                <w:bCs/>
              </w:rPr>
            </w:pPr>
            <w:r w:rsidRPr="00EB1D0A">
              <w:rPr>
                <w:rFonts w:ascii="Times New Roman" w:hAnsi="Times New Roman" w:cs="Times New Roman"/>
                <w:b/>
                <w:bCs/>
              </w:rPr>
              <w:t>Panchayat</w:t>
            </w:r>
          </w:p>
        </w:tc>
        <w:tc>
          <w:tcPr>
            <w:tcW w:w="1047" w:type="pct"/>
            <w:vAlign w:val="center"/>
          </w:tcPr>
          <w:p w14:paraId="2C4A83F6" w14:textId="77777777" w:rsidR="00F02CCD" w:rsidRPr="00EB1D0A" w:rsidRDefault="00F02CCD" w:rsidP="0018182C">
            <w:pPr>
              <w:spacing w:line="360" w:lineRule="auto"/>
              <w:jc w:val="center"/>
              <w:rPr>
                <w:rFonts w:ascii="Times New Roman" w:hAnsi="Times New Roman" w:cs="Times New Roman"/>
                <w:b/>
                <w:bCs/>
              </w:rPr>
            </w:pPr>
            <w:r w:rsidRPr="00EB1D0A">
              <w:rPr>
                <w:rFonts w:ascii="Times New Roman" w:hAnsi="Times New Roman" w:cs="Times New Roman"/>
                <w:b/>
                <w:bCs/>
              </w:rPr>
              <w:t>Friend/Relatives</w:t>
            </w:r>
          </w:p>
        </w:tc>
        <w:tc>
          <w:tcPr>
            <w:tcW w:w="864" w:type="pct"/>
            <w:vAlign w:val="center"/>
          </w:tcPr>
          <w:p w14:paraId="41B53F5F" w14:textId="77777777" w:rsidR="00F02CCD" w:rsidRPr="00EB1D0A" w:rsidRDefault="00F02CCD" w:rsidP="0018182C">
            <w:pPr>
              <w:spacing w:line="360" w:lineRule="auto"/>
              <w:jc w:val="center"/>
              <w:rPr>
                <w:rFonts w:ascii="Times New Roman" w:hAnsi="Times New Roman" w:cs="Times New Roman"/>
                <w:b/>
                <w:bCs/>
              </w:rPr>
            </w:pPr>
            <w:r w:rsidRPr="00EB1D0A">
              <w:rPr>
                <w:rFonts w:ascii="Times New Roman" w:hAnsi="Times New Roman" w:cs="Times New Roman"/>
                <w:b/>
                <w:bCs/>
              </w:rPr>
              <w:t>Organization</w:t>
            </w:r>
          </w:p>
        </w:tc>
        <w:tc>
          <w:tcPr>
            <w:tcW w:w="496" w:type="pct"/>
            <w:vAlign w:val="center"/>
          </w:tcPr>
          <w:p w14:paraId="614CF288" w14:textId="77777777" w:rsidR="00F02CCD" w:rsidRPr="00EB1D0A" w:rsidRDefault="00F02CCD" w:rsidP="0018182C">
            <w:pPr>
              <w:spacing w:line="360" w:lineRule="auto"/>
              <w:jc w:val="center"/>
              <w:rPr>
                <w:rFonts w:ascii="Times New Roman" w:hAnsi="Times New Roman" w:cs="Times New Roman"/>
                <w:b/>
                <w:bCs/>
              </w:rPr>
            </w:pPr>
            <w:r w:rsidRPr="00EB1D0A">
              <w:rPr>
                <w:rFonts w:ascii="Times New Roman" w:hAnsi="Times New Roman" w:cs="Times New Roman"/>
                <w:b/>
                <w:bCs/>
              </w:rPr>
              <w:t>Social Midea</w:t>
            </w:r>
          </w:p>
        </w:tc>
      </w:tr>
      <w:tr w:rsidR="00F02CCD" w:rsidRPr="00EB1D0A" w14:paraId="6D4A26A2" w14:textId="77777777" w:rsidTr="00016E75">
        <w:tc>
          <w:tcPr>
            <w:tcW w:w="608" w:type="pct"/>
            <w:vMerge w:val="restart"/>
            <w:vAlign w:val="center"/>
          </w:tcPr>
          <w:p w14:paraId="287A227D" w14:textId="77777777" w:rsidR="00F02CCD" w:rsidRPr="00EB1D0A" w:rsidRDefault="00F02CCD" w:rsidP="0018182C">
            <w:pPr>
              <w:spacing w:line="360" w:lineRule="auto"/>
              <w:jc w:val="center"/>
              <w:rPr>
                <w:rFonts w:ascii="Times New Roman" w:hAnsi="Times New Roman" w:cs="Times New Roman"/>
                <w:b/>
                <w:bCs/>
              </w:rPr>
            </w:pPr>
            <w:r w:rsidRPr="00EB1D0A">
              <w:rPr>
                <w:rFonts w:ascii="Times New Roman" w:hAnsi="Times New Roman" w:cs="Times New Roman"/>
                <w:b/>
                <w:bCs/>
              </w:rPr>
              <w:t>PM KUSUM</w:t>
            </w:r>
          </w:p>
        </w:tc>
        <w:tc>
          <w:tcPr>
            <w:tcW w:w="820" w:type="pct"/>
            <w:vAlign w:val="center"/>
          </w:tcPr>
          <w:p w14:paraId="7089E7E7" w14:textId="77777777" w:rsidR="00F02CCD" w:rsidRPr="00D46A49" w:rsidRDefault="00F02CCD" w:rsidP="0018182C">
            <w:pPr>
              <w:spacing w:line="360" w:lineRule="auto"/>
              <w:jc w:val="center"/>
              <w:rPr>
                <w:rFonts w:ascii="Times New Roman" w:hAnsi="Times New Roman" w:cs="Times New Roman"/>
              </w:rPr>
            </w:pPr>
            <w:r w:rsidRPr="00D46A49">
              <w:rPr>
                <w:rFonts w:ascii="Times New Roman" w:hAnsi="Times New Roman" w:cs="Times New Roman"/>
              </w:rPr>
              <w:t>23</w:t>
            </w:r>
          </w:p>
        </w:tc>
        <w:tc>
          <w:tcPr>
            <w:tcW w:w="454" w:type="pct"/>
            <w:vAlign w:val="center"/>
          </w:tcPr>
          <w:p w14:paraId="75928898" w14:textId="77777777" w:rsidR="00F02CCD" w:rsidRPr="00D46A49" w:rsidRDefault="00F02CCD" w:rsidP="0018182C">
            <w:pPr>
              <w:spacing w:line="360" w:lineRule="auto"/>
              <w:jc w:val="center"/>
              <w:rPr>
                <w:rFonts w:ascii="Times New Roman" w:hAnsi="Times New Roman" w:cs="Times New Roman"/>
              </w:rPr>
            </w:pPr>
            <w:r w:rsidRPr="00D46A49">
              <w:rPr>
                <w:rFonts w:ascii="Times New Roman" w:hAnsi="Times New Roman" w:cs="Times New Roman"/>
              </w:rPr>
              <w:t>5</w:t>
            </w:r>
          </w:p>
        </w:tc>
        <w:tc>
          <w:tcPr>
            <w:tcW w:w="710" w:type="pct"/>
            <w:vAlign w:val="center"/>
          </w:tcPr>
          <w:p w14:paraId="118F1CD8" w14:textId="77777777" w:rsidR="00F02CCD" w:rsidRPr="00D46A49" w:rsidRDefault="00F02CCD" w:rsidP="0018182C">
            <w:pPr>
              <w:spacing w:line="360" w:lineRule="auto"/>
              <w:jc w:val="center"/>
              <w:rPr>
                <w:rFonts w:ascii="Times New Roman" w:hAnsi="Times New Roman" w:cs="Times New Roman"/>
              </w:rPr>
            </w:pPr>
            <w:r w:rsidRPr="00D46A49">
              <w:rPr>
                <w:rFonts w:ascii="Times New Roman" w:hAnsi="Times New Roman" w:cs="Times New Roman"/>
              </w:rPr>
              <w:t>4</w:t>
            </w:r>
          </w:p>
        </w:tc>
        <w:tc>
          <w:tcPr>
            <w:tcW w:w="1047" w:type="pct"/>
            <w:vAlign w:val="center"/>
          </w:tcPr>
          <w:p w14:paraId="3A52340E" w14:textId="77777777" w:rsidR="00F02CCD" w:rsidRPr="00D46A49" w:rsidRDefault="00F02CCD" w:rsidP="0018182C">
            <w:pPr>
              <w:spacing w:line="360" w:lineRule="auto"/>
              <w:jc w:val="center"/>
              <w:rPr>
                <w:rFonts w:ascii="Times New Roman" w:hAnsi="Times New Roman" w:cs="Times New Roman"/>
              </w:rPr>
            </w:pPr>
            <w:r w:rsidRPr="00D46A49">
              <w:rPr>
                <w:rFonts w:ascii="Times New Roman" w:hAnsi="Times New Roman" w:cs="Times New Roman"/>
              </w:rPr>
              <w:t>26</w:t>
            </w:r>
          </w:p>
        </w:tc>
        <w:tc>
          <w:tcPr>
            <w:tcW w:w="864" w:type="pct"/>
            <w:vAlign w:val="center"/>
          </w:tcPr>
          <w:p w14:paraId="7EA3CFA7" w14:textId="77777777" w:rsidR="00F02CCD" w:rsidRPr="00D46A49" w:rsidRDefault="00F02CCD" w:rsidP="0018182C">
            <w:pPr>
              <w:spacing w:line="360" w:lineRule="auto"/>
              <w:jc w:val="center"/>
              <w:rPr>
                <w:rFonts w:ascii="Times New Roman" w:hAnsi="Times New Roman" w:cs="Times New Roman"/>
              </w:rPr>
            </w:pPr>
            <w:r w:rsidRPr="00D46A49">
              <w:rPr>
                <w:rFonts w:ascii="Times New Roman" w:hAnsi="Times New Roman" w:cs="Times New Roman"/>
              </w:rPr>
              <w:t>7</w:t>
            </w:r>
          </w:p>
        </w:tc>
        <w:tc>
          <w:tcPr>
            <w:tcW w:w="496" w:type="pct"/>
            <w:vAlign w:val="center"/>
          </w:tcPr>
          <w:p w14:paraId="6D624050" w14:textId="77777777" w:rsidR="00F02CCD" w:rsidRPr="00D46A49" w:rsidRDefault="00F02CCD" w:rsidP="0018182C">
            <w:pPr>
              <w:spacing w:line="360" w:lineRule="auto"/>
              <w:jc w:val="center"/>
              <w:rPr>
                <w:rFonts w:ascii="Times New Roman" w:hAnsi="Times New Roman" w:cs="Times New Roman"/>
              </w:rPr>
            </w:pPr>
            <w:r w:rsidRPr="00D46A49">
              <w:rPr>
                <w:rFonts w:ascii="Times New Roman" w:hAnsi="Times New Roman" w:cs="Times New Roman"/>
              </w:rPr>
              <w:t>19</w:t>
            </w:r>
          </w:p>
        </w:tc>
      </w:tr>
      <w:tr w:rsidR="00F02CCD" w:rsidRPr="00362023" w14:paraId="62107A9E" w14:textId="77777777" w:rsidTr="00016E75">
        <w:tc>
          <w:tcPr>
            <w:tcW w:w="608" w:type="pct"/>
            <w:vMerge/>
            <w:vAlign w:val="center"/>
          </w:tcPr>
          <w:p w14:paraId="50B91281" w14:textId="77777777" w:rsidR="00F02CCD" w:rsidRPr="00362023" w:rsidRDefault="00F02CCD" w:rsidP="0018182C">
            <w:pPr>
              <w:spacing w:line="360" w:lineRule="auto"/>
              <w:jc w:val="center"/>
              <w:rPr>
                <w:rFonts w:ascii="Times New Roman" w:hAnsi="Times New Roman" w:cs="Times New Roman"/>
              </w:rPr>
            </w:pPr>
          </w:p>
        </w:tc>
        <w:tc>
          <w:tcPr>
            <w:tcW w:w="820" w:type="pct"/>
            <w:vAlign w:val="center"/>
          </w:tcPr>
          <w:p w14:paraId="6707D03A" w14:textId="77777777" w:rsidR="00F02CCD" w:rsidRPr="00362023" w:rsidRDefault="00F02CCD" w:rsidP="0018182C">
            <w:pPr>
              <w:spacing w:line="360" w:lineRule="auto"/>
              <w:jc w:val="center"/>
              <w:rPr>
                <w:rFonts w:ascii="Times New Roman" w:hAnsi="Times New Roman" w:cs="Times New Roman"/>
              </w:rPr>
            </w:pPr>
            <w:r w:rsidRPr="00362023">
              <w:rPr>
                <w:rFonts w:ascii="Times New Roman" w:hAnsi="Times New Roman" w:cs="Times New Roman"/>
              </w:rPr>
              <w:t>27.</w:t>
            </w:r>
            <w:r>
              <w:rPr>
                <w:rFonts w:ascii="Times New Roman" w:hAnsi="Times New Roman" w:cs="Times New Roman"/>
              </w:rPr>
              <w:t>38</w:t>
            </w:r>
            <w:r w:rsidRPr="00362023">
              <w:rPr>
                <w:rFonts w:ascii="Times New Roman" w:hAnsi="Times New Roman" w:cs="Times New Roman"/>
              </w:rPr>
              <w:t>%</w:t>
            </w:r>
          </w:p>
        </w:tc>
        <w:tc>
          <w:tcPr>
            <w:tcW w:w="454" w:type="pct"/>
            <w:vAlign w:val="center"/>
          </w:tcPr>
          <w:p w14:paraId="31CC3A75" w14:textId="77777777" w:rsidR="00F02CCD" w:rsidRPr="00362023" w:rsidRDefault="00F02CCD" w:rsidP="0018182C">
            <w:pPr>
              <w:spacing w:line="360" w:lineRule="auto"/>
              <w:jc w:val="center"/>
              <w:rPr>
                <w:rFonts w:ascii="Times New Roman" w:hAnsi="Times New Roman" w:cs="Times New Roman"/>
              </w:rPr>
            </w:pPr>
            <w:r w:rsidRPr="00362023">
              <w:rPr>
                <w:rFonts w:ascii="Times New Roman" w:hAnsi="Times New Roman" w:cs="Times New Roman"/>
              </w:rPr>
              <w:t>5.9</w:t>
            </w:r>
            <w:r>
              <w:rPr>
                <w:rFonts w:ascii="Times New Roman" w:hAnsi="Times New Roman" w:cs="Times New Roman"/>
              </w:rPr>
              <w:t>6</w:t>
            </w:r>
            <w:r w:rsidRPr="00362023">
              <w:rPr>
                <w:rFonts w:ascii="Times New Roman" w:hAnsi="Times New Roman" w:cs="Times New Roman"/>
              </w:rPr>
              <w:t>%</w:t>
            </w:r>
          </w:p>
        </w:tc>
        <w:tc>
          <w:tcPr>
            <w:tcW w:w="710" w:type="pct"/>
            <w:vAlign w:val="center"/>
          </w:tcPr>
          <w:p w14:paraId="02EB57E0" w14:textId="77777777" w:rsidR="00F02CCD" w:rsidRPr="00362023" w:rsidRDefault="00F02CCD" w:rsidP="0018182C">
            <w:pPr>
              <w:spacing w:line="360" w:lineRule="auto"/>
              <w:jc w:val="center"/>
              <w:rPr>
                <w:rFonts w:ascii="Times New Roman" w:hAnsi="Times New Roman" w:cs="Times New Roman"/>
              </w:rPr>
            </w:pPr>
            <w:r w:rsidRPr="00362023">
              <w:rPr>
                <w:rFonts w:ascii="Times New Roman" w:hAnsi="Times New Roman" w:cs="Times New Roman"/>
              </w:rPr>
              <w:t>4.</w:t>
            </w:r>
            <w:r>
              <w:rPr>
                <w:rFonts w:ascii="Times New Roman" w:hAnsi="Times New Roman" w:cs="Times New Roman"/>
              </w:rPr>
              <w:t>76</w:t>
            </w:r>
            <w:r w:rsidRPr="00362023">
              <w:rPr>
                <w:rFonts w:ascii="Times New Roman" w:hAnsi="Times New Roman" w:cs="Times New Roman"/>
              </w:rPr>
              <w:t>%</w:t>
            </w:r>
          </w:p>
        </w:tc>
        <w:tc>
          <w:tcPr>
            <w:tcW w:w="1047" w:type="pct"/>
            <w:vAlign w:val="center"/>
          </w:tcPr>
          <w:p w14:paraId="1996D6C9" w14:textId="77777777" w:rsidR="00F02CCD" w:rsidRPr="00362023" w:rsidRDefault="00F02CCD" w:rsidP="0018182C">
            <w:pPr>
              <w:spacing w:line="360" w:lineRule="auto"/>
              <w:jc w:val="center"/>
              <w:rPr>
                <w:rFonts w:ascii="Times New Roman" w:hAnsi="Times New Roman" w:cs="Times New Roman"/>
              </w:rPr>
            </w:pPr>
            <w:r w:rsidRPr="00362023">
              <w:rPr>
                <w:rFonts w:ascii="Times New Roman" w:hAnsi="Times New Roman" w:cs="Times New Roman"/>
              </w:rPr>
              <w:t>30.9</w:t>
            </w:r>
            <w:r>
              <w:rPr>
                <w:rFonts w:ascii="Times New Roman" w:hAnsi="Times New Roman" w:cs="Times New Roman"/>
              </w:rPr>
              <w:t>5</w:t>
            </w:r>
            <w:r w:rsidRPr="00362023">
              <w:rPr>
                <w:rFonts w:ascii="Times New Roman" w:hAnsi="Times New Roman" w:cs="Times New Roman"/>
              </w:rPr>
              <w:t>%</w:t>
            </w:r>
          </w:p>
        </w:tc>
        <w:tc>
          <w:tcPr>
            <w:tcW w:w="864" w:type="pct"/>
            <w:vAlign w:val="center"/>
          </w:tcPr>
          <w:p w14:paraId="4ABAAF85" w14:textId="77777777" w:rsidR="00F02CCD" w:rsidRPr="00362023" w:rsidRDefault="00F02CCD" w:rsidP="0018182C">
            <w:pPr>
              <w:spacing w:line="360" w:lineRule="auto"/>
              <w:jc w:val="center"/>
              <w:rPr>
                <w:rFonts w:ascii="Times New Roman" w:hAnsi="Times New Roman" w:cs="Times New Roman"/>
              </w:rPr>
            </w:pPr>
            <w:r w:rsidRPr="00362023">
              <w:rPr>
                <w:rFonts w:ascii="Times New Roman" w:hAnsi="Times New Roman" w:cs="Times New Roman"/>
              </w:rPr>
              <w:t>8.3</w:t>
            </w:r>
            <w:r>
              <w:rPr>
                <w:rFonts w:ascii="Times New Roman" w:hAnsi="Times New Roman" w:cs="Times New Roman"/>
              </w:rPr>
              <w:t>3</w:t>
            </w:r>
            <w:r w:rsidRPr="00362023">
              <w:rPr>
                <w:rFonts w:ascii="Times New Roman" w:hAnsi="Times New Roman" w:cs="Times New Roman"/>
              </w:rPr>
              <w:t>%</w:t>
            </w:r>
          </w:p>
        </w:tc>
        <w:tc>
          <w:tcPr>
            <w:tcW w:w="496" w:type="pct"/>
            <w:vAlign w:val="center"/>
          </w:tcPr>
          <w:p w14:paraId="76EC4B45" w14:textId="77777777" w:rsidR="00F02CCD" w:rsidRPr="00362023" w:rsidRDefault="00F02CCD" w:rsidP="0018182C">
            <w:pPr>
              <w:spacing w:line="360" w:lineRule="auto"/>
              <w:jc w:val="center"/>
              <w:rPr>
                <w:rFonts w:ascii="Times New Roman" w:hAnsi="Times New Roman" w:cs="Times New Roman"/>
              </w:rPr>
            </w:pPr>
            <w:r>
              <w:rPr>
                <w:rFonts w:ascii="Times New Roman" w:hAnsi="Times New Roman" w:cs="Times New Roman"/>
              </w:rPr>
              <w:t>22.62</w:t>
            </w:r>
            <w:r w:rsidRPr="00362023">
              <w:rPr>
                <w:rFonts w:ascii="Times New Roman" w:hAnsi="Times New Roman" w:cs="Times New Roman"/>
              </w:rPr>
              <w:t>%</w:t>
            </w:r>
          </w:p>
        </w:tc>
      </w:tr>
    </w:tbl>
    <w:p w14:paraId="46207946" w14:textId="77777777" w:rsidR="00016E75" w:rsidRPr="00FA20AC" w:rsidRDefault="00016E75" w:rsidP="006C5998">
      <w:pPr>
        <w:spacing w:line="240" w:lineRule="auto"/>
        <w:ind w:firstLine="720"/>
        <w:jc w:val="both"/>
        <w:rPr>
          <w:rFonts w:ascii="Times New Roman" w:hAnsi="Times New Roman" w:cs="Times New Roman"/>
          <w:sz w:val="24"/>
          <w:szCs w:val="24"/>
        </w:rPr>
      </w:pPr>
      <w:r w:rsidRPr="00FA20AC">
        <w:rPr>
          <w:rFonts w:ascii="Times New Roman" w:hAnsi="Times New Roman" w:cs="Times New Roman"/>
          <w:sz w:val="24"/>
          <w:szCs w:val="24"/>
        </w:rPr>
        <w:t xml:space="preserve">The data elucidated in Table </w:t>
      </w:r>
      <w:r>
        <w:rPr>
          <w:rFonts w:ascii="Times New Roman" w:hAnsi="Times New Roman" w:cs="Times New Roman"/>
          <w:sz w:val="24"/>
          <w:szCs w:val="24"/>
        </w:rPr>
        <w:t>6</w:t>
      </w:r>
      <w:r w:rsidRPr="00FA20AC">
        <w:rPr>
          <w:rFonts w:ascii="Times New Roman" w:hAnsi="Times New Roman" w:cs="Times New Roman"/>
          <w:sz w:val="24"/>
          <w:szCs w:val="24"/>
        </w:rPr>
        <w:t xml:space="preserve"> furnishes a comprehensive depiction of the sources contributing to </w:t>
      </w:r>
      <w:r>
        <w:rPr>
          <w:rFonts w:ascii="Times New Roman" w:hAnsi="Times New Roman" w:cs="Times New Roman"/>
          <w:sz w:val="24"/>
          <w:szCs w:val="24"/>
        </w:rPr>
        <w:t>farmers’</w:t>
      </w:r>
      <w:r w:rsidRPr="00FA20AC">
        <w:rPr>
          <w:rFonts w:ascii="Times New Roman" w:hAnsi="Times New Roman" w:cs="Times New Roman"/>
          <w:sz w:val="24"/>
          <w:szCs w:val="24"/>
        </w:rPr>
        <w:t xml:space="preserve"> awareness regarding </w:t>
      </w:r>
      <w:r>
        <w:rPr>
          <w:rFonts w:ascii="Times New Roman" w:hAnsi="Times New Roman" w:cs="Times New Roman"/>
          <w:sz w:val="24"/>
          <w:szCs w:val="24"/>
        </w:rPr>
        <w:t xml:space="preserve">the </w:t>
      </w:r>
      <w:r w:rsidRPr="00FA20AC">
        <w:rPr>
          <w:rFonts w:ascii="Times New Roman" w:hAnsi="Times New Roman" w:cs="Times New Roman"/>
          <w:sz w:val="24"/>
          <w:szCs w:val="24"/>
        </w:rPr>
        <w:t xml:space="preserve">diverse PM KUSUM Scheme in the Study area. A detailed look </w:t>
      </w:r>
      <w:r>
        <w:rPr>
          <w:rFonts w:ascii="Times New Roman" w:hAnsi="Times New Roman" w:cs="Times New Roman"/>
          <w:sz w:val="24"/>
          <w:szCs w:val="24"/>
        </w:rPr>
        <w:t>at</w:t>
      </w:r>
      <w:r w:rsidRPr="00FA20AC">
        <w:rPr>
          <w:rFonts w:ascii="Times New Roman" w:hAnsi="Times New Roman" w:cs="Times New Roman"/>
          <w:sz w:val="24"/>
          <w:szCs w:val="24"/>
        </w:rPr>
        <w:t xml:space="preserve"> the scheme shows clear patterns in how people get their information.</w:t>
      </w:r>
    </w:p>
    <w:p w14:paraId="4B3916B1" w14:textId="4A64ACBF" w:rsidR="00F02CCD" w:rsidRPr="00FA20AC" w:rsidRDefault="00016E75" w:rsidP="00A73896">
      <w:pPr>
        <w:spacing w:line="240" w:lineRule="auto"/>
        <w:ind w:firstLine="720"/>
        <w:jc w:val="both"/>
        <w:rPr>
          <w:rFonts w:ascii="Times New Roman" w:hAnsi="Times New Roman" w:cs="Times New Roman"/>
          <w:sz w:val="24"/>
          <w:szCs w:val="24"/>
        </w:rPr>
      </w:pPr>
      <w:r w:rsidRPr="00FA20AC">
        <w:rPr>
          <w:rFonts w:ascii="Times New Roman" w:hAnsi="Times New Roman" w:cs="Times New Roman"/>
          <w:sz w:val="24"/>
          <w:szCs w:val="24"/>
        </w:rPr>
        <w:t xml:space="preserve">The scheme, in the study area Friends and Relatives, emerges as the primary source of awareness at 30.95%, while Agricultural Officers play a notable role, contributing 27.38%, and after that, Social Media </w:t>
      </w:r>
      <w:r>
        <w:rPr>
          <w:rFonts w:ascii="Times New Roman" w:hAnsi="Times New Roman" w:cs="Times New Roman"/>
          <w:sz w:val="24"/>
          <w:szCs w:val="24"/>
        </w:rPr>
        <w:t>plays</w:t>
      </w:r>
      <w:r w:rsidRPr="00FA20AC">
        <w:rPr>
          <w:rFonts w:ascii="Times New Roman" w:hAnsi="Times New Roman" w:cs="Times New Roman"/>
          <w:sz w:val="24"/>
          <w:szCs w:val="24"/>
        </w:rPr>
        <w:t xml:space="preserve"> </w:t>
      </w:r>
      <w:r>
        <w:rPr>
          <w:rFonts w:ascii="Times New Roman" w:hAnsi="Times New Roman" w:cs="Times New Roman"/>
          <w:sz w:val="24"/>
          <w:szCs w:val="24"/>
        </w:rPr>
        <w:t>its</w:t>
      </w:r>
      <w:r w:rsidRPr="00FA20AC">
        <w:rPr>
          <w:rFonts w:ascii="Times New Roman" w:hAnsi="Times New Roman" w:cs="Times New Roman"/>
          <w:sz w:val="24"/>
          <w:szCs w:val="24"/>
        </w:rPr>
        <w:t xml:space="preserve"> role by 22.62% in the Sources of awareness of </w:t>
      </w:r>
      <w:r>
        <w:rPr>
          <w:rFonts w:ascii="Times New Roman" w:hAnsi="Times New Roman" w:cs="Times New Roman"/>
          <w:sz w:val="24"/>
          <w:szCs w:val="24"/>
        </w:rPr>
        <w:t xml:space="preserve">the </w:t>
      </w:r>
      <w:r w:rsidRPr="00FA20AC">
        <w:rPr>
          <w:rFonts w:ascii="Times New Roman" w:hAnsi="Times New Roman" w:cs="Times New Roman"/>
          <w:sz w:val="24"/>
          <w:szCs w:val="24"/>
        </w:rPr>
        <w:t xml:space="preserve">PM KUSUM scheme.  </w:t>
      </w:r>
    </w:p>
    <w:p w14:paraId="27FA506E" w14:textId="267ECA5A" w:rsidR="00E331F2" w:rsidRPr="007F00F0" w:rsidRDefault="007F00F0" w:rsidP="0018328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A73896">
        <w:rPr>
          <w:rFonts w:ascii="Times New Roman" w:hAnsi="Times New Roman" w:cs="Times New Roman"/>
          <w:b/>
          <w:bCs/>
          <w:sz w:val="24"/>
          <w:szCs w:val="24"/>
        </w:rPr>
        <w:t>.</w:t>
      </w:r>
      <w:r>
        <w:rPr>
          <w:rFonts w:ascii="Times New Roman" w:hAnsi="Times New Roman" w:cs="Times New Roman"/>
          <w:b/>
          <w:bCs/>
          <w:sz w:val="24"/>
          <w:szCs w:val="24"/>
        </w:rPr>
        <w:t xml:space="preserve"> </w:t>
      </w:r>
      <w:r w:rsidR="0018328D" w:rsidRPr="007F00F0">
        <w:rPr>
          <w:rFonts w:ascii="Times New Roman" w:hAnsi="Times New Roman" w:cs="Times New Roman"/>
          <w:b/>
          <w:bCs/>
          <w:sz w:val="24"/>
          <w:szCs w:val="24"/>
        </w:rPr>
        <w:t xml:space="preserve">Awareness level of </w:t>
      </w:r>
      <w:r w:rsidR="00244527" w:rsidRPr="007F00F0">
        <w:rPr>
          <w:rFonts w:ascii="Times New Roman" w:hAnsi="Times New Roman" w:cs="Times New Roman"/>
          <w:b/>
          <w:bCs/>
          <w:sz w:val="24"/>
          <w:szCs w:val="24"/>
        </w:rPr>
        <w:t>respondents</w:t>
      </w:r>
      <w:r w:rsidR="00745A80" w:rsidRPr="007F00F0">
        <w:rPr>
          <w:rFonts w:ascii="Times New Roman" w:hAnsi="Times New Roman" w:cs="Times New Roman"/>
          <w:b/>
          <w:bCs/>
          <w:sz w:val="24"/>
          <w:szCs w:val="24"/>
        </w:rPr>
        <w:t xml:space="preserve"> regarding various </w:t>
      </w:r>
      <w:r w:rsidR="00244527" w:rsidRPr="007F00F0">
        <w:rPr>
          <w:rFonts w:ascii="Times New Roman" w:hAnsi="Times New Roman" w:cs="Times New Roman"/>
          <w:b/>
          <w:bCs/>
          <w:sz w:val="24"/>
          <w:szCs w:val="24"/>
        </w:rPr>
        <w:t>aspects</w:t>
      </w:r>
      <w:r w:rsidR="00745A80" w:rsidRPr="007F00F0">
        <w:rPr>
          <w:rFonts w:ascii="Times New Roman" w:hAnsi="Times New Roman" w:cs="Times New Roman"/>
          <w:b/>
          <w:bCs/>
          <w:sz w:val="24"/>
          <w:szCs w:val="24"/>
        </w:rPr>
        <w:t xml:space="preserve"> of </w:t>
      </w:r>
      <w:r w:rsidR="00244527" w:rsidRPr="007F00F0">
        <w:rPr>
          <w:rFonts w:ascii="Times New Roman" w:hAnsi="Times New Roman" w:cs="Times New Roman"/>
          <w:b/>
          <w:bCs/>
          <w:sz w:val="24"/>
          <w:szCs w:val="24"/>
        </w:rPr>
        <w:t xml:space="preserve">the </w:t>
      </w:r>
      <w:r w:rsidR="00745A80" w:rsidRPr="007F00F0">
        <w:rPr>
          <w:rFonts w:ascii="Times New Roman" w:hAnsi="Times New Roman" w:cs="Times New Roman"/>
          <w:b/>
          <w:bCs/>
          <w:sz w:val="24"/>
          <w:szCs w:val="24"/>
        </w:rPr>
        <w:t>scheme</w:t>
      </w:r>
    </w:p>
    <w:p w14:paraId="4AABA98D" w14:textId="09FA3774" w:rsidR="00CD1FCE" w:rsidRDefault="00F77104" w:rsidP="00004C89">
      <w:pPr>
        <w:spacing w:line="240" w:lineRule="auto"/>
        <w:ind w:firstLine="720"/>
        <w:jc w:val="both"/>
        <w:rPr>
          <w:rFonts w:ascii="Times New Roman" w:hAnsi="Times New Roman" w:cs="Times New Roman"/>
          <w:sz w:val="24"/>
          <w:szCs w:val="24"/>
        </w:rPr>
      </w:pPr>
      <w:r w:rsidRPr="00F77104">
        <w:rPr>
          <w:rFonts w:ascii="Times New Roman" w:hAnsi="Times New Roman" w:cs="Times New Roman"/>
          <w:sz w:val="24"/>
          <w:szCs w:val="24"/>
        </w:rPr>
        <w:t xml:space="preserve">Table </w:t>
      </w:r>
      <w:r w:rsidR="00A73896">
        <w:rPr>
          <w:rFonts w:ascii="Times New Roman" w:hAnsi="Times New Roman" w:cs="Times New Roman"/>
          <w:sz w:val="24"/>
          <w:szCs w:val="24"/>
        </w:rPr>
        <w:t>7</w:t>
      </w:r>
      <w:r w:rsidRPr="00F77104">
        <w:rPr>
          <w:rFonts w:ascii="Times New Roman" w:hAnsi="Times New Roman" w:cs="Times New Roman"/>
          <w:sz w:val="24"/>
          <w:szCs w:val="24"/>
        </w:rPr>
        <w:t xml:space="preserve"> depicts the levels of awareness displayed by respondents with regard to various </w:t>
      </w:r>
      <w:r w:rsidR="00EF4D43">
        <w:rPr>
          <w:rFonts w:ascii="Times New Roman" w:hAnsi="Times New Roman" w:cs="Times New Roman"/>
          <w:sz w:val="24"/>
          <w:szCs w:val="24"/>
        </w:rPr>
        <w:t>aspects</w:t>
      </w:r>
      <w:r w:rsidRPr="00F77104">
        <w:rPr>
          <w:rFonts w:ascii="Times New Roman" w:hAnsi="Times New Roman" w:cs="Times New Roman"/>
          <w:sz w:val="24"/>
          <w:szCs w:val="24"/>
        </w:rPr>
        <w:t xml:space="preserve"> of the </w:t>
      </w:r>
      <w:r w:rsidR="00EF4D43">
        <w:rPr>
          <w:rFonts w:ascii="Times New Roman" w:hAnsi="Times New Roman" w:cs="Times New Roman"/>
          <w:sz w:val="24"/>
          <w:szCs w:val="24"/>
        </w:rPr>
        <w:t>PM KUSUM scheme</w:t>
      </w:r>
      <w:r w:rsidRPr="00F77104">
        <w:rPr>
          <w:rFonts w:ascii="Times New Roman" w:hAnsi="Times New Roman" w:cs="Times New Roman"/>
          <w:sz w:val="24"/>
          <w:szCs w:val="24"/>
        </w:rPr>
        <w:t xml:space="preserve">. Each statement in </w:t>
      </w:r>
      <w:r w:rsidR="004B2BD3">
        <w:rPr>
          <w:rFonts w:ascii="Times New Roman" w:hAnsi="Times New Roman" w:cs="Times New Roman"/>
          <w:sz w:val="24"/>
          <w:szCs w:val="24"/>
        </w:rPr>
        <w:t>t</w:t>
      </w:r>
      <w:r w:rsidRPr="00F77104">
        <w:rPr>
          <w:rFonts w:ascii="Times New Roman" w:hAnsi="Times New Roman" w:cs="Times New Roman"/>
          <w:sz w:val="24"/>
          <w:szCs w:val="24"/>
        </w:rPr>
        <w:t xml:space="preserve">able </w:t>
      </w:r>
      <w:r w:rsidR="004B2BD3">
        <w:rPr>
          <w:rFonts w:ascii="Times New Roman" w:hAnsi="Times New Roman" w:cs="Times New Roman"/>
          <w:sz w:val="24"/>
          <w:szCs w:val="24"/>
        </w:rPr>
        <w:t xml:space="preserve">is </w:t>
      </w:r>
      <w:r w:rsidRPr="00F77104">
        <w:rPr>
          <w:rFonts w:ascii="Times New Roman" w:hAnsi="Times New Roman" w:cs="Times New Roman"/>
          <w:sz w:val="24"/>
          <w:szCs w:val="24"/>
        </w:rPr>
        <w:t xml:space="preserve">segmented into 3 categories: "Not aware," "Partially aware," and "Fully aware", with corresponding scores of 0, 1, and 2 assigned to each category, respectively. Notably, awareness levels vary across different aspects of </w:t>
      </w:r>
      <w:r w:rsidR="00EF4D43">
        <w:rPr>
          <w:rFonts w:ascii="Times New Roman" w:hAnsi="Times New Roman" w:cs="Times New Roman"/>
          <w:sz w:val="24"/>
          <w:szCs w:val="24"/>
        </w:rPr>
        <w:t>PM KUSUM.</w:t>
      </w:r>
      <w:r w:rsidRPr="00F77104">
        <w:rPr>
          <w:rFonts w:ascii="Times New Roman" w:hAnsi="Times New Roman" w:cs="Times New Roman"/>
          <w:sz w:val="24"/>
          <w:szCs w:val="24"/>
        </w:rPr>
        <w:t xml:space="preserve"> </w:t>
      </w:r>
      <w:r w:rsidR="00262FE6">
        <w:rPr>
          <w:rFonts w:ascii="Times New Roman" w:hAnsi="Times New Roman" w:cs="Times New Roman"/>
          <w:sz w:val="24"/>
          <w:szCs w:val="24"/>
        </w:rPr>
        <w:t xml:space="preserve">This </w:t>
      </w:r>
      <w:r w:rsidR="00946D85">
        <w:rPr>
          <w:rFonts w:ascii="Times New Roman" w:hAnsi="Times New Roman" w:cs="Times New Roman"/>
          <w:sz w:val="24"/>
          <w:szCs w:val="24"/>
        </w:rPr>
        <w:t>t</w:t>
      </w:r>
      <w:r w:rsidR="00004C89" w:rsidRPr="00004C89">
        <w:rPr>
          <w:rFonts w:ascii="Times New Roman" w:hAnsi="Times New Roman" w:cs="Times New Roman"/>
          <w:sz w:val="24"/>
          <w:szCs w:val="24"/>
        </w:rPr>
        <w:t>able analyzes respondents' awareness of various aspects of the PM-KUSUM scheme, revealing varying levels of understanding. A majority (59.52%) were fully aware of the procedural aspects</w:t>
      </w:r>
      <w:r w:rsidR="00387A46">
        <w:rPr>
          <w:rFonts w:ascii="Times New Roman" w:hAnsi="Times New Roman" w:cs="Times New Roman"/>
          <w:sz w:val="24"/>
          <w:szCs w:val="24"/>
        </w:rPr>
        <w:t>.</w:t>
      </w:r>
    </w:p>
    <w:p w14:paraId="249BDC2C" w14:textId="1E007A34" w:rsidR="00F02CCD" w:rsidRDefault="00F02CCD" w:rsidP="00F02CCD">
      <w:pPr>
        <w:spacing w:line="360" w:lineRule="auto"/>
        <w:ind w:firstLine="720"/>
        <w:jc w:val="both"/>
        <w:rPr>
          <w:rFonts w:ascii="Times New Roman" w:hAnsi="Times New Roman" w:cs="Times New Roman"/>
          <w:b/>
          <w:bCs/>
          <w:sz w:val="24"/>
          <w:szCs w:val="24"/>
        </w:rPr>
      </w:pPr>
      <w:r w:rsidRPr="00B6563D">
        <w:rPr>
          <w:rFonts w:ascii="Times New Roman" w:hAnsi="Times New Roman" w:cs="Times New Roman"/>
          <w:b/>
          <w:bCs/>
          <w:sz w:val="24"/>
          <w:szCs w:val="24"/>
        </w:rPr>
        <w:t xml:space="preserve">Table </w:t>
      </w:r>
      <w:r w:rsidR="00A73896">
        <w:rPr>
          <w:rFonts w:ascii="Times New Roman" w:hAnsi="Times New Roman" w:cs="Times New Roman"/>
          <w:b/>
          <w:bCs/>
          <w:sz w:val="24"/>
          <w:szCs w:val="24"/>
        </w:rPr>
        <w:t>7</w:t>
      </w:r>
      <w:r w:rsidRPr="00B6563D">
        <w:rPr>
          <w:rFonts w:ascii="Times New Roman" w:hAnsi="Times New Roman" w:cs="Times New Roman"/>
          <w:b/>
          <w:bCs/>
          <w:sz w:val="24"/>
          <w:szCs w:val="24"/>
        </w:rPr>
        <w:t xml:space="preserve">: </w:t>
      </w:r>
      <w:r w:rsidR="00D02F80" w:rsidRPr="00D02F80">
        <w:rPr>
          <w:rFonts w:ascii="Times New Roman" w:hAnsi="Times New Roman" w:cs="Times New Roman"/>
          <w:b/>
          <w:bCs/>
          <w:sz w:val="24"/>
          <w:szCs w:val="24"/>
        </w:rPr>
        <w:t xml:space="preserve">Awareness of respondents regarding various aspects of the PM KUSUM Scheme in the study area </w:t>
      </w:r>
    </w:p>
    <w:tbl>
      <w:tblPr>
        <w:tblStyle w:val="TableGrid"/>
        <w:tblW w:w="5000" w:type="pct"/>
        <w:tblLook w:val="04A0" w:firstRow="1" w:lastRow="0" w:firstColumn="1" w:lastColumn="0" w:noHBand="0" w:noVBand="1"/>
      </w:tblPr>
      <w:tblGrid>
        <w:gridCol w:w="1229"/>
        <w:gridCol w:w="1246"/>
        <w:gridCol w:w="1211"/>
        <w:gridCol w:w="1152"/>
        <w:gridCol w:w="1363"/>
        <w:gridCol w:w="1059"/>
        <w:gridCol w:w="861"/>
        <w:gridCol w:w="1121"/>
      </w:tblGrid>
      <w:tr w:rsidR="00F02CCD" w:rsidRPr="00BB425E" w14:paraId="2245B6D5" w14:textId="77777777" w:rsidTr="0018182C">
        <w:trPr>
          <w:trHeight w:val="983"/>
        </w:trPr>
        <w:tc>
          <w:tcPr>
            <w:tcW w:w="683" w:type="pct"/>
            <w:vAlign w:val="center"/>
          </w:tcPr>
          <w:p w14:paraId="0A5A510D" w14:textId="77777777" w:rsidR="00F02CCD" w:rsidRPr="00BB425E" w:rsidRDefault="00F02CCD" w:rsidP="0018182C">
            <w:pPr>
              <w:jc w:val="center"/>
              <w:rPr>
                <w:rFonts w:ascii="Times New Roman" w:hAnsi="Times New Roman" w:cs="Times New Roman"/>
                <w:b/>
                <w:bCs/>
                <w:lang w:val="en-US"/>
              </w:rPr>
            </w:pPr>
            <w:r w:rsidRPr="00BB425E">
              <w:rPr>
                <w:rFonts w:ascii="Times New Roman" w:hAnsi="Times New Roman" w:cs="Times New Roman"/>
                <w:b/>
                <w:bCs/>
                <w:lang w:val="en-US"/>
              </w:rPr>
              <w:lastRenderedPageBreak/>
              <w:t>Aspects</w:t>
            </w:r>
          </w:p>
        </w:tc>
        <w:tc>
          <w:tcPr>
            <w:tcW w:w="692" w:type="pct"/>
            <w:vAlign w:val="center"/>
          </w:tcPr>
          <w:p w14:paraId="45E41F60"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Procedural Knowledge of Scheme</w:t>
            </w:r>
          </w:p>
        </w:tc>
        <w:tc>
          <w:tcPr>
            <w:tcW w:w="673" w:type="pct"/>
            <w:vAlign w:val="center"/>
          </w:tcPr>
          <w:p w14:paraId="5B94782F"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Initial Investment &amp; Subsidies</w:t>
            </w:r>
          </w:p>
        </w:tc>
        <w:tc>
          <w:tcPr>
            <w:tcW w:w="641" w:type="pct"/>
            <w:vAlign w:val="center"/>
          </w:tcPr>
          <w:p w14:paraId="69D37E2F"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Pump Capacities</w:t>
            </w:r>
          </w:p>
        </w:tc>
        <w:tc>
          <w:tcPr>
            <w:tcW w:w="755" w:type="pct"/>
            <w:vAlign w:val="center"/>
          </w:tcPr>
          <w:p w14:paraId="719CCC7A"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Solar Panel Maintenance</w:t>
            </w:r>
          </w:p>
        </w:tc>
        <w:tc>
          <w:tcPr>
            <w:tcW w:w="590" w:type="pct"/>
            <w:vAlign w:val="center"/>
          </w:tcPr>
          <w:p w14:paraId="275D6ABE"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Financial Viability</w:t>
            </w:r>
          </w:p>
        </w:tc>
        <w:tc>
          <w:tcPr>
            <w:tcW w:w="483" w:type="pct"/>
            <w:vAlign w:val="center"/>
          </w:tcPr>
          <w:p w14:paraId="45D4CFC4"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Energy &amp; Cost saving</w:t>
            </w:r>
          </w:p>
        </w:tc>
        <w:tc>
          <w:tcPr>
            <w:tcW w:w="483" w:type="pct"/>
          </w:tcPr>
          <w:p w14:paraId="10337CC1"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Universal Solar Pump Controller (USPC)</w:t>
            </w:r>
          </w:p>
        </w:tc>
      </w:tr>
      <w:tr w:rsidR="00F02CCD" w:rsidRPr="00BB425E" w14:paraId="4CCA29B5" w14:textId="77777777" w:rsidTr="0018182C">
        <w:trPr>
          <w:trHeight w:val="464"/>
        </w:trPr>
        <w:tc>
          <w:tcPr>
            <w:tcW w:w="683" w:type="pct"/>
            <w:vAlign w:val="center"/>
          </w:tcPr>
          <w:p w14:paraId="6783BE20" w14:textId="77777777" w:rsidR="00F02CCD" w:rsidRPr="00BB425E" w:rsidRDefault="00F02CCD" w:rsidP="0018182C">
            <w:pPr>
              <w:jc w:val="center"/>
              <w:rPr>
                <w:rFonts w:ascii="Times New Roman" w:hAnsi="Times New Roman" w:cs="Times New Roman"/>
                <w:b/>
                <w:bCs/>
                <w:lang w:val="en-US"/>
              </w:rPr>
            </w:pPr>
            <w:r w:rsidRPr="00BB425E">
              <w:rPr>
                <w:rFonts w:ascii="Times New Roman" w:hAnsi="Times New Roman" w:cs="Times New Roman"/>
                <w:b/>
                <w:bCs/>
                <w:lang w:val="en-US"/>
              </w:rPr>
              <w:t>Not Aware</w:t>
            </w:r>
          </w:p>
        </w:tc>
        <w:tc>
          <w:tcPr>
            <w:tcW w:w="692" w:type="pct"/>
            <w:vAlign w:val="center"/>
          </w:tcPr>
          <w:p w14:paraId="4421CD08"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1</w:t>
            </w:r>
          </w:p>
          <w:p w14:paraId="5FC38BF6"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(1.19)</w:t>
            </w:r>
          </w:p>
        </w:tc>
        <w:tc>
          <w:tcPr>
            <w:tcW w:w="673" w:type="pct"/>
            <w:vAlign w:val="center"/>
          </w:tcPr>
          <w:p w14:paraId="6BDD5752"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12</w:t>
            </w:r>
          </w:p>
          <w:p w14:paraId="256BE7C4"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(14.29)</w:t>
            </w:r>
          </w:p>
        </w:tc>
        <w:tc>
          <w:tcPr>
            <w:tcW w:w="641" w:type="pct"/>
            <w:vAlign w:val="center"/>
          </w:tcPr>
          <w:p w14:paraId="37A71129"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10</w:t>
            </w:r>
          </w:p>
          <w:p w14:paraId="1F4A2C43"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(11.90)</w:t>
            </w:r>
          </w:p>
        </w:tc>
        <w:tc>
          <w:tcPr>
            <w:tcW w:w="755" w:type="pct"/>
            <w:vAlign w:val="center"/>
          </w:tcPr>
          <w:p w14:paraId="7B90BC0F"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21</w:t>
            </w:r>
          </w:p>
          <w:p w14:paraId="7A8B94B7"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(25.00)</w:t>
            </w:r>
          </w:p>
        </w:tc>
        <w:tc>
          <w:tcPr>
            <w:tcW w:w="590" w:type="pct"/>
            <w:vAlign w:val="center"/>
          </w:tcPr>
          <w:p w14:paraId="57D527B1"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3</w:t>
            </w:r>
          </w:p>
          <w:p w14:paraId="27608AD8"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(3.57)</w:t>
            </w:r>
          </w:p>
        </w:tc>
        <w:tc>
          <w:tcPr>
            <w:tcW w:w="483" w:type="pct"/>
            <w:vAlign w:val="center"/>
          </w:tcPr>
          <w:p w14:paraId="3DBB3645"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0</w:t>
            </w:r>
          </w:p>
          <w:p w14:paraId="521DB893"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(0.0)</w:t>
            </w:r>
          </w:p>
        </w:tc>
        <w:tc>
          <w:tcPr>
            <w:tcW w:w="483" w:type="pct"/>
          </w:tcPr>
          <w:p w14:paraId="593ED27E"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79</w:t>
            </w:r>
          </w:p>
          <w:p w14:paraId="5A1E059C"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(94.05)</w:t>
            </w:r>
          </w:p>
        </w:tc>
      </w:tr>
      <w:tr w:rsidR="00F02CCD" w:rsidRPr="00BB425E" w14:paraId="7939AAD5" w14:textId="77777777" w:rsidTr="0018182C">
        <w:trPr>
          <w:trHeight w:val="542"/>
        </w:trPr>
        <w:tc>
          <w:tcPr>
            <w:tcW w:w="683" w:type="pct"/>
            <w:vAlign w:val="center"/>
          </w:tcPr>
          <w:p w14:paraId="02AEDE26" w14:textId="77777777" w:rsidR="00F02CCD" w:rsidRPr="00BB425E" w:rsidRDefault="00F02CCD" w:rsidP="0018182C">
            <w:pPr>
              <w:jc w:val="center"/>
              <w:rPr>
                <w:rFonts w:ascii="Times New Roman" w:hAnsi="Times New Roman" w:cs="Times New Roman"/>
                <w:b/>
                <w:bCs/>
                <w:lang w:val="en-US"/>
              </w:rPr>
            </w:pPr>
            <w:r w:rsidRPr="00BB425E">
              <w:rPr>
                <w:rFonts w:ascii="Times New Roman" w:hAnsi="Times New Roman" w:cs="Times New Roman"/>
                <w:b/>
                <w:bCs/>
                <w:lang w:val="en-US"/>
              </w:rPr>
              <w:t>Partially Aware</w:t>
            </w:r>
          </w:p>
        </w:tc>
        <w:tc>
          <w:tcPr>
            <w:tcW w:w="692" w:type="pct"/>
            <w:vAlign w:val="center"/>
          </w:tcPr>
          <w:p w14:paraId="098CFFAC"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33</w:t>
            </w:r>
          </w:p>
          <w:p w14:paraId="01390EE1"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(39.29)</w:t>
            </w:r>
          </w:p>
        </w:tc>
        <w:tc>
          <w:tcPr>
            <w:tcW w:w="673" w:type="pct"/>
            <w:vAlign w:val="center"/>
          </w:tcPr>
          <w:p w14:paraId="04FC8A5A"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35</w:t>
            </w:r>
          </w:p>
          <w:p w14:paraId="675440E4"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(41.67)</w:t>
            </w:r>
          </w:p>
        </w:tc>
        <w:tc>
          <w:tcPr>
            <w:tcW w:w="641" w:type="pct"/>
            <w:vAlign w:val="center"/>
          </w:tcPr>
          <w:p w14:paraId="264A50FB"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42</w:t>
            </w:r>
          </w:p>
          <w:p w14:paraId="0C11768B"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(50.00)</w:t>
            </w:r>
          </w:p>
        </w:tc>
        <w:tc>
          <w:tcPr>
            <w:tcW w:w="755" w:type="pct"/>
            <w:vAlign w:val="center"/>
          </w:tcPr>
          <w:p w14:paraId="14FD5F4E"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46</w:t>
            </w:r>
          </w:p>
          <w:p w14:paraId="573DFEA3"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(54.76)</w:t>
            </w:r>
          </w:p>
        </w:tc>
        <w:tc>
          <w:tcPr>
            <w:tcW w:w="590" w:type="pct"/>
            <w:vAlign w:val="center"/>
          </w:tcPr>
          <w:p w14:paraId="005EA21D"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59</w:t>
            </w:r>
          </w:p>
          <w:p w14:paraId="497DDF6B"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(70.24)</w:t>
            </w:r>
          </w:p>
        </w:tc>
        <w:tc>
          <w:tcPr>
            <w:tcW w:w="483" w:type="pct"/>
            <w:vAlign w:val="center"/>
          </w:tcPr>
          <w:p w14:paraId="7CF0DE24"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6</w:t>
            </w:r>
          </w:p>
          <w:p w14:paraId="3F87043D"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(7.14)</w:t>
            </w:r>
          </w:p>
        </w:tc>
        <w:tc>
          <w:tcPr>
            <w:tcW w:w="483" w:type="pct"/>
          </w:tcPr>
          <w:p w14:paraId="39BA670F"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5</w:t>
            </w:r>
          </w:p>
          <w:p w14:paraId="3F108E8E"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(5.95)</w:t>
            </w:r>
          </w:p>
        </w:tc>
      </w:tr>
      <w:tr w:rsidR="00F02CCD" w:rsidRPr="002F1B6B" w14:paraId="395E35B7" w14:textId="77777777" w:rsidTr="0018182C">
        <w:trPr>
          <w:trHeight w:val="522"/>
        </w:trPr>
        <w:tc>
          <w:tcPr>
            <w:tcW w:w="683" w:type="pct"/>
            <w:vAlign w:val="center"/>
          </w:tcPr>
          <w:p w14:paraId="345BB7FF" w14:textId="77777777" w:rsidR="00F02CCD" w:rsidRPr="00BB425E" w:rsidRDefault="00F02CCD" w:rsidP="0018182C">
            <w:pPr>
              <w:jc w:val="center"/>
              <w:rPr>
                <w:rFonts w:ascii="Times New Roman" w:hAnsi="Times New Roman" w:cs="Times New Roman"/>
                <w:b/>
                <w:bCs/>
                <w:lang w:val="en-US"/>
              </w:rPr>
            </w:pPr>
            <w:r w:rsidRPr="00BB425E">
              <w:rPr>
                <w:rFonts w:ascii="Times New Roman" w:hAnsi="Times New Roman" w:cs="Times New Roman"/>
                <w:b/>
                <w:bCs/>
                <w:lang w:val="en-US"/>
              </w:rPr>
              <w:t>Fully Aware</w:t>
            </w:r>
          </w:p>
        </w:tc>
        <w:tc>
          <w:tcPr>
            <w:tcW w:w="692" w:type="pct"/>
            <w:vAlign w:val="center"/>
          </w:tcPr>
          <w:p w14:paraId="3DAE8CFA"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50</w:t>
            </w:r>
          </w:p>
          <w:p w14:paraId="6C631667"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(59.52)</w:t>
            </w:r>
          </w:p>
        </w:tc>
        <w:tc>
          <w:tcPr>
            <w:tcW w:w="673" w:type="pct"/>
            <w:vAlign w:val="center"/>
          </w:tcPr>
          <w:p w14:paraId="305F677A"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37</w:t>
            </w:r>
          </w:p>
          <w:p w14:paraId="5711891D"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(44.05)</w:t>
            </w:r>
          </w:p>
        </w:tc>
        <w:tc>
          <w:tcPr>
            <w:tcW w:w="641" w:type="pct"/>
            <w:vAlign w:val="center"/>
          </w:tcPr>
          <w:p w14:paraId="56C5F68D"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32</w:t>
            </w:r>
          </w:p>
          <w:p w14:paraId="039050F9"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(38.10)</w:t>
            </w:r>
          </w:p>
        </w:tc>
        <w:tc>
          <w:tcPr>
            <w:tcW w:w="755" w:type="pct"/>
            <w:vAlign w:val="center"/>
          </w:tcPr>
          <w:p w14:paraId="527F1A73"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17</w:t>
            </w:r>
          </w:p>
          <w:p w14:paraId="71269E3E"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(20.24)</w:t>
            </w:r>
          </w:p>
        </w:tc>
        <w:tc>
          <w:tcPr>
            <w:tcW w:w="590" w:type="pct"/>
            <w:vAlign w:val="center"/>
          </w:tcPr>
          <w:p w14:paraId="7191A303"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22</w:t>
            </w:r>
          </w:p>
          <w:p w14:paraId="7B2798E8"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(26.19)</w:t>
            </w:r>
          </w:p>
        </w:tc>
        <w:tc>
          <w:tcPr>
            <w:tcW w:w="483" w:type="pct"/>
            <w:vAlign w:val="center"/>
          </w:tcPr>
          <w:p w14:paraId="3921EEFF"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78</w:t>
            </w:r>
          </w:p>
          <w:p w14:paraId="65DA8A12"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(92.86)</w:t>
            </w:r>
          </w:p>
        </w:tc>
        <w:tc>
          <w:tcPr>
            <w:tcW w:w="483" w:type="pct"/>
          </w:tcPr>
          <w:p w14:paraId="0BEFC1CA"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0</w:t>
            </w:r>
          </w:p>
          <w:p w14:paraId="07EA0F6B" w14:textId="77777777" w:rsidR="00F02CCD" w:rsidRPr="00BB425E" w:rsidRDefault="00F02CCD" w:rsidP="0018182C">
            <w:pPr>
              <w:jc w:val="center"/>
              <w:rPr>
                <w:rFonts w:ascii="Times New Roman" w:hAnsi="Times New Roman" w:cs="Times New Roman"/>
                <w:lang w:val="en-US"/>
              </w:rPr>
            </w:pPr>
            <w:r w:rsidRPr="00BB425E">
              <w:rPr>
                <w:rFonts w:ascii="Times New Roman" w:hAnsi="Times New Roman" w:cs="Times New Roman"/>
                <w:lang w:val="en-US"/>
              </w:rPr>
              <w:t>(0.0)</w:t>
            </w:r>
          </w:p>
        </w:tc>
      </w:tr>
    </w:tbl>
    <w:p w14:paraId="2E5C43A5" w14:textId="77777777" w:rsidR="00F02CCD" w:rsidRDefault="00F02CCD" w:rsidP="00004C89">
      <w:pPr>
        <w:spacing w:line="240" w:lineRule="auto"/>
        <w:ind w:firstLine="720"/>
        <w:jc w:val="both"/>
        <w:rPr>
          <w:rFonts w:ascii="Times New Roman" w:hAnsi="Times New Roman" w:cs="Times New Roman"/>
          <w:sz w:val="24"/>
          <w:szCs w:val="24"/>
        </w:rPr>
      </w:pPr>
    </w:p>
    <w:p w14:paraId="3B0AA950" w14:textId="6300E140" w:rsidR="00F02CCD" w:rsidRDefault="00004C89" w:rsidP="00A50AD1">
      <w:pPr>
        <w:spacing w:line="240" w:lineRule="auto"/>
        <w:ind w:firstLine="720"/>
        <w:jc w:val="both"/>
        <w:rPr>
          <w:rFonts w:ascii="Times New Roman" w:hAnsi="Times New Roman" w:cs="Times New Roman"/>
          <w:sz w:val="24"/>
          <w:szCs w:val="24"/>
        </w:rPr>
      </w:pPr>
      <w:r w:rsidRPr="00004C89">
        <w:rPr>
          <w:rFonts w:ascii="Times New Roman" w:hAnsi="Times New Roman" w:cs="Times New Roman"/>
          <w:sz w:val="24"/>
          <w:szCs w:val="24"/>
        </w:rPr>
        <w:t>In terms of financial viability, 70.24% had partial awareness, 26.19% were fully aware, and 3.57% were not aware at all, indicating limited understanding of long-term economic benefits. The highest awareness was observed in the area of energy and cost savings</w:t>
      </w:r>
      <w:r w:rsidR="00D93F16">
        <w:rPr>
          <w:rFonts w:ascii="Times New Roman" w:hAnsi="Times New Roman" w:cs="Times New Roman"/>
          <w:sz w:val="24"/>
          <w:szCs w:val="24"/>
        </w:rPr>
        <w:t xml:space="preserve">, </w:t>
      </w:r>
      <w:r w:rsidRPr="00004C89">
        <w:rPr>
          <w:rFonts w:ascii="Times New Roman" w:hAnsi="Times New Roman" w:cs="Times New Roman"/>
          <w:sz w:val="24"/>
          <w:szCs w:val="24"/>
        </w:rPr>
        <w:t>92.86% of respondents were fully aware</w:t>
      </w:r>
      <w:r w:rsidR="00D93F16">
        <w:rPr>
          <w:rFonts w:ascii="Times New Roman" w:hAnsi="Times New Roman" w:cs="Times New Roman"/>
          <w:sz w:val="24"/>
          <w:szCs w:val="24"/>
        </w:rPr>
        <w:t>,</w:t>
      </w:r>
      <w:r w:rsidRPr="00004C89">
        <w:rPr>
          <w:rFonts w:ascii="Times New Roman" w:hAnsi="Times New Roman" w:cs="Times New Roman"/>
          <w:sz w:val="24"/>
          <w:szCs w:val="24"/>
        </w:rPr>
        <w:t xml:space="preserve"> and 7.14% had partial knowledge, with none completely unaware. </w:t>
      </w:r>
      <w:r w:rsidR="00FA091C" w:rsidRPr="00FA091C">
        <w:rPr>
          <w:rFonts w:ascii="Times New Roman" w:hAnsi="Times New Roman" w:cs="Times New Roman"/>
          <w:sz w:val="24"/>
          <w:szCs w:val="24"/>
        </w:rPr>
        <w:t xml:space="preserve">The aspect of USPC 94.05% respondents are not aware, and 5.95% are partially aware </w:t>
      </w:r>
      <w:r w:rsidR="00FA091C">
        <w:rPr>
          <w:rFonts w:ascii="Times New Roman" w:hAnsi="Times New Roman" w:cs="Times New Roman"/>
          <w:sz w:val="24"/>
          <w:szCs w:val="24"/>
        </w:rPr>
        <w:t xml:space="preserve">that </w:t>
      </w:r>
      <w:proofErr w:type="gramStart"/>
      <w:r w:rsidR="00FA091C" w:rsidRPr="00FA091C">
        <w:rPr>
          <w:rFonts w:ascii="Times New Roman" w:hAnsi="Times New Roman" w:cs="Times New Roman"/>
          <w:sz w:val="24"/>
          <w:szCs w:val="24"/>
        </w:rPr>
        <w:t>the is</w:t>
      </w:r>
      <w:proofErr w:type="gramEnd"/>
      <w:r w:rsidR="00FA091C" w:rsidRPr="00FA091C">
        <w:rPr>
          <w:rFonts w:ascii="Times New Roman" w:hAnsi="Times New Roman" w:cs="Times New Roman"/>
          <w:sz w:val="24"/>
          <w:szCs w:val="24"/>
        </w:rPr>
        <w:t xml:space="preserve"> no one who is fully aware </w:t>
      </w:r>
      <w:r w:rsidR="002864B3">
        <w:rPr>
          <w:rFonts w:ascii="Times New Roman" w:hAnsi="Times New Roman" w:cs="Times New Roman"/>
          <w:sz w:val="24"/>
          <w:szCs w:val="24"/>
        </w:rPr>
        <w:t>of</w:t>
      </w:r>
      <w:r w:rsidR="00FA091C" w:rsidRPr="00FA091C">
        <w:rPr>
          <w:rFonts w:ascii="Times New Roman" w:hAnsi="Times New Roman" w:cs="Times New Roman"/>
          <w:sz w:val="24"/>
          <w:szCs w:val="24"/>
        </w:rPr>
        <w:t xml:space="preserve"> this aspect of the PM KUSUM scheme.</w:t>
      </w:r>
    </w:p>
    <w:p w14:paraId="05D22597" w14:textId="5DBCC532" w:rsidR="006E13DC" w:rsidRPr="007F00F0" w:rsidRDefault="007F00F0" w:rsidP="003D276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2864B3">
        <w:rPr>
          <w:rFonts w:ascii="Times New Roman" w:hAnsi="Times New Roman" w:cs="Times New Roman"/>
          <w:b/>
          <w:bCs/>
          <w:sz w:val="24"/>
          <w:szCs w:val="24"/>
        </w:rPr>
        <w:t>.</w:t>
      </w:r>
      <w:r>
        <w:rPr>
          <w:rFonts w:ascii="Times New Roman" w:hAnsi="Times New Roman" w:cs="Times New Roman"/>
          <w:b/>
          <w:bCs/>
          <w:sz w:val="24"/>
          <w:szCs w:val="24"/>
        </w:rPr>
        <w:t xml:space="preserve"> </w:t>
      </w:r>
      <w:r w:rsidR="003D276B" w:rsidRPr="007F00F0">
        <w:rPr>
          <w:rFonts w:ascii="Times New Roman" w:hAnsi="Times New Roman" w:cs="Times New Roman"/>
          <w:b/>
          <w:bCs/>
          <w:sz w:val="24"/>
          <w:szCs w:val="24"/>
        </w:rPr>
        <w:t>Result</w:t>
      </w:r>
      <w:r w:rsidR="007E39CC" w:rsidRPr="007F00F0">
        <w:rPr>
          <w:rFonts w:ascii="Times New Roman" w:hAnsi="Times New Roman" w:cs="Times New Roman"/>
          <w:b/>
          <w:bCs/>
          <w:sz w:val="24"/>
          <w:szCs w:val="24"/>
        </w:rPr>
        <w:t>s from the binary logit regression model</w:t>
      </w:r>
    </w:p>
    <w:p w14:paraId="4B6EE0C7" w14:textId="77777777" w:rsidR="00CF1298" w:rsidRPr="00CF1298" w:rsidRDefault="00CF1298" w:rsidP="007F00F0">
      <w:pPr>
        <w:spacing w:line="240" w:lineRule="auto"/>
        <w:ind w:firstLine="720"/>
        <w:jc w:val="both"/>
        <w:rPr>
          <w:rFonts w:ascii="Times New Roman" w:hAnsi="Times New Roman" w:cs="Times New Roman"/>
          <w:sz w:val="24"/>
          <w:szCs w:val="24"/>
        </w:rPr>
      </w:pPr>
      <w:r w:rsidRPr="00CF1298">
        <w:rPr>
          <w:rFonts w:ascii="Times New Roman" w:hAnsi="Times New Roman" w:cs="Times New Roman"/>
          <w:sz w:val="24"/>
          <w:szCs w:val="24"/>
        </w:rPr>
        <w:t>Logistic regression has been used as an important statistical method to analyze farmer’s awareness of various components of the PM-KUSUM scheme. Since the outcome variable is binary, indicating whether a respondent is aware or not, logistic regression is well-suited for this type of analysis. The model includes several demographic and socio-economic variables such as age, education, income, and landholding size as independent variables to explore how these factors influence the likelihood of being aware of the scheme.</w:t>
      </w:r>
    </w:p>
    <w:p w14:paraId="77B21B90" w14:textId="77777777" w:rsidR="00CF1298" w:rsidRDefault="00CF1298" w:rsidP="007F00F0">
      <w:pPr>
        <w:spacing w:line="240" w:lineRule="auto"/>
        <w:ind w:firstLine="720"/>
        <w:jc w:val="both"/>
        <w:rPr>
          <w:rFonts w:ascii="Times New Roman" w:hAnsi="Times New Roman" w:cs="Times New Roman"/>
          <w:sz w:val="24"/>
          <w:szCs w:val="24"/>
        </w:rPr>
      </w:pPr>
      <w:r w:rsidRPr="00CF1298">
        <w:rPr>
          <w:rFonts w:ascii="Times New Roman" w:hAnsi="Times New Roman" w:cs="Times New Roman"/>
          <w:sz w:val="24"/>
          <w:szCs w:val="24"/>
        </w:rPr>
        <w:t>One of the key strengths of logistic regression in this context is its ability to generate odds ratios, which help interpret how the chances of awareness change with variations in each independent variable. These findings offer meaningful insights for policymakers and development agencies by identifying which groups are more or less likely to be informed. This, in turn, can help in designing targeted awareness strategies and improving the overall reach and impact of the PM-KUSUM scheme in rural areas.</w:t>
      </w:r>
    </w:p>
    <w:p w14:paraId="2E402517" w14:textId="60F5B714" w:rsidR="00027DBA" w:rsidRDefault="00621310" w:rsidP="007F00F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Upper caste farmers</w:t>
      </w:r>
      <w:r w:rsidRPr="004D4DE6">
        <w:rPr>
          <w:rFonts w:ascii="Times New Roman" w:hAnsi="Times New Roman" w:cs="Times New Roman"/>
          <w:sz w:val="24"/>
          <w:szCs w:val="24"/>
        </w:rPr>
        <w:t xml:space="preserve"> tend to </w:t>
      </w:r>
      <w:r w:rsidRPr="0037179E">
        <w:rPr>
          <w:rFonts w:ascii="Times New Roman" w:hAnsi="Times New Roman" w:cs="Times New Roman"/>
          <w:sz w:val="24"/>
          <w:szCs w:val="24"/>
        </w:rPr>
        <w:t>have higher odds of being aware of PM</w:t>
      </w:r>
      <w:r>
        <w:rPr>
          <w:rFonts w:ascii="Times New Roman" w:hAnsi="Times New Roman" w:cs="Times New Roman"/>
          <w:sz w:val="24"/>
          <w:szCs w:val="24"/>
        </w:rPr>
        <w:t xml:space="preserve"> KUSUM</w:t>
      </w:r>
      <w:r w:rsidRPr="0037179E">
        <w:rPr>
          <w:rFonts w:ascii="Times New Roman" w:hAnsi="Times New Roman" w:cs="Times New Roman"/>
          <w:sz w:val="24"/>
          <w:szCs w:val="24"/>
        </w:rPr>
        <w:t xml:space="preserve"> (odds ratio = </w:t>
      </w:r>
      <w:r>
        <w:rPr>
          <w:rFonts w:ascii="Times New Roman" w:hAnsi="Times New Roman" w:cs="Times New Roman"/>
          <w:sz w:val="24"/>
          <w:szCs w:val="24"/>
        </w:rPr>
        <w:t>3.820</w:t>
      </w:r>
      <w:r w:rsidRPr="0037179E">
        <w:rPr>
          <w:rFonts w:ascii="Times New Roman" w:hAnsi="Times New Roman" w:cs="Times New Roman"/>
          <w:sz w:val="24"/>
          <w:szCs w:val="24"/>
        </w:rPr>
        <w:t xml:space="preserve">, p = </w:t>
      </w:r>
      <w:r>
        <w:rPr>
          <w:rFonts w:ascii="Times New Roman" w:hAnsi="Times New Roman" w:cs="Times New Roman"/>
          <w:sz w:val="24"/>
          <w:szCs w:val="24"/>
        </w:rPr>
        <w:t>0.007</w:t>
      </w:r>
      <w:r w:rsidRPr="0037179E">
        <w:rPr>
          <w:rFonts w:ascii="Times New Roman" w:hAnsi="Times New Roman" w:cs="Times New Roman"/>
          <w:sz w:val="24"/>
          <w:szCs w:val="24"/>
        </w:rPr>
        <w:t>).</w:t>
      </w:r>
      <w:r>
        <w:rPr>
          <w:rFonts w:ascii="Times New Roman" w:hAnsi="Times New Roman" w:cs="Times New Roman"/>
          <w:sz w:val="24"/>
          <w:szCs w:val="24"/>
        </w:rPr>
        <w:t xml:space="preserve"> T</w:t>
      </w:r>
      <w:r w:rsidRPr="0037179E">
        <w:rPr>
          <w:rFonts w:ascii="Times New Roman" w:hAnsi="Times New Roman" w:cs="Times New Roman"/>
          <w:sz w:val="24"/>
          <w:szCs w:val="24"/>
        </w:rPr>
        <w:t xml:space="preserve">he </w:t>
      </w:r>
      <w:r>
        <w:rPr>
          <w:rFonts w:ascii="Times New Roman" w:hAnsi="Times New Roman" w:cs="Times New Roman"/>
          <w:sz w:val="24"/>
          <w:szCs w:val="24"/>
        </w:rPr>
        <w:t>p-value</w:t>
      </w:r>
      <w:r w:rsidRPr="0037179E">
        <w:rPr>
          <w:rFonts w:ascii="Times New Roman" w:hAnsi="Times New Roman" w:cs="Times New Roman"/>
          <w:sz w:val="24"/>
          <w:szCs w:val="24"/>
        </w:rPr>
        <w:t xml:space="preserve"> is </w:t>
      </w:r>
      <w:r>
        <w:rPr>
          <w:rFonts w:ascii="Times New Roman" w:hAnsi="Times New Roman" w:cs="Times New Roman"/>
          <w:sz w:val="24"/>
          <w:szCs w:val="24"/>
        </w:rPr>
        <w:t>more</w:t>
      </w:r>
      <w:r w:rsidRPr="0037179E">
        <w:rPr>
          <w:rFonts w:ascii="Times New Roman" w:hAnsi="Times New Roman" w:cs="Times New Roman"/>
          <w:sz w:val="24"/>
          <w:szCs w:val="24"/>
        </w:rPr>
        <w:t xml:space="preserve"> </w:t>
      </w:r>
      <w:r w:rsidR="005D27F4">
        <w:rPr>
          <w:rFonts w:ascii="Times New Roman" w:hAnsi="Times New Roman" w:cs="Times New Roman"/>
          <w:sz w:val="24"/>
          <w:szCs w:val="24"/>
        </w:rPr>
        <w:t>significant</w:t>
      </w:r>
      <w:r w:rsidRPr="0037179E">
        <w:rPr>
          <w:rFonts w:ascii="Times New Roman" w:hAnsi="Times New Roman" w:cs="Times New Roman"/>
          <w:sz w:val="24"/>
          <w:szCs w:val="24"/>
        </w:rPr>
        <w:t xml:space="preserve"> level of 0.05, indicating </w:t>
      </w:r>
      <w:r>
        <w:rPr>
          <w:rFonts w:ascii="Times New Roman" w:hAnsi="Times New Roman" w:cs="Times New Roman"/>
          <w:sz w:val="24"/>
          <w:szCs w:val="24"/>
        </w:rPr>
        <w:t xml:space="preserve">higher </w:t>
      </w:r>
      <w:r w:rsidRPr="0037179E">
        <w:rPr>
          <w:rFonts w:ascii="Times New Roman" w:hAnsi="Times New Roman" w:cs="Times New Roman"/>
          <w:sz w:val="24"/>
          <w:szCs w:val="24"/>
        </w:rPr>
        <w:t xml:space="preserve">significance, </w:t>
      </w:r>
      <w:r>
        <w:rPr>
          <w:rFonts w:ascii="Times New Roman" w:hAnsi="Times New Roman" w:cs="Times New Roman"/>
          <w:sz w:val="24"/>
          <w:szCs w:val="24"/>
        </w:rPr>
        <w:t>caste</w:t>
      </w:r>
      <w:r w:rsidRPr="0037179E">
        <w:rPr>
          <w:rFonts w:ascii="Times New Roman" w:hAnsi="Times New Roman" w:cs="Times New Roman"/>
          <w:sz w:val="24"/>
          <w:szCs w:val="24"/>
        </w:rPr>
        <w:t xml:space="preserve"> m</w:t>
      </w:r>
      <w:r>
        <w:rPr>
          <w:rFonts w:ascii="Times New Roman" w:hAnsi="Times New Roman" w:cs="Times New Roman"/>
          <w:sz w:val="24"/>
          <w:szCs w:val="24"/>
        </w:rPr>
        <w:t xml:space="preserve">ore likely </w:t>
      </w:r>
      <w:r w:rsidR="00F77F6A">
        <w:rPr>
          <w:rFonts w:ascii="Times New Roman" w:hAnsi="Times New Roman" w:cs="Times New Roman"/>
          <w:sz w:val="24"/>
          <w:szCs w:val="24"/>
        </w:rPr>
        <w:t xml:space="preserve">to </w:t>
      </w:r>
      <w:r w:rsidRPr="0037179E">
        <w:rPr>
          <w:rFonts w:ascii="Times New Roman" w:hAnsi="Times New Roman" w:cs="Times New Roman"/>
          <w:sz w:val="24"/>
          <w:szCs w:val="24"/>
        </w:rPr>
        <w:t xml:space="preserve">contribute to higher awareness. </w:t>
      </w:r>
      <w:r w:rsidR="000329BF" w:rsidRPr="000329BF">
        <w:rPr>
          <w:rFonts w:ascii="Times New Roman" w:hAnsi="Times New Roman" w:cs="Times New Roman"/>
          <w:sz w:val="24"/>
          <w:szCs w:val="24"/>
        </w:rPr>
        <w:t xml:space="preserve">Education is a highly significant predictor (odds ratio = 2.305, p = 0.001). Farmers with higher education levels are much more likely to be aware of PM KUSUM, emphasizing the importance of education in understanding the scheme. </w:t>
      </w:r>
      <w:r w:rsidR="00F809F0" w:rsidRPr="0037179E">
        <w:rPr>
          <w:rFonts w:ascii="Times New Roman" w:hAnsi="Times New Roman" w:cs="Times New Roman"/>
          <w:sz w:val="24"/>
          <w:szCs w:val="24"/>
        </w:rPr>
        <w:t xml:space="preserve">Occupation exhibits </w:t>
      </w:r>
      <w:r w:rsidR="00F809F0">
        <w:rPr>
          <w:rFonts w:ascii="Times New Roman" w:hAnsi="Times New Roman" w:cs="Times New Roman"/>
          <w:sz w:val="24"/>
          <w:szCs w:val="24"/>
        </w:rPr>
        <w:t>highly</w:t>
      </w:r>
      <w:r w:rsidR="00F809F0" w:rsidRPr="0037179E">
        <w:rPr>
          <w:rFonts w:ascii="Times New Roman" w:hAnsi="Times New Roman" w:cs="Times New Roman"/>
          <w:sz w:val="24"/>
          <w:szCs w:val="24"/>
        </w:rPr>
        <w:t xml:space="preserve"> </w:t>
      </w:r>
      <w:r w:rsidR="00F809F0">
        <w:rPr>
          <w:rFonts w:ascii="Times New Roman" w:hAnsi="Times New Roman" w:cs="Times New Roman"/>
          <w:sz w:val="24"/>
          <w:szCs w:val="24"/>
        </w:rPr>
        <w:t>significant</w:t>
      </w:r>
      <w:r w:rsidR="00F809F0" w:rsidRPr="0037179E">
        <w:rPr>
          <w:rFonts w:ascii="Times New Roman" w:hAnsi="Times New Roman" w:cs="Times New Roman"/>
          <w:sz w:val="24"/>
          <w:szCs w:val="24"/>
        </w:rPr>
        <w:t xml:space="preserve"> (odds ratio = </w:t>
      </w:r>
      <w:r w:rsidR="00F809F0">
        <w:rPr>
          <w:rFonts w:ascii="Times New Roman" w:hAnsi="Times New Roman" w:cs="Times New Roman"/>
          <w:sz w:val="24"/>
          <w:szCs w:val="24"/>
        </w:rPr>
        <w:t>24.422</w:t>
      </w:r>
      <w:r w:rsidR="00F809F0" w:rsidRPr="0037179E">
        <w:rPr>
          <w:rFonts w:ascii="Times New Roman" w:hAnsi="Times New Roman" w:cs="Times New Roman"/>
          <w:sz w:val="24"/>
          <w:szCs w:val="24"/>
        </w:rPr>
        <w:t>, p = 0.0</w:t>
      </w:r>
      <w:r w:rsidR="00F809F0">
        <w:rPr>
          <w:rFonts w:ascii="Times New Roman" w:hAnsi="Times New Roman" w:cs="Times New Roman"/>
          <w:sz w:val="24"/>
          <w:szCs w:val="24"/>
        </w:rPr>
        <w:t>00</w:t>
      </w:r>
      <w:r w:rsidR="00F809F0" w:rsidRPr="0037179E">
        <w:rPr>
          <w:rFonts w:ascii="Times New Roman" w:hAnsi="Times New Roman" w:cs="Times New Roman"/>
          <w:sz w:val="24"/>
          <w:szCs w:val="24"/>
        </w:rPr>
        <w:t xml:space="preserve">). Farmers with different occupations may have </w:t>
      </w:r>
      <w:r w:rsidR="00F809F0">
        <w:rPr>
          <w:rFonts w:ascii="Times New Roman" w:hAnsi="Times New Roman" w:cs="Times New Roman"/>
          <w:sz w:val="24"/>
          <w:szCs w:val="24"/>
        </w:rPr>
        <w:t>stronger</w:t>
      </w:r>
      <w:r w:rsidR="00F809F0" w:rsidRPr="0037179E">
        <w:rPr>
          <w:rFonts w:ascii="Times New Roman" w:hAnsi="Times New Roman" w:cs="Times New Roman"/>
          <w:sz w:val="24"/>
          <w:szCs w:val="24"/>
        </w:rPr>
        <w:t xml:space="preserve"> odds of being aware of PM</w:t>
      </w:r>
      <w:r w:rsidR="00F809F0">
        <w:rPr>
          <w:rFonts w:ascii="Times New Roman" w:hAnsi="Times New Roman" w:cs="Times New Roman"/>
          <w:sz w:val="24"/>
          <w:szCs w:val="24"/>
        </w:rPr>
        <w:t xml:space="preserve"> KUSUM</w:t>
      </w:r>
      <w:r w:rsidR="00F809F0" w:rsidRPr="0037179E">
        <w:rPr>
          <w:rFonts w:ascii="Times New Roman" w:hAnsi="Times New Roman" w:cs="Times New Roman"/>
          <w:sz w:val="24"/>
          <w:szCs w:val="24"/>
        </w:rPr>
        <w:t>.</w:t>
      </w:r>
      <w:r w:rsidR="00027DBA">
        <w:rPr>
          <w:rFonts w:ascii="Times New Roman" w:hAnsi="Times New Roman" w:cs="Times New Roman"/>
          <w:sz w:val="24"/>
          <w:szCs w:val="24"/>
        </w:rPr>
        <w:t xml:space="preserve"> </w:t>
      </w:r>
      <w:r w:rsidR="00027DBA" w:rsidRPr="00027DBA">
        <w:rPr>
          <w:rFonts w:ascii="Times New Roman" w:hAnsi="Times New Roman" w:cs="Times New Roman"/>
          <w:sz w:val="24"/>
          <w:szCs w:val="24"/>
        </w:rPr>
        <w:t>Farmers who own larger land tend to have higher odds of being aware of PM KUSUM (odds ratio = 5.530, p = 0.001). While the p-value is more likely to be less than the significance level of 0.05, indicating high significance, land ownership might contribute to higher awareness.</w:t>
      </w:r>
    </w:p>
    <w:p w14:paraId="3D018E04" w14:textId="2D5CC370" w:rsidR="00F02CCD" w:rsidRPr="00DF2E1E" w:rsidRDefault="00F02CCD" w:rsidP="00F02CCD">
      <w:pPr>
        <w:spacing w:line="360" w:lineRule="auto"/>
        <w:jc w:val="center"/>
        <w:rPr>
          <w:rFonts w:ascii="Times New Roman" w:hAnsi="Times New Roman" w:cs="Times New Roman"/>
          <w:b/>
          <w:bCs/>
          <w:sz w:val="24"/>
          <w:szCs w:val="24"/>
        </w:rPr>
      </w:pPr>
      <w:r w:rsidRPr="00DF2E1E">
        <w:rPr>
          <w:rFonts w:ascii="Times New Roman" w:hAnsi="Times New Roman" w:cs="Times New Roman"/>
          <w:b/>
          <w:bCs/>
          <w:sz w:val="24"/>
          <w:szCs w:val="24"/>
        </w:rPr>
        <w:t xml:space="preserve">Table </w:t>
      </w:r>
      <w:r w:rsidR="00296CFA">
        <w:rPr>
          <w:rFonts w:ascii="Times New Roman" w:hAnsi="Times New Roman" w:cs="Times New Roman"/>
          <w:b/>
          <w:bCs/>
          <w:sz w:val="24"/>
          <w:szCs w:val="24"/>
        </w:rPr>
        <w:t>8</w:t>
      </w:r>
      <w:r w:rsidRPr="00DF2E1E">
        <w:rPr>
          <w:rFonts w:ascii="Times New Roman" w:hAnsi="Times New Roman" w:cs="Times New Roman"/>
          <w:b/>
          <w:bCs/>
          <w:sz w:val="24"/>
          <w:szCs w:val="24"/>
        </w:rPr>
        <w:t xml:space="preserve">: Binary logit regression analysis to assess Awareness of farmers for </w:t>
      </w:r>
      <w:r>
        <w:rPr>
          <w:rFonts w:ascii="Times New Roman" w:hAnsi="Times New Roman" w:cs="Times New Roman"/>
          <w:b/>
          <w:bCs/>
          <w:sz w:val="24"/>
          <w:szCs w:val="24"/>
        </w:rPr>
        <w:t xml:space="preserve">the </w:t>
      </w:r>
      <w:r w:rsidRPr="00DF2E1E">
        <w:rPr>
          <w:rFonts w:ascii="Times New Roman" w:hAnsi="Times New Roman" w:cs="Times New Roman"/>
          <w:b/>
          <w:bCs/>
          <w:sz w:val="24"/>
          <w:szCs w:val="24"/>
        </w:rPr>
        <w:t>PM KUSUM scheme in the study area</w:t>
      </w:r>
    </w:p>
    <w:tbl>
      <w:tblPr>
        <w:tblStyle w:val="TableGrid"/>
        <w:tblW w:w="5000" w:type="pct"/>
        <w:tblLook w:val="04A0" w:firstRow="1" w:lastRow="0" w:firstColumn="1" w:lastColumn="0" w:noHBand="0" w:noVBand="1"/>
      </w:tblPr>
      <w:tblGrid>
        <w:gridCol w:w="2907"/>
        <w:gridCol w:w="1238"/>
        <w:gridCol w:w="990"/>
        <w:gridCol w:w="756"/>
        <w:gridCol w:w="876"/>
        <w:gridCol w:w="636"/>
        <w:gridCol w:w="843"/>
        <w:gridCol w:w="996"/>
      </w:tblGrid>
      <w:tr w:rsidR="00F02CCD" w:rsidRPr="00CA1FEC" w14:paraId="67684CC1" w14:textId="77777777" w:rsidTr="008A2545">
        <w:tc>
          <w:tcPr>
            <w:tcW w:w="1648" w:type="pct"/>
            <w:vMerge w:val="restart"/>
            <w:vAlign w:val="center"/>
          </w:tcPr>
          <w:p w14:paraId="7FB2076A"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lastRenderedPageBreak/>
              <w:t>Variables</w:t>
            </w:r>
          </w:p>
        </w:tc>
        <w:tc>
          <w:tcPr>
            <w:tcW w:w="525" w:type="pct"/>
            <w:vMerge w:val="restart"/>
            <w:vAlign w:val="center"/>
          </w:tcPr>
          <w:p w14:paraId="6BD37726"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B coefficient (log odds)</w:t>
            </w:r>
          </w:p>
        </w:tc>
        <w:tc>
          <w:tcPr>
            <w:tcW w:w="549" w:type="pct"/>
            <w:vMerge w:val="restart"/>
            <w:vAlign w:val="center"/>
          </w:tcPr>
          <w:p w14:paraId="2A8EE092"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Exp(B)/ Odds ratio</w:t>
            </w:r>
          </w:p>
        </w:tc>
        <w:tc>
          <w:tcPr>
            <w:tcW w:w="419" w:type="pct"/>
            <w:vMerge w:val="restart"/>
            <w:vAlign w:val="center"/>
          </w:tcPr>
          <w:p w14:paraId="464A0CF1"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 xml:space="preserve">Std. </w:t>
            </w:r>
            <w:proofErr w:type="gramStart"/>
            <w:r w:rsidRPr="00CA1FEC">
              <w:rPr>
                <w:rFonts w:ascii="Times New Roman" w:hAnsi="Times New Roman" w:cs="Times New Roman"/>
                <w:sz w:val="24"/>
                <w:szCs w:val="24"/>
              </w:rPr>
              <w:t>err</w:t>
            </w:r>
            <w:proofErr w:type="gramEnd"/>
            <w:r w:rsidRPr="00CA1FEC">
              <w:rPr>
                <w:rFonts w:ascii="Times New Roman" w:hAnsi="Times New Roman" w:cs="Times New Roman"/>
                <w:sz w:val="24"/>
                <w:szCs w:val="24"/>
              </w:rPr>
              <w:t>.</w:t>
            </w:r>
          </w:p>
        </w:tc>
        <w:tc>
          <w:tcPr>
            <w:tcW w:w="486" w:type="pct"/>
            <w:vMerge w:val="restart"/>
            <w:vAlign w:val="center"/>
          </w:tcPr>
          <w:p w14:paraId="21DF5378"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Wald</w:t>
            </w:r>
          </w:p>
        </w:tc>
        <w:tc>
          <w:tcPr>
            <w:tcW w:w="353" w:type="pct"/>
            <w:vMerge w:val="restart"/>
            <w:vAlign w:val="center"/>
          </w:tcPr>
          <w:p w14:paraId="0F91D4E0"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Sig.</w:t>
            </w:r>
          </w:p>
        </w:tc>
        <w:tc>
          <w:tcPr>
            <w:tcW w:w="1020" w:type="pct"/>
            <w:gridSpan w:val="2"/>
            <w:vAlign w:val="center"/>
          </w:tcPr>
          <w:p w14:paraId="68A04447"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95% cof. Interval</w:t>
            </w:r>
          </w:p>
        </w:tc>
      </w:tr>
      <w:tr w:rsidR="00F02CCD" w:rsidRPr="00CA1FEC" w14:paraId="325CBC3F" w14:textId="77777777" w:rsidTr="008A2545">
        <w:tc>
          <w:tcPr>
            <w:tcW w:w="1648" w:type="pct"/>
            <w:vMerge/>
            <w:vAlign w:val="center"/>
          </w:tcPr>
          <w:p w14:paraId="275576B6" w14:textId="77777777" w:rsidR="00F02CCD" w:rsidRPr="00CA1FEC" w:rsidRDefault="00F02CCD" w:rsidP="0018182C">
            <w:pPr>
              <w:jc w:val="center"/>
              <w:rPr>
                <w:rFonts w:ascii="Times New Roman" w:hAnsi="Times New Roman" w:cs="Times New Roman"/>
                <w:sz w:val="24"/>
                <w:szCs w:val="24"/>
              </w:rPr>
            </w:pPr>
          </w:p>
        </w:tc>
        <w:tc>
          <w:tcPr>
            <w:tcW w:w="525" w:type="pct"/>
            <w:vMerge/>
            <w:vAlign w:val="center"/>
          </w:tcPr>
          <w:p w14:paraId="14B7DB7E" w14:textId="77777777" w:rsidR="00F02CCD" w:rsidRPr="00CA1FEC" w:rsidRDefault="00F02CCD" w:rsidP="0018182C">
            <w:pPr>
              <w:jc w:val="center"/>
              <w:rPr>
                <w:rFonts w:ascii="Times New Roman" w:hAnsi="Times New Roman" w:cs="Times New Roman"/>
                <w:sz w:val="24"/>
                <w:szCs w:val="24"/>
              </w:rPr>
            </w:pPr>
          </w:p>
        </w:tc>
        <w:tc>
          <w:tcPr>
            <w:tcW w:w="549" w:type="pct"/>
            <w:vMerge/>
            <w:vAlign w:val="center"/>
          </w:tcPr>
          <w:p w14:paraId="6C6C2D2A" w14:textId="77777777" w:rsidR="00F02CCD" w:rsidRPr="00CA1FEC" w:rsidRDefault="00F02CCD" w:rsidP="0018182C">
            <w:pPr>
              <w:jc w:val="center"/>
              <w:rPr>
                <w:rFonts w:ascii="Times New Roman" w:hAnsi="Times New Roman" w:cs="Times New Roman"/>
                <w:sz w:val="24"/>
                <w:szCs w:val="24"/>
              </w:rPr>
            </w:pPr>
          </w:p>
        </w:tc>
        <w:tc>
          <w:tcPr>
            <w:tcW w:w="419" w:type="pct"/>
            <w:vMerge/>
            <w:vAlign w:val="center"/>
          </w:tcPr>
          <w:p w14:paraId="0D0D8D89" w14:textId="77777777" w:rsidR="00F02CCD" w:rsidRPr="00CA1FEC" w:rsidRDefault="00F02CCD" w:rsidP="0018182C">
            <w:pPr>
              <w:jc w:val="center"/>
              <w:rPr>
                <w:rFonts w:ascii="Times New Roman" w:hAnsi="Times New Roman" w:cs="Times New Roman"/>
                <w:sz w:val="24"/>
                <w:szCs w:val="24"/>
              </w:rPr>
            </w:pPr>
          </w:p>
        </w:tc>
        <w:tc>
          <w:tcPr>
            <w:tcW w:w="486" w:type="pct"/>
            <w:vMerge/>
            <w:vAlign w:val="center"/>
          </w:tcPr>
          <w:p w14:paraId="5BFB7C30" w14:textId="77777777" w:rsidR="00F02CCD" w:rsidRPr="00CA1FEC" w:rsidRDefault="00F02CCD" w:rsidP="0018182C">
            <w:pPr>
              <w:jc w:val="center"/>
              <w:rPr>
                <w:rFonts w:ascii="Times New Roman" w:hAnsi="Times New Roman" w:cs="Times New Roman"/>
                <w:sz w:val="24"/>
                <w:szCs w:val="24"/>
              </w:rPr>
            </w:pPr>
          </w:p>
        </w:tc>
        <w:tc>
          <w:tcPr>
            <w:tcW w:w="353" w:type="pct"/>
            <w:vMerge/>
            <w:vAlign w:val="center"/>
          </w:tcPr>
          <w:p w14:paraId="59D818D9" w14:textId="77777777" w:rsidR="00F02CCD" w:rsidRPr="00CA1FEC" w:rsidRDefault="00F02CCD" w:rsidP="0018182C">
            <w:pPr>
              <w:jc w:val="center"/>
              <w:rPr>
                <w:rFonts w:ascii="Times New Roman" w:hAnsi="Times New Roman" w:cs="Times New Roman"/>
                <w:sz w:val="24"/>
                <w:szCs w:val="24"/>
              </w:rPr>
            </w:pPr>
          </w:p>
        </w:tc>
        <w:tc>
          <w:tcPr>
            <w:tcW w:w="468" w:type="pct"/>
            <w:vAlign w:val="center"/>
          </w:tcPr>
          <w:p w14:paraId="523E2DC0"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Lower</w:t>
            </w:r>
          </w:p>
        </w:tc>
        <w:tc>
          <w:tcPr>
            <w:tcW w:w="552" w:type="pct"/>
            <w:vAlign w:val="center"/>
          </w:tcPr>
          <w:p w14:paraId="366DEE53"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Upper</w:t>
            </w:r>
          </w:p>
        </w:tc>
      </w:tr>
      <w:tr w:rsidR="00F02CCD" w:rsidRPr="00CA1FEC" w14:paraId="11295DD3" w14:textId="77777777" w:rsidTr="008A2545">
        <w:tc>
          <w:tcPr>
            <w:tcW w:w="1648" w:type="pct"/>
            <w:vAlign w:val="center"/>
          </w:tcPr>
          <w:p w14:paraId="2AAE8B6A"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Age</w:t>
            </w:r>
          </w:p>
        </w:tc>
        <w:tc>
          <w:tcPr>
            <w:tcW w:w="525" w:type="pct"/>
            <w:vAlign w:val="center"/>
          </w:tcPr>
          <w:p w14:paraId="052722C6"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.305</w:t>
            </w:r>
          </w:p>
        </w:tc>
        <w:tc>
          <w:tcPr>
            <w:tcW w:w="549" w:type="pct"/>
            <w:vAlign w:val="center"/>
          </w:tcPr>
          <w:p w14:paraId="496DC16C"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1.357</w:t>
            </w:r>
          </w:p>
        </w:tc>
        <w:tc>
          <w:tcPr>
            <w:tcW w:w="419" w:type="pct"/>
            <w:vAlign w:val="center"/>
          </w:tcPr>
          <w:p w14:paraId="12A22E9E"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.394</w:t>
            </w:r>
          </w:p>
        </w:tc>
        <w:tc>
          <w:tcPr>
            <w:tcW w:w="486" w:type="pct"/>
            <w:vAlign w:val="center"/>
          </w:tcPr>
          <w:p w14:paraId="72E329D4"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.600</w:t>
            </w:r>
          </w:p>
        </w:tc>
        <w:tc>
          <w:tcPr>
            <w:tcW w:w="353" w:type="pct"/>
            <w:vAlign w:val="center"/>
          </w:tcPr>
          <w:p w14:paraId="0FC8A055"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.439</w:t>
            </w:r>
          </w:p>
        </w:tc>
        <w:tc>
          <w:tcPr>
            <w:tcW w:w="468" w:type="pct"/>
            <w:vAlign w:val="center"/>
          </w:tcPr>
          <w:p w14:paraId="1EBB892A"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.627</w:t>
            </w:r>
          </w:p>
        </w:tc>
        <w:tc>
          <w:tcPr>
            <w:tcW w:w="552" w:type="pct"/>
            <w:vAlign w:val="center"/>
          </w:tcPr>
          <w:p w14:paraId="1B89D126"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2.936</w:t>
            </w:r>
          </w:p>
        </w:tc>
      </w:tr>
      <w:tr w:rsidR="00F02CCD" w:rsidRPr="00CA1FEC" w14:paraId="3B8AE683" w14:textId="77777777" w:rsidTr="008A2545">
        <w:tc>
          <w:tcPr>
            <w:tcW w:w="1648" w:type="pct"/>
            <w:vAlign w:val="center"/>
          </w:tcPr>
          <w:p w14:paraId="7B0111E9"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Gender</w:t>
            </w:r>
          </w:p>
        </w:tc>
        <w:tc>
          <w:tcPr>
            <w:tcW w:w="525" w:type="pct"/>
            <w:vAlign w:val="center"/>
          </w:tcPr>
          <w:p w14:paraId="73190290"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.128</w:t>
            </w:r>
          </w:p>
        </w:tc>
        <w:tc>
          <w:tcPr>
            <w:tcW w:w="549" w:type="pct"/>
            <w:vAlign w:val="center"/>
          </w:tcPr>
          <w:p w14:paraId="2184564F"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1.136</w:t>
            </w:r>
          </w:p>
        </w:tc>
        <w:tc>
          <w:tcPr>
            <w:tcW w:w="419" w:type="pct"/>
            <w:vAlign w:val="center"/>
          </w:tcPr>
          <w:p w14:paraId="6CEFE23F"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.772</w:t>
            </w:r>
          </w:p>
        </w:tc>
        <w:tc>
          <w:tcPr>
            <w:tcW w:w="486" w:type="pct"/>
            <w:vAlign w:val="center"/>
          </w:tcPr>
          <w:p w14:paraId="49C78B04"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.027</w:t>
            </w:r>
          </w:p>
        </w:tc>
        <w:tc>
          <w:tcPr>
            <w:tcW w:w="353" w:type="pct"/>
            <w:vAlign w:val="center"/>
          </w:tcPr>
          <w:p w14:paraId="072CE34F"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.869</w:t>
            </w:r>
          </w:p>
        </w:tc>
        <w:tc>
          <w:tcPr>
            <w:tcW w:w="468" w:type="pct"/>
            <w:vAlign w:val="center"/>
          </w:tcPr>
          <w:p w14:paraId="601912C8"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.250</w:t>
            </w:r>
          </w:p>
        </w:tc>
        <w:tc>
          <w:tcPr>
            <w:tcW w:w="552" w:type="pct"/>
            <w:vAlign w:val="center"/>
          </w:tcPr>
          <w:p w14:paraId="3CF26EA1"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5.162</w:t>
            </w:r>
          </w:p>
        </w:tc>
      </w:tr>
      <w:tr w:rsidR="00F02CCD" w:rsidRPr="00CA1FEC" w14:paraId="2CC9EB6A" w14:textId="77777777" w:rsidTr="008A2545">
        <w:tc>
          <w:tcPr>
            <w:tcW w:w="1648" w:type="pct"/>
            <w:vAlign w:val="center"/>
          </w:tcPr>
          <w:p w14:paraId="5ABA0921"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Caste</w:t>
            </w:r>
          </w:p>
        </w:tc>
        <w:tc>
          <w:tcPr>
            <w:tcW w:w="525" w:type="pct"/>
            <w:vAlign w:val="center"/>
          </w:tcPr>
          <w:p w14:paraId="2DFD1327"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1.340</w:t>
            </w:r>
          </w:p>
        </w:tc>
        <w:tc>
          <w:tcPr>
            <w:tcW w:w="549" w:type="pct"/>
            <w:vAlign w:val="center"/>
          </w:tcPr>
          <w:p w14:paraId="60D482AD"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3.820</w:t>
            </w:r>
          </w:p>
        </w:tc>
        <w:tc>
          <w:tcPr>
            <w:tcW w:w="419" w:type="pct"/>
            <w:vAlign w:val="center"/>
          </w:tcPr>
          <w:p w14:paraId="53A619F0"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.493</w:t>
            </w:r>
          </w:p>
        </w:tc>
        <w:tc>
          <w:tcPr>
            <w:tcW w:w="486" w:type="pct"/>
            <w:vAlign w:val="center"/>
          </w:tcPr>
          <w:p w14:paraId="263DE607"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7.392</w:t>
            </w:r>
          </w:p>
        </w:tc>
        <w:tc>
          <w:tcPr>
            <w:tcW w:w="353" w:type="pct"/>
            <w:vAlign w:val="center"/>
          </w:tcPr>
          <w:p w14:paraId="2FAE6C37" w14:textId="324CAD9E"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.007</w:t>
            </w:r>
          </w:p>
        </w:tc>
        <w:tc>
          <w:tcPr>
            <w:tcW w:w="468" w:type="pct"/>
            <w:vAlign w:val="center"/>
          </w:tcPr>
          <w:p w14:paraId="517A535F"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1.454</w:t>
            </w:r>
          </w:p>
        </w:tc>
        <w:tc>
          <w:tcPr>
            <w:tcW w:w="552" w:type="pct"/>
            <w:vAlign w:val="center"/>
          </w:tcPr>
          <w:p w14:paraId="5CDD31BC"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10.039</w:t>
            </w:r>
          </w:p>
        </w:tc>
      </w:tr>
      <w:tr w:rsidR="00F02CCD" w:rsidRPr="00CA1FEC" w14:paraId="7BF6FEDF" w14:textId="77777777" w:rsidTr="008A2545">
        <w:tc>
          <w:tcPr>
            <w:tcW w:w="1648" w:type="pct"/>
            <w:vAlign w:val="center"/>
          </w:tcPr>
          <w:p w14:paraId="59590D7C"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Educational Qualification</w:t>
            </w:r>
          </w:p>
        </w:tc>
        <w:tc>
          <w:tcPr>
            <w:tcW w:w="525" w:type="pct"/>
            <w:vAlign w:val="center"/>
          </w:tcPr>
          <w:p w14:paraId="48672EEE"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.835</w:t>
            </w:r>
          </w:p>
        </w:tc>
        <w:tc>
          <w:tcPr>
            <w:tcW w:w="549" w:type="pct"/>
            <w:vAlign w:val="center"/>
          </w:tcPr>
          <w:p w14:paraId="398034FB"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2.305</w:t>
            </w:r>
          </w:p>
        </w:tc>
        <w:tc>
          <w:tcPr>
            <w:tcW w:w="419" w:type="pct"/>
            <w:vAlign w:val="center"/>
          </w:tcPr>
          <w:p w14:paraId="067D56D5"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.248</w:t>
            </w:r>
          </w:p>
        </w:tc>
        <w:tc>
          <w:tcPr>
            <w:tcW w:w="486" w:type="pct"/>
            <w:vAlign w:val="center"/>
          </w:tcPr>
          <w:p w14:paraId="1178CE19"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11.348</w:t>
            </w:r>
          </w:p>
        </w:tc>
        <w:tc>
          <w:tcPr>
            <w:tcW w:w="353" w:type="pct"/>
            <w:vAlign w:val="center"/>
          </w:tcPr>
          <w:p w14:paraId="628748B5" w14:textId="42AD4A35"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.001</w:t>
            </w:r>
          </w:p>
        </w:tc>
        <w:tc>
          <w:tcPr>
            <w:tcW w:w="468" w:type="pct"/>
            <w:vAlign w:val="center"/>
          </w:tcPr>
          <w:p w14:paraId="7AFD275C"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1.418</w:t>
            </w:r>
          </w:p>
        </w:tc>
        <w:tc>
          <w:tcPr>
            <w:tcW w:w="552" w:type="pct"/>
            <w:vAlign w:val="center"/>
          </w:tcPr>
          <w:p w14:paraId="5CDBEBEE"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3.747</w:t>
            </w:r>
          </w:p>
        </w:tc>
      </w:tr>
      <w:tr w:rsidR="00F02CCD" w:rsidRPr="00CA1FEC" w14:paraId="51C55212" w14:textId="77777777" w:rsidTr="008A2545">
        <w:tc>
          <w:tcPr>
            <w:tcW w:w="1648" w:type="pct"/>
            <w:vAlign w:val="center"/>
          </w:tcPr>
          <w:p w14:paraId="4D9CA30D"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Income</w:t>
            </w:r>
          </w:p>
        </w:tc>
        <w:tc>
          <w:tcPr>
            <w:tcW w:w="525" w:type="pct"/>
            <w:vAlign w:val="center"/>
          </w:tcPr>
          <w:p w14:paraId="0D281540"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-.569</w:t>
            </w:r>
          </w:p>
        </w:tc>
        <w:tc>
          <w:tcPr>
            <w:tcW w:w="549" w:type="pct"/>
            <w:vAlign w:val="center"/>
          </w:tcPr>
          <w:p w14:paraId="55C3DE76"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.566</w:t>
            </w:r>
          </w:p>
        </w:tc>
        <w:tc>
          <w:tcPr>
            <w:tcW w:w="419" w:type="pct"/>
            <w:vAlign w:val="center"/>
          </w:tcPr>
          <w:p w14:paraId="563A4722"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.726</w:t>
            </w:r>
          </w:p>
        </w:tc>
        <w:tc>
          <w:tcPr>
            <w:tcW w:w="486" w:type="pct"/>
            <w:vAlign w:val="center"/>
          </w:tcPr>
          <w:p w14:paraId="14C7BD45"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.614</w:t>
            </w:r>
          </w:p>
        </w:tc>
        <w:tc>
          <w:tcPr>
            <w:tcW w:w="353" w:type="pct"/>
            <w:vAlign w:val="center"/>
          </w:tcPr>
          <w:p w14:paraId="4DB4B258"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.433</w:t>
            </w:r>
          </w:p>
        </w:tc>
        <w:tc>
          <w:tcPr>
            <w:tcW w:w="468" w:type="pct"/>
            <w:vAlign w:val="center"/>
          </w:tcPr>
          <w:p w14:paraId="282AAF3D"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.136</w:t>
            </w:r>
          </w:p>
        </w:tc>
        <w:tc>
          <w:tcPr>
            <w:tcW w:w="552" w:type="pct"/>
            <w:vAlign w:val="center"/>
          </w:tcPr>
          <w:p w14:paraId="089185C3"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2.350</w:t>
            </w:r>
          </w:p>
        </w:tc>
      </w:tr>
      <w:tr w:rsidR="00F02CCD" w:rsidRPr="00CA1FEC" w14:paraId="09745092" w14:textId="77777777" w:rsidTr="008A2545">
        <w:tc>
          <w:tcPr>
            <w:tcW w:w="1648" w:type="pct"/>
            <w:vAlign w:val="center"/>
          </w:tcPr>
          <w:p w14:paraId="19EA5A47"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Occupation</w:t>
            </w:r>
          </w:p>
        </w:tc>
        <w:tc>
          <w:tcPr>
            <w:tcW w:w="525" w:type="pct"/>
            <w:vAlign w:val="center"/>
          </w:tcPr>
          <w:p w14:paraId="4E96122F"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3.195</w:t>
            </w:r>
          </w:p>
        </w:tc>
        <w:tc>
          <w:tcPr>
            <w:tcW w:w="549" w:type="pct"/>
            <w:vAlign w:val="center"/>
          </w:tcPr>
          <w:p w14:paraId="6E447E59"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24.422</w:t>
            </w:r>
          </w:p>
        </w:tc>
        <w:tc>
          <w:tcPr>
            <w:tcW w:w="419" w:type="pct"/>
            <w:vAlign w:val="center"/>
          </w:tcPr>
          <w:p w14:paraId="54AFFE0A"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.764</w:t>
            </w:r>
          </w:p>
        </w:tc>
        <w:tc>
          <w:tcPr>
            <w:tcW w:w="486" w:type="pct"/>
            <w:vAlign w:val="center"/>
          </w:tcPr>
          <w:p w14:paraId="7EB19A13"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17.509</w:t>
            </w:r>
          </w:p>
        </w:tc>
        <w:tc>
          <w:tcPr>
            <w:tcW w:w="353" w:type="pct"/>
            <w:vAlign w:val="center"/>
          </w:tcPr>
          <w:p w14:paraId="7E70BFF0" w14:textId="0D04BBDB"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.000</w:t>
            </w:r>
          </w:p>
        </w:tc>
        <w:tc>
          <w:tcPr>
            <w:tcW w:w="468" w:type="pct"/>
            <w:vAlign w:val="center"/>
          </w:tcPr>
          <w:p w14:paraId="46804FE6"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5.467</w:t>
            </w:r>
          </w:p>
        </w:tc>
        <w:tc>
          <w:tcPr>
            <w:tcW w:w="552" w:type="pct"/>
            <w:vAlign w:val="center"/>
          </w:tcPr>
          <w:p w14:paraId="4386122E"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109.095</w:t>
            </w:r>
          </w:p>
        </w:tc>
      </w:tr>
      <w:tr w:rsidR="00F02CCD" w:rsidRPr="00CA1FEC" w14:paraId="43F34098" w14:textId="77777777" w:rsidTr="008A2545">
        <w:tc>
          <w:tcPr>
            <w:tcW w:w="1648" w:type="pct"/>
            <w:vAlign w:val="center"/>
          </w:tcPr>
          <w:p w14:paraId="4E43AD0E"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Family type</w:t>
            </w:r>
          </w:p>
        </w:tc>
        <w:tc>
          <w:tcPr>
            <w:tcW w:w="525" w:type="pct"/>
            <w:vAlign w:val="center"/>
          </w:tcPr>
          <w:p w14:paraId="1552DEE2"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.412</w:t>
            </w:r>
          </w:p>
        </w:tc>
        <w:tc>
          <w:tcPr>
            <w:tcW w:w="549" w:type="pct"/>
            <w:vAlign w:val="center"/>
          </w:tcPr>
          <w:p w14:paraId="273D540D"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1.510</w:t>
            </w:r>
          </w:p>
        </w:tc>
        <w:tc>
          <w:tcPr>
            <w:tcW w:w="419" w:type="pct"/>
            <w:vAlign w:val="center"/>
          </w:tcPr>
          <w:p w14:paraId="76CE494A"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.692</w:t>
            </w:r>
          </w:p>
        </w:tc>
        <w:tc>
          <w:tcPr>
            <w:tcW w:w="486" w:type="pct"/>
            <w:vAlign w:val="center"/>
          </w:tcPr>
          <w:p w14:paraId="62DEA287"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.355</w:t>
            </w:r>
          </w:p>
        </w:tc>
        <w:tc>
          <w:tcPr>
            <w:tcW w:w="353" w:type="pct"/>
            <w:vAlign w:val="center"/>
          </w:tcPr>
          <w:p w14:paraId="120DFE9F"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.551</w:t>
            </w:r>
          </w:p>
        </w:tc>
        <w:tc>
          <w:tcPr>
            <w:tcW w:w="468" w:type="pct"/>
            <w:vAlign w:val="center"/>
          </w:tcPr>
          <w:p w14:paraId="3DEDCA9E"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.389</w:t>
            </w:r>
          </w:p>
        </w:tc>
        <w:tc>
          <w:tcPr>
            <w:tcW w:w="552" w:type="pct"/>
            <w:vAlign w:val="center"/>
          </w:tcPr>
          <w:p w14:paraId="6682D35B"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5.865</w:t>
            </w:r>
          </w:p>
        </w:tc>
      </w:tr>
      <w:tr w:rsidR="00F02CCD" w:rsidRPr="00CA1FEC" w14:paraId="37F44445" w14:textId="77777777" w:rsidTr="008A2545">
        <w:tc>
          <w:tcPr>
            <w:tcW w:w="1648" w:type="pct"/>
            <w:vAlign w:val="center"/>
          </w:tcPr>
          <w:p w14:paraId="6601EEB1"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Land</w:t>
            </w:r>
          </w:p>
        </w:tc>
        <w:tc>
          <w:tcPr>
            <w:tcW w:w="525" w:type="pct"/>
            <w:vAlign w:val="center"/>
          </w:tcPr>
          <w:p w14:paraId="732EF695"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1.710</w:t>
            </w:r>
          </w:p>
        </w:tc>
        <w:tc>
          <w:tcPr>
            <w:tcW w:w="549" w:type="pct"/>
            <w:vAlign w:val="center"/>
          </w:tcPr>
          <w:p w14:paraId="6BB69CC0"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5.530</w:t>
            </w:r>
          </w:p>
        </w:tc>
        <w:tc>
          <w:tcPr>
            <w:tcW w:w="419" w:type="pct"/>
            <w:vAlign w:val="center"/>
          </w:tcPr>
          <w:p w14:paraId="57A85DDF"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.518</w:t>
            </w:r>
          </w:p>
        </w:tc>
        <w:tc>
          <w:tcPr>
            <w:tcW w:w="486" w:type="pct"/>
            <w:vAlign w:val="center"/>
          </w:tcPr>
          <w:p w14:paraId="7126120B"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10.901</w:t>
            </w:r>
          </w:p>
        </w:tc>
        <w:tc>
          <w:tcPr>
            <w:tcW w:w="353" w:type="pct"/>
            <w:vAlign w:val="center"/>
          </w:tcPr>
          <w:p w14:paraId="5C8F2EA0" w14:textId="09A789EB"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.001</w:t>
            </w:r>
          </w:p>
        </w:tc>
        <w:tc>
          <w:tcPr>
            <w:tcW w:w="468" w:type="pct"/>
            <w:vAlign w:val="center"/>
          </w:tcPr>
          <w:p w14:paraId="7BFC8910"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2.004</w:t>
            </w:r>
          </w:p>
        </w:tc>
        <w:tc>
          <w:tcPr>
            <w:tcW w:w="552" w:type="pct"/>
            <w:vAlign w:val="center"/>
          </w:tcPr>
          <w:p w14:paraId="22231BF5"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15.264</w:t>
            </w:r>
          </w:p>
        </w:tc>
      </w:tr>
      <w:tr w:rsidR="00F02CCD" w:rsidRPr="00CA1FEC" w14:paraId="25AB7245" w14:textId="77777777" w:rsidTr="008A2545">
        <w:tc>
          <w:tcPr>
            <w:tcW w:w="1648" w:type="pct"/>
            <w:vAlign w:val="center"/>
          </w:tcPr>
          <w:p w14:paraId="30EBE2BC"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Household Expenditure</w:t>
            </w:r>
          </w:p>
        </w:tc>
        <w:tc>
          <w:tcPr>
            <w:tcW w:w="525" w:type="pct"/>
            <w:vAlign w:val="center"/>
          </w:tcPr>
          <w:p w14:paraId="64660DB4"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-.348</w:t>
            </w:r>
          </w:p>
        </w:tc>
        <w:tc>
          <w:tcPr>
            <w:tcW w:w="549" w:type="pct"/>
            <w:vAlign w:val="center"/>
          </w:tcPr>
          <w:p w14:paraId="3A289034"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.706</w:t>
            </w:r>
          </w:p>
        </w:tc>
        <w:tc>
          <w:tcPr>
            <w:tcW w:w="419" w:type="pct"/>
            <w:vAlign w:val="center"/>
          </w:tcPr>
          <w:p w14:paraId="4130DE40"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.371</w:t>
            </w:r>
          </w:p>
        </w:tc>
        <w:tc>
          <w:tcPr>
            <w:tcW w:w="486" w:type="pct"/>
            <w:vAlign w:val="center"/>
          </w:tcPr>
          <w:p w14:paraId="0ACB2268"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.883</w:t>
            </w:r>
          </w:p>
        </w:tc>
        <w:tc>
          <w:tcPr>
            <w:tcW w:w="353" w:type="pct"/>
            <w:vAlign w:val="center"/>
          </w:tcPr>
          <w:p w14:paraId="2DF3AB80"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.347</w:t>
            </w:r>
          </w:p>
        </w:tc>
        <w:tc>
          <w:tcPr>
            <w:tcW w:w="468" w:type="pct"/>
            <w:vAlign w:val="center"/>
          </w:tcPr>
          <w:p w14:paraId="78071E6B"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.342</w:t>
            </w:r>
          </w:p>
        </w:tc>
        <w:tc>
          <w:tcPr>
            <w:tcW w:w="552" w:type="pct"/>
            <w:vAlign w:val="center"/>
          </w:tcPr>
          <w:p w14:paraId="4426F5AB"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1.459</w:t>
            </w:r>
          </w:p>
        </w:tc>
      </w:tr>
      <w:tr w:rsidR="00F02CCD" w:rsidRPr="00CA1FEC" w14:paraId="71F59F03" w14:textId="77777777" w:rsidTr="008A2545">
        <w:tc>
          <w:tcPr>
            <w:tcW w:w="1648" w:type="pct"/>
            <w:vAlign w:val="center"/>
          </w:tcPr>
          <w:p w14:paraId="3D4B900B"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Constant</w:t>
            </w:r>
          </w:p>
        </w:tc>
        <w:tc>
          <w:tcPr>
            <w:tcW w:w="525" w:type="pct"/>
            <w:vAlign w:val="center"/>
          </w:tcPr>
          <w:p w14:paraId="16E1BAB5"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-4.628</w:t>
            </w:r>
          </w:p>
        </w:tc>
        <w:tc>
          <w:tcPr>
            <w:tcW w:w="549" w:type="pct"/>
            <w:vAlign w:val="center"/>
          </w:tcPr>
          <w:p w14:paraId="6CC47AE2"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.010</w:t>
            </w:r>
          </w:p>
        </w:tc>
        <w:tc>
          <w:tcPr>
            <w:tcW w:w="419" w:type="pct"/>
            <w:vAlign w:val="center"/>
          </w:tcPr>
          <w:p w14:paraId="48AB14BB"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2.291</w:t>
            </w:r>
          </w:p>
        </w:tc>
        <w:tc>
          <w:tcPr>
            <w:tcW w:w="486" w:type="pct"/>
            <w:vAlign w:val="center"/>
          </w:tcPr>
          <w:p w14:paraId="664721AC"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4.081</w:t>
            </w:r>
          </w:p>
        </w:tc>
        <w:tc>
          <w:tcPr>
            <w:tcW w:w="353" w:type="pct"/>
            <w:vAlign w:val="center"/>
          </w:tcPr>
          <w:p w14:paraId="51E3B839"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.043</w:t>
            </w:r>
          </w:p>
        </w:tc>
        <w:tc>
          <w:tcPr>
            <w:tcW w:w="468" w:type="pct"/>
            <w:vAlign w:val="center"/>
          </w:tcPr>
          <w:p w14:paraId="281F3C66" w14:textId="77777777" w:rsidR="00F02CCD" w:rsidRPr="00CA1FEC" w:rsidRDefault="00F02CCD" w:rsidP="0018182C">
            <w:pPr>
              <w:jc w:val="center"/>
              <w:rPr>
                <w:rFonts w:ascii="Times New Roman" w:hAnsi="Times New Roman" w:cs="Times New Roman"/>
                <w:sz w:val="24"/>
                <w:szCs w:val="24"/>
              </w:rPr>
            </w:pPr>
          </w:p>
        </w:tc>
        <w:tc>
          <w:tcPr>
            <w:tcW w:w="552" w:type="pct"/>
            <w:vAlign w:val="center"/>
          </w:tcPr>
          <w:p w14:paraId="515CD8CA" w14:textId="77777777" w:rsidR="00F02CCD" w:rsidRPr="00CA1FEC" w:rsidRDefault="00F02CCD" w:rsidP="0018182C">
            <w:pPr>
              <w:jc w:val="center"/>
              <w:rPr>
                <w:rFonts w:ascii="Times New Roman" w:hAnsi="Times New Roman" w:cs="Times New Roman"/>
                <w:sz w:val="24"/>
                <w:szCs w:val="24"/>
              </w:rPr>
            </w:pPr>
          </w:p>
        </w:tc>
      </w:tr>
      <w:tr w:rsidR="00F02CCD" w:rsidRPr="00CA1FEC" w14:paraId="151F0C9F" w14:textId="77777777" w:rsidTr="008A2545">
        <w:tc>
          <w:tcPr>
            <w:tcW w:w="1648" w:type="pct"/>
            <w:vAlign w:val="center"/>
          </w:tcPr>
          <w:p w14:paraId="76E229ED"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Number of observations</w:t>
            </w:r>
          </w:p>
        </w:tc>
        <w:tc>
          <w:tcPr>
            <w:tcW w:w="3352" w:type="pct"/>
            <w:gridSpan w:val="7"/>
          </w:tcPr>
          <w:p w14:paraId="5D6F6268"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120</w:t>
            </w:r>
          </w:p>
        </w:tc>
      </w:tr>
      <w:tr w:rsidR="00F02CCD" w:rsidRPr="00CA1FEC" w14:paraId="65462BD0" w14:textId="77777777" w:rsidTr="008A2545">
        <w:tc>
          <w:tcPr>
            <w:tcW w:w="1648" w:type="pct"/>
            <w:vAlign w:val="center"/>
          </w:tcPr>
          <w:p w14:paraId="6333E542"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-2 Log likelihood</w:t>
            </w:r>
          </w:p>
        </w:tc>
        <w:tc>
          <w:tcPr>
            <w:tcW w:w="3352" w:type="pct"/>
            <w:gridSpan w:val="7"/>
          </w:tcPr>
          <w:p w14:paraId="58EF0957"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85.569</w:t>
            </w:r>
          </w:p>
        </w:tc>
      </w:tr>
      <w:tr w:rsidR="00F02CCD" w:rsidRPr="00CA1FEC" w14:paraId="53D8B875" w14:textId="77777777" w:rsidTr="008A2545">
        <w:tc>
          <w:tcPr>
            <w:tcW w:w="1648" w:type="pct"/>
            <w:vAlign w:val="center"/>
          </w:tcPr>
          <w:p w14:paraId="7F3A627F"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LR chi2 (9)</w:t>
            </w:r>
          </w:p>
        </w:tc>
        <w:tc>
          <w:tcPr>
            <w:tcW w:w="3352" w:type="pct"/>
            <w:gridSpan w:val="7"/>
          </w:tcPr>
          <w:p w14:paraId="7DE1A08A"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61.038</w:t>
            </w:r>
          </w:p>
        </w:tc>
      </w:tr>
      <w:tr w:rsidR="00F02CCD" w:rsidRPr="00CA1FEC" w14:paraId="1EB961F7" w14:textId="77777777" w:rsidTr="008A2545">
        <w:tc>
          <w:tcPr>
            <w:tcW w:w="1648" w:type="pct"/>
            <w:vAlign w:val="center"/>
          </w:tcPr>
          <w:p w14:paraId="3C2930C1"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Prob &gt; chi2</w:t>
            </w:r>
          </w:p>
        </w:tc>
        <w:tc>
          <w:tcPr>
            <w:tcW w:w="3352" w:type="pct"/>
            <w:gridSpan w:val="7"/>
          </w:tcPr>
          <w:p w14:paraId="13402433" w14:textId="77777777" w:rsidR="00F02CCD" w:rsidRPr="00CA1FEC" w:rsidRDefault="00F02CCD" w:rsidP="0018182C">
            <w:pPr>
              <w:jc w:val="center"/>
              <w:rPr>
                <w:rFonts w:ascii="Times New Roman" w:hAnsi="Times New Roman" w:cs="Times New Roman"/>
                <w:sz w:val="24"/>
                <w:szCs w:val="24"/>
              </w:rPr>
            </w:pPr>
            <w:r w:rsidRPr="00CA1FEC">
              <w:rPr>
                <w:rFonts w:ascii="Times New Roman" w:hAnsi="Times New Roman" w:cs="Times New Roman"/>
                <w:sz w:val="24"/>
                <w:szCs w:val="24"/>
              </w:rPr>
              <w:t>0.000</w:t>
            </w:r>
          </w:p>
        </w:tc>
      </w:tr>
    </w:tbl>
    <w:p w14:paraId="5B815059" w14:textId="77777777" w:rsidR="00A50AD1" w:rsidRDefault="00A50AD1" w:rsidP="00545E90">
      <w:pPr>
        <w:spacing w:line="240" w:lineRule="auto"/>
        <w:jc w:val="both"/>
        <w:rPr>
          <w:rFonts w:ascii="Times New Roman" w:hAnsi="Times New Roman" w:cs="Times New Roman"/>
          <w:b/>
          <w:bCs/>
          <w:sz w:val="24"/>
          <w:szCs w:val="24"/>
        </w:rPr>
      </w:pPr>
    </w:p>
    <w:p w14:paraId="69668FF8" w14:textId="49D3C033" w:rsidR="00D36332" w:rsidRPr="006E5FCF" w:rsidRDefault="00C72669" w:rsidP="00545E90">
      <w:pPr>
        <w:spacing w:line="240" w:lineRule="auto"/>
        <w:jc w:val="both"/>
        <w:rPr>
          <w:rFonts w:ascii="Times New Roman" w:hAnsi="Times New Roman" w:cs="Times New Roman"/>
          <w:b/>
          <w:bCs/>
          <w:sz w:val="24"/>
          <w:szCs w:val="24"/>
        </w:rPr>
      </w:pPr>
      <w:r w:rsidRPr="006E5FCF">
        <w:rPr>
          <w:rFonts w:ascii="Times New Roman" w:hAnsi="Times New Roman" w:cs="Times New Roman"/>
          <w:b/>
          <w:bCs/>
          <w:sz w:val="24"/>
          <w:szCs w:val="24"/>
        </w:rPr>
        <w:t>CON</w:t>
      </w:r>
      <w:r w:rsidR="006E5FCF" w:rsidRPr="006E5FCF">
        <w:rPr>
          <w:rFonts w:ascii="Times New Roman" w:hAnsi="Times New Roman" w:cs="Times New Roman"/>
          <w:b/>
          <w:bCs/>
          <w:sz w:val="24"/>
          <w:szCs w:val="24"/>
        </w:rPr>
        <w:t>CLUSION AND RECOMMENDATIONS</w:t>
      </w:r>
    </w:p>
    <w:p w14:paraId="1F5E4368" w14:textId="6FD9C980" w:rsidR="006E5FCF" w:rsidRDefault="00891601" w:rsidP="00545E90">
      <w:pPr>
        <w:spacing w:line="240" w:lineRule="auto"/>
        <w:ind w:firstLine="720"/>
        <w:jc w:val="both"/>
        <w:rPr>
          <w:rFonts w:ascii="Times New Roman" w:hAnsi="Times New Roman" w:cs="Times New Roman"/>
          <w:sz w:val="24"/>
          <w:szCs w:val="24"/>
        </w:rPr>
      </w:pPr>
      <w:r w:rsidRPr="00891601">
        <w:rPr>
          <w:rFonts w:ascii="Times New Roman" w:hAnsi="Times New Roman" w:cs="Times New Roman"/>
          <w:sz w:val="24"/>
          <w:szCs w:val="24"/>
        </w:rPr>
        <w:t xml:space="preserve">Solar pumps are vital for promoting sustainable agriculture in India by improving irrigation and reducing reliance on conventional energy. Despite government support under the PM-KUSUM Scheme (Component B), adoption remains low due to limited awareness and financial barriers. This study examines the socio-economic factors influencing </w:t>
      </w:r>
      <w:r w:rsidR="002A7362">
        <w:rPr>
          <w:rFonts w:ascii="Times New Roman" w:hAnsi="Times New Roman" w:cs="Times New Roman"/>
          <w:sz w:val="24"/>
          <w:szCs w:val="24"/>
        </w:rPr>
        <w:t xml:space="preserve">the </w:t>
      </w:r>
      <w:r w:rsidRPr="00891601">
        <w:rPr>
          <w:rFonts w:ascii="Times New Roman" w:hAnsi="Times New Roman" w:cs="Times New Roman"/>
          <w:sz w:val="24"/>
          <w:szCs w:val="24"/>
        </w:rPr>
        <w:t>adoption</w:t>
      </w:r>
      <w:r w:rsidR="002A7362">
        <w:rPr>
          <w:rFonts w:ascii="Times New Roman" w:hAnsi="Times New Roman" w:cs="Times New Roman"/>
          <w:sz w:val="24"/>
          <w:szCs w:val="24"/>
        </w:rPr>
        <w:t xml:space="preserve"> and </w:t>
      </w:r>
      <w:r w:rsidR="002A7362" w:rsidRPr="00891601">
        <w:rPr>
          <w:rFonts w:ascii="Times New Roman" w:hAnsi="Times New Roman" w:cs="Times New Roman"/>
          <w:sz w:val="24"/>
          <w:szCs w:val="24"/>
        </w:rPr>
        <w:t>level of awareness</w:t>
      </w:r>
      <w:r w:rsidR="002A7362">
        <w:rPr>
          <w:rFonts w:ascii="Times New Roman" w:hAnsi="Times New Roman" w:cs="Times New Roman"/>
          <w:sz w:val="24"/>
          <w:szCs w:val="24"/>
        </w:rPr>
        <w:t xml:space="preserve"> </w:t>
      </w:r>
      <w:r w:rsidRPr="00891601">
        <w:rPr>
          <w:rFonts w:ascii="Times New Roman" w:hAnsi="Times New Roman" w:cs="Times New Roman"/>
          <w:sz w:val="24"/>
          <w:szCs w:val="24"/>
        </w:rPr>
        <w:t>of solar pumps</w:t>
      </w:r>
      <w:r w:rsidR="002A7362">
        <w:rPr>
          <w:rFonts w:ascii="Times New Roman" w:hAnsi="Times New Roman" w:cs="Times New Roman"/>
          <w:sz w:val="24"/>
          <w:szCs w:val="24"/>
        </w:rPr>
        <w:t xml:space="preserve">. </w:t>
      </w:r>
      <w:r w:rsidR="000F5620" w:rsidRPr="000F5620">
        <w:rPr>
          <w:rFonts w:ascii="Times New Roman" w:hAnsi="Times New Roman" w:cs="Times New Roman"/>
          <w:sz w:val="24"/>
          <w:szCs w:val="24"/>
        </w:rPr>
        <w:t xml:space="preserve">The findings of the study indicate that the majority of farmers are illiterate, and this illiteracy is influenced by various socio-demographic factors such as gender, age, caste, and family type. In rural areas, male dominance often limits educational opportunities for females, pushing them backward in terms of knowledge and awareness. Younger generations are more likely to receive </w:t>
      </w:r>
      <w:r w:rsidR="000F5620">
        <w:rPr>
          <w:rFonts w:ascii="Times New Roman" w:hAnsi="Times New Roman" w:cs="Times New Roman"/>
          <w:sz w:val="24"/>
          <w:szCs w:val="24"/>
        </w:rPr>
        <w:t xml:space="preserve">an </w:t>
      </w:r>
      <w:r w:rsidR="000F5620" w:rsidRPr="000F5620">
        <w:rPr>
          <w:rFonts w:ascii="Times New Roman" w:hAnsi="Times New Roman" w:cs="Times New Roman"/>
          <w:sz w:val="24"/>
          <w:szCs w:val="24"/>
        </w:rPr>
        <w:t>education compared to older individuals. Additionally, people from upper castes tend to have better access to education, while those from lower castes face more barriers. In joint families, where there are many members</w:t>
      </w:r>
      <w:r w:rsidR="000F5620">
        <w:rPr>
          <w:rFonts w:ascii="Times New Roman" w:hAnsi="Times New Roman" w:cs="Times New Roman"/>
          <w:sz w:val="24"/>
          <w:szCs w:val="24"/>
        </w:rPr>
        <w:t xml:space="preserve">, </w:t>
      </w:r>
      <w:r w:rsidR="000F5620" w:rsidRPr="000F5620">
        <w:rPr>
          <w:rFonts w:ascii="Times New Roman" w:hAnsi="Times New Roman" w:cs="Times New Roman"/>
          <w:sz w:val="24"/>
          <w:szCs w:val="24"/>
        </w:rPr>
        <w:t>especially children</w:t>
      </w:r>
      <w:r w:rsidR="000F5620">
        <w:rPr>
          <w:rFonts w:ascii="Times New Roman" w:hAnsi="Times New Roman" w:cs="Times New Roman"/>
          <w:sz w:val="24"/>
          <w:szCs w:val="24"/>
        </w:rPr>
        <w:t xml:space="preserve">, </w:t>
      </w:r>
      <w:r w:rsidR="000F5620" w:rsidRPr="000F5620">
        <w:rPr>
          <w:rFonts w:ascii="Times New Roman" w:hAnsi="Times New Roman" w:cs="Times New Roman"/>
          <w:sz w:val="24"/>
          <w:szCs w:val="24"/>
        </w:rPr>
        <w:t>parents often prioritize income generation over education, sending children to work at an early age instead of to school or college.</w:t>
      </w:r>
      <w:r w:rsidR="00545E90">
        <w:rPr>
          <w:rFonts w:ascii="Times New Roman" w:hAnsi="Times New Roman" w:cs="Times New Roman"/>
          <w:sz w:val="24"/>
          <w:szCs w:val="24"/>
        </w:rPr>
        <w:t xml:space="preserve"> </w:t>
      </w:r>
      <w:r w:rsidR="00545E90" w:rsidRPr="00545E90">
        <w:rPr>
          <w:rFonts w:ascii="Times New Roman" w:hAnsi="Times New Roman" w:cs="Times New Roman"/>
          <w:sz w:val="24"/>
          <w:szCs w:val="24"/>
        </w:rPr>
        <w:t xml:space="preserve">the fact that both illiterate and graduate respondents fall within the same annual income range of </w:t>
      </w:r>
      <w:r w:rsidR="00814515">
        <w:rPr>
          <w:rFonts w:ascii="Times New Roman" w:hAnsi="Times New Roman" w:cs="Times New Roman"/>
          <w:sz w:val="24"/>
          <w:szCs w:val="24"/>
        </w:rPr>
        <w:t xml:space="preserve">Rs. </w:t>
      </w:r>
      <w:r w:rsidR="00545E90" w:rsidRPr="00545E90">
        <w:rPr>
          <w:rFonts w:ascii="Times New Roman" w:hAnsi="Times New Roman" w:cs="Times New Roman"/>
          <w:sz w:val="24"/>
          <w:szCs w:val="24"/>
        </w:rPr>
        <w:t xml:space="preserve">50,001 to </w:t>
      </w:r>
      <w:r w:rsidR="00814515">
        <w:rPr>
          <w:rFonts w:ascii="Times New Roman" w:hAnsi="Times New Roman" w:cs="Times New Roman"/>
          <w:sz w:val="24"/>
          <w:szCs w:val="24"/>
        </w:rPr>
        <w:t xml:space="preserve">Rs. </w:t>
      </w:r>
      <w:r w:rsidR="00545E90" w:rsidRPr="00545E90">
        <w:rPr>
          <w:rFonts w:ascii="Times New Roman" w:hAnsi="Times New Roman" w:cs="Times New Roman"/>
          <w:sz w:val="24"/>
          <w:szCs w:val="24"/>
        </w:rPr>
        <w:t>75,000 highlights that educational qualifications alone do not guarantee higher income in small-scale farming. Instead, factors such as access to agricultural resources, the type of crops cultivated, and the availability of irrigation technologies like solar pumps appear to have a more direct impact on farmers' earnings. This underscores the need for targeted interventions that improve resource accessibility and infrastructure, rather than relying solely on educational attainment to enhance farmers' income.</w:t>
      </w:r>
    </w:p>
    <w:p w14:paraId="05F6AD64" w14:textId="50FA51EE" w:rsidR="00B646BC" w:rsidRDefault="00DC1607" w:rsidP="00DC1607">
      <w:pPr>
        <w:spacing w:line="240" w:lineRule="auto"/>
        <w:ind w:firstLine="720"/>
        <w:jc w:val="both"/>
        <w:rPr>
          <w:rFonts w:ascii="Times New Roman" w:hAnsi="Times New Roman" w:cs="Times New Roman"/>
          <w:sz w:val="24"/>
          <w:szCs w:val="24"/>
        </w:rPr>
      </w:pPr>
      <w:r w:rsidRPr="00844843">
        <w:rPr>
          <w:rFonts w:ascii="Times New Roman" w:hAnsi="Times New Roman" w:cs="Times New Roman"/>
          <w:sz w:val="24"/>
          <w:szCs w:val="24"/>
        </w:rPr>
        <w:t>The scheme, in the study area Friends and Relatives, emerges as the primary source of awareness at 30.95</w:t>
      </w:r>
      <w:r w:rsidR="00DB3F47">
        <w:rPr>
          <w:rFonts w:ascii="Times New Roman" w:hAnsi="Times New Roman" w:cs="Times New Roman"/>
          <w:sz w:val="24"/>
          <w:szCs w:val="24"/>
        </w:rPr>
        <w:t>per cent</w:t>
      </w:r>
      <w:r w:rsidRPr="00844843">
        <w:rPr>
          <w:rFonts w:ascii="Times New Roman" w:hAnsi="Times New Roman" w:cs="Times New Roman"/>
          <w:sz w:val="24"/>
          <w:szCs w:val="24"/>
        </w:rPr>
        <w:t>, while Agricultural Officers play a notable role, contributing 27.38</w:t>
      </w:r>
      <w:r w:rsidR="00DB3F47">
        <w:rPr>
          <w:rFonts w:ascii="Times New Roman" w:hAnsi="Times New Roman" w:cs="Times New Roman"/>
          <w:sz w:val="24"/>
          <w:szCs w:val="24"/>
        </w:rPr>
        <w:t xml:space="preserve"> per cent</w:t>
      </w:r>
      <w:r w:rsidRPr="00844843">
        <w:rPr>
          <w:rFonts w:ascii="Times New Roman" w:hAnsi="Times New Roman" w:cs="Times New Roman"/>
          <w:sz w:val="24"/>
          <w:szCs w:val="24"/>
        </w:rPr>
        <w:t>, and after that, Social</w:t>
      </w:r>
      <w:r w:rsidR="00DB3F47">
        <w:rPr>
          <w:rFonts w:ascii="Times New Roman" w:hAnsi="Times New Roman" w:cs="Times New Roman"/>
          <w:sz w:val="24"/>
          <w:szCs w:val="24"/>
        </w:rPr>
        <w:t>-</w:t>
      </w:r>
      <w:r w:rsidRPr="00844843">
        <w:rPr>
          <w:rFonts w:ascii="Times New Roman" w:hAnsi="Times New Roman" w:cs="Times New Roman"/>
          <w:sz w:val="24"/>
          <w:szCs w:val="24"/>
        </w:rPr>
        <w:t xml:space="preserve">Media </w:t>
      </w:r>
      <w:r>
        <w:rPr>
          <w:rFonts w:ascii="Times New Roman" w:hAnsi="Times New Roman" w:cs="Times New Roman"/>
          <w:sz w:val="24"/>
          <w:szCs w:val="24"/>
        </w:rPr>
        <w:t>plays</w:t>
      </w:r>
      <w:r w:rsidRPr="00844843">
        <w:rPr>
          <w:rFonts w:ascii="Times New Roman" w:hAnsi="Times New Roman" w:cs="Times New Roman"/>
          <w:sz w:val="24"/>
          <w:szCs w:val="24"/>
        </w:rPr>
        <w:t xml:space="preserve"> </w:t>
      </w:r>
      <w:r>
        <w:rPr>
          <w:rFonts w:ascii="Times New Roman" w:hAnsi="Times New Roman" w:cs="Times New Roman"/>
          <w:sz w:val="24"/>
          <w:szCs w:val="24"/>
        </w:rPr>
        <w:t>its</w:t>
      </w:r>
      <w:r w:rsidRPr="00844843">
        <w:rPr>
          <w:rFonts w:ascii="Times New Roman" w:hAnsi="Times New Roman" w:cs="Times New Roman"/>
          <w:sz w:val="24"/>
          <w:szCs w:val="24"/>
        </w:rPr>
        <w:t xml:space="preserve"> role by 22.62</w:t>
      </w:r>
      <w:r w:rsidR="00DB3F47">
        <w:rPr>
          <w:rFonts w:ascii="Times New Roman" w:hAnsi="Times New Roman" w:cs="Times New Roman"/>
          <w:sz w:val="24"/>
          <w:szCs w:val="24"/>
        </w:rPr>
        <w:t xml:space="preserve"> per cent</w:t>
      </w:r>
      <w:r w:rsidRPr="00844843">
        <w:rPr>
          <w:rFonts w:ascii="Times New Roman" w:hAnsi="Times New Roman" w:cs="Times New Roman"/>
          <w:sz w:val="24"/>
          <w:szCs w:val="24"/>
        </w:rPr>
        <w:t xml:space="preserve"> in the Sources of awareness of </w:t>
      </w:r>
      <w:r>
        <w:rPr>
          <w:rFonts w:ascii="Times New Roman" w:hAnsi="Times New Roman" w:cs="Times New Roman"/>
          <w:sz w:val="24"/>
          <w:szCs w:val="24"/>
        </w:rPr>
        <w:t xml:space="preserve">the </w:t>
      </w:r>
      <w:r w:rsidRPr="00844843">
        <w:rPr>
          <w:rFonts w:ascii="Times New Roman" w:hAnsi="Times New Roman" w:cs="Times New Roman"/>
          <w:sz w:val="24"/>
          <w:szCs w:val="24"/>
        </w:rPr>
        <w:t>PM KUSUM scheme</w:t>
      </w:r>
      <w:r w:rsidR="000216F8">
        <w:rPr>
          <w:rFonts w:ascii="Times New Roman" w:hAnsi="Times New Roman" w:cs="Times New Roman"/>
          <w:sz w:val="24"/>
          <w:szCs w:val="24"/>
        </w:rPr>
        <w:t>. T</w:t>
      </w:r>
      <w:r w:rsidR="000216F8" w:rsidRPr="00844843">
        <w:rPr>
          <w:rFonts w:ascii="Times New Roman" w:hAnsi="Times New Roman" w:cs="Times New Roman"/>
          <w:sz w:val="24"/>
          <w:szCs w:val="24"/>
        </w:rPr>
        <w:t>he awareness of respondents regarding different aspects of the PM-KUSUM scheme reveals varying levels of understanding across key components. In terms of procedural knowledge of the scheme, a majority of respondents (59.52%) were fully aware, while 39.29</w:t>
      </w:r>
      <w:r w:rsidR="00DB3F47">
        <w:rPr>
          <w:rFonts w:ascii="Times New Roman" w:hAnsi="Times New Roman" w:cs="Times New Roman"/>
          <w:sz w:val="24"/>
          <w:szCs w:val="24"/>
        </w:rPr>
        <w:t xml:space="preserve"> per cent</w:t>
      </w:r>
      <w:r w:rsidR="000216F8" w:rsidRPr="00844843">
        <w:rPr>
          <w:rFonts w:ascii="Times New Roman" w:hAnsi="Times New Roman" w:cs="Times New Roman"/>
          <w:sz w:val="24"/>
          <w:szCs w:val="24"/>
        </w:rPr>
        <w:t xml:space="preserve"> had partial awareness. </w:t>
      </w:r>
    </w:p>
    <w:p w14:paraId="6E59EC47" w14:textId="77777777" w:rsidR="00AA4D42" w:rsidRDefault="00AA4D42" w:rsidP="00AA4D42">
      <w:pPr>
        <w:spacing w:line="240" w:lineRule="auto"/>
        <w:ind w:firstLine="720"/>
        <w:jc w:val="both"/>
        <w:rPr>
          <w:rFonts w:ascii="Times New Roman" w:hAnsi="Times New Roman" w:cs="Times New Roman"/>
          <w:sz w:val="24"/>
          <w:szCs w:val="24"/>
        </w:rPr>
      </w:pPr>
      <w:r w:rsidRPr="00AA4D42">
        <w:rPr>
          <w:rFonts w:ascii="Times New Roman" w:hAnsi="Times New Roman" w:cs="Times New Roman"/>
          <w:sz w:val="24"/>
          <w:szCs w:val="24"/>
        </w:rPr>
        <w:lastRenderedPageBreak/>
        <w:t>Binary logistic regression results in odds ratios and their 95% confidence intervals. The odds ratio tells us how likely it is that a farmer will adopt a solar irrigation pump based on different factors. Occupation (Odds ratio = 24.42), Land (Odds ratio = 5.53), Caste (Odds ratio = 3.82), and Educational Qualification (Odds ratio = 2.31) are important factors. Which means they have a strong and significant effect on the adoption of solar pumps. This means that farmers with more land, better education, or certain occupations and caste backgrounds are more likely to use solar irrigation.</w:t>
      </w:r>
    </w:p>
    <w:p w14:paraId="4590A896" w14:textId="6B1A022B" w:rsidR="00AA4D42" w:rsidRDefault="002D620C" w:rsidP="00DC1607">
      <w:pPr>
        <w:spacing w:line="240" w:lineRule="auto"/>
        <w:ind w:firstLine="720"/>
        <w:jc w:val="both"/>
        <w:rPr>
          <w:rFonts w:ascii="Times New Roman" w:hAnsi="Times New Roman" w:cs="Times New Roman"/>
          <w:sz w:val="24"/>
          <w:szCs w:val="24"/>
        </w:rPr>
      </w:pPr>
      <w:r w:rsidRPr="002D620C">
        <w:rPr>
          <w:rFonts w:ascii="Times New Roman" w:hAnsi="Times New Roman" w:cs="Times New Roman"/>
          <w:sz w:val="24"/>
          <w:szCs w:val="24"/>
        </w:rPr>
        <w:t xml:space="preserve">By analyzing the socio-economic conditions and awareness levels related to the scheme, it becomes clear that improving farmer education and expanding outreach are essential. Awareness about the PM-KUSUM scheme should be promoted through multiple channels, including mass media, community meetings, and local demonstrations. Efforts must be made to ensure the scheme is inclusive, particularly targeting small and marginal farmers, and remains free from any caste-based discrimination. Educational initiatives such as training sessions, agricultural fairs, seminars, and field demonstrations can </w:t>
      </w:r>
      <w:r w:rsidR="002E5A59">
        <w:rPr>
          <w:rFonts w:ascii="Times New Roman" w:hAnsi="Times New Roman" w:cs="Times New Roman"/>
          <w:sz w:val="24"/>
          <w:szCs w:val="24"/>
        </w:rPr>
        <w:t>be key</w:t>
      </w:r>
      <w:r w:rsidRPr="002D620C">
        <w:rPr>
          <w:rFonts w:ascii="Times New Roman" w:hAnsi="Times New Roman" w:cs="Times New Roman"/>
          <w:sz w:val="24"/>
          <w:szCs w:val="24"/>
        </w:rPr>
        <w:t xml:space="preserve"> in empowering farmers and increasing participation in the scheme.</w:t>
      </w:r>
    </w:p>
    <w:p w14:paraId="430D310B" w14:textId="77777777" w:rsidR="00AE3999" w:rsidRPr="00AE3999" w:rsidRDefault="00AE3999" w:rsidP="00AE3999">
      <w:pPr>
        <w:spacing w:line="240" w:lineRule="auto"/>
        <w:jc w:val="both"/>
        <w:rPr>
          <w:rFonts w:ascii="Times New Roman" w:hAnsi="Times New Roman" w:cs="Times New Roman"/>
          <w:sz w:val="24"/>
          <w:szCs w:val="24"/>
        </w:rPr>
      </w:pPr>
      <w:r w:rsidRPr="00AE3999">
        <w:rPr>
          <w:rFonts w:ascii="Times New Roman" w:hAnsi="Times New Roman" w:cs="Times New Roman"/>
          <w:sz w:val="24"/>
          <w:szCs w:val="24"/>
        </w:rPr>
        <w:t>COMPETING INTERESTS DISCLAIMER:</w:t>
      </w:r>
    </w:p>
    <w:p w14:paraId="1C221387" w14:textId="6C1F547A" w:rsidR="00AE3999" w:rsidRPr="00CF19F9" w:rsidRDefault="00AE3999" w:rsidP="00AE3999">
      <w:pPr>
        <w:spacing w:line="240" w:lineRule="auto"/>
        <w:jc w:val="both"/>
        <w:rPr>
          <w:rFonts w:ascii="Times New Roman" w:hAnsi="Times New Roman" w:cs="Times New Roman"/>
          <w:sz w:val="24"/>
          <w:szCs w:val="24"/>
        </w:rPr>
      </w:pPr>
      <w:r w:rsidRPr="00AE3999">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269FBA6" w14:textId="77777777" w:rsidR="005F38FA" w:rsidRDefault="005F38FA" w:rsidP="00EF4EB0">
      <w:pPr>
        <w:spacing w:line="240" w:lineRule="auto"/>
        <w:jc w:val="both"/>
        <w:rPr>
          <w:rFonts w:ascii="Times New Roman" w:hAnsi="Times New Roman" w:cs="Times New Roman"/>
          <w:b/>
          <w:bCs/>
          <w:sz w:val="24"/>
          <w:szCs w:val="24"/>
        </w:rPr>
      </w:pPr>
    </w:p>
    <w:p w14:paraId="547B6A5E" w14:textId="47DFDE8F" w:rsidR="006E68CA" w:rsidRPr="006E68CA" w:rsidRDefault="006E68CA" w:rsidP="00EF4EB0">
      <w:pPr>
        <w:spacing w:line="240" w:lineRule="auto"/>
        <w:jc w:val="both"/>
        <w:rPr>
          <w:rFonts w:ascii="Times New Roman" w:hAnsi="Times New Roman" w:cs="Times New Roman"/>
          <w:b/>
          <w:bCs/>
          <w:sz w:val="24"/>
          <w:szCs w:val="24"/>
        </w:rPr>
      </w:pPr>
      <w:r w:rsidRPr="006E68CA">
        <w:rPr>
          <w:rFonts w:ascii="Times New Roman" w:hAnsi="Times New Roman" w:cs="Times New Roman"/>
          <w:b/>
          <w:bCs/>
          <w:sz w:val="24"/>
          <w:szCs w:val="24"/>
        </w:rPr>
        <w:t>REFERENCES</w:t>
      </w:r>
    </w:p>
    <w:p w14:paraId="25341612" w14:textId="58FEDED7" w:rsidR="005401A4"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 xml:space="preserve">Aditya, K. S. </w:t>
      </w:r>
      <w:r w:rsidR="00105CF7">
        <w:rPr>
          <w:rFonts w:ascii="Times New Roman" w:hAnsi="Times New Roman" w:cs="Times New Roman"/>
          <w:sz w:val="24"/>
          <w:szCs w:val="24"/>
        </w:rPr>
        <w:t>and</w:t>
      </w:r>
      <w:r w:rsidRPr="005B0DD5">
        <w:rPr>
          <w:rFonts w:ascii="Times New Roman" w:hAnsi="Times New Roman" w:cs="Times New Roman"/>
          <w:sz w:val="24"/>
          <w:szCs w:val="24"/>
        </w:rPr>
        <w:t xml:space="preserve"> Dagmar, M. 202</w:t>
      </w:r>
      <w:r w:rsidR="001221BB">
        <w:rPr>
          <w:rFonts w:ascii="Times New Roman" w:hAnsi="Times New Roman" w:cs="Times New Roman"/>
          <w:sz w:val="24"/>
          <w:szCs w:val="24"/>
        </w:rPr>
        <w:t>5</w:t>
      </w:r>
      <w:r w:rsidR="00DD1C0B" w:rsidRPr="00DD1C0B">
        <w:rPr>
          <w:rFonts w:ascii="Times New Roman" w:hAnsi="Times New Roman" w:cs="Times New Roman"/>
          <w:sz w:val="24"/>
          <w:szCs w:val="24"/>
        </w:rPr>
        <w:t xml:space="preserve">. Understanding Farmers' Policy Preferences for Solar-Powered Irrigation Systems in Karnataka, India: A Choice Experiment Approach. </w:t>
      </w:r>
      <w:r w:rsidR="00DD1C0B" w:rsidRPr="00060244">
        <w:rPr>
          <w:rFonts w:ascii="Times New Roman" w:hAnsi="Times New Roman" w:cs="Times New Roman"/>
          <w:i/>
          <w:iCs/>
          <w:sz w:val="24"/>
          <w:szCs w:val="24"/>
        </w:rPr>
        <w:t>Australian Journal of Agricultural and Resource Economics</w:t>
      </w:r>
      <w:r w:rsidR="00DD1C0B" w:rsidRPr="00DD1C0B">
        <w:rPr>
          <w:rFonts w:ascii="Times New Roman" w:hAnsi="Times New Roman" w:cs="Times New Roman"/>
          <w:sz w:val="24"/>
          <w:szCs w:val="24"/>
        </w:rPr>
        <w:t xml:space="preserve">. 1-14. </w:t>
      </w:r>
    </w:p>
    <w:p w14:paraId="7DF793B7" w14:textId="1035CF47"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 xml:space="preserve">Agrawal, D. K. 2022. An Empirical Study </w:t>
      </w:r>
      <w:proofErr w:type="gramStart"/>
      <w:r w:rsidRPr="005B0DD5">
        <w:rPr>
          <w:rFonts w:ascii="Times New Roman" w:hAnsi="Times New Roman" w:cs="Times New Roman"/>
          <w:sz w:val="24"/>
          <w:szCs w:val="24"/>
        </w:rPr>
        <w:t>On</w:t>
      </w:r>
      <w:proofErr w:type="gramEnd"/>
      <w:r w:rsidRPr="005B0DD5">
        <w:rPr>
          <w:rFonts w:ascii="Times New Roman" w:hAnsi="Times New Roman" w:cs="Times New Roman"/>
          <w:sz w:val="24"/>
          <w:szCs w:val="24"/>
        </w:rPr>
        <w:t xml:space="preserve"> Socioeconomic Factors Affecting Producer’s Participation In Commodity Markets In India. </w:t>
      </w:r>
      <w:r w:rsidRPr="005B0DD5">
        <w:rPr>
          <w:rFonts w:ascii="Times New Roman" w:hAnsi="Times New Roman" w:cs="Times New Roman"/>
          <w:i/>
          <w:iCs/>
          <w:sz w:val="24"/>
          <w:szCs w:val="24"/>
        </w:rPr>
        <w:t>Journal of Positive School Psychology</w:t>
      </w:r>
      <w:r w:rsidRPr="005B0DD5">
        <w:rPr>
          <w:rFonts w:ascii="Times New Roman" w:hAnsi="Times New Roman" w:cs="Times New Roman"/>
          <w:sz w:val="24"/>
          <w:szCs w:val="24"/>
        </w:rPr>
        <w:t>, 2896-2906.</w:t>
      </w:r>
    </w:p>
    <w:p w14:paraId="1DEAC1C7" w14:textId="4B9B7AA8" w:rsidR="00081023" w:rsidRPr="00C9228C" w:rsidRDefault="00081023" w:rsidP="00A646E0">
      <w:pPr>
        <w:numPr>
          <w:ilvl w:val="0"/>
          <w:numId w:val="6"/>
        </w:numPr>
        <w:spacing w:line="360" w:lineRule="auto"/>
        <w:jc w:val="both"/>
        <w:rPr>
          <w:rFonts w:ascii="Times New Roman" w:hAnsi="Times New Roman" w:cs="Times New Roman"/>
          <w:sz w:val="24"/>
          <w:szCs w:val="24"/>
        </w:rPr>
      </w:pPr>
      <w:r w:rsidRPr="00C9228C">
        <w:rPr>
          <w:rFonts w:ascii="Times New Roman" w:hAnsi="Times New Roman" w:cs="Times New Roman"/>
          <w:sz w:val="24"/>
          <w:szCs w:val="24"/>
        </w:rPr>
        <w:t>Bhati</w:t>
      </w:r>
      <w:r w:rsidR="00C27515">
        <w:rPr>
          <w:rFonts w:ascii="Times New Roman" w:hAnsi="Times New Roman" w:cs="Times New Roman"/>
          <w:sz w:val="24"/>
          <w:szCs w:val="24"/>
        </w:rPr>
        <w:t>,</w:t>
      </w:r>
      <w:r w:rsidRPr="00C9228C">
        <w:rPr>
          <w:rFonts w:ascii="Times New Roman" w:hAnsi="Times New Roman" w:cs="Times New Roman"/>
          <w:sz w:val="24"/>
          <w:szCs w:val="24"/>
        </w:rPr>
        <w:t xml:space="preserve"> P</w:t>
      </w:r>
      <w:r w:rsidR="00C27515">
        <w:rPr>
          <w:rFonts w:ascii="Times New Roman" w:hAnsi="Times New Roman" w:cs="Times New Roman"/>
          <w:sz w:val="24"/>
          <w:szCs w:val="24"/>
        </w:rPr>
        <w:t>.;</w:t>
      </w:r>
      <w:r w:rsidRPr="00C9228C">
        <w:rPr>
          <w:rFonts w:ascii="Times New Roman" w:hAnsi="Times New Roman" w:cs="Times New Roman"/>
          <w:sz w:val="24"/>
          <w:szCs w:val="24"/>
        </w:rPr>
        <w:t xml:space="preserve"> Singh</w:t>
      </w:r>
      <w:r w:rsidR="00C27515">
        <w:rPr>
          <w:rFonts w:ascii="Times New Roman" w:hAnsi="Times New Roman" w:cs="Times New Roman"/>
          <w:sz w:val="24"/>
          <w:szCs w:val="24"/>
        </w:rPr>
        <w:t>,</w:t>
      </w:r>
      <w:r w:rsidRPr="00C9228C">
        <w:rPr>
          <w:rFonts w:ascii="Times New Roman" w:hAnsi="Times New Roman" w:cs="Times New Roman"/>
          <w:sz w:val="24"/>
          <w:szCs w:val="24"/>
        </w:rPr>
        <w:t xml:space="preserve"> M</w:t>
      </w:r>
      <w:r w:rsidR="00C27515">
        <w:rPr>
          <w:rFonts w:ascii="Times New Roman" w:hAnsi="Times New Roman" w:cs="Times New Roman"/>
          <w:sz w:val="24"/>
          <w:szCs w:val="24"/>
        </w:rPr>
        <w:t>.;</w:t>
      </w:r>
      <w:r w:rsidRPr="00C9228C">
        <w:rPr>
          <w:rFonts w:ascii="Times New Roman" w:hAnsi="Times New Roman" w:cs="Times New Roman"/>
          <w:sz w:val="24"/>
          <w:szCs w:val="24"/>
        </w:rPr>
        <w:t xml:space="preserve"> and Jhawar</w:t>
      </w:r>
      <w:r w:rsidR="00C27515">
        <w:rPr>
          <w:rFonts w:ascii="Times New Roman" w:hAnsi="Times New Roman" w:cs="Times New Roman"/>
          <w:sz w:val="24"/>
          <w:szCs w:val="24"/>
        </w:rPr>
        <w:t>,</w:t>
      </w:r>
      <w:r w:rsidRPr="00C9228C">
        <w:rPr>
          <w:rFonts w:ascii="Times New Roman" w:hAnsi="Times New Roman" w:cs="Times New Roman"/>
          <w:sz w:val="24"/>
          <w:szCs w:val="24"/>
        </w:rPr>
        <w:t xml:space="preserve"> P. 2019. Silver Bullet: Are solar pumps a panacea for irrigation,</w:t>
      </w:r>
      <w:r>
        <w:rPr>
          <w:rFonts w:ascii="Times New Roman" w:hAnsi="Times New Roman" w:cs="Times New Roman"/>
          <w:sz w:val="24"/>
          <w:szCs w:val="24"/>
        </w:rPr>
        <w:t xml:space="preserve"> </w:t>
      </w:r>
      <w:r w:rsidRPr="00C9228C">
        <w:rPr>
          <w:rFonts w:ascii="Times New Roman" w:hAnsi="Times New Roman" w:cs="Times New Roman"/>
          <w:sz w:val="24"/>
          <w:szCs w:val="24"/>
        </w:rPr>
        <w:t xml:space="preserve">farmer distress and discom </w:t>
      </w:r>
    </w:p>
    <w:p w14:paraId="5218B127" w14:textId="1B9A0ACD" w:rsidR="00081023" w:rsidRDefault="00081023" w:rsidP="00A646E0">
      <w:pPr>
        <w:numPr>
          <w:ilvl w:val="0"/>
          <w:numId w:val="6"/>
        </w:numPr>
        <w:spacing w:line="360" w:lineRule="auto"/>
        <w:jc w:val="both"/>
        <w:rPr>
          <w:rFonts w:ascii="Times New Roman" w:hAnsi="Times New Roman" w:cs="Times New Roman"/>
          <w:sz w:val="24"/>
          <w:szCs w:val="24"/>
        </w:rPr>
      </w:pPr>
      <w:r w:rsidRPr="00367696">
        <w:rPr>
          <w:rFonts w:ascii="Times New Roman" w:hAnsi="Times New Roman" w:cs="Times New Roman"/>
          <w:sz w:val="24"/>
          <w:szCs w:val="24"/>
        </w:rPr>
        <w:t>Diyyala, R.</w:t>
      </w:r>
      <w:r w:rsidR="000A68BD">
        <w:rPr>
          <w:rFonts w:ascii="Times New Roman" w:hAnsi="Times New Roman" w:cs="Times New Roman"/>
          <w:sz w:val="24"/>
          <w:szCs w:val="24"/>
        </w:rPr>
        <w:t>;</w:t>
      </w:r>
      <w:r w:rsidRPr="00367696">
        <w:rPr>
          <w:rFonts w:ascii="Times New Roman" w:hAnsi="Times New Roman" w:cs="Times New Roman"/>
          <w:sz w:val="24"/>
          <w:szCs w:val="24"/>
        </w:rPr>
        <w:t xml:space="preserve"> Palanichamy, N. V.</w:t>
      </w:r>
      <w:r w:rsidR="00F975D0">
        <w:rPr>
          <w:rFonts w:ascii="Times New Roman" w:hAnsi="Times New Roman" w:cs="Times New Roman"/>
          <w:sz w:val="24"/>
          <w:szCs w:val="24"/>
        </w:rPr>
        <w:t>;</w:t>
      </w:r>
      <w:r w:rsidRPr="00367696">
        <w:rPr>
          <w:rFonts w:ascii="Times New Roman" w:hAnsi="Times New Roman" w:cs="Times New Roman"/>
          <w:sz w:val="24"/>
          <w:szCs w:val="24"/>
        </w:rPr>
        <w:t xml:space="preserve"> Murugananthi, D.</w:t>
      </w:r>
      <w:r w:rsidR="00F975D0">
        <w:rPr>
          <w:rFonts w:ascii="Times New Roman" w:hAnsi="Times New Roman" w:cs="Times New Roman"/>
          <w:sz w:val="24"/>
          <w:szCs w:val="24"/>
        </w:rPr>
        <w:t>;</w:t>
      </w:r>
      <w:r w:rsidRPr="00367696">
        <w:rPr>
          <w:rFonts w:ascii="Times New Roman" w:hAnsi="Times New Roman" w:cs="Times New Roman"/>
          <w:sz w:val="24"/>
          <w:szCs w:val="24"/>
        </w:rPr>
        <w:t xml:space="preserve"> Geethalakshmi, V.</w:t>
      </w:r>
      <w:r w:rsidR="00F975D0">
        <w:rPr>
          <w:rFonts w:ascii="Times New Roman" w:hAnsi="Times New Roman" w:cs="Times New Roman"/>
          <w:sz w:val="24"/>
          <w:szCs w:val="24"/>
        </w:rPr>
        <w:t>;</w:t>
      </w:r>
      <w:r w:rsidRPr="00367696">
        <w:rPr>
          <w:rFonts w:ascii="Times New Roman" w:hAnsi="Times New Roman" w:cs="Times New Roman"/>
          <w:sz w:val="24"/>
          <w:szCs w:val="24"/>
        </w:rPr>
        <w:t xml:space="preserve"> </w:t>
      </w:r>
      <w:r w:rsidR="00105CF7">
        <w:rPr>
          <w:rFonts w:ascii="Times New Roman" w:hAnsi="Times New Roman" w:cs="Times New Roman"/>
          <w:sz w:val="24"/>
          <w:szCs w:val="24"/>
        </w:rPr>
        <w:t>and</w:t>
      </w:r>
      <w:r w:rsidRPr="00367696">
        <w:rPr>
          <w:rFonts w:ascii="Times New Roman" w:hAnsi="Times New Roman" w:cs="Times New Roman"/>
          <w:sz w:val="24"/>
          <w:szCs w:val="24"/>
        </w:rPr>
        <w:t xml:space="preserve"> Rajavel, M. 2024. Determinants of Farmers’ Awareness and Perspectives on Pradhan Mantri Fasal Bima Yojana in Southern Tamil Nadu, India. </w:t>
      </w:r>
      <w:r w:rsidRPr="00367696">
        <w:rPr>
          <w:rFonts w:ascii="Times New Roman" w:hAnsi="Times New Roman" w:cs="Times New Roman"/>
          <w:i/>
          <w:iCs/>
          <w:sz w:val="24"/>
          <w:szCs w:val="24"/>
        </w:rPr>
        <w:t>Asian Journal of Agricultural Extension, Economics &amp; Sociology</w:t>
      </w:r>
      <w:r w:rsidRPr="00367696">
        <w:rPr>
          <w:rFonts w:ascii="Times New Roman" w:hAnsi="Times New Roman" w:cs="Times New Roman"/>
          <w:sz w:val="24"/>
          <w:szCs w:val="24"/>
        </w:rPr>
        <w:t>, </w:t>
      </w:r>
      <w:r w:rsidRPr="00F975D0">
        <w:rPr>
          <w:rFonts w:ascii="Times New Roman" w:hAnsi="Times New Roman" w:cs="Times New Roman"/>
          <w:sz w:val="24"/>
          <w:szCs w:val="24"/>
        </w:rPr>
        <w:t>42(9)</w:t>
      </w:r>
      <w:r w:rsidR="000C2287">
        <w:rPr>
          <w:rFonts w:ascii="Times New Roman" w:hAnsi="Times New Roman" w:cs="Times New Roman"/>
          <w:sz w:val="24"/>
          <w:szCs w:val="24"/>
        </w:rPr>
        <w:t>:</w:t>
      </w:r>
      <w:r w:rsidRPr="00367696">
        <w:rPr>
          <w:rFonts w:ascii="Times New Roman" w:hAnsi="Times New Roman" w:cs="Times New Roman"/>
          <w:sz w:val="24"/>
          <w:szCs w:val="24"/>
        </w:rPr>
        <w:t xml:space="preserve"> 26–38.</w:t>
      </w:r>
    </w:p>
    <w:p w14:paraId="18511869" w14:textId="3F335583"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2A4B09">
        <w:rPr>
          <w:rFonts w:ascii="Times New Roman" w:hAnsi="Times New Roman" w:cs="Times New Roman"/>
          <w:sz w:val="24"/>
          <w:szCs w:val="24"/>
        </w:rPr>
        <w:t>Gautam, Sandeep.</w:t>
      </w:r>
      <w:r w:rsidR="00D642A3">
        <w:rPr>
          <w:rFonts w:ascii="Times New Roman" w:hAnsi="Times New Roman" w:cs="Times New Roman"/>
          <w:sz w:val="24"/>
          <w:szCs w:val="24"/>
        </w:rPr>
        <w:t>;</w:t>
      </w:r>
      <w:r w:rsidRPr="002A4B09">
        <w:rPr>
          <w:rFonts w:ascii="Times New Roman" w:hAnsi="Times New Roman" w:cs="Times New Roman"/>
          <w:sz w:val="24"/>
          <w:szCs w:val="24"/>
        </w:rPr>
        <w:t xml:space="preserve"> Supriya</w:t>
      </w:r>
      <w:r w:rsidR="00D642A3">
        <w:rPr>
          <w:rFonts w:ascii="Times New Roman" w:hAnsi="Times New Roman" w:cs="Times New Roman"/>
          <w:sz w:val="24"/>
          <w:szCs w:val="24"/>
        </w:rPr>
        <w:t xml:space="preserve">; </w:t>
      </w:r>
      <w:r w:rsidRPr="002A4B09">
        <w:rPr>
          <w:rFonts w:ascii="Times New Roman" w:hAnsi="Times New Roman" w:cs="Times New Roman"/>
          <w:sz w:val="24"/>
          <w:szCs w:val="24"/>
        </w:rPr>
        <w:t>Mishra, Harshit</w:t>
      </w:r>
      <w:r w:rsidR="00D642A3">
        <w:rPr>
          <w:rFonts w:ascii="Times New Roman" w:hAnsi="Times New Roman" w:cs="Times New Roman"/>
          <w:sz w:val="24"/>
          <w:szCs w:val="24"/>
        </w:rPr>
        <w:t xml:space="preserve">; </w:t>
      </w:r>
      <w:r w:rsidRPr="002A4B09">
        <w:rPr>
          <w:rFonts w:ascii="Times New Roman" w:hAnsi="Times New Roman" w:cs="Times New Roman"/>
          <w:sz w:val="24"/>
          <w:szCs w:val="24"/>
        </w:rPr>
        <w:t>Gupta, Vishal</w:t>
      </w:r>
      <w:r w:rsidR="005D3F9D">
        <w:rPr>
          <w:rFonts w:ascii="Times New Roman" w:hAnsi="Times New Roman" w:cs="Times New Roman"/>
          <w:sz w:val="24"/>
          <w:szCs w:val="24"/>
        </w:rPr>
        <w:t>;</w:t>
      </w:r>
      <w:r w:rsidRPr="002A4B09">
        <w:rPr>
          <w:rFonts w:ascii="Times New Roman" w:hAnsi="Times New Roman" w:cs="Times New Roman"/>
          <w:sz w:val="24"/>
          <w:szCs w:val="24"/>
        </w:rPr>
        <w:t xml:space="preserve"> Kumar, Prateek</w:t>
      </w:r>
      <w:r w:rsidR="005D3F9D">
        <w:rPr>
          <w:rFonts w:ascii="Times New Roman" w:hAnsi="Times New Roman" w:cs="Times New Roman"/>
          <w:sz w:val="24"/>
          <w:szCs w:val="24"/>
        </w:rPr>
        <w:t>;</w:t>
      </w:r>
      <w:r w:rsidR="00B42D7B">
        <w:rPr>
          <w:rFonts w:ascii="Times New Roman" w:hAnsi="Times New Roman" w:cs="Times New Roman"/>
          <w:sz w:val="24"/>
          <w:szCs w:val="24"/>
        </w:rPr>
        <w:t xml:space="preserve"> </w:t>
      </w:r>
      <w:r w:rsidR="00105CF7">
        <w:rPr>
          <w:rFonts w:ascii="Times New Roman" w:hAnsi="Times New Roman" w:cs="Times New Roman"/>
          <w:sz w:val="24"/>
          <w:szCs w:val="24"/>
        </w:rPr>
        <w:t>and</w:t>
      </w:r>
      <w:r w:rsidRPr="002A4B09">
        <w:rPr>
          <w:rFonts w:ascii="Times New Roman" w:hAnsi="Times New Roman" w:cs="Times New Roman"/>
          <w:sz w:val="24"/>
          <w:szCs w:val="24"/>
        </w:rPr>
        <w:t xml:space="preserve"> Shakya, Ankit. 2023. Ascertain the Farmers and Traders’ Willingness to Participate in E-National Agriculture Market (eNAM): Binary Logistic Regression Analysis. </w:t>
      </w:r>
      <w:r w:rsidRPr="005D3F9D">
        <w:rPr>
          <w:rFonts w:ascii="Times New Roman" w:hAnsi="Times New Roman" w:cs="Times New Roman"/>
          <w:i/>
          <w:iCs/>
          <w:sz w:val="24"/>
          <w:szCs w:val="24"/>
        </w:rPr>
        <w:t>International Journal of Environment and Climate Change</w:t>
      </w:r>
      <w:r w:rsidR="00B42D7B">
        <w:rPr>
          <w:rFonts w:ascii="Times New Roman" w:hAnsi="Times New Roman" w:cs="Times New Roman"/>
          <w:sz w:val="24"/>
          <w:szCs w:val="24"/>
        </w:rPr>
        <w:t>,</w:t>
      </w:r>
      <w:r w:rsidRPr="002A4B09">
        <w:rPr>
          <w:rFonts w:ascii="Times New Roman" w:hAnsi="Times New Roman" w:cs="Times New Roman"/>
          <w:sz w:val="24"/>
          <w:szCs w:val="24"/>
        </w:rPr>
        <w:t xml:space="preserve"> 13</w:t>
      </w:r>
      <w:r w:rsidR="005D3F9D">
        <w:rPr>
          <w:rFonts w:ascii="Times New Roman" w:hAnsi="Times New Roman" w:cs="Times New Roman"/>
          <w:sz w:val="24"/>
          <w:szCs w:val="24"/>
        </w:rPr>
        <w:t>:</w:t>
      </w:r>
      <w:r w:rsidRPr="002A4B09">
        <w:rPr>
          <w:rFonts w:ascii="Times New Roman" w:hAnsi="Times New Roman" w:cs="Times New Roman"/>
          <w:sz w:val="24"/>
          <w:szCs w:val="24"/>
        </w:rPr>
        <w:t xml:space="preserve"> 1961-1968.</w:t>
      </w:r>
    </w:p>
    <w:p w14:paraId="7A22358E" w14:textId="5EC08E90"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lastRenderedPageBreak/>
        <w:t>Gautam, Y.</w:t>
      </w:r>
      <w:r w:rsidR="00B42D7B">
        <w:rPr>
          <w:rFonts w:ascii="Times New Roman" w:hAnsi="Times New Roman" w:cs="Times New Roman"/>
          <w:sz w:val="24"/>
          <w:szCs w:val="24"/>
        </w:rPr>
        <w:t>;</w:t>
      </w:r>
      <w:r w:rsidRPr="005B0DD5">
        <w:rPr>
          <w:rFonts w:ascii="Times New Roman" w:hAnsi="Times New Roman" w:cs="Times New Roman"/>
          <w:sz w:val="24"/>
          <w:szCs w:val="24"/>
        </w:rPr>
        <w:t xml:space="preserve"> Singh, O. P.</w:t>
      </w:r>
      <w:r w:rsidR="00B42D7B">
        <w:rPr>
          <w:rFonts w:ascii="Times New Roman" w:hAnsi="Times New Roman" w:cs="Times New Roman"/>
          <w:sz w:val="24"/>
          <w:szCs w:val="24"/>
        </w:rPr>
        <w:t>;</w:t>
      </w:r>
      <w:r w:rsidRPr="005B0DD5">
        <w:rPr>
          <w:rFonts w:ascii="Times New Roman" w:hAnsi="Times New Roman" w:cs="Times New Roman"/>
          <w:sz w:val="24"/>
          <w:szCs w:val="24"/>
        </w:rPr>
        <w:t xml:space="preserve"> </w:t>
      </w:r>
      <w:r w:rsidR="00105CF7">
        <w:rPr>
          <w:rFonts w:ascii="Times New Roman" w:hAnsi="Times New Roman" w:cs="Times New Roman"/>
          <w:sz w:val="24"/>
          <w:szCs w:val="24"/>
        </w:rPr>
        <w:t>and</w:t>
      </w:r>
      <w:r w:rsidRPr="005B0DD5">
        <w:rPr>
          <w:rFonts w:ascii="Times New Roman" w:hAnsi="Times New Roman" w:cs="Times New Roman"/>
          <w:sz w:val="24"/>
          <w:szCs w:val="24"/>
        </w:rPr>
        <w:t xml:space="preserve"> Singh, P. K. 2020. Growth and feasibility of solar irrigation pump in Rajasthan, India: An economic perspective. </w:t>
      </w:r>
      <w:r w:rsidRPr="005B0DD5">
        <w:rPr>
          <w:rFonts w:ascii="Times New Roman" w:hAnsi="Times New Roman" w:cs="Times New Roman"/>
          <w:i/>
          <w:iCs/>
          <w:sz w:val="24"/>
          <w:szCs w:val="24"/>
        </w:rPr>
        <w:t>International Journal of Agriculture, Environment and Biotechnology</w:t>
      </w:r>
      <w:r w:rsidRPr="005B0DD5">
        <w:rPr>
          <w:rFonts w:ascii="Times New Roman" w:hAnsi="Times New Roman" w:cs="Times New Roman"/>
          <w:sz w:val="24"/>
          <w:szCs w:val="24"/>
        </w:rPr>
        <w:t>, </w:t>
      </w:r>
      <w:r w:rsidRPr="00105CF7">
        <w:rPr>
          <w:rFonts w:ascii="Times New Roman" w:hAnsi="Times New Roman" w:cs="Times New Roman"/>
          <w:sz w:val="24"/>
          <w:szCs w:val="24"/>
        </w:rPr>
        <w:t>13(4)</w:t>
      </w:r>
      <w:r w:rsidR="00105CF7">
        <w:rPr>
          <w:rFonts w:ascii="Times New Roman" w:hAnsi="Times New Roman" w:cs="Times New Roman"/>
          <w:sz w:val="24"/>
          <w:szCs w:val="24"/>
        </w:rPr>
        <w:t>:</w:t>
      </w:r>
      <w:r w:rsidRPr="005B0DD5">
        <w:rPr>
          <w:rFonts w:ascii="Times New Roman" w:hAnsi="Times New Roman" w:cs="Times New Roman"/>
          <w:sz w:val="24"/>
          <w:szCs w:val="24"/>
        </w:rPr>
        <w:t xml:space="preserve"> 461-467.</w:t>
      </w:r>
    </w:p>
    <w:p w14:paraId="0D6D7862" w14:textId="0B780C2A"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Guno, C. S.</w:t>
      </w:r>
      <w:r w:rsidR="00105CF7">
        <w:rPr>
          <w:rFonts w:ascii="Times New Roman" w:hAnsi="Times New Roman" w:cs="Times New Roman"/>
          <w:sz w:val="24"/>
          <w:szCs w:val="24"/>
        </w:rPr>
        <w:t>;</w:t>
      </w:r>
      <w:r w:rsidRPr="005B0DD5">
        <w:rPr>
          <w:rFonts w:ascii="Times New Roman" w:hAnsi="Times New Roman" w:cs="Times New Roman"/>
          <w:sz w:val="24"/>
          <w:szCs w:val="24"/>
        </w:rPr>
        <w:t xml:space="preserve"> </w:t>
      </w:r>
      <w:r w:rsidR="00105CF7">
        <w:rPr>
          <w:rFonts w:ascii="Times New Roman" w:hAnsi="Times New Roman" w:cs="Times New Roman"/>
          <w:sz w:val="24"/>
          <w:szCs w:val="24"/>
        </w:rPr>
        <w:t>and</w:t>
      </w:r>
      <w:r w:rsidRPr="005B0DD5">
        <w:rPr>
          <w:rFonts w:ascii="Times New Roman" w:hAnsi="Times New Roman" w:cs="Times New Roman"/>
          <w:sz w:val="24"/>
          <w:szCs w:val="24"/>
        </w:rPr>
        <w:t xml:space="preserve"> Agaton, C. B. 2022. Socio-Economic and Environmental Analyses of Solar Irrigation Systems for Sustainable Agricultural Production. </w:t>
      </w:r>
      <w:r w:rsidRPr="005B0DD5">
        <w:rPr>
          <w:rFonts w:ascii="Times New Roman" w:hAnsi="Times New Roman" w:cs="Times New Roman"/>
          <w:i/>
          <w:iCs/>
          <w:sz w:val="24"/>
          <w:szCs w:val="24"/>
        </w:rPr>
        <w:t>Sustainability</w:t>
      </w:r>
      <w:r w:rsidRPr="005B0DD5">
        <w:rPr>
          <w:rFonts w:ascii="Times New Roman" w:hAnsi="Times New Roman" w:cs="Times New Roman"/>
          <w:sz w:val="24"/>
          <w:szCs w:val="24"/>
        </w:rPr>
        <w:t>, </w:t>
      </w:r>
      <w:r w:rsidRPr="00D91C91">
        <w:rPr>
          <w:rFonts w:ascii="Times New Roman" w:hAnsi="Times New Roman" w:cs="Times New Roman"/>
          <w:sz w:val="24"/>
          <w:szCs w:val="24"/>
        </w:rPr>
        <w:t>14(11)</w:t>
      </w:r>
      <w:r w:rsidR="00D91C91">
        <w:rPr>
          <w:rFonts w:ascii="Times New Roman" w:hAnsi="Times New Roman" w:cs="Times New Roman"/>
          <w:sz w:val="24"/>
          <w:szCs w:val="24"/>
        </w:rPr>
        <w:t>:</w:t>
      </w:r>
      <w:r w:rsidRPr="005B0DD5">
        <w:rPr>
          <w:rFonts w:ascii="Times New Roman" w:hAnsi="Times New Roman" w:cs="Times New Roman"/>
          <w:sz w:val="24"/>
          <w:szCs w:val="24"/>
        </w:rPr>
        <w:t xml:space="preserve"> 6834.</w:t>
      </w:r>
    </w:p>
    <w:p w14:paraId="3BAFFB61" w14:textId="1AF176E8" w:rsidR="00081023" w:rsidRPr="005B0DD5" w:rsidRDefault="00081023" w:rsidP="00A646E0">
      <w:pPr>
        <w:numPr>
          <w:ilvl w:val="0"/>
          <w:numId w:val="6"/>
        </w:numPr>
        <w:spacing w:line="360" w:lineRule="auto"/>
        <w:jc w:val="both"/>
        <w:rPr>
          <w:rFonts w:ascii="Times New Roman" w:hAnsi="Times New Roman" w:cs="Times New Roman"/>
          <w:b/>
          <w:bCs/>
          <w:sz w:val="24"/>
          <w:szCs w:val="24"/>
        </w:rPr>
      </w:pPr>
      <w:r w:rsidRPr="005B0DD5">
        <w:rPr>
          <w:rFonts w:ascii="Times New Roman" w:hAnsi="Times New Roman" w:cs="Times New Roman"/>
          <w:sz w:val="24"/>
          <w:szCs w:val="24"/>
        </w:rPr>
        <w:t>Haque, M. M.</w:t>
      </w:r>
      <w:r w:rsidR="00D91C91">
        <w:rPr>
          <w:rFonts w:ascii="Times New Roman" w:hAnsi="Times New Roman" w:cs="Times New Roman"/>
          <w:sz w:val="24"/>
          <w:szCs w:val="24"/>
        </w:rPr>
        <w:t>;</w:t>
      </w:r>
      <w:r w:rsidRPr="005B0DD5">
        <w:rPr>
          <w:rFonts w:ascii="Times New Roman" w:hAnsi="Times New Roman" w:cs="Times New Roman"/>
          <w:sz w:val="24"/>
          <w:szCs w:val="24"/>
        </w:rPr>
        <w:t xml:space="preserve"> Hossain, M. E.</w:t>
      </w:r>
      <w:r w:rsidR="00D91C91">
        <w:rPr>
          <w:rFonts w:ascii="Times New Roman" w:hAnsi="Times New Roman" w:cs="Times New Roman"/>
          <w:sz w:val="24"/>
          <w:szCs w:val="24"/>
        </w:rPr>
        <w:t>;</w:t>
      </w:r>
      <w:r w:rsidRPr="005B0DD5">
        <w:rPr>
          <w:rFonts w:ascii="Times New Roman" w:hAnsi="Times New Roman" w:cs="Times New Roman"/>
          <w:sz w:val="24"/>
          <w:szCs w:val="24"/>
        </w:rPr>
        <w:t xml:space="preserve"> Shafiuzzaman, S. M.</w:t>
      </w:r>
      <w:r w:rsidR="00D91C91">
        <w:rPr>
          <w:rFonts w:ascii="Times New Roman" w:hAnsi="Times New Roman" w:cs="Times New Roman"/>
          <w:sz w:val="24"/>
          <w:szCs w:val="24"/>
        </w:rPr>
        <w:t>;</w:t>
      </w:r>
      <w:r w:rsidRPr="005B0DD5">
        <w:rPr>
          <w:rFonts w:ascii="Times New Roman" w:hAnsi="Times New Roman" w:cs="Times New Roman"/>
          <w:sz w:val="24"/>
          <w:szCs w:val="24"/>
        </w:rPr>
        <w:t xml:space="preserve"> </w:t>
      </w:r>
      <w:r w:rsidR="00D91C91">
        <w:rPr>
          <w:rFonts w:ascii="Times New Roman" w:hAnsi="Times New Roman" w:cs="Times New Roman"/>
          <w:sz w:val="24"/>
          <w:szCs w:val="24"/>
        </w:rPr>
        <w:t>and</w:t>
      </w:r>
      <w:r w:rsidRPr="005B0DD5">
        <w:rPr>
          <w:rFonts w:ascii="Times New Roman" w:hAnsi="Times New Roman" w:cs="Times New Roman"/>
          <w:sz w:val="24"/>
          <w:szCs w:val="24"/>
        </w:rPr>
        <w:t xml:space="preserve"> Uddin, M. R. 2024. Economic Analysis and Demographic Determinants of Solar Energy for Agricultural Sustainability in North Region of Bangladesh. </w:t>
      </w:r>
      <w:r w:rsidRPr="005B0DD5">
        <w:rPr>
          <w:rFonts w:ascii="Times New Roman" w:hAnsi="Times New Roman" w:cs="Times New Roman"/>
          <w:i/>
          <w:iCs/>
          <w:sz w:val="24"/>
          <w:szCs w:val="24"/>
        </w:rPr>
        <w:t>International Journal of Advanced Multidisciplinary Research and Studies</w:t>
      </w:r>
      <w:r w:rsidR="00F405B1">
        <w:rPr>
          <w:rFonts w:ascii="Times New Roman" w:hAnsi="Times New Roman" w:cs="Times New Roman"/>
          <w:i/>
          <w:iCs/>
          <w:sz w:val="24"/>
          <w:szCs w:val="24"/>
        </w:rPr>
        <w:t>.</w:t>
      </w:r>
      <w:r w:rsidRPr="00F405B1">
        <w:rPr>
          <w:rFonts w:ascii="Times New Roman" w:hAnsi="Times New Roman" w:cs="Times New Roman"/>
          <w:sz w:val="24"/>
          <w:szCs w:val="24"/>
        </w:rPr>
        <w:t xml:space="preserve"> 4(5)</w:t>
      </w:r>
      <w:r w:rsidR="00F405B1">
        <w:rPr>
          <w:rFonts w:ascii="Times New Roman" w:hAnsi="Times New Roman" w:cs="Times New Roman"/>
          <w:sz w:val="24"/>
          <w:szCs w:val="24"/>
        </w:rPr>
        <w:t>:</w:t>
      </w:r>
      <w:r w:rsidRPr="005B0DD5">
        <w:rPr>
          <w:rFonts w:ascii="Times New Roman" w:hAnsi="Times New Roman" w:cs="Times New Roman"/>
          <w:sz w:val="24"/>
          <w:szCs w:val="24"/>
        </w:rPr>
        <w:t xml:space="preserve"> 532-536</w:t>
      </w:r>
      <w:r w:rsidRPr="005B0DD5">
        <w:rPr>
          <w:rFonts w:ascii="Times New Roman" w:hAnsi="Times New Roman" w:cs="Times New Roman"/>
          <w:b/>
          <w:bCs/>
          <w:sz w:val="24"/>
          <w:szCs w:val="24"/>
        </w:rPr>
        <w:t>.</w:t>
      </w:r>
    </w:p>
    <w:p w14:paraId="694B7F6B" w14:textId="77777777" w:rsidR="00081023" w:rsidRDefault="00081023" w:rsidP="00A646E0">
      <w:pPr>
        <w:numPr>
          <w:ilvl w:val="0"/>
          <w:numId w:val="6"/>
        </w:numPr>
        <w:spacing w:line="360" w:lineRule="auto"/>
        <w:jc w:val="both"/>
        <w:rPr>
          <w:rFonts w:ascii="Times New Roman" w:hAnsi="Times New Roman" w:cs="Times New Roman"/>
          <w:sz w:val="24"/>
          <w:szCs w:val="24"/>
        </w:rPr>
      </w:pPr>
      <w:r w:rsidRPr="00A72F83">
        <w:rPr>
          <w:rFonts w:ascii="Times New Roman" w:hAnsi="Times New Roman" w:cs="Times New Roman"/>
          <w:sz w:val="24"/>
          <w:szCs w:val="24"/>
        </w:rPr>
        <w:t>IRENA (2024). </w:t>
      </w:r>
      <w:r w:rsidRPr="00A72F83">
        <w:rPr>
          <w:rFonts w:ascii="Times New Roman" w:hAnsi="Times New Roman" w:cs="Times New Roman"/>
          <w:i/>
          <w:iCs/>
          <w:sz w:val="24"/>
          <w:szCs w:val="24"/>
        </w:rPr>
        <w:t>Renewable energy statistics 2024</w:t>
      </w:r>
      <w:r w:rsidRPr="00A72F83">
        <w:rPr>
          <w:rFonts w:ascii="Times New Roman" w:hAnsi="Times New Roman" w:cs="Times New Roman"/>
          <w:sz w:val="24"/>
          <w:szCs w:val="24"/>
        </w:rPr>
        <w:t>. International Renewable Energy Agency, Abu Dhabi.</w:t>
      </w:r>
    </w:p>
    <w:p w14:paraId="6E07BE3D" w14:textId="257E89B5" w:rsidR="00CF38BF" w:rsidRDefault="000B063A" w:rsidP="00A646E0">
      <w:pPr>
        <w:numPr>
          <w:ilvl w:val="0"/>
          <w:numId w:val="6"/>
        </w:numPr>
        <w:spacing w:line="360" w:lineRule="auto"/>
        <w:jc w:val="both"/>
        <w:rPr>
          <w:rFonts w:ascii="Times New Roman" w:hAnsi="Times New Roman" w:cs="Times New Roman"/>
          <w:sz w:val="24"/>
          <w:szCs w:val="24"/>
        </w:rPr>
      </w:pPr>
      <w:r w:rsidRPr="000B063A">
        <w:rPr>
          <w:rFonts w:ascii="Times New Roman" w:hAnsi="Times New Roman" w:cs="Times New Roman"/>
          <w:sz w:val="24"/>
          <w:szCs w:val="24"/>
        </w:rPr>
        <w:t>Kumar, Vijay &amp; Thakur, Dr. (2024). Challenges in accessing agricultural credit among tribal and non-tribal communities in Chamba, Himachal Pradesh.</w:t>
      </w:r>
      <w:r w:rsidR="007A5E0F">
        <w:rPr>
          <w:rFonts w:ascii="Times New Roman" w:hAnsi="Times New Roman" w:cs="Times New Roman"/>
          <w:sz w:val="24"/>
          <w:szCs w:val="24"/>
        </w:rPr>
        <w:t xml:space="preserve"> </w:t>
      </w:r>
      <w:r w:rsidR="007A5E0F" w:rsidRPr="008C7F19">
        <w:rPr>
          <w:rFonts w:ascii="Times New Roman" w:hAnsi="Times New Roman" w:cs="Times New Roman"/>
          <w:i/>
          <w:iCs/>
          <w:sz w:val="24"/>
          <w:szCs w:val="24"/>
        </w:rPr>
        <w:t>Journal of Experimental Agriculture International</w:t>
      </w:r>
      <w:r w:rsidR="008C7F19">
        <w:rPr>
          <w:rFonts w:ascii="Times New Roman" w:hAnsi="Times New Roman" w:cs="Times New Roman"/>
          <w:i/>
          <w:iCs/>
          <w:sz w:val="24"/>
          <w:szCs w:val="24"/>
        </w:rPr>
        <w:t>,</w:t>
      </w:r>
      <w:r w:rsidRPr="000B063A">
        <w:rPr>
          <w:rFonts w:ascii="Times New Roman" w:hAnsi="Times New Roman" w:cs="Times New Roman"/>
          <w:sz w:val="24"/>
          <w:szCs w:val="24"/>
        </w:rPr>
        <w:t xml:space="preserve"> 12</w:t>
      </w:r>
      <w:r w:rsidR="008C7F19">
        <w:rPr>
          <w:rFonts w:ascii="Times New Roman" w:hAnsi="Times New Roman" w:cs="Times New Roman"/>
          <w:sz w:val="24"/>
          <w:szCs w:val="24"/>
        </w:rPr>
        <w:t>:</w:t>
      </w:r>
      <w:r w:rsidRPr="000B063A">
        <w:rPr>
          <w:rFonts w:ascii="Times New Roman" w:hAnsi="Times New Roman" w:cs="Times New Roman"/>
          <w:sz w:val="24"/>
          <w:szCs w:val="24"/>
        </w:rPr>
        <w:t xml:space="preserve"> 136-157. </w:t>
      </w:r>
    </w:p>
    <w:p w14:paraId="6B7203CD" w14:textId="5212FF59"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Meena, N. K.</w:t>
      </w:r>
      <w:r w:rsidR="008C7F19">
        <w:rPr>
          <w:rFonts w:ascii="Times New Roman" w:hAnsi="Times New Roman" w:cs="Times New Roman"/>
          <w:sz w:val="24"/>
          <w:szCs w:val="24"/>
        </w:rPr>
        <w:t>;</w:t>
      </w:r>
      <w:r w:rsidRPr="005B0DD5">
        <w:rPr>
          <w:rFonts w:ascii="Times New Roman" w:hAnsi="Times New Roman" w:cs="Times New Roman"/>
          <w:sz w:val="24"/>
          <w:szCs w:val="24"/>
        </w:rPr>
        <w:t xml:space="preserve"> Singh, R.</w:t>
      </w:r>
      <w:r w:rsidR="008C7F19">
        <w:rPr>
          <w:rFonts w:ascii="Times New Roman" w:hAnsi="Times New Roman" w:cs="Times New Roman"/>
          <w:sz w:val="24"/>
          <w:szCs w:val="24"/>
        </w:rPr>
        <w:t>;</w:t>
      </w:r>
      <w:r w:rsidRPr="005B0DD5">
        <w:rPr>
          <w:rFonts w:ascii="Times New Roman" w:hAnsi="Times New Roman" w:cs="Times New Roman"/>
          <w:sz w:val="24"/>
          <w:szCs w:val="24"/>
        </w:rPr>
        <w:t xml:space="preserve"> </w:t>
      </w:r>
      <w:r w:rsidR="008C7F19">
        <w:rPr>
          <w:rFonts w:ascii="Times New Roman" w:hAnsi="Times New Roman" w:cs="Times New Roman"/>
          <w:sz w:val="24"/>
          <w:szCs w:val="24"/>
        </w:rPr>
        <w:t>and</w:t>
      </w:r>
      <w:r w:rsidRPr="005B0DD5">
        <w:rPr>
          <w:rFonts w:ascii="Times New Roman" w:hAnsi="Times New Roman" w:cs="Times New Roman"/>
          <w:sz w:val="24"/>
          <w:szCs w:val="24"/>
        </w:rPr>
        <w:t xml:space="preserve"> Feroze, S. M. 2021. Solar and electric irrigation system in kinnow orchard of Rajasthan: Comparative evaluation. </w:t>
      </w:r>
      <w:r w:rsidRPr="005B0DD5">
        <w:rPr>
          <w:rFonts w:ascii="Times New Roman" w:hAnsi="Times New Roman" w:cs="Times New Roman"/>
          <w:i/>
          <w:iCs/>
          <w:sz w:val="24"/>
          <w:szCs w:val="24"/>
        </w:rPr>
        <w:t>The Indian Journal of Agricultural Sciences</w:t>
      </w:r>
      <w:r w:rsidRPr="005B0DD5">
        <w:rPr>
          <w:rFonts w:ascii="Times New Roman" w:hAnsi="Times New Roman" w:cs="Times New Roman"/>
          <w:sz w:val="24"/>
          <w:szCs w:val="24"/>
        </w:rPr>
        <w:t>, </w:t>
      </w:r>
      <w:r w:rsidRPr="008C7F19">
        <w:rPr>
          <w:rFonts w:ascii="Times New Roman" w:hAnsi="Times New Roman" w:cs="Times New Roman"/>
          <w:sz w:val="24"/>
          <w:szCs w:val="24"/>
        </w:rPr>
        <w:t>91(9)</w:t>
      </w:r>
      <w:r w:rsidR="008C7F19">
        <w:rPr>
          <w:rFonts w:ascii="Times New Roman" w:hAnsi="Times New Roman" w:cs="Times New Roman"/>
          <w:sz w:val="24"/>
          <w:szCs w:val="24"/>
        </w:rPr>
        <w:t>:</w:t>
      </w:r>
      <w:r w:rsidRPr="005B0DD5">
        <w:rPr>
          <w:rFonts w:ascii="Times New Roman" w:hAnsi="Times New Roman" w:cs="Times New Roman"/>
          <w:sz w:val="24"/>
          <w:szCs w:val="24"/>
        </w:rPr>
        <w:t xml:space="preserve"> 1388-1390.</w:t>
      </w:r>
    </w:p>
    <w:p w14:paraId="78CB22DE" w14:textId="77777777" w:rsidR="00F62C18" w:rsidRPr="00F62C18" w:rsidRDefault="0018182C" w:rsidP="00A646E0">
      <w:pPr>
        <w:numPr>
          <w:ilvl w:val="0"/>
          <w:numId w:val="6"/>
        </w:numPr>
        <w:spacing w:line="360" w:lineRule="auto"/>
        <w:jc w:val="both"/>
        <w:rPr>
          <w:rFonts w:ascii="Times New Roman" w:hAnsi="Times New Roman" w:cs="Times New Roman"/>
          <w:sz w:val="24"/>
          <w:szCs w:val="24"/>
        </w:rPr>
      </w:pPr>
      <w:hyperlink r:id="rId8" w:history="1">
        <w:r w:rsidR="00F62C18" w:rsidRPr="00DF13D9">
          <w:rPr>
            <w:rStyle w:val="Hyperlink"/>
            <w:rFonts w:ascii="Times New Roman" w:hAnsi="Times New Roman" w:cs="Times New Roman"/>
            <w:color w:val="auto"/>
            <w:sz w:val="24"/>
            <w:szCs w:val="24"/>
            <w:u w:val="none"/>
          </w:rPr>
          <w:t>www.indiabudget.gov.in</w:t>
        </w:r>
      </w:hyperlink>
      <w:r w:rsidR="00F62C18">
        <w:rPr>
          <w:rFonts w:ascii="Times New Roman" w:hAnsi="Times New Roman" w:cs="Times New Roman"/>
          <w:sz w:val="24"/>
          <w:szCs w:val="24"/>
        </w:rPr>
        <w:t xml:space="preserve">. </w:t>
      </w:r>
      <w:r w:rsidR="00081023" w:rsidRPr="004B7C11">
        <w:rPr>
          <w:rFonts w:ascii="Times New Roman" w:hAnsi="Times New Roman" w:cs="Times New Roman"/>
          <w:sz w:val="24"/>
          <w:szCs w:val="24"/>
        </w:rPr>
        <w:t>Ministry of Finance, Government of India. 2025. </w:t>
      </w:r>
      <w:r w:rsidR="00081023" w:rsidRPr="00F62C18">
        <w:rPr>
          <w:rFonts w:ascii="Times New Roman" w:hAnsi="Times New Roman" w:cs="Times New Roman"/>
          <w:sz w:val="24"/>
          <w:szCs w:val="24"/>
        </w:rPr>
        <w:t xml:space="preserve">Economic Survey 2024-25. </w:t>
      </w:r>
    </w:p>
    <w:p w14:paraId="38DB2239" w14:textId="147FA5E9" w:rsidR="00081023" w:rsidRPr="00F62C18" w:rsidRDefault="00DF13D9" w:rsidP="00A646E0">
      <w:pPr>
        <w:numPr>
          <w:ilvl w:val="0"/>
          <w:numId w:val="6"/>
        </w:numPr>
        <w:spacing w:line="360" w:lineRule="auto"/>
        <w:jc w:val="both"/>
        <w:rPr>
          <w:rFonts w:ascii="Times New Roman" w:hAnsi="Times New Roman" w:cs="Times New Roman"/>
          <w:sz w:val="24"/>
          <w:szCs w:val="24"/>
        </w:rPr>
      </w:pPr>
      <w:r w:rsidRPr="0011603C">
        <w:rPr>
          <w:rFonts w:ascii="Times New Roman" w:hAnsi="Times New Roman" w:cs="Times New Roman"/>
          <w:sz w:val="24"/>
          <w:szCs w:val="24"/>
          <w:highlight w:val="red"/>
        </w:rPr>
        <w:t>www.</w:t>
      </w:r>
      <w:r w:rsidR="00F62C18" w:rsidRPr="0011603C">
        <w:rPr>
          <w:rFonts w:ascii="Times New Roman" w:hAnsi="Times New Roman" w:cs="Times New Roman"/>
          <w:sz w:val="24"/>
          <w:szCs w:val="24"/>
          <w:highlight w:val="red"/>
        </w:rPr>
        <w:t xml:space="preserve">mnre.gov.in. </w:t>
      </w:r>
      <w:r w:rsidR="00081023" w:rsidRPr="0011603C">
        <w:rPr>
          <w:rFonts w:ascii="Times New Roman" w:hAnsi="Times New Roman" w:cs="Times New Roman"/>
          <w:sz w:val="24"/>
          <w:szCs w:val="24"/>
          <w:highlight w:val="red"/>
        </w:rPr>
        <w:t>Ministry of New and Renewable Energy (MNRE). 2025. Pradhan Mantri Kisan Urja Suraksha evam Utthaan Mahabhiyan</w:t>
      </w:r>
      <w:r w:rsidR="00081023" w:rsidRPr="00F62C18">
        <w:rPr>
          <w:rFonts w:ascii="Times New Roman" w:hAnsi="Times New Roman" w:cs="Times New Roman"/>
          <w:sz w:val="24"/>
          <w:szCs w:val="24"/>
        </w:rPr>
        <w:t>.</w:t>
      </w:r>
    </w:p>
    <w:p w14:paraId="48F0B1C1" w14:textId="37A62C8F" w:rsidR="00DF13D9" w:rsidRPr="0011603C" w:rsidRDefault="00DF13D9" w:rsidP="00A646E0">
      <w:pPr>
        <w:numPr>
          <w:ilvl w:val="0"/>
          <w:numId w:val="6"/>
        </w:numPr>
        <w:spacing w:line="360" w:lineRule="auto"/>
        <w:jc w:val="both"/>
        <w:rPr>
          <w:rFonts w:ascii="Times New Roman" w:hAnsi="Times New Roman" w:cs="Times New Roman"/>
          <w:sz w:val="24"/>
          <w:szCs w:val="24"/>
          <w:highlight w:val="red"/>
        </w:rPr>
      </w:pPr>
      <w:r w:rsidRPr="0011603C">
        <w:rPr>
          <w:rFonts w:ascii="Times New Roman" w:hAnsi="Times New Roman" w:cs="Times New Roman"/>
          <w:sz w:val="24"/>
          <w:szCs w:val="24"/>
          <w:highlight w:val="red"/>
        </w:rPr>
        <w:t xml:space="preserve">www.mnre.gov.in. </w:t>
      </w:r>
      <w:r w:rsidR="00081023" w:rsidRPr="0011603C">
        <w:rPr>
          <w:rFonts w:ascii="Times New Roman" w:hAnsi="Times New Roman" w:cs="Times New Roman"/>
          <w:sz w:val="24"/>
          <w:szCs w:val="24"/>
          <w:highlight w:val="red"/>
        </w:rPr>
        <w:t xml:space="preserve">MNRE. 2019. Annual report, Ministry of New and </w:t>
      </w:r>
      <w:r w:rsidR="00721BA2" w:rsidRPr="0011603C">
        <w:rPr>
          <w:rFonts w:ascii="Times New Roman" w:hAnsi="Times New Roman" w:cs="Times New Roman"/>
          <w:sz w:val="24"/>
          <w:szCs w:val="24"/>
          <w:highlight w:val="red"/>
        </w:rPr>
        <w:t>Renewable</w:t>
      </w:r>
      <w:r w:rsidR="00081023" w:rsidRPr="0011603C">
        <w:rPr>
          <w:rFonts w:ascii="Times New Roman" w:hAnsi="Times New Roman" w:cs="Times New Roman"/>
          <w:sz w:val="24"/>
          <w:szCs w:val="24"/>
          <w:highlight w:val="red"/>
        </w:rPr>
        <w:t xml:space="preserve"> Energy, Government of India. </w:t>
      </w:r>
      <w:bookmarkStart w:id="2" w:name="_Hlk194441006"/>
    </w:p>
    <w:p w14:paraId="66600FA1" w14:textId="54E3628E" w:rsidR="00081023" w:rsidRDefault="00081023" w:rsidP="00A646E0">
      <w:pPr>
        <w:numPr>
          <w:ilvl w:val="0"/>
          <w:numId w:val="6"/>
        </w:numPr>
        <w:spacing w:line="360" w:lineRule="auto"/>
        <w:jc w:val="both"/>
        <w:rPr>
          <w:rFonts w:ascii="Times New Roman" w:hAnsi="Times New Roman" w:cs="Times New Roman"/>
          <w:sz w:val="24"/>
          <w:szCs w:val="24"/>
        </w:rPr>
      </w:pPr>
      <w:r w:rsidRPr="003C3107">
        <w:rPr>
          <w:rFonts w:ascii="Times New Roman" w:hAnsi="Times New Roman" w:cs="Times New Roman"/>
          <w:sz w:val="24"/>
          <w:szCs w:val="24"/>
        </w:rPr>
        <w:t>Nair, Sreeja</w:t>
      </w:r>
      <w:proofErr w:type="gramStart"/>
      <w:r w:rsidR="0074231D">
        <w:rPr>
          <w:rFonts w:ascii="Times New Roman" w:hAnsi="Times New Roman" w:cs="Times New Roman"/>
          <w:sz w:val="24"/>
          <w:szCs w:val="24"/>
        </w:rPr>
        <w:t xml:space="preserve">; </w:t>
      </w:r>
      <w:r w:rsidRPr="003C3107">
        <w:rPr>
          <w:rFonts w:ascii="Times New Roman" w:hAnsi="Times New Roman" w:cs="Times New Roman"/>
          <w:sz w:val="24"/>
          <w:szCs w:val="24"/>
        </w:rPr>
        <w:t xml:space="preserve"> Anjali</w:t>
      </w:r>
      <w:proofErr w:type="gramEnd"/>
      <w:r w:rsidRPr="003C3107">
        <w:rPr>
          <w:rFonts w:ascii="Times New Roman" w:hAnsi="Times New Roman" w:cs="Times New Roman"/>
          <w:sz w:val="24"/>
          <w:szCs w:val="24"/>
        </w:rPr>
        <w:t>, Singh</w:t>
      </w:r>
      <w:r w:rsidR="0074231D">
        <w:rPr>
          <w:rFonts w:ascii="Times New Roman" w:hAnsi="Times New Roman" w:cs="Times New Roman"/>
          <w:sz w:val="24"/>
          <w:szCs w:val="24"/>
        </w:rPr>
        <w:t>;</w:t>
      </w:r>
      <w:r w:rsidRPr="003C3107">
        <w:rPr>
          <w:rFonts w:ascii="Times New Roman" w:hAnsi="Times New Roman" w:cs="Times New Roman"/>
          <w:sz w:val="24"/>
          <w:szCs w:val="24"/>
        </w:rPr>
        <w:t xml:space="preserve"> </w:t>
      </w:r>
      <w:r w:rsidR="0074231D">
        <w:rPr>
          <w:rFonts w:ascii="Times New Roman" w:hAnsi="Times New Roman" w:cs="Times New Roman"/>
          <w:sz w:val="24"/>
          <w:szCs w:val="24"/>
        </w:rPr>
        <w:t>and</w:t>
      </w:r>
      <w:r w:rsidRPr="003C3107">
        <w:rPr>
          <w:rFonts w:ascii="Times New Roman" w:hAnsi="Times New Roman" w:cs="Times New Roman"/>
          <w:sz w:val="24"/>
          <w:szCs w:val="24"/>
        </w:rPr>
        <w:t xml:space="preserve"> Gupta, Anil. 2013. </w:t>
      </w:r>
      <w:bookmarkEnd w:id="2"/>
      <w:r w:rsidRPr="003C3107">
        <w:rPr>
          <w:rFonts w:ascii="Times New Roman" w:hAnsi="Times New Roman" w:cs="Times New Roman"/>
          <w:sz w:val="24"/>
          <w:szCs w:val="24"/>
        </w:rPr>
        <w:t xml:space="preserve">Drought Risk and Vulnerability Analysis for Bundelkhand Region of India. </w:t>
      </w:r>
      <w:r w:rsidRPr="0074231D">
        <w:rPr>
          <w:rFonts w:ascii="Times New Roman" w:hAnsi="Times New Roman" w:cs="Times New Roman"/>
          <w:i/>
          <w:iCs/>
          <w:sz w:val="24"/>
          <w:szCs w:val="24"/>
        </w:rPr>
        <w:t>International Geoinformatics Research and Development Journal</w:t>
      </w:r>
      <w:r w:rsidR="0074231D">
        <w:rPr>
          <w:rFonts w:ascii="Times New Roman" w:hAnsi="Times New Roman" w:cs="Times New Roman"/>
          <w:i/>
          <w:iCs/>
          <w:sz w:val="24"/>
          <w:szCs w:val="24"/>
        </w:rPr>
        <w:t>,</w:t>
      </w:r>
      <w:r w:rsidRPr="003C3107">
        <w:rPr>
          <w:rFonts w:ascii="Times New Roman" w:hAnsi="Times New Roman" w:cs="Times New Roman"/>
          <w:sz w:val="24"/>
          <w:szCs w:val="24"/>
        </w:rPr>
        <w:t xml:space="preserve"> 4</w:t>
      </w:r>
      <w:r w:rsidR="0074231D">
        <w:rPr>
          <w:rFonts w:ascii="Times New Roman" w:hAnsi="Times New Roman" w:cs="Times New Roman"/>
          <w:sz w:val="24"/>
          <w:szCs w:val="24"/>
        </w:rPr>
        <w:t>:</w:t>
      </w:r>
      <w:r w:rsidRPr="003C3107">
        <w:rPr>
          <w:rFonts w:ascii="Times New Roman" w:hAnsi="Times New Roman" w:cs="Times New Roman"/>
          <w:sz w:val="24"/>
          <w:szCs w:val="24"/>
        </w:rPr>
        <w:t xml:space="preserve"> 1-19. </w:t>
      </w:r>
    </w:p>
    <w:p w14:paraId="0E447366" w14:textId="568CCC85"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Sathish Kumar, M.</w:t>
      </w:r>
      <w:r w:rsidR="0074231D">
        <w:rPr>
          <w:rFonts w:ascii="Times New Roman" w:hAnsi="Times New Roman" w:cs="Times New Roman"/>
          <w:sz w:val="24"/>
          <w:szCs w:val="24"/>
        </w:rPr>
        <w:t>;</w:t>
      </w:r>
      <w:r w:rsidRPr="005B0DD5">
        <w:rPr>
          <w:rFonts w:ascii="Times New Roman" w:hAnsi="Times New Roman" w:cs="Times New Roman"/>
          <w:sz w:val="24"/>
          <w:szCs w:val="24"/>
        </w:rPr>
        <w:t xml:space="preserve"> Lad, Y. A.</w:t>
      </w:r>
      <w:r w:rsidR="0074231D">
        <w:rPr>
          <w:rFonts w:ascii="Times New Roman" w:hAnsi="Times New Roman" w:cs="Times New Roman"/>
          <w:sz w:val="24"/>
          <w:szCs w:val="24"/>
        </w:rPr>
        <w:t>;</w:t>
      </w:r>
      <w:r w:rsidRPr="005B0DD5">
        <w:rPr>
          <w:rFonts w:ascii="Times New Roman" w:hAnsi="Times New Roman" w:cs="Times New Roman"/>
          <w:sz w:val="24"/>
          <w:szCs w:val="24"/>
        </w:rPr>
        <w:t xml:space="preserve"> </w:t>
      </w:r>
      <w:r w:rsidR="0074231D">
        <w:rPr>
          <w:rFonts w:ascii="Times New Roman" w:hAnsi="Times New Roman" w:cs="Times New Roman"/>
          <w:sz w:val="24"/>
          <w:szCs w:val="24"/>
        </w:rPr>
        <w:t>and</w:t>
      </w:r>
      <w:r w:rsidRPr="005B0DD5">
        <w:rPr>
          <w:rFonts w:ascii="Times New Roman" w:hAnsi="Times New Roman" w:cs="Times New Roman"/>
          <w:sz w:val="24"/>
          <w:szCs w:val="24"/>
        </w:rPr>
        <w:t xml:space="preserve"> Pundir, R. S. 2024. Factors influencing farmers’ adoption of solar water-pumping systems in Gujarat. </w:t>
      </w:r>
      <w:r w:rsidRPr="005B0DD5">
        <w:rPr>
          <w:rFonts w:ascii="Times New Roman" w:hAnsi="Times New Roman" w:cs="Times New Roman"/>
          <w:i/>
          <w:iCs/>
          <w:sz w:val="24"/>
          <w:szCs w:val="24"/>
        </w:rPr>
        <w:t>Clean Energy</w:t>
      </w:r>
      <w:r w:rsidRPr="005B0DD5">
        <w:rPr>
          <w:rFonts w:ascii="Times New Roman" w:hAnsi="Times New Roman" w:cs="Times New Roman"/>
          <w:sz w:val="24"/>
          <w:szCs w:val="24"/>
        </w:rPr>
        <w:t>, </w:t>
      </w:r>
      <w:r w:rsidRPr="0074231D">
        <w:rPr>
          <w:rFonts w:ascii="Times New Roman" w:hAnsi="Times New Roman" w:cs="Times New Roman"/>
          <w:sz w:val="24"/>
          <w:szCs w:val="24"/>
        </w:rPr>
        <w:t>8</w:t>
      </w:r>
      <w:r w:rsidRPr="005B0DD5">
        <w:rPr>
          <w:rFonts w:ascii="Times New Roman" w:hAnsi="Times New Roman" w:cs="Times New Roman"/>
          <w:sz w:val="24"/>
          <w:szCs w:val="24"/>
        </w:rPr>
        <w:t>(3)</w:t>
      </w:r>
      <w:r w:rsidR="0074231D">
        <w:rPr>
          <w:rFonts w:ascii="Times New Roman" w:hAnsi="Times New Roman" w:cs="Times New Roman"/>
          <w:sz w:val="24"/>
          <w:szCs w:val="24"/>
        </w:rPr>
        <w:t>:</w:t>
      </w:r>
      <w:r w:rsidRPr="005B0DD5">
        <w:rPr>
          <w:rFonts w:ascii="Times New Roman" w:hAnsi="Times New Roman" w:cs="Times New Roman"/>
          <w:sz w:val="24"/>
          <w:szCs w:val="24"/>
        </w:rPr>
        <w:t xml:space="preserve"> 157-165.</w:t>
      </w:r>
    </w:p>
    <w:p w14:paraId="730BD6B6" w14:textId="33C174E2"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lastRenderedPageBreak/>
        <w:t xml:space="preserve">Sethi, M. K. </w:t>
      </w:r>
      <w:r w:rsidR="0074231D">
        <w:rPr>
          <w:rFonts w:ascii="Times New Roman" w:hAnsi="Times New Roman" w:cs="Times New Roman"/>
          <w:sz w:val="24"/>
          <w:szCs w:val="24"/>
        </w:rPr>
        <w:t>and</w:t>
      </w:r>
      <w:r w:rsidRPr="005B0DD5">
        <w:rPr>
          <w:rFonts w:ascii="Times New Roman" w:hAnsi="Times New Roman" w:cs="Times New Roman"/>
          <w:sz w:val="24"/>
          <w:szCs w:val="24"/>
        </w:rPr>
        <w:t xml:space="preserve"> Biswal, S. K. </w:t>
      </w:r>
      <w:r w:rsidRPr="0011603C">
        <w:rPr>
          <w:rFonts w:ascii="Times New Roman" w:hAnsi="Times New Roman" w:cs="Times New Roman"/>
          <w:sz w:val="24"/>
          <w:szCs w:val="24"/>
          <w:highlight w:val="red"/>
        </w:rPr>
        <w:t>2023</w:t>
      </w:r>
      <w:r w:rsidRPr="005B0DD5">
        <w:rPr>
          <w:rFonts w:ascii="Times New Roman" w:hAnsi="Times New Roman" w:cs="Times New Roman"/>
          <w:sz w:val="24"/>
          <w:szCs w:val="24"/>
        </w:rPr>
        <w:t>. Awareness of Farmers Towards the Agricultural Schemes of Govt.: A Study on Dhenkanal District, Odisha. </w:t>
      </w:r>
      <w:r w:rsidRPr="005B0DD5">
        <w:rPr>
          <w:rFonts w:ascii="Times New Roman" w:hAnsi="Times New Roman" w:cs="Times New Roman"/>
          <w:i/>
          <w:iCs/>
          <w:sz w:val="24"/>
          <w:szCs w:val="24"/>
        </w:rPr>
        <w:t>International Journal of Research and Development</w:t>
      </w:r>
      <w:r w:rsidRPr="005B0DD5">
        <w:rPr>
          <w:rFonts w:ascii="Times New Roman" w:hAnsi="Times New Roman" w:cs="Times New Roman"/>
          <w:sz w:val="24"/>
          <w:szCs w:val="24"/>
        </w:rPr>
        <w:t>.</w:t>
      </w:r>
    </w:p>
    <w:p w14:paraId="2838E8F9" w14:textId="07943609"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Singh, P. K. 2022. </w:t>
      </w:r>
      <w:r w:rsidR="009C47AF" w:rsidRPr="005B0DD5">
        <w:rPr>
          <w:rFonts w:ascii="Times New Roman" w:hAnsi="Times New Roman" w:cs="Times New Roman"/>
          <w:i/>
          <w:iCs/>
          <w:sz w:val="24"/>
          <w:szCs w:val="24"/>
        </w:rPr>
        <w:t xml:space="preserve">Economic </w:t>
      </w:r>
      <w:r w:rsidR="00EF0019" w:rsidRPr="005B0DD5">
        <w:rPr>
          <w:rFonts w:ascii="Times New Roman" w:hAnsi="Times New Roman" w:cs="Times New Roman"/>
          <w:i/>
          <w:iCs/>
          <w:sz w:val="24"/>
          <w:szCs w:val="24"/>
        </w:rPr>
        <w:t xml:space="preserve">Analysis </w:t>
      </w:r>
      <w:r w:rsidR="00EF0019">
        <w:rPr>
          <w:rFonts w:ascii="Times New Roman" w:hAnsi="Times New Roman" w:cs="Times New Roman"/>
          <w:i/>
          <w:iCs/>
          <w:sz w:val="24"/>
          <w:szCs w:val="24"/>
        </w:rPr>
        <w:t>o</w:t>
      </w:r>
      <w:r w:rsidR="00EF0019" w:rsidRPr="005B0DD5">
        <w:rPr>
          <w:rFonts w:ascii="Times New Roman" w:hAnsi="Times New Roman" w:cs="Times New Roman"/>
          <w:i/>
          <w:iCs/>
          <w:sz w:val="24"/>
          <w:szCs w:val="24"/>
        </w:rPr>
        <w:t xml:space="preserve">f Drip Irrigation </w:t>
      </w:r>
      <w:r w:rsidR="00EF0019">
        <w:rPr>
          <w:rFonts w:ascii="Times New Roman" w:hAnsi="Times New Roman" w:cs="Times New Roman"/>
          <w:i/>
          <w:iCs/>
          <w:sz w:val="24"/>
          <w:szCs w:val="24"/>
        </w:rPr>
        <w:t>f</w:t>
      </w:r>
      <w:r w:rsidR="00EF0019" w:rsidRPr="005B0DD5">
        <w:rPr>
          <w:rFonts w:ascii="Times New Roman" w:hAnsi="Times New Roman" w:cs="Times New Roman"/>
          <w:i/>
          <w:iCs/>
          <w:sz w:val="24"/>
          <w:szCs w:val="24"/>
        </w:rPr>
        <w:t xml:space="preserve">or Cauliflower Crop </w:t>
      </w:r>
      <w:r w:rsidR="00EF0019">
        <w:rPr>
          <w:rFonts w:ascii="Times New Roman" w:hAnsi="Times New Roman" w:cs="Times New Roman"/>
          <w:i/>
          <w:iCs/>
          <w:sz w:val="24"/>
          <w:szCs w:val="24"/>
        </w:rPr>
        <w:t>i</w:t>
      </w:r>
      <w:r w:rsidR="00EF0019" w:rsidRPr="005B0DD5">
        <w:rPr>
          <w:rFonts w:ascii="Times New Roman" w:hAnsi="Times New Roman" w:cs="Times New Roman"/>
          <w:i/>
          <w:iCs/>
          <w:sz w:val="24"/>
          <w:szCs w:val="24"/>
        </w:rPr>
        <w:t xml:space="preserve">n Tribal Areas </w:t>
      </w:r>
      <w:r w:rsidR="00EF0019">
        <w:rPr>
          <w:rFonts w:ascii="Times New Roman" w:hAnsi="Times New Roman" w:cs="Times New Roman"/>
          <w:i/>
          <w:iCs/>
          <w:sz w:val="24"/>
          <w:szCs w:val="24"/>
        </w:rPr>
        <w:t>o</w:t>
      </w:r>
      <w:r w:rsidR="00EF0019" w:rsidRPr="005B0DD5">
        <w:rPr>
          <w:rFonts w:ascii="Times New Roman" w:hAnsi="Times New Roman" w:cs="Times New Roman"/>
          <w:i/>
          <w:iCs/>
          <w:sz w:val="24"/>
          <w:szCs w:val="24"/>
        </w:rPr>
        <w:t>f Jharkhand, India</w:t>
      </w:r>
      <w:r w:rsidR="00811764">
        <w:rPr>
          <w:rFonts w:ascii="Times New Roman" w:hAnsi="Times New Roman" w:cs="Times New Roman"/>
          <w:sz w:val="24"/>
          <w:szCs w:val="24"/>
        </w:rPr>
        <w:t xml:space="preserve">. </w:t>
      </w:r>
      <w:r w:rsidRPr="005B0DD5">
        <w:rPr>
          <w:rFonts w:ascii="Times New Roman" w:hAnsi="Times New Roman" w:cs="Times New Roman"/>
          <w:sz w:val="24"/>
          <w:szCs w:val="24"/>
        </w:rPr>
        <w:t>Doctoral dissertation, BANARAS HINDU UNIVERSITY VARANASI.</w:t>
      </w:r>
    </w:p>
    <w:p w14:paraId="2A4E5ED1" w14:textId="6B35868F"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Sow, A. A.</w:t>
      </w:r>
      <w:r w:rsidR="00811764">
        <w:rPr>
          <w:rFonts w:ascii="Times New Roman" w:hAnsi="Times New Roman" w:cs="Times New Roman"/>
          <w:sz w:val="24"/>
          <w:szCs w:val="24"/>
        </w:rPr>
        <w:t>;</w:t>
      </w:r>
      <w:r w:rsidRPr="005B0DD5">
        <w:rPr>
          <w:rFonts w:ascii="Times New Roman" w:hAnsi="Times New Roman" w:cs="Times New Roman"/>
          <w:sz w:val="24"/>
          <w:szCs w:val="24"/>
        </w:rPr>
        <w:t xml:space="preserve"> Mane, P. Y. B.</w:t>
      </w:r>
      <w:r w:rsidR="00811764">
        <w:rPr>
          <w:rFonts w:ascii="Times New Roman" w:hAnsi="Times New Roman" w:cs="Times New Roman"/>
          <w:sz w:val="24"/>
          <w:szCs w:val="24"/>
        </w:rPr>
        <w:t>;</w:t>
      </w:r>
      <w:r w:rsidRPr="005B0DD5">
        <w:rPr>
          <w:rFonts w:ascii="Times New Roman" w:hAnsi="Times New Roman" w:cs="Times New Roman"/>
          <w:sz w:val="24"/>
          <w:szCs w:val="24"/>
        </w:rPr>
        <w:t xml:space="preserve"> Sawaneh, M.</w:t>
      </w:r>
      <w:r w:rsidR="00811764">
        <w:rPr>
          <w:rFonts w:ascii="Times New Roman" w:hAnsi="Times New Roman" w:cs="Times New Roman"/>
          <w:sz w:val="24"/>
          <w:szCs w:val="24"/>
        </w:rPr>
        <w:t>;</w:t>
      </w:r>
      <w:r w:rsidRPr="005B0DD5">
        <w:rPr>
          <w:rFonts w:ascii="Times New Roman" w:hAnsi="Times New Roman" w:cs="Times New Roman"/>
          <w:sz w:val="24"/>
          <w:szCs w:val="24"/>
        </w:rPr>
        <w:t xml:space="preserve"> </w:t>
      </w:r>
      <w:r w:rsidR="00811764">
        <w:rPr>
          <w:rFonts w:ascii="Times New Roman" w:hAnsi="Times New Roman" w:cs="Times New Roman"/>
          <w:sz w:val="24"/>
          <w:szCs w:val="24"/>
        </w:rPr>
        <w:t>and</w:t>
      </w:r>
      <w:r w:rsidRPr="005B0DD5">
        <w:rPr>
          <w:rFonts w:ascii="Times New Roman" w:hAnsi="Times New Roman" w:cs="Times New Roman"/>
          <w:sz w:val="24"/>
          <w:szCs w:val="24"/>
        </w:rPr>
        <w:t xml:space="preserve"> Kafando, H. 2024. Adoption of Solar Pumping Systems by Vegetable Farmers in Niayes Agro-Ecological Zone of Senegal: Adoption as a Sequential Process. </w:t>
      </w:r>
      <w:r w:rsidRPr="005B0DD5">
        <w:rPr>
          <w:rFonts w:ascii="Times New Roman" w:hAnsi="Times New Roman" w:cs="Times New Roman"/>
          <w:i/>
          <w:iCs/>
          <w:sz w:val="24"/>
          <w:szCs w:val="24"/>
        </w:rPr>
        <w:t>Journal of Power and Energy Engineering</w:t>
      </w:r>
      <w:r w:rsidRPr="005B0DD5">
        <w:rPr>
          <w:rFonts w:ascii="Times New Roman" w:hAnsi="Times New Roman" w:cs="Times New Roman"/>
          <w:sz w:val="24"/>
          <w:szCs w:val="24"/>
        </w:rPr>
        <w:t>, </w:t>
      </w:r>
      <w:r w:rsidRPr="00811764">
        <w:rPr>
          <w:rFonts w:ascii="Times New Roman" w:hAnsi="Times New Roman" w:cs="Times New Roman"/>
          <w:sz w:val="24"/>
          <w:szCs w:val="24"/>
        </w:rPr>
        <w:t>12</w:t>
      </w:r>
      <w:r w:rsidRPr="005B0DD5">
        <w:rPr>
          <w:rFonts w:ascii="Times New Roman" w:hAnsi="Times New Roman" w:cs="Times New Roman"/>
          <w:sz w:val="24"/>
          <w:szCs w:val="24"/>
        </w:rPr>
        <w:t>(9)</w:t>
      </w:r>
      <w:r w:rsidR="00811764">
        <w:rPr>
          <w:rFonts w:ascii="Times New Roman" w:hAnsi="Times New Roman" w:cs="Times New Roman"/>
          <w:sz w:val="24"/>
          <w:szCs w:val="24"/>
        </w:rPr>
        <w:t>:</w:t>
      </w:r>
      <w:r w:rsidRPr="005B0DD5">
        <w:rPr>
          <w:rFonts w:ascii="Times New Roman" w:hAnsi="Times New Roman" w:cs="Times New Roman"/>
          <w:sz w:val="24"/>
          <w:szCs w:val="24"/>
        </w:rPr>
        <w:t xml:space="preserve"> 19-36.</w:t>
      </w:r>
    </w:p>
    <w:p w14:paraId="1B9840E9" w14:textId="77777777" w:rsidR="00081023" w:rsidRDefault="00081023" w:rsidP="00A646E0">
      <w:pPr>
        <w:numPr>
          <w:ilvl w:val="0"/>
          <w:numId w:val="6"/>
        </w:numPr>
        <w:spacing w:line="360" w:lineRule="auto"/>
        <w:jc w:val="both"/>
        <w:rPr>
          <w:rFonts w:ascii="Times New Roman" w:hAnsi="Times New Roman" w:cs="Times New Roman"/>
          <w:sz w:val="24"/>
          <w:szCs w:val="24"/>
        </w:rPr>
      </w:pPr>
      <w:r w:rsidRPr="0011603C">
        <w:rPr>
          <w:rFonts w:ascii="Times New Roman" w:hAnsi="Times New Roman" w:cs="Times New Roman"/>
          <w:sz w:val="24"/>
          <w:szCs w:val="24"/>
        </w:rPr>
        <w:t xml:space="preserve">Srinivas S.N. </w:t>
      </w:r>
      <w:r w:rsidRPr="0011603C">
        <w:rPr>
          <w:rFonts w:ascii="Times New Roman" w:hAnsi="Times New Roman" w:cs="Times New Roman"/>
          <w:sz w:val="24"/>
          <w:szCs w:val="24"/>
          <w:highlight w:val="red"/>
        </w:rPr>
        <w:t>2018</w:t>
      </w:r>
      <w:r w:rsidRPr="00BA1B67">
        <w:rPr>
          <w:rFonts w:ascii="Times New Roman" w:hAnsi="Times New Roman" w:cs="Times New Roman"/>
          <w:sz w:val="24"/>
          <w:szCs w:val="24"/>
        </w:rPr>
        <w:t xml:space="preserve">. Decentralized renewable energy is an over $100 billion opportunity. Available at https://energy.economictimes. indiatimes.com/energyspeak/decentralized-renewable-energyis-an-over-100-billionopportunity/3231. </w:t>
      </w:r>
    </w:p>
    <w:p w14:paraId="59D2E451" w14:textId="2DD79B87" w:rsidR="006E68CA" w:rsidRDefault="00081023" w:rsidP="00A646E0">
      <w:pPr>
        <w:numPr>
          <w:ilvl w:val="0"/>
          <w:numId w:val="6"/>
        </w:numPr>
        <w:spacing w:line="360" w:lineRule="auto"/>
        <w:jc w:val="both"/>
        <w:rPr>
          <w:rFonts w:ascii="Times New Roman" w:hAnsi="Times New Roman" w:cs="Times New Roman"/>
          <w:sz w:val="24"/>
          <w:szCs w:val="24"/>
        </w:rPr>
      </w:pPr>
      <w:bookmarkStart w:id="3" w:name="_Hlk194440826"/>
      <w:r w:rsidRPr="0011603C">
        <w:rPr>
          <w:rFonts w:ascii="Times New Roman" w:hAnsi="Times New Roman" w:cs="Times New Roman"/>
          <w:sz w:val="24"/>
          <w:szCs w:val="24"/>
          <w:highlight w:val="red"/>
        </w:rPr>
        <w:t>Umar, Naima. 2020</w:t>
      </w:r>
      <w:r w:rsidRPr="00750FEB">
        <w:rPr>
          <w:rFonts w:ascii="Times New Roman" w:hAnsi="Times New Roman" w:cs="Times New Roman"/>
          <w:sz w:val="24"/>
          <w:szCs w:val="24"/>
        </w:rPr>
        <w:t xml:space="preserve">. </w:t>
      </w:r>
      <w:bookmarkEnd w:id="3"/>
      <w:r w:rsidRPr="00750FEB">
        <w:rPr>
          <w:rFonts w:ascii="Times New Roman" w:hAnsi="Times New Roman" w:cs="Times New Roman"/>
          <w:sz w:val="24"/>
          <w:szCs w:val="24"/>
        </w:rPr>
        <w:t xml:space="preserve">Sources of irrigation in the state of Uttar Pradesh: A regional analysis. </w:t>
      </w:r>
      <w:r w:rsidRPr="00CB51DD">
        <w:rPr>
          <w:rFonts w:ascii="Times New Roman" w:hAnsi="Times New Roman" w:cs="Times New Roman"/>
          <w:i/>
          <w:iCs/>
          <w:sz w:val="24"/>
          <w:szCs w:val="24"/>
        </w:rPr>
        <w:t>International Journal of Applied Research</w:t>
      </w:r>
      <w:r w:rsidR="00CB51DD">
        <w:rPr>
          <w:rFonts w:ascii="Times New Roman" w:hAnsi="Times New Roman" w:cs="Times New Roman"/>
          <w:i/>
          <w:iCs/>
          <w:sz w:val="24"/>
          <w:szCs w:val="24"/>
        </w:rPr>
        <w:t>,</w:t>
      </w:r>
      <w:r w:rsidRPr="00750FEB">
        <w:rPr>
          <w:rFonts w:ascii="Times New Roman" w:hAnsi="Times New Roman" w:cs="Times New Roman"/>
          <w:sz w:val="24"/>
          <w:szCs w:val="24"/>
        </w:rPr>
        <w:t xml:space="preserve"> 6.</w:t>
      </w:r>
    </w:p>
    <w:p w14:paraId="352AA584" w14:textId="126CBAB6" w:rsidR="0011603C" w:rsidRPr="00DB22E3" w:rsidRDefault="004B70CB" w:rsidP="004B70CB">
      <w:pPr>
        <w:spacing w:line="360" w:lineRule="auto"/>
        <w:ind w:left="720"/>
        <w:jc w:val="both"/>
        <w:rPr>
          <w:rFonts w:ascii="Times New Roman" w:hAnsi="Times New Roman" w:cs="Times New Roman"/>
          <w:sz w:val="24"/>
          <w:szCs w:val="24"/>
        </w:rPr>
      </w:pPr>
      <w:r w:rsidRPr="004B70CB">
        <w:rPr>
          <w:rFonts w:ascii="Times New Roman" w:hAnsi="Times New Roman" w:cs="Times New Roman"/>
          <w:sz w:val="24"/>
          <w:szCs w:val="24"/>
          <w:highlight w:val="green"/>
        </w:rPr>
        <w:t>Review the APA referencing guidelines, particularly for online sources, to ensure correct citation formatting. This will help you properly cite your reference materials throughout the paper.</w:t>
      </w:r>
    </w:p>
    <w:sectPr w:rsidR="0011603C" w:rsidRPr="00DB22E3" w:rsidSect="00DB22E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AFA7E" w14:textId="77777777" w:rsidR="00B34E76" w:rsidRDefault="00B34E76" w:rsidP="007E34C5">
      <w:pPr>
        <w:spacing w:after="0" w:line="240" w:lineRule="auto"/>
      </w:pPr>
      <w:r>
        <w:separator/>
      </w:r>
    </w:p>
  </w:endnote>
  <w:endnote w:type="continuationSeparator" w:id="0">
    <w:p w14:paraId="3036A78C" w14:textId="77777777" w:rsidR="00B34E76" w:rsidRDefault="00B34E76" w:rsidP="007E3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4197E" w14:textId="77777777" w:rsidR="0018182C" w:rsidRDefault="001818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5E050" w14:textId="77777777" w:rsidR="0018182C" w:rsidRDefault="001818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26A79" w14:textId="77777777" w:rsidR="0018182C" w:rsidRDefault="00181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5EC63" w14:textId="77777777" w:rsidR="00B34E76" w:rsidRDefault="00B34E76" w:rsidP="007E34C5">
      <w:pPr>
        <w:spacing w:after="0" w:line="240" w:lineRule="auto"/>
      </w:pPr>
      <w:r>
        <w:separator/>
      </w:r>
    </w:p>
  </w:footnote>
  <w:footnote w:type="continuationSeparator" w:id="0">
    <w:p w14:paraId="2CD042D6" w14:textId="77777777" w:rsidR="00B34E76" w:rsidRDefault="00B34E76" w:rsidP="007E3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1680A" w14:textId="365CF54E" w:rsidR="0018182C" w:rsidRDefault="0018182C">
    <w:pPr>
      <w:pStyle w:val="Header"/>
    </w:pPr>
    <w:r>
      <w:rPr>
        <w:noProof/>
      </w:rPr>
      <w:pict w14:anchorId="0DA2B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29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628AB" w14:textId="512DB906" w:rsidR="0018182C" w:rsidRDefault="0018182C">
    <w:pPr>
      <w:pStyle w:val="Header"/>
    </w:pPr>
    <w:r>
      <w:rPr>
        <w:noProof/>
      </w:rPr>
      <w:pict w14:anchorId="75838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29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E3F8E" w14:textId="699836A8" w:rsidR="0018182C" w:rsidRDefault="0018182C">
    <w:pPr>
      <w:pStyle w:val="Header"/>
    </w:pPr>
    <w:r>
      <w:rPr>
        <w:noProof/>
      </w:rPr>
      <w:pict w14:anchorId="0372E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29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6B55"/>
    <w:multiLevelType w:val="hybridMultilevel"/>
    <w:tmpl w:val="D6BCA34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DF87B10"/>
    <w:multiLevelType w:val="hybridMultilevel"/>
    <w:tmpl w:val="DA50E2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ABA2D1E"/>
    <w:multiLevelType w:val="multilevel"/>
    <w:tmpl w:val="21E4954A"/>
    <w:lvl w:ilvl="0">
      <w:start w:val="1"/>
      <w:numFmt w:val="decimal"/>
      <w:lvlText w:val="%1."/>
      <w:lvlJc w:val="left"/>
      <w:pPr>
        <w:tabs>
          <w:tab w:val="num" w:pos="720"/>
        </w:tabs>
        <w:ind w:left="720" w:hanging="360"/>
      </w:pPr>
      <w:rPr>
        <w:b/>
        <w:bCs/>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2856D8"/>
    <w:multiLevelType w:val="hybridMultilevel"/>
    <w:tmpl w:val="A60A77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C8123D6"/>
    <w:multiLevelType w:val="hybridMultilevel"/>
    <w:tmpl w:val="41DADB3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7F1E6676"/>
    <w:multiLevelType w:val="hybridMultilevel"/>
    <w:tmpl w:val="09FEBCD2"/>
    <w:lvl w:ilvl="0" w:tplc="4009000F">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E4"/>
    <w:rsid w:val="00004C89"/>
    <w:rsid w:val="0001032E"/>
    <w:rsid w:val="00011D86"/>
    <w:rsid w:val="00013D8A"/>
    <w:rsid w:val="0001474C"/>
    <w:rsid w:val="000154B3"/>
    <w:rsid w:val="00016592"/>
    <w:rsid w:val="00016E75"/>
    <w:rsid w:val="0002122C"/>
    <w:rsid w:val="000216F8"/>
    <w:rsid w:val="0002712A"/>
    <w:rsid w:val="000278E0"/>
    <w:rsid w:val="00027DBA"/>
    <w:rsid w:val="00031C44"/>
    <w:rsid w:val="000329BF"/>
    <w:rsid w:val="00034DED"/>
    <w:rsid w:val="00045371"/>
    <w:rsid w:val="00047202"/>
    <w:rsid w:val="000512A3"/>
    <w:rsid w:val="00051881"/>
    <w:rsid w:val="00054290"/>
    <w:rsid w:val="00054613"/>
    <w:rsid w:val="0005733D"/>
    <w:rsid w:val="00060244"/>
    <w:rsid w:val="00066F35"/>
    <w:rsid w:val="00070ED4"/>
    <w:rsid w:val="000742BC"/>
    <w:rsid w:val="000759CF"/>
    <w:rsid w:val="00075FF4"/>
    <w:rsid w:val="00077C71"/>
    <w:rsid w:val="00081023"/>
    <w:rsid w:val="000A4F62"/>
    <w:rsid w:val="000A68BD"/>
    <w:rsid w:val="000B063A"/>
    <w:rsid w:val="000B19E1"/>
    <w:rsid w:val="000B2781"/>
    <w:rsid w:val="000C2287"/>
    <w:rsid w:val="000D0F63"/>
    <w:rsid w:val="000D5886"/>
    <w:rsid w:val="000F4130"/>
    <w:rsid w:val="000F44DE"/>
    <w:rsid w:val="000F5620"/>
    <w:rsid w:val="00105CF7"/>
    <w:rsid w:val="00111149"/>
    <w:rsid w:val="00113084"/>
    <w:rsid w:val="0011496C"/>
    <w:rsid w:val="0011603C"/>
    <w:rsid w:val="001221BB"/>
    <w:rsid w:val="001232FE"/>
    <w:rsid w:val="00124647"/>
    <w:rsid w:val="001251B0"/>
    <w:rsid w:val="00142FB0"/>
    <w:rsid w:val="001438B4"/>
    <w:rsid w:val="00157BA0"/>
    <w:rsid w:val="00160096"/>
    <w:rsid w:val="001604EA"/>
    <w:rsid w:val="00161B9F"/>
    <w:rsid w:val="001778E1"/>
    <w:rsid w:val="00180871"/>
    <w:rsid w:val="0018182C"/>
    <w:rsid w:val="00183206"/>
    <w:rsid w:val="0018328D"/>
    <w:rsid w:val="0019009D"/>
    <w:rsid w:val="00191AAC"/>
    <w:rsid w:val="00191C23"/>
    <w:rsid w:val="0019260A"/>
    <w:rsid w:val="00192BB6"/>
    <w:rsid w:val="00193C4C"/>
    <w:rsid w:val="001B0373"/>
    <w:rsid w:val="001B4544"/>
    <w:rsid w:val="001B7680"/>
    <w:rsid w:val="001C17F5"/>
    <w:rsid w:val="001C701F"/>
    <w:rsid w:val="001D3805"/>
    <w:rsid w:val="001D5DDA"/>
    <w:rsid w:val="001D6538"/>
    <w:rsid w:val="001D7BA1"/>
    <w:rsid w:val="001E01E3"/>
    <w:rsid w:val="001E12C3"/>
    <w:rsid w:val="001E25ED"/>
    <w:rsid w:val="001E2A0C"/>
    <w:rsid w:val="001F2EDC"/>
    <w:rsid w:val="001F38E6"/>
    <w:rsid w:val="002003A5"/>
    <w:rsid w:val="00205587"/>
    <w:rsid w:val="002110B8"/>
    <w:rsid w:val="00213FC4"/>
    <w:rsid w:val="00220480"/>
    <w:rsid w:val="00223D53"/>
    <w:rsid w:val="00224C5D"/>
    <w:rsid w:val="002276F0"/>
    <w:rsid w:val="00231A78"/>
    <w:rsid w:val="002338DE"/>
    <w:rsid w:val="0023393F"/>
    <w:rsid w:val="00237A17"/>
    <w:rsid w:val="00244527"/>
    <w:rsid w:val="0025012E"/>
    <w:rsid w:val="0025447D"/>
    <w:rsid w:val="00260BD4"/>
    <w:rsid w:val="00262FE6"/>
    <w:rsid w:val="0026655C"/>
    <w:rsid w:val="00272068"/>
    <w:rsid w:val="00273DCD"/>
    <w:rsid w:val="00274E3F"/>
    <w:rsid w:val="002853A6"/>
    <w:rsid w:val="002864B3"/>
    <w:rsid w:val="002916CA"/>
    <w:rsid w:val="002918FB"/>
    <w:rsid w:val="002919CB"/>
    <w:rsid w:val="00296CFA"/>
    <w:rsid w:val="002A14A0"/>
    <w:rsid w:val="002A2F1B"/>
    <w:rsid w:val="002A38E4"/>
    <w:rsid w:val="002A66F1"/>
    <w:rsid w:val="002A7362"/>
    <w:rsid w:val="002B60C6"/>
    <w:rsid w:val="002B7973"/>
    <w:rsid w:val="002C0FFF"/>
    <w:rsid w:val="002C127A"/>
    <w:rsid w:val="002C2FE2"/>
    <w:rsid w:val="002D5A3A"/>
    <w:rsid w:val="002D620C"/>
    <w:rsid w:val="002D6D7C"/>
    <w:rsid w:val="002E19C6"/>
    <w:rsid w:val="002E3CC4"/>
    <w:rsid w:val="002E40F7"/>
    <w:rsid w:val="002E5A59"/>
    <w:rsid w:val="002F2064"/>
    <w:rsid w:val="002F236B"/>
    <w:rsid w:val="002F2793"/>
    <w:rsid w:val="00301A54"/>
    <w:rsid w:val="003063D8"/>
    <w:rsid w:val="00320625"/>
    <w:rsid w:val="00326071"/>
    <w:rsid w:val="003323AC"/>
    <w:rsid w:val="00333732"/>
    <w:rsid w:val="00336658"/>
    <w:rsid w:val="00345510"/>
    <w:rsid w:val="003477FB"/>
    <w:rsid w:val="00357D36"/>
    <w:rsid w:val="00360815"/>
    <w:rsid w:val="00365458"/>
    <w:rsid w:val="00366A74"/>
    <w:rsid w:val="00377B00"/>
    <w:rsid w:val="00387A46"/>
    <w:rsid w:val="00390888"/>
    <w:rsid w:val="00391377"/>
    <w:rsid w:val="003A5B9A"/>
    <w:rsid w:val="003A687C"/>
    <w:rsid w:val="003B1198"/>
    <w:rsid w:val="003B1FF4"/>
    <w:rsid w:val="003B2008"/>
    <w:rsid w:val="003C3147"/>
    <w:rsid w:val="003C4024"/>
    <w:rsid w:val="003C5EE8"/>
    <w:rsid w:val="003C6805"/>
    <w:rsid w:val="003D276B"/>
    <w:rsid w:val="003D3E75"/>
    <w:rsid w:val="003D42B8"/>
    <w:rsid w:val="003D4EA2"/>
    <w:rsid w:val="003D5578"/>
    <w:rsid w:val="003D7787"/>
    <w:rsid w:val="003F4969"/>
    <w:rsid w:val="004008BA"/>
    <w:rsid w:val="0040492C"/>
    <w:rsid w:val="004109D5"/>
    <w:rsid w:val="004162E3"/>
    <w:rsid w:val="0042153D"/>
    <w:rsid w:val="00422BA5"/>
    <w:rsid w:val="0043622B"/>
    <w:rsid w:val="00442F32"/>
    <w:rsid w:val="004457AF"/>
    <w:rsid w:val="00453F14"/>
    <w:rsid w:val="0047392B"/>
    <w:rsid w:val="004749E5"/>
    <w:rsid w:val="00483658"/>
    <w:rsid w:val="004866F9"/>
    <w:rsid w:val="00486DC5"/>
    <w:rsid w:val="00487253"/>
    <w:rsid w:val="0049445C"/>
    <w:rsid w:val="004976D0"/>
    <w:rsid w:val="00497D62"/>
    <w:rsid w:val="004B2BD3"/>
    <w:rsid w:val="004B4868"/>
    <w:rsid w:val="004B70CB"/>
    <w:rsid w:val="004B7E0A"/>
    <w:rsid w:val="004C0528"/>
    <w:rsid w:val="004C7B23"/>
    <w:rsid w:val="004D3EE2"/>
    <w:rsid w:val="0050432F"/>
    <w:rsid w:val="00524126"/>
    <w:rsid w:val="00524C21"/>
    <w:rsid w:val="00527D5D"/>
    <w:rsid w:val="005401A4"/>
    <w:rsid w:val="00545E90"/>
    <w:rsid w:val="00550571"/>
    <w:rsid w:val="005532FE"/>
    <w:rsid w:val="0055700D"/>
    <w:rsid w:val="00561860"/>
    <w:rsid w:val="0056360C"/>
    <w:rsid w:val="00571C0C"/>
    <w:rsid w:val="00576D56"/>
    <w:rsid w:val="0058369C"/>
    <w:rsid w:val="00596F08"/>
    <w:rsid w:val="005B0CEA"/>
    <w:rsid w:val="005B14F3"/>
    <w:rsid w:val="005B39F2"/>
    <w:rsid w:val="005B4E40"/>
    <w:rsid w:val="005C243A"/>
    <w:rsid w:val="005C3887"/>
    <w:rsid w:val="005C53FB"/>
    <w:rsid w:val="005C6435"/>
    <w:rsid w:val="005D0812"/>
    <w:rsid w:val="005D27F4"/>
    <w:rsid w:val="005D3F9D"/>
    <w:rsid w:val="005E0B57"/>
    <w:rsid w:val="005E17CE"/>
    <w:rsid w:val="005E5B74"/>
    <w:rsid w:val="005E6F96"/>
    <w:rsid w:val="005E743A"/>
    <w:rsid w:val="005F173F"/>
    <w:rsid w:val="005F38FA"/>
    <w:rsid w:val="005F6C6B"/>
    <w:rsid w:val="005F7667"/>
    <w:rsid w:val="005F77DB"/>
    <w:rsid w:val="00604C6A"/>
    <w:rsid w:val="0061064A"/>
    <w:rsid w:val="00612F1F"/>
    <w:rsid w:val="00616F34"/>
    <w:rsid w:val="00617148"/>
    <w:rsid w:val="00621310"/>
    <w:rsid w:val="00623AEF"/>
    <w:rsid w:val="0063687B"/>
    <w:rsid w:val="00637E44"/>
    <w:rsid w:val="00640BD3"/>
    <w:rsid w:val="006542A7"/>
    <w:rsid w:val="00656274"/>
    <w:rsid w:val="00661ECB"/>
    <w:rsid w:val="006674BA"/>
    <w:rsid w:val="006679DD"/>
    <w:rsid w:val="00673933"/>
    <w:rsid w:val="00674F4C"/>
    <w:rsid w:val="0067620B"/>
    <w:rsid w:val="006778EB"/>
    <w:rsid w:val="006820FD"/>
    <w:rsid w:val="00687D23"/>
    <w:rsid w:val="00696F0E"/>
    <w:rsid w:val="006A098D"/>
    <w:rsid w:val="006A790F"/>
    <w:rsid w:val="006B6292"/>
    <w:rsid w:val="006C020B"/>
    <w:rsid w:val="006C5998"/>
    <w:rsid w:val="006C76B2"/>
    <w:rsid w:val="006D49D7"/>
    <w:rsid w:val="006D757D"/>
    <w:rsid w:val="006D7D96"/>
    <w:rsid w:val="006E13DC"/>
    <w:rsid w:val="006E4C4B"/>
    <w:rsid w:val="006E5486"/>
    <w:rsid w:val="006E5FCF"/>
    <w:rsid w:val="006E68CA"/>
    <w:rsid w:val="006E7269"/>
    <w:rsid w:val="006F356A"/>
    <w:rsid w:val="006F5842"/>
    <w:rsid w:val="006F7838"/>
    <w:rsid w:val="00706134"/>
    <w:rsid w:val="00706F9B"/>
    <w:rsid w:val="0071386E"/>
    <w:rsid w:val="00715C1B"/>
    <w:rsid w:val="00721BA2"/>
    <w:rsid w:val="00723A71"/>
    <w:rsid w:val="00732C7C"/>
    <w:rsid w:val="00733925"/>
    <w:rsid w:val="00733D71"/>
    <w:rsid w:val="0074231D"/>
    <w:rsid w:val="00744BB7"/>
    <w:rsid w:val="00745A80"/>
    <w:rsid w:val="00752E00"/>
    <w:rsid w:val="00753080"/>
    <w:rsid w:val="00757B5D"/>
    <w:rsid w:val="007728BD"/>
    <w:rsid w:val="007769B9"/>
    <w:rsid w:val="007774FB"/>
    <w:rsid w:val="00781C88"/>
    <w:rsid w:val="0079753E"/>
    <w:rsid w:val="007A011C"/>
    <w:rsid w:val="007A5E0F"/>
    <w:rsid w:val="007A78F8"/>
    <w:rsid w:val="007B3A6A"/>
    <w:rsid w:val="007B436B"/>
    <w:rsid w:val="007B57B1"/>
    <w:rsid w:val="007D35A7"/>
    <w:rsid w:val="007D4434"/>
    <w:rsid w:val="007D63C3"/>
    <w:rsid w:val="007E2BBF"/>
    <w:rsid w:val="007E34C5"/>
    <w:rsid w:val="007E39CC"/>
    <w:rsid w:val="007F00F0"/>
    <w:rsid w:val="0080498E"/>
    <w:rsid w:val="00811764"/>
    <w:rsid w:val="00814515"/>
    <w:rsid w:val="0081626D"/>
    <w:rsid w:val="0081722A"/>
    <w:rsid w:val="00823F11"/>
    <w:rsid w:val="0083439F"/>
    <w:rsid w:val="00834F2F"/>
    <w:rsid w:val="008351A6"/>
    <w:rsid w:val="00842479"/>
    <w:rsid w:val="00845347"/>
    <w:rsid w:val="00845503"/>
    <w:rsid w:val="008458D7"/>
    <w:rsid w:val="00845B16"/>
    <w:rsid w:val="00847974"/>
    <w:rsid w:val="008548F6"/>
    <w:rsid w:val="0087276C"/>
    <w:rsid w:val="008774E2"/>
    <w:rsid w:val="00880A82"/>
    <w:rsid w:val="008832DD"/>
    <w:rsid w:val="00886802"/>
    <w:rsid w:val="00890014"/>
    <w:rsid w:val="00891601"/>
    <w:rsid w:val="008A2545"/>
    <w:rsid w:val="008A3673"/>
    <w:rsid w:val="008A7A70"/>
    <w:rsid w:val="008B709F"/>
    <w:rsid w:val="008C453E"/>
    <w:rsid w:val="008C7F19"/>
    <w:rsid w:val="008D01A9"/>
    <w:rsid w:val="008D0368"/>
    <w:rsid w:val="008D2076"/>
    <w:rsid w:val="008D23DF"/>
    <w:rsid w:val="008E15AF"/>
    <w:rsid w:val="008E2750"/>
    <w:rsid w:val="008E6F8D"/>
    <w:rsid w:val="008F49FD"/>
    <w:rsid w:val="008F672F"/>
    <w:rsid w:val="00914DB2"/>
    <w:rsid w:val="00914F33"/>
    <w:rsid w:val="00921737"/>
    <w:rsid w:val="009238B0"/>
    <w:rsid w:val="0093221E"/>
    <w:rsid w:val="00941160"/>
    <w:rsid w:val="00942D8C"/>
    <w:rsid w:val="00944D12"/>
    <w:rsid w:val="0094683A"/>
    <w:rsid w:val="00946D00"/>
    <w:rsid w:val="00946D85"/>
    <w:rsid w:val="00947FEB"/>
    <w:rsid w:val="00952961"/>
    <w:rsid w:val="009578DF"/>
    <w:rsid w:val="0096391F"/>
    <w:rsid w:val="00964858"/>
    <w:rsid w:val="00967D3E"/>
    <w:rsid w:val="00970482"/>
    <w:rsid w:val="009713C4"/>
    <w:rsid w:val="00974781"/>
    <w:rsid w:val="00975D76"/>
    <w:rsid w:val="00977B50"/>
    <w:rsid w:val="00983758"/>
    <w:rsid w:val="00990C2F"/>
    <w:rsid w:val="00991C00"/>
    <w:rsid w:val="00993082"/>
    <w:rsid w:val="009B0033"/>
    <w:rsid w:val="009B10BA"/>
    <w:rsid w:val="009B36F4"/>
    <w:rsid w:val="009B4F69"/>
    <w:rsid w:val="009C28EA"/>
    <w:rsid w:val="009C41C6"/>
    <w:rsid w:val="009C47AF"/>
    <w:rsid w:val="009C5F8C"/>
    <w:rsid w:val="009D10B5"/>
    <w:rsid w:val="009D3013"/>
    <w:rsid w:val="009D3893"/>
    <w:rsid w:val="009D6C74"/>
    <w:rsid w:val="009E3E0C"/>
    <w:rsid w:val="009E786F"/>
    <w:rsid w:val="009F0646"/>
    <w:rsid w:val="009F41F0"/>
    <w:rsid w:val="00A107D6"/>
    <w:rsid w:val="00A11720"/>
    <w:rsid w:val="00A260B1"/>
    <w:rsid w:val="00A26511"/>
    <w:rsid w:val="00A377B3"/>
    <w:rsid w:val="00A43E1B"/>
    <w:rsid w:val="00A502B9"/>
    <w:rsid w:val="00A50AD1"/>
    <w:rsid w:val="00A62E77"/>
    <w:rsid w:val="00A63DF6"/>
    <w:rsid w:val="00A646E0"/>
    <w:rsid w:val="00A65783"/>
    <w:rsid w:val="00A65B6D"/>
    <w:rsid w:val="00A67EDA"/>
    <w:rsid w:val="00A73896"/>
    <w:rsid w:val="00A75B83"/>
    <w:rsid w:val="00A7676E"/>
    <w:rsid w:val="00A84F0F"/>
    <w:rsid w:val="00A91342"/>
    <w:rsid w:val="00A97866"/>
    <w:rsid w:val="00AA4D42"/>
    <w:rsid w:val="00AB08D8"/>
    <w:rsid w:val="00AB1909"/>
    <w:rsid w:val="00AB7D74"/>
    <w:rsid w:val="00AD11E2"/>
    <w:rsid w:val="00AD1E9F"/>
    <w:rsid w:val="00AD4D36"/>
    <w:rsid w:val="00AE0C96"/>
    <w:rsid w:val="00AE3999"/>
    <w:rsid w:val="00AE4112"/>
    <w:rsid w:val="00AE65F5"/>
    <w:rsid w:val="00AE6E3B"/>
    <w:rsid w:val="00AE71B0"/>
    <w:rsid w:val="00AF491E"/>
    <w:rsid w:val="00AF51E2"/>
    <w:rsid w:val="00B0346C"/>
    <w:rsid w:val="00B0510E"/>
    <w:rsid w:val="00B051A6"/>
    <w:rsid w:val="00B13081"/>
    <w:rsid w:val="00B1635D"/>
    <w:rsid w:val="00B2146E"/>
    <w:rsid w:val="00B25830"/>
    <w:rsid w:val="00B34E76"/>
    <w:rsid w:val="00B3524E"/>
    <w:rsid w:val="00B376EB"/>
    <w:rsid w:val="00B414EB"/>
    <w:rsid w:val="00B420A9"/>
    <w:rsid w:val="00B42D7B"/>
    <w:rsid w:val="00B54040"/>
    <w:rsid w:val="00B57DE2"/>
    <w:rsid w:val="00B6106D"/>
    <w:rsid w:val="00B61E69"/>
    <w:rsid w:val="00B646BC"/>
    <w:rsid w:val="00B72158"/>
    <w:rsid w:val="00B82B18"/>
    <w:rsid w:val="00B8581A"/>
    <w:rsid w:val="00B87102"/>
    <w:rsid w:val="00B90612"/>
    <w:rsid w:val="00BB4E5B"/>
    <w:rsid w:val="00BC13C1"/>
    <w:rsid w:val="00BD260B"/>
    <w:rsid w:val="00BD6636"/>
    <w:rsid w:val="00BD6795"/>
    <w:rsid w:val="00BF28CD"/>
    <w:rsid w:val="00BF5095"/>
    <w:rsid w:val="00BF6740"/>
    <w:rsid w:val="00C04478"/>
    <w:rsid w:val="00C1314D"/>
    <w:rsid w:val="00C16E60"/>
    <w:rsid w:val="00C17B7E"/>
    <w:rsid w:val="00C265F4"/>
    <w:rsid w:val="00C27515"/>
    <w:rsid w:val="00C30B34"/>
    <w:rsid w:val="00C3233A"/>
    <w:rsid w:val="00C413CD"/>
    <w:rsid w:val="00C41FA6"/>
    <w:rsid w:val="00C43E8B"/>
    <w:rsid w:val="00C46B9D"/>
    <w:rsid w:val="00C475FB"/>
    <w:rsid w:val="00C511BB"/>
    <w:rsid w:val="00C51713"/>
    <w:rsid w:val="00C54237"/>
    <w:rsid w:val="00C57FEA"/>
    <w:rsid w:val="00C602F5"/>
    <w:rsid w:val="00C64132"/>
    <w:rsid w:val="00C72669"/>
    <w:rsid w:val="00C72EF4"/>
    <w:rsid w:val="00C82CD7"/>
    <w:rsid w:val="00C8771D"/>
    <w:rsid w:val="00C87C53"/>
    <w:rsid w:val="00C91634"/>
    <w:rsid w:val="00C92F95"/>
    <w:rsid w:val="00C9611C"/>
    <w:rsid w:val="00CA1097"/>
    <w:rsid w:val="00CA1FEC"/>
    <w:rsid w:val="00CA3F4A"/>
    <w:rsid w:val="00CA4950"/>
    <w:rsid w:val="00CB1F71"/>
    <w:rsid w:val="00CB51DD"/>
    <w:rsid w:val="00CB6ACB"/>
    <w:rsid w:val="00CB7CF6"/>
    <w:rsid w:val="00CD1FCE"/>
    <w:rsid w:val="00CD315C"/>
    <w:rsid w:val="00CD3B3D"/>
    <w:rsid w:val="00CD65D7"/>
    <w:rsid w:val="00CE0DAB"/>
    <w:rsid w:val="00CE594F"/>
    <w:rsid w:val="00CE5AAB"/>
    <w:rsid w:val="00CE7715"/>
    <w:rsid w:val="00CF05F6"/>
    <w:rsid w:val="00CF1298"/>
    <w:rsid w:val="00CF19F9"/>
    <w:rsid w:val="00CF38BF"/>
    <w:rsid w:val="00CF4161"/>
    <w:rsid w:val="00CF7E29"/>
    <w:rsid w:val="00D02F80"/>
    <w:rsid w:val="00D04538"/>
    <w:rsid w:val="00D144C9"/>
    <w:rsid w:val="00D17567"/>
    <w:rsid w:val="00D17B4D"/>
    <w:rsid w:val="00D209F8"/>
    <w:rsid w:val="00D214EA"/>
    <w:rsid w:val="00D2594D"/>
    <w:rsid w:val="00D304A3"/>
    <w:rsid w:val="00D357CD"/>
    <w:rsid w:val="00D3593E"/>
    <w:rsid w:val="00D36332"/>
    <w:rsid w:val="00D47BF8"/>
    <w:rsid w:val="00D561D7"/>
    <w:rsid w:val="00D56F46"/>
    <w:rsid w:val="00D613FD"/>
    <w:rsid w:val="00D63E1D"/>
    <w:rsid w:val="00D642A3"/>
    <w:rsid w:val="00D76C70"/>
    <w:rsid w:val="00D8619B"/>
    <w:rsid w:val="00D91C91"/>
    <w:rsid w:val="00D93762"/>
    <w:rsid w:val="00D93F16"/>
    <w:rsid w:val="00D9597B"/>
    <w:rsid w:val="00DA2C97"/>
    <w:rsid w:val="00DB09A9"/>
    <w:rsid w:val="00DB22E3"/>
    <w:rsid w:val="00DB3F47"/>
    <w:rsid w:val="00DB4B73"/>
    <w:rsid w:val="00DC0B04"/>
    <w:rsid w:val="00DC1607"/>
    <w:rsid w:val="00DC4540"/>
    <w:rsid w:val="00DC723C"/>
    <w:rsid w:val="00DD1C0B"/>
    <w:rsid w:val="00DD7B47"/>
    <w:rsid w:val="00DE3175"/>
    <w:rsid w:val="00DE754F"/>
    <w:rsid w:val="00DF13D9"/>
    <w:rsid w:val="00E00735"/>
    <w:rsid w:val="00E135C3"/>
    <w:rsid w:val="00E25BE5"/>
    <w:rsid w:val="00E275FE"/>
    <w:rsid w:val="00E3175F"/>
    <w:rsid w:val="00E31DA0"/>
    <w:rsid w:val="00E331F2"/>
    <w:rsid w:val="00E34248"/>
    <w:rsid w:val="00E40BA7"/>
    <w:rsid w:val="00E42081"/>
    <w:rsid w:val="00E430AE"/>
    <w:rsid w:val="00E50CF3"/>
    <w:rsid w:val="00E63308"/>
    <w:rsid w:val="00E676B8"/>
    <w:rsid w:val="00E77945"/>
    <w:rsid w:val="00E80E0C"/>
    <w:rsid w:val="00E864DC"/>
    <w:rsid w:val="00E922D5"/>
    <w:rsid w:val="00E92417"/>
    <w:rsid w:val="00E924A3"/>
    <w:rsid w:val="00EA3E16"/>
    <w:rsid w:val="00EA578E"/>
    <w:rsid w:val="00EA5E17"/>
    <w:rsid w:val="00EB657F"/>
    <w:rsid w:val="00EC26D2"/>
    <w:rsid w:val="00EC4181"/>
    <w:rsid w:val="00ED20D8"/>
    <w:rsid w:val="00EE292E"/>
    <w:rsid w:val="00EF0019"/>
    <w:rsid w:val="00EF1BA6"/>
    <w:rsid w:val="00EF3331"/>
    <w:rsid w:val="00EF4D43"/>
    <w:rsid w:val="00EF4EB0"/>
    <w:rsid w:val="00EF6B3D"/>
    <w:rsid w:val="00F02CCD"/>
    <w:rsid w:val="00F105B0"/>
    <w:rsid w:val="00F12558"/>
    <w:rsid w:val="00F12684"/>
    <w:rsid w:val="00F1296A"/>
    <w:rsid w:val="00F15EEB"/>
    <w:rsid w:val="00F209B8"/>
    <w:rsid w:val="00F2222E"/>
    <w:rsid w:val="00F27248"/>
    <w:rsid w:val="00F30B81"/>
    <w:rsid w:val="00F313EC"/>
    <w:rsid w:val="00F357B4"/>
    <w:rsid w:val="00F405B1"/>
    <w:rsid w:val="00F55492"/>
    <w:rsid w:val="00F57585"/>
    <w:rsid w:val="00F62631"/>
    <w:rsid w:val="00F62C18"/>
    <w:rsid w:val="00F62F08"/>
    <w:rsid w:val="00F631E2"/>
    <w:rsid w:val="00F64477"/>
    <w:rsid w:val="00F64A51"/>
    <w:rsid w:val="00F678D3"/>
    <w:rsid w:val="00F7182D"/>
    <w:rsid w:val="00F7426F"/>
    <w:rsid w:val="00F76B81"/>
    <w:rsid w:val="00F77104"/>
    <w:rsid w:val="00F77F42"/>
    <w:rsid w:val="00F77F6A"/>
    <w:rsid w:val="00F80254"/>
    <w:rsid w:val="00F809F0"/>
    <w:rsid w:val="00F82CA4"/>
    <w:rsid w:val="00F85E19"/>
    <w:rsid w:val="00F91B9F"/>
    <w:rsid w:val="00F95777"/>
    <w:rsid w:val="00F975D0"/>
    <w:rsid w:val="00FA091C"/>
    <w:rsid w:val="00FA20AC"/>
    <w:rsid w:val="00FA3F12"/>
    <w:rsid w:val="00FB526A"/>
    <w:rsid w:val="00FC5F0F"/>
    <w:rsid w:val="00FD3326"/>
    <w:rsid w:val="00FF32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F1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084"/>
  </w:style>
  <w:style w:type="paragraph" w:styleId="Heading1">
    <w:name w:val="heading 1"/>
    <w:basedOn w:val="Normal"/>
    <w:next w:val="Normal"/>
    <w:link w:val="Heading1Char"/>
    <w:uiPriority w:val="9"/>
    <w:qFormat/>
    <w:rsid w:val="002A38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38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38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38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38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3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8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38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38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38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38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3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8E4"/>
    <w:rPr>
      <w:rFonts w:eastAsiaTheme="majorEastAsia" w:cstheme="majorBidi"/>
      <w:color w:val="272727" w:themeColor="text1" w:themeTint="D8"/>
    </w:rPr>
  </w:style>
  <w:style w:type="paragraph" w:styleId="Title">
    <w:name w:val="Title"/>
    <w:basedOn w:val="Normal"/>
    <w:next w:val="Normal"/>
    <w:link w:val="TitleChar"/>
    <w:uiPriority w:val="10"/>
    <w:qFormat/>
    <w:rsid w:val="002A3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8E4"/>
    <w:pPr>
      <w:spacing w:before="160"/>
      <w:jc w:val="center"/>
    </w:pPr>
    <w:rPr>
      <w:i/>
      <w:iCs/>
      <w:color w:val="404040" w:themeColor="text1" w:themeTint="BF"/>
    </w:rPr>
  </w:style>
  <w:style w:type="character" w:customStyle="1" w:styleId="QuoteChar">
    <w:name w:val="Quote Char"/>
    <w:basedOn w:val="DefaultParagraphFont"/>
    <w:link w:val="Quote"/>
    <w:uiPriority w:val="29"/>
    <w:rsid w:val="002A38E4"/>
    <w:rPr>
      <w:i/>
      <w:iCs/>
      <w:color w:val="404040" w:themeColor="text1" w:themeTint="BF"/>
    </w:rPr>
  </w:style>
  <w:style w:type="paragraph" w:styleId="ListParagraph">
    <w:name w:val="List Paragraph"/>
    <w:basedOn w:val="Normal"/>
    <w:uiPriority w:val="34"/>
    <w:qFormat/>
    <w:rsid w:val="002A38E4"/>
    <w:pPr>
      <w:ind w:left="720"/>
      <w:contextualSpacing/>
    </w:pPr>
  </w:style>
  <w:style w:type="character" w:styleId="IntenseEmphasis">
    <w:name w:val="Intense Emphasis"/>
    <w:basedOn w:val="DefaultParagraphFont"/>
    <w:uiPriority w:val="21"/>
    <w:qFormat/>
    <w:rsid w:val="002A38E4"/>
    <w:rPr>
      <w:i/>
      <w:iCs/>
      <w:color w:val="2F5496" w:themeColor="accent1" w:themeShade="BF"/>
    </w:rPr>
  </w:style>
  <w:style w:type="paragraph" w:styleId="IntenseQuote">
    <w:name w:val="Intense Quote"/>
    <w:basedOn w:val="Normal"/>
    <w:next w:val="Normal"/>
    <w:link w:val="IntenseQuoteChar"/>
    <w:uiPriority w:val="30"/>
    <w:qFormat/>
    <w:rsid w:val="002A3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38E4"/>
    <w:rPr>
      <w:i/>
      <w:iCs/>
      <w:color w:val="2F5496" w:themeColor="accent1" w:themeShade="BF"/>
    </w:rPr>
  </w:style>
  <w:style w:type="character" w:styleId="IntenseReference">
    <w:name w:val="Intense Reference"/>
    <w:basedOn w:val="DefaultParagraphFont"/>
    <w:uiPriority w:val="32"/>
    <w:qFormat/>
    <w:rsid w:val="002A38E4"/>
    <w:rPr>
      <w:b/>
      <w:bCs/>
      <w:smallCaps/>
      <w:color w:val="2F5496" w:themeColor="accent1" w:themeShade="BF"/>
      <w:spacing w:val="5"/>
    </w:rPr>
  </w:style>
  <w:style w:type="table" w:styleId="TableGrid">
    <w:name w:val="Table Grid"/>
    <w:basedOn w:val="TableNormal"/>
    <w:uiPriority w:val="39"/>
    <w:rsid w:val="002A66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F957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F9577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A78F8"/>
    <w:rPr>
      <w:color w:val="0563C1" w:themeColor="hyperlink"/>
      <w:u w:val="single"/>
    </w:rPr>
  </w:style>
  <w:style w:type="character" w:customStyle="1" w:styleId="UnresolvedMention">
    <w:name w:val="Unresolved Mention"/>
    <w:basedOn w:val="DefaultParagraphFont"/>
    <w:uiPriority w:val="99"/>
    <w:semiHidden/>
    <w:unhideWhenUsed/>
    <w:rsid w:val="008C7F19"/>
    <w:rPr>
      <w:color w:val="605E5C"/>
      <w:shd w:val="clear" w:color="auto" w:fill="E1DFDD"/>
    </w:rPr>
  </w:style>
  <w:style w:type="paragraph" w:styleId="Header">
    <w:name w:val="header"/>
    <w:basedOn w:val="Normal"/>
    <w:link w:val="HeaderChar"/>
    <w:uiPriority w:val="99"/>
    <w:unhideWhenUsed/>
    <w:rsid w:val="007E3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4C5"/>
  </w:style>
  <w:style w:type="paragraph" w:styleId="Footer">
    <w:name w:val="footer"/>
    <w:basedOn w:val="Normal"/>
    <w:link w:val="FooterChar"/>
    <w:uiPriority w:val="99"/>
    <w:unhideWhenUsed/>
    <w:rsid w:val="007E3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4C5"/>
  </w:style>
  <w:style w:type="paragraph" w:styleId="BalloonText">
    <w:name w:val="Balloon Text"/>
    <w:basedOn w:val="Normal"/>
    <w:link w:val="BalloonTextChar"/>
    <w:uiPriority w:val="99"/>
    <w:semiHidden/>
    <w:unhideWhenUsed/>
    <w:rsid w:val="00F20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9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084"/>
  </w:style>
  <w:style w:type="paragraph" w:styleId="Heading1">
    <w:name w:val="heading 1"/>
    <w:basedOn w:val="Normal"/>
    <w:next w:val="Normal"/>
    <w:link w:val="Heading1Char"/>
    <w:uiPriority w:val="9"/>
    <w:qFormat/>
    <w:rsid w:val="002A38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38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38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38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38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3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8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38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38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38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38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3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8E4"/>
    <w:rPr>
      <w:rFonts w:eastAsiaTheme="majorEastAsia" w:cstheme="majorBidi"/>
      <w:color w:val="272727" w:themeColor="text1" w:themeTint="D8"/>
    </w:rPr>
  </w:style>
  <w:style w:type="paragraph" w:styleId="Title">
    <w:name w:val="Title"/>
    <w:basedOn w:val="Normal"/>
    <w:next w:val="Normal"/>
    <w:link w:val="TitleChar"/>
    <w:uiPriority w:val="10"/>
    <w:qFormat/>
    <w:rsid w:val="002A3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8E4"/>
    <w:pPr>
      <w:spacing w:before="160"/>
      <w:jc w:val="center"/>
    </w:pPr>
    <w:rPr>
      <w:i/>
      <w:iCs/>
      <w:color w:val="404040" w:themeColor="text1" w:themeTint="BF"/>
    </w:rPr>
  </w:style>
  <w:style w:type="character" w:customStyle="1" w:styleId="QuoteChar">
    <w:name w:val="Quote Char"/>
    <w:basedOn w:val="DefaultParagraphFont"/>
    <w:link w:val="Quote"/>
    <w:uiPriority w:val="29"/>
    <w:rsid w:val="002A38E4"/>
    <w:rPr>
      <w:i/>
      <w:iCs/>
      <w:color w:val="404040" w:themeColor="text1" w:themeTint="BF"/>
    </w:rPr>
  </w:style>
  <w:style w:type="paragraph" w:styleId="ListParagraph">
    <w:name w:val="List Paragraph"/>
    <w:basedOn w:val="Normal"/>
    <w:uiPriority w:val="34"/>
    <w:qFormat/>
    <w:rsid w:val="002A38E4"/>
    <w:pPr>
      <w:ind w:left="720"/>
      <w:contextualSpacing/>
    </w:pPr>
  </w:style>
  <w:style w:type="character" w:styleId="IntenseEmphasis">
    <w:name w:val="Intense Emphasis"/>
    <w:basedOn w:val="DefaultParagraphFont"/>
    <w:uiPriority w:val="21"/>
    <w:qFormat/>
    <w:rsid w:val="002A38E4"/>
    <w:rPr>
      <w:i/>
      <w:iCs/>
      <w:color w:val="2F5496" w:themeColor="accent1" w:themeShade="BF"/>
    </w:rPr>
  </w:style>
  <w:style w:type="paragraph" w:styleId="IntenseQuote">
    <w:name w:val="Intense Quote"/>
    <w:basedOn w:val="Normal"/>
    <w:next w:val="Normal"/>
    <w:link w:val="IntenseQuoteChar"/>
    <w:uiPriority w:val="30"/>
    <w:qFormat/>
    <w:rsid w:val="002A3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38E4"/>
    <w:rPr>
      <w:i/>
      <w:iCs/>
      <w:color w:val="2F5496" w:themeColor="accent1" w:themeShade="BF"/>
    </w:rPr>
  </w:style>
  <w:style w:type="character" w:styleId="IntenseReference">
    <w:name w:val="Intense Reference"/>
    <w:basedOn w:val="DefaultParagraphFont"/>
    <w:uiPriority w:val="32"/>
    <w:qFormat/>
    <w:rsid w:val="002A38E4"/>
    <w:rPr>
      <w:b/>
      <w:bCs/>
      <w:smallCaps/>
      <w:color w:val="2F5496" w:themeColor="accent1" w:themeShade="BF"/>
      <w:spacing w:val="5"/>
    </w:rPr>
  </w:style>
  <w:style w:type="table" w:styleId="TableGrid">
    <w:name w:val="Table Grid"/>
    <w:basedOn w:val="TableNormal"/>
    <w:uiPriority w:val="39"/>
    <w:rsid w:val="002A66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F957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F9577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A78F8"/>
    <w:rPr>
      <w:color w:val="0563C1" w:themeColor="hyperlink"/>
      <w:u w:val="single"/>
    </w:rPr>
  </w:style>
  <w:style w:type="character" w:customStyle="1" w:styleId="UnresolvedMention">
    <w:name w:val="Unresolved Mention"/>
    <w:basedOn w:val="DefaultParagraphFont"/>
    <w:uiPriority w:val="99"/>
    <w:semiHidden/>
    <w:unhideWhenUsed/>
    <w:rsid w:val="008C7F19"/>
    <w:rPr>
      <w:color w:val="605E5C"/>
      <w:shd w:val="clear" w:color="auto" w:fill="E1DFDD"/>
    </w:rPr>
  </w:style>
  <w:style w:type="paragraph" w:styleId="Header">
    <w:name w:val="header"/>
    <w:basedOn w:val="Normal"/>
    <w:link w:val="HeaderChar"/>
    <w:uiPriority w:val="99"/>
    <w:unhideWhenUsed/>
    <w:rsid w:val="007E3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4C5"/>
  </w:style>
  <w:style w:type="paragraph" w:styleId="Footer">
    <w:name w:val="footer"/>
    <w:basedOn w:val="Normal"/>
    <w:link w:val="FooterChar"/>
    <w:uiPriority w:val="99"/>
    <w:unhideWhenUsed/>
    <w:rsid w:val="007E3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4C5"/>
  </w:style>
  <w:style w:type="paragraph" w:styleId="BalloonText">
    <w:name w:val="Balloon Text"/>
    <w:basedOn w:val="Normal"/>
    <w:link w:val="BalloonTextChar"/>
    <w:uiPriority w:val="99"/>
    <w:semiHidden/>
    <w:unhideWhenUsed/>
    <w:rsid w:val="00F20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1701">
      <w:bodyDiv w:val="1"/>
      <w:marLeft w:val="0"/>
      <w:marRight w:val="0"/>
      <w:marTop w:val="0"/>
      <w:marBottom w:val="0"/>
      <w:divBdr>
        <w:top w:val="none" w:sz="0" w:space="0" w:color="auto"/>
        <w:left w:val="none" w:sz="0" w:space="0" w:color="auto"/>
        <w:bottom w:val="none" w:sz="0" w:space="0" w:color="auto"/>
        <w:right w:val="none" w:sz="0" w:space="0" w:color="auto"/>
      </w:divBdr>
    </w:div>
    <w:div w:id="514423615">
      <w:bodyDiv w:val="1"/>
      <w:marLeft w:val="0"/>
      <w:marRight w:val="0"/>
      <w:marTop w:val="0"/>
      <w:marBottom w:val="0"/>
      <w:divBdr>
        <w:top w:val="none" w:sz="0" w:space="0" w:color="auto"/>
        <w:left w:val="none" w:sz="0" w:space="0" w:color="auto"/>
        <w:bottom w:val="none" w:sz="0" w:space="0" w:color="auto"/>
        <w:right w:val="none" w:sz="0" w:space="0" w:color="auto"/>
      </w:divBdr>
    </w:div>
    <w:div w:id="878275314">
      <w:bodyDiv w:val="1"/>
      <w:marLeft w:val="0"/>
      <w:marRight w:val="0"/>
      <w:marTop w:val="0"/>
      <w:marBottom w:val="0"/>
      <w:divBdr>
        <w:top w:val="none" w:sz="0" w:space="0" w:color="auto"/>
        <w:left w:val="none" w:sz="0" w:space="0" w:color="auto"/>
        <w:bottom w:val="none" w:sz="0" w:space="0" w:color="auto"/>
        <w:right w:val="none" w:sz="0" w:space="0" w:color="auto"/>
      </w:divBdr>
    </w:div>
    <w:div w:id="1395355085">
      <w:bodyDiv w:val="1"/>
      <w:marLeft w:val="0"/>
      <w:marRight w:val="0"/>
      <w:marTop w:val="0"/>
      <w:marBottom w:val="0"/>
      <w:divBdr>
        <w:top w:val="none" w:sz="0" w:space="0" w:color="auto"/>
        <w:left w:val="none" w:sz="0" w:space="0" w:color="auto"/>
        <w:bottom w:val="none" w:sz="0" w:space="0" w:color="auto"/>
        <w:right w:val="none" w:sz="0" w:space="0" w:color="auto"/>
      </w:divBdr>
    </w:div>
    <w:div w:id="1493989720">
      <w:bodyDiv w:val="1"/>
      <w:marLeft w:val="0"/>
      <w:marRight w:val="0"/>
      <w:marTop w:val="0"/>
      <w:marBottom w:val="0"/>
      <w:divBdr>
        <w:top w:val="none" w:sz="0" w:space="0" w:color="auto"/>
        <w:left w:val="none" w:sz="0" w:space="0" w:color="auto"/>
        <w:bottom w:val="none" w:sz="0" w:space="0" w:color="auto"/>
        <w:right w:val="none" w:sz="0" w:space="0" w:color="auto"/>
      </w:divBdr>
    </w:div>
    <w:div w:id="1578708207">
      <w:bodyDiv w:val="1"/>
      <w:marLeft w:val="0"/>
      <w:marRight w:val="0"/>
      <w:marTop w:val="0"/>
      <w:marBottom w:val="0"/>
      <w:divBdr>
        <w:top w:val="none" w:sz="0" w:space="0" w:color="auto"/>
        <w:left w:val="none" w:sz="0" w:space="0" w:color="auto"/>
        <w:bottom w:val="none" w:sz="0" w:space="0" w:color="auto"/>
        <w:right w:val="none" w:sz="0" w:space="0" w:color="auto"/>
      </w:divBdr>
    </w:div>
    <w:div w:id="1694916434">
      <w:bodyDiv w:val="1"/>
      <w:marLeft w:val="0"/>
      <w:marRight w:val="0"/>
      <w:marTop w:val="0"/>
      <w:marBottom w:val="0"/>
      <w:divBdr>
        <w:top w:val="none" w:sz="0" w:space="0" w:color="auto"/>
        <w:left w:val="none" w:sz="0" w:space="0" w:color="auto"/>
        <w:bottom w:val="none" w:sz="0" w:space="0" w:color="auto"/>
        <w:right w:val="none" w:sz="0" w:space="0" w:color="auto"/>
      </w:divBdr>
    </w:div>
    <w:div w:id="1992560854">
      <w:bodyDiv w:val="1"/>
      <w:marLeft w:val="0"/>
      <w:marRight w:val="0"/>
      <w:marTop w:val="0"/>
      <w:marBottom w:val="0"/>
      <w:divBdr>
        <w:top w:val="none" w:sz="0" w:space="0" w:color="auto"/>
        <w:left w:val="none" w:sz="0" w:space="0" w:color="auto"/>
        <w:bottom w:val="none" w:sz="0" w:space="0" w:color="auto"/>
        <w:right w:val="none" w:sz="0" w:space="0" w:color="auto"/>
      </w:divBdr>
    </w:div>
    <w:div w:id="2091845953">
      <w:bodyDiv w:val="1"/>
      <w:marLeft w:val="0"/>
      <w:marRight w:val="0"/>
      <w:marTop w:val="0"/>
      <w:marBottom w:val="0"/>
      <w:divBdr>
        <w:top w:val="none" w:sz="0" w:space="0" w:color="auto"/>
        <w:left w:val="none" w:sz="0" w:space="0" w:color="auto"/>
        <w:bottom w:val="none" w:sz="0" w:space="0" w:color="auto"/>
        <w:right w:val="none" w:sz="0" w:space="0" w:color="auto"/>
      </w:divBdr>
    </w:div>
    <w:div w:id="21081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budget.gov.i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13</Pages>
  <Words>4852</Words>
  <Characters>27661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KAUSHLENDRA SRIVASTAVA</dc:creator>
  <cp:lastModifiedBy>ADMIN</cp:lastModifiedBy>
  <cp:revision>18</cp:revision>
  <cp:lastPrinted>2025-06-17T07:26:00Z</cp:lastPrinted>
  <dcterms:created xsi:type="dcterms:W3CDTF">2025-07-02T07:47:00Z</dcterms:created>
  <dcterms:modified xsi:type="dcterms:W3CDTF">2025-07-02T12:05:00Z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c68a265e-90f7-479d-9f6f-47a259699c7e</vt:lpwstr>
  </property>
</Properties>
</file>