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53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REVIVING FROM THE PANDEMIC: STRATEGIES FOR TRAVEL AND </w:t>
      </w:r>
      <w:bookmarkStart w:id="0" w:name="_Hlk201854139"/>
      <w:r>
        <w:rPr>
          <w:rFonts w:ascii="Times New Roman" w:hAnsi="Times New Roman" w:cs="Times New Roman"/>
          <w:b/>
          <w:sz w:val="24"/>
          <w:szCs w:val="24"/>
        </w:rPr>
        <w:t>TOURISM INDUSTRY</w:t>
      </w:r>
      <w:bookmarkEnd w:id="0"/>
    </w:p>
    <w:p w14:paraId="0270F24E">
      <w:pPr>
        <w:spacing w:after="0" w:line="360" w:lineRule="auto"/>
        <w:jc w:val="center"/>
        <w:rPr>
          <w:rFonts w:ascii="Times New Roman" w:hAnsi="Times New Roman" w:cs="Times New Roman"/>
          <w:b/>
          <w:sz w:val="24"/>
          <w:szCs w:val="24"/>
        </w:rPr>
      </w:pPr>
    </w:p>
    <w:p w14:paraId="2ADEDCFC">
      <w:pPr>
        <w:spacing w:after="0" w:line="360" w:lineRule="auto"/>
        <w:rPr>
          <w:rFonts w:ascii="Times New Roman" w:hAnsi="Times New Roman" w:cs="Times New Roman"/>
          <w:b/>
          <w:sz w:val="24"/>
          <w:szCs w:val="24"/>
        </w:rPr>
      </w:pPr>
    </w:p>
    <w:p w14:paraId="6809E381">
      <w:pPr>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p>
    <w:p w14:paraId="5E69BF2D">
      <w:pPr>
        <w:autoSpaceDE w:val="0"/>
        <w:autoSpaceDN w:val="0"/>
        <w:adjustRightInd w:val="0"/>
        <w:spacing w:after="0"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Travel restrictions due to COVID-19 outbreak in India, all type of public transportation and tourist visas being suspended and hence India will lose tourists incoming from various states of India as well as from other country. Research aim is to measure the change in travellers’ preference and expectations due to CORONA Pandemic in the state of Gujarat and to provide strategies for reviving travel and tourism industry. Total 1043 travellers from Gujarat state were selected conveniently and surveyed online through structured questionnaire during pandemic era. Inferential statistical tools were used to infer the data collected for its Significance.  Data revealed the changed in travel plan, travelling duration, preferred mode of transportation and Convoys prefer during travelling. On the other hand significant impact has been found on travel plan due to COVID-19 outbreak. This study will help to entire links of travels to make proper strategies to cope up with the challenges that tourism sector are facing due to COVID-19 outbreak. Executing strategies recommended in this research will help to reducing the pandemic's troublesome effects on the travel industry and it will help in building an environment that will make it simpler for travellers incoming from India and from other country.</w:t>
      </w:r>
      <w:commentRangeEnd w:id="0"/>
      <w:r>
        <w:commentReference w:id="0"/>
      </w:r>
    </w:p>
    <w:p w14:paraId="19D81018">
      <w:pPr>
        <w:autoSpaceDE w:val="0"/>
        <w:autoSpaceDN w:val="0"/>
        <w:adjustRightInd w:val="0"/>
        <w:spacing w:after="0" w:line="360" w:lineRule="auto"/>
        <w:jc w:val="both"/>
        <w:rPr>
          <w:rFonts w:ascii="Times New Roman" w:hAnsi="Times New Roman" w:cs="Times New Roman"/>
          <w:b/>
          <w:sz w:val="24"/>
          <w:szCs w:val="24"/>
        </w:rPr>
      </w:pPr>
    </w:p>
    <w:p w14:paraId="10EE2E0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14:paraId="1C689D0F">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Booking; </w:t>
      </w:r>
      <w:r>
        <w:rPr>
          <w:rFonts w:ascii="Times New Roman" w:hAnsi="Times New Roman" w:cs="Times New Roman"/>
          <w:sz w:val="24"/>
          <w:szCs w:val="24"/>
        </w:rPr>
        <w:t>Corona virus; COVID-19</w:t>
      </w:r>
      <w:r>
        <w:rPr>
          <w:rFonts w:ascii="Times New Roman" w:hAnsi="Times New Roman" w:cs="Times New Roman"/>
          <w:sz w:val="24"/>
          <w:szCs w:val="24"/>
          <w:lang w:bidi="gu-IN"/>
        </w:rPr>
        <w:t>; Outbreak; Public Transportation; Tourism; Travel Plan</w:t>
      </w:r>
    </w:p>
    <w:p w14:paraId="745E0C1B">
      <w:pPr>
        <w:spacing w:after="0" w:line="360" w:lineRule="auto"/>
        <w:jc w:val="both"/>
        <w:rPr>
          <w:rFonts w:ascii="Times New Roman" w:hAnsi="Times New Roman" w:cs="Times New Roman"/>
          <w:b/>
          <w:sz w:val="24"/>
          <w:szCs w:val="24"/>
        </w:rPr>
      </w:pPr>
    </w:p>
    <w:p w14:paraId="570368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commentRangeStart w:id="1"/>
      <w:r>
        <w:rPr>
          <w:rFonts w:ascii="Times New Roman" w:hAnsi="Times New Roman" w:cs="Times New Roman"/>
          <w:b/>
          <w:sz w:val="24"/>
          <w:szCs w:val="24"/>
        </w:rPr>
        <w:t xml:space="preserve">Introduction </w:t>
      </w:r>
      <w:commentRangeEnd w:id="1"/>
      <w:r>
        <w:commentReference w:id="1"/>
      </w:r>
    </w:p>
    <w:p w14:paraId="38D9AB7D">
      <w:pPr>
        <w:pStyle w:val="15"/>
        <w:shd w:val="clear" w:color="auto" w:fill="FFFFFF"/>
        <w:spacing w:before="0" w:beforeAutospacing="0" w:after="0" w:afterAutospacing="0" w:line="360" w:lineRule="auto"/>
        <w:jc w:val="both"/>
        <w:rPr>
          <w:bCs/>
        </w:rPr>
      </w:pPr>
      <w:r>
        <w:rPr>
          <w:bCs/>
        </w:rPr>
        <w:t xml:space="preserve">It is evident that Wuhan city in the Hubei province of China became the epicentre of an unnamed disease detected on </w:t>
      </w:r>
      <w:commentRangeStart w:id="2"/>
      <w:r>
        <w:rPr>
          <w:bCs/>
        </w:rPr>
        <w:t>31</w:t>
      </w:r>
      <w:r>
        <w:rPr>
          <w:bCs/>
          <w:vertAlign w:val="superscript"/>
        </w:rPr>
        <w:t>st</w:t>
      </w:r>
      <w:r>
        <w:rPr>
          <w:bCs/>
        </w:rPr>
        <w:t xml:space="preserve"> December, 2020</w:t>
      </w:r>
      <w:r>
        <w:rPr>
          <w:rStyle w:val="11"/>
          <w:bCs/>
        </w:rPr>
        <w:footnoteReference w:id="0"/>
      </w:r>
      <w:r>
        <w:rPr>
          <w:bCs/>
        </w:rPr>
        <w:t>.</w:t>
      </w:r>
      <w:commentRangeEnd w:id="2"/>
      <w:r>
        <w:commentReference w:id="2"/>
      </w:r>
      <w:r>
        <w:rPr>
          <w:bCs/>
        </w:rPr>
        <w:t xml:space="preserve"> World Health Organization (WHO) was informed for the initially detected pneumonia cases but later on by 7</w:t>
      </w:r>
      <w:r>
        <w:rPr>
          <w:bCs/>
          <w:vertAlign w:val="superscript"/>
        </w:rPr>
        <w:t>th</w:t>
      </w:r>
      <w:r>
        <w:rPr>
          <w:bCs/>
        </w:rPr>
        <w:t xml:space="preserve"> January, 2020 Chinese authorities identified the virus as Corona virus and later on WHO renamed it as SARS-CoV-2 and the disease caused by the virus is named as COVID-19. The disease is declared as pandemic by WHO on 11</w:t>
      </w:r>
      <w:r>
        <w:rPr>
          <w:bCs/>
          <w:vertAlign w:val="superscript"/>
        </w:rPr>
        <w:t>th</w:t>
      </w:r>
      <w:r>
        <w:rPr>
          <w:bCs/>
        </w:rPr>
        <w:t xml:space="preserve"> March, 2020 as about 200 countries have been affected by it. The virus is highly contagious and it spreads quickly and as of 27</w:t>
      </w:r>
      <w:r>
        <w:rPr>
          <w:bCs/>
          <w:vertAlign w:val="superscript"/>
        </w:rPr>
        <w:t>th</w:t>
      </w:r>
      <w:r>
        <w:rPr>
          <w:bCs/>
        </w:rPr>
        <w:t xml:space="preserve"> August, 2021, a total of 214,468,601</w:t>
      </w:r>
      <w:r>
        <w:rPr>
          <w:b/>
          <w:bCs/>
        </w:rPr>
        <w:t xml:space="preserve"> </w:t>
      </w:r>
      <w:r>
        <w:rPr>
          <w:bCs/>
        </w:rPr>
        <w:t xml:space="preserve">confirmed cases and 4,470,969 deaths due to COVID-19 have been reported worldwide </w:t>
      </w:r>
      <w:r>
        <w:rPr>
          <w:bCs/>
        </w:rPr>
        <w:fldChar w:fldCharType="begin" w:fldLock="1"/>
      </w:r>
      <w:r>
        <w:rPr>
          <w:bCs/>
        </w:rPr>
        <w:instrText xml:space="preserve">ADDIN CSL_CITATION {"citationItems":[{"id":"ITEM-1","itemData":{"URL":"https://covid19.who.int/","author":[{"dropping-particle":"","family":"Dashboard","given":"WHO Health Emergency","non-dropping-particle":"","parse-names":false,"suffix":""}],"container-title":"https://covid19.who.int/","id":"ITEM-1","issued":{"date-parts":[["2021"]]},"title":"WHO Coronavirus (COVID-19) Dashboard","type":"webpage"},"uris":["http://www.mendeley.com/documents/?uuid=6af2619c-62a3-4a32-934b-0e04f34fe028"]}],"mendeley":{"formattedCitation":"(Dashboard 2021)","plainTextFormattedCitation":"(Dashboard 2021)","previouslyFormattedCitation":"(Dashboard 2021)"},"properties":{"noteIndex":0},"schema":"https://github.com/citation-style-language/schema/raw/master/csl-citation.json"}</w:instrText>
      </w:r>
      <w:r>
        <w:rPr>
          <w:bCs/>
        </w:rPr>
        <w:fldChar w:fldCharType="separate"/>
      </w:r>
      <w:r>
        <w:rPr>
          <w:bCs/>
        </w:rPr>
        <w:t>(Dashboard 2021)</w:t>
      </w:r>
      <w:r>
        <w:rPr>
          <w:bCs/>
        </w:rPr>
        <w:fldChar w:fldCharType="end"/>
      </w:r>
      <w:r>
        <w:rPr>
          <w:bCs/>
        </w:rPr>
        <w:t>.</w:t>
      </w:r>
    </w:p>
    <w:p w14:paraId="1194BAC5">
      <w:pPr>
        <w:pStyle w:val="15"/>
        <w:shd w:val="clear" w:color="auto" w:fill="FFFFFF"/>
        <w:spacing w:before="0" w:beforeAutospacing="0" w:after="0" w:afterAutospacing="0" w:line="360" w:lineRule="auto"/>
        <w:jc w:val="both"/>
        <w:rPr>
          <w:bCs/>
        </w:rPr>
      </w:pPr>
      <w:r>
        <w:rPr>
          <w:bCs/>
        </w:rPr>
        <w:t xml:space="preserve">The virus is commonly found amongst animals like camels, cats, bats etc. and it rarely gets transferred or spread n to humans and spread amongst humans. But this time world witnessed Corona viruses fitting to a large family of viruses, approximately producing serious illness in people instigating the outbreak of Severe Acute Respiratory Syndrome and Middle East Respiratory Syndrome. The etiologic representative accountable for current outbreak of SARS-CoV-2 is a novel corona virus meticulously linked to SARS-Corona virus </w:t>
      </w:r>
      <w:r>
        <w:rPr>
          <w:bCs/>
        </w:rPr>
        <w:fldChar w:fldCharType="begin" w:fldLock="1"/>
      </w:r>
      <w:r>
        <w:rPr>
          <w:bCs/>
        </w:rPr>
        <w:instrText xml:space="preserve">ADDIN CSL_CITATION {"citationItems":[{"id":"ITEM-1","itemData":{"URL":"https://www.mohfw.gov.in/pdf/3ContainmentPlanforLargeOutbreaksofCOVID19Final.pdf","author":[{"dropping-particle":"","family":"Welfare","given":"Ministry of Health and Family","non-dropping-particle":"","parse-names":false,"suffix":""},{"dropping-particle":"","family":"India","given":"Government of","non-dropping-particle":"","parse-names":false,"suffix":""}],"container-title":"https://www.mohfw.gov.in/pdf/3ContainmentPlanforLargeOutbreaksofCOVID19Final.pdf","id":"ITEM-1","issued":{"date-parts":[["2020"]]},"title":"Containment Plan for Large Outbreaks","type":"webpage"},"uris":["http://www.mendeley.com/documents/?uuid=cbfdf6ad-5107-47c7-af4a-2db0f65e2f03"]}],"mendeley":{"formattedCitation":"(Welfare and India 2020)","plainTextFormattedCitation":"(Welfare and India 2020)","previouslyFormattedCitation":"(Welfare and India 2020)"},"properties":{"noteIndex":0},"schema":"https://github.com/citation-style-language/schema/raw/master/csl-citation.json"}</w:instrText>
      </w:r>
      <w:r>
        <w:rPr>
          <w:bCs/>
        </w:rPr>
        <w:fldChar w:fldCharType="separate"/>
      </w:r>
      <w:r>
        <w:rPr>
          <w:bCs/>
        </w:rPr>
        <w:t>(Welfare and India 2020)</w:t>
      </w:r>
      <w:r>
        <w:rPr>
          <w:bCs/>
        </w:rPr>
        <w:fldChar w:fldCharType="end"/>
      </w:r>
      <w:r>
        <w:rPr>
          <w:bCs/>
        </w:rPr>
        <w:t xml:space="preserve">. In people, the transmission of SARS-CoV-2 can unfold by means of respiratory outflows, straightforwardly through drops from sniffling, or in a roundabout way through sullied items or surfaces as well as close contacts </w:t>
      </w:r>
      <w:r>
        <w:rPr>
          <w:bCs/>
        </w:rPr>
        <w:fldChar w:fldCharType="begin" w:fldLock="1"/>
      </w:r>
      <w:r>
        <w:rPr>
          <w:bCs/>
        </w:rPr>
        <w:instrText xml:space="preserve">ADDIN CSL_CITATION {"citationItems":[{"id":"ITEM-1","itemData":{"abstract":"Task Force has also been formed. Central and State Governments have helpline numbers. The Ministry of External Affairs, Air India and the Indian Air Force have been effective in evacuating Indian nationals, foreign nationals from the virus affected countries. Government declared nationwide lockdown and all public transportation services had been called off by the Union Government till further notices. Ministry of Road Transport and Highways and Ministry of Aviation have taken necessary Precautionary action to contain the outbreak of Covid-19.","author":[{"dropping-particle":"","family":"Patel","given":"Prakashkumar","non-dropping-particle":"","parse-names":false,"suffix":""},{"dropping-particle":"","family":"Shah","given":"Niharika","non-dropping-particle":"","parse-names":false,"suffix":""},{"dropping-particle":"","family":"Sinha","given":"Kunjal","non-dropping-particle":"","parse-names":false,"suffix":""},{"dropping-particle":"","family":"Thakar","given":"Hetal","non-dropping-particle":"","parse-names":false,"suffix":""}],"container-title":"International Journal of Mechanical and Production Engineering Research and Development","id":"ITEM-1","issue":"3","issued":{"date-parts":[["2020"]]},"page":"2325-2338","title":"Government Response to Contain the Outbreak of COVID-19 with special reference to Public Transporattaion System in India","type":"article-journal","volume":"10"},"uris":["http://www.mendeley.com/documents/?uuid=fa2263c9-8d0a-363d-8600-165e7cf4665f"]}],"mendeley":{"formattedCitation":"(P. Patel et al. 2020)","plainTextFormattedCitation":"(P. Patel et al. 2020)","previouslyFormattedCitation":"(P. Patel et al. 2020)"},"properties":{"noteIndex":0},"schema":"https://github.com/citation-style-language/schema/raw/master/csl-citation.json"}</w:instrText>
      </w:r>
      <w:r>
        <w:rPr>
          <w:bCs/>
        </w:rPr>
        <w:fldChar w:fldCharType="separate"/>
      </w:r>
      <w:r>
        <w:rPr>
          <w:bCs/>
        </w:rPr>
        <w:t>(P. Patel et al. 2020)</w:t>
      </w:r>
      <w:r>
        <w:rPr>
          <w:bCs/>
        </w:rPr>
        <w:fldChar w:fldCharType="end"/>
      </w:r>
      <w:r>
        <w:rPr>
          <w:bCs/>
        </w:rPr>
        <w:t xml:space="preserve">. </w:t>
      </w:r>
    </w:p>
    <w:p w14:paraId="11CDE1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Almost all the sectors across the world are going to be affected but the business which is going to be affected the greatest will be Global Tourism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{"citationItems":[{"id":"ITEM-1","itemData":{"abstract":"The aim of this paper is to study the impact of COVID-19 on Transportation system of India. Exploratory research designed has been used and secondary data have been collected from various external sources to study the impact on Road, Railway and Aviation in India. All public transportation services had been called off by the Union Government till further notices. The corona virus pandemic has a significant impact on Road, Railway and aviation as a result of restrictions imposed by Government on travel as well as due to fall in demand among the travellers they will face huge loss. As a result to this most of the airlines are collapsing without any substantial government intervention. No past research has discovered the Impact of COVID-19 on Indian Transportation System. Future research will be carried out based on the findings of this study.","author":[{"dropping-particle":"","family":"Patel","given":"Divyesh","non-dropping-particle":"","parse-names":false,"suffix":""},{"dropping-particle":"","family":"Vahoniya","given":"D","non-dropping-particle":"","parse-names":false,"suffix":""},{"dropping-particle":"","family":"Patel","given":"Prakashkumar","non-dropping-particle":"","parse-names":false,"suffix":""},{"dropping-particle":"","family":"Shah","given":"Niharika","non-dropping-particle":"","parse-names":false,"suffix":""}],"container-title":"International Journal of Mechanical and Production Engineering Research and Development","id":"ITEM-1","issue":"3","issued":{"date-parts":[["2020"]]},"page":"5655 - 5664","title":"IMPACT OF COVID-19 ON TRANSPORTATION SYSTEM OF INDIA","type":"article-journal","volume":"10"},"uris":["http://www.mendeley.com/documents/?uuid=25d7df73-b6e4-37d7-af3c-be2987b2fa04"]}],"mendeley":{"formattedCitation":"(D. Patel et al. 2020)","plainTextFormattedCitation":"(D. Patel et al. 2020)","previouslyFormattedCitation":"(D. Patel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(D. Patel et al. 2020)</w:t>
      </w:r>
      <w:r>
        <w:rPr>
          <w:rFonts w:ascii="Times New Roman" w:hAnsi="Times New Roman" w:cs="Times New Roman"/>
          <w:sz w:val="24"/>
          <w:szCs w:val="24"/>
        </w:rPr>
        <w:fldChar w:fldCharType="end"/>
      </w:r>
      <w:r>
        <w:rPr>
          <w:rFonts w:ascii="Times New Roman" w:hAnsi="Times New Roman" w:cs="Times New Roman"/>
          <w:sz w:val="24"/>
          <w:szCs w:val="24"/>
        </w:rPr>
        <w:t>. Vulnerability caused by the COVID-19 is subject to upon four major aspects viz. How far and fast the virus is spread, how long with different vaccines are found, how operative the policy makers will be in justifying the impairment to our physical-economical health-well-being and people’s sense of anxiety which essentially armours all the four reasons which eventually will decide the final outcome of the crisis. Almost all the borders of the countries were closed during its peak time and now they are opened with restricted mode for inestimable time as of now and travel and tourism industry no sooner shall find itself facing with unparalleled level of disruption.</w:t>
      </w:r>
    </w:p>
    <w:p w14:paraId="22574F9D">
      <w:pPr>
        <w:pStyle w:val="15"/>
        <w:spacing w:before="0" w:beforeAutospacing="0" w:after="0" w:afterAutospacing="0" w:line="360" w:lineRule="auto"/>
        <w:jc w:val="both"/>
        <w:rPr>
          <w:b/>
        </w:rPr>
      </w:pPr>
      <w:commentRangeStart w:id="3"/>
      <w:r>
        <w:rPr>
          <w:b/>
        </w:rPr>
        <w:t>2. Literature Review</w:t>
      </w:r>
      <w:commentRangeEnd w:id="3"/>
      <w:r>
        <w:commentReference w:id="3"/>
      </w:r>
    </w:p>
    <w:p w14:paraId="0A96027F">
      <w:pPr>
        <w:pStyle w:val="15"/>
        <w:shd w:val="clear" w:color="auto" w:fill="FFFFFF"/>
        <w:spacing w:before="0" w:beforeAutospacing="0" w:after="0" w:afterAutospacing="0" w:line="360" w:lineRule="auto"/>
        <w:jc w:val="both"/>
        <w:textAlignment w:val="baseline"/>
      </w:pPr>
      <w:r>
        <w:rPr>
          <w:bCs/>
        </w:rPr>
        <w:t xml:space="preserve">Estimated loss due to controlled travel amongst countries is anticipated about 10-trillion to country’s economy, touching about 70% of employment directly or indirectly and calculations are that this pandemic may leave about 38-million people without job or business directly or indirectly as supposed by Federation of Associations in Indian Tourism &amp; Hospitality (FAITH), resulting into All-India bankruptcies, closure of businesses, and mass unemployment </w:t>
      </w:r>
      <w:r>
        <w:rPr>
          <w:bCs/>
        </w:rPr>
        <w:fldChar w:fldCharType="begin" w:fldLock="1"/>
      </w:r>
      <w:r>
        <w:rPr>
          <w:bCs/>
        </w:rPr>
        <w:instrText xml:space="preserve">ADDIN CSL_CITATION {"citationItems":[{"id":"ITEM-1","itemData":{"author":[{"dropping-particle":"","family":"Dutta","given":"Arnab","non-dropping-particle":"","parse-names":false,"suffix":""}],"container-title":"Business Standard, https://www.business-standard.com/article/economy-policy/coronavirus-impact-may-render-38-mn-jobless-in-indian-tourism-industry-120031901851_1.html","id":"ITEM-1","issued":{"date-parts":[["2020"]]},"title":"Coronavirus impact may render 38 mn jobless in Indian tourism industry","type":"article-newspaper"},"uris":["http://www.mendeley.com/documents/?uuid=233b5ce2-b8d7-47e6-bebb-14e6a968df53"]}],"mendeley":{"formattedCitation":"(Dutta 2020)","plainTextFormattedCitation":"(Dutta 2020)","previouslyFormattedCitation":"(Dutta 2020)"},"properties":{"noteIndex":0},"schema":"https://github.com/citation-style-language/schema/raw/master/csl-citation.json"}</w:instrText>
      </w:r>
      <w:r>
        <w:rPr>
          <w:bCs/>
        </w:rPr>
        <w:fldChar w:fldCharType="separate"/>
      </w:r>
      <w:r>
        <w:rPr>
          <w:bCs/>
        </w:rPr>
        <w:t>(Dutta 2020)</w:t>
      </w:r>
      <w:r>
        <w:rPr>
          <w:bCs/>
        </w:rPr>
        <w:fldChar w:fldCharType="end"/>
      </w:r>
      <w:r>
        <w:rPr>
          <w:bCs/>
        </w:rPr>
        <w:t xml:space="preserve">. This pandemic have affected the tourism industry in worst ever manner till date </w:t>
      </w:r>
      <w:r>
        <w:t xml:space="preserve">impacting all its terrestrial segments—inbound, outbound and domestic, and distressing practically all travel industry verticals- leisure, adventure, legacy, MICE, cruise, corporate and specialty fragments including entire the travel industry esteem chain across lodgings, travel planners, tour operations, objections, cafés, family amusement scenes and air, land and ocean transportation have been hit according to industry chamber CII </w:t>
      </w:r>
      <w:r>
        <w:fldChar w:fldCharType="begin" w:fldLock="1"/>
      </w:r>
      <w:r>
        <w:instrText xml:space="preserve">ADDIN CSL_CITATION {"citationItems":[{"id":"ITEM-1","itemData":{"author":[{"dropping-particle":"","family":"PTI","given":"","non-dropping-particle":"","parse-names":false,"suffix":""}],"container-title":"https://www.theweek.in/news/biz-tech/2020/03/12/coronavirus-impact-indian-tourism-could-run-into-thousands-of-crores-of-rupees.html","id":"ITEM-1","issued":{"date-parts":[["2020"]]},"title":"Coronavirus impact: Indian tourism could run into thousands of crores of rupees of loss","type":"webpage"},"uris":["http://www.mendeley.com/documents/?uuid=7ccf50a8-59f3-43e6-b14a-f6b2a2340d47"]}],"mendeley":{"formattedCitation":"(PTI 2020)","plainTextFormattedCitation":"(PTI 2020)","previouslyFormattedCitation":"(PTI 2020)"},"properties":{"noteIndex":0},"schema":"https://github.com/citation-style-language/schema/raw/master/csl-citation.json"}</w:instrText>
      </w:r>
      <w:r>
        <w:fldChar w:fldCharType="separate"/>
      </w:r>
      <w:r>
        <w:t>(PTI 2020)</w:t>
      </w:r>
      <w:r>
        <w:fldChar w:fldCharType="end"/>
      </w:r>
      <w:r>
        <w:t xml:space="preserve"> </w:t>
      </w:r>
      <w:r>
        <w:fldChar w:fldCharType="begin" w:fldLock="1"/>
      </w:r>
      <w:r>
        <w:instrText xml:space="preserve">ADDIN CSL_CITATION {"citationItems":[{"id":"ITEM-1","itemData":{"author":[{"dropping-particle":"","family":"Bhadeshiya","given":"Hardik","non-dropping-particle":"","parse-names":false,"suffix":""},{"dropping-particle":"","family":"Patel","given":"Prakashkumar","non-dropping-particle":"","parse-names":false,"suffix":""},{"dropping-particle":"","family":"Patel","given":"Baxis","non-dropping-particle":"","parse-names":false,"suffix":""}],"container-title":"Sodh Sanchar Bulletin, ISSN 2229-3620","id":"ITEM-1","issue":"40","issued":{"date-parts":[["2020"]]},"title":"A Study on People Engagement in various Activities during First Lockdown in Gujarat","type":"article-journal","volume":"10"},"uris":["http://www.mendeley.com/documents/?uuid=dc7f48d1-69cf-4627-a6aa-5e7822a09c77"]}],"mendeley":{"formattedCitation":"(Bhadeshiya, Patel, and Patel 2020)","plainTextFormattedCitation":"(Bhadeshiya, Patel, and Patel 2020)","previouslyFormattedCitation":"(Bhadeshiya, Patel, and Patel 2020)"},"properties":{"noteIndex":0},"schema":"https://github.com/citation-style-language/schema/raw/master/csl-citation.json"}</w:instrText>
      </w:r>
      <w:r>
        <w:fldChar w:fldCharType="separate"/>
      </w:r>
      <w:r>
        <w:t>(Bhadeshiya, Patel, and Patel 2020)</w:t>
      </w:r>
      <w:r>
        <w:fldChar w:fldCharType="end"/>
      </w:r>
      <w:r>
        <w:t xml:space="preserve">. </w:t>
      </w:r>
    </w:p>
    <w:p w14:paraId="37EA680D">
      <w:pPr>
        <w:pStyle w:val="15"/>
        <w:shd w:val="clear" w:color="auto" w:fill="FFFFFF"/>
        <w:spacing w:before="0" w:beforeAutospacing="0" w:after="0" w:afterAutospacing="0" w:line="360" w:lineRule="auto"/>
        <w:jc w:val="both"/>
      </w:pPr>
      <w:r>
        <w:t xml:space="preserve">Researcher have continued broadcasting experience to significant epidemics and diseases (e.g., AIDS, SARS, Foot and Mouth illness, and Bird Flu), catastrophic events (e.g., the Indian Ocean tidal wave, storm Katrina), riots, psychological warfare, political flimsiness, crime, and so forth; can be continuing and is expected to  have a continual impact on the apparent image of tourism destinations </w:t>
      </w:r>
      <w:r>
        <w:fldChar w:fldCharType="begin" w:fldLock="1"/>
      </w:r>
      <w:r>
        <w:instrText xml:space="preserve">ADDIN CSL_CITATION {"citationItems":[{"id":"ITEM-1","itemData":{"author":[{"dropping-particle":"","family":"Beirman","given":"D","non-dropping-particle":"","parse-names":false,"suffix":""}],"container-title":"New South Wales, , Australia: Allen and Unwin.","id":"ITEM-1","issued":{"date-parts":[["2003"]]},"title":"Restoring tourism destinations in crisis: A strategic marketing approach","type":"webpage"},"uris":["http://www.mendeley.com/documents/?uuid=9faf6271-c498-4f2b-a953-9dc641e2bbe1"]}],"mendeley":{"formattedCitation":"(Beirman 2003)","plainTextFormattedCitation":"(Beirman 2003)","previouslyFormattedCitation":"(Beirman 2003)"},"properties":{"noteIndex":0},"schema":"https://github.com/citation-style-language/schema/raw/master/csl-citation.json"}</w:instrText>
      </w:r>
      <w:r>
        <w:fldChar w:fldCharType="separate"/>
      </w:r>
      <w:r>
        <w:t>(Beirman 2003)</w:t>
      </w:r>
      <w:r>
        <w:fldChar w:fldCharType="end"/>
      </w:r>
      <w:r>
        <w:t xml:space="preserve">. Hence, occurrence of above mentioned events may have impact on both destination and individual’s decision regarding substitute potential travellers. Many possibilities may occur on permutations and combination basis i.e., few individuals may altogether cancel their trip, others may delay, few may change their destination due to risk factors and there may be some who would continue either by taking risks or it is because they find the offer lucrative. Few individuals are less likely exposed to take risk due to lack of self confidence in them and hence may cancel or postpone to the travel destinations where chances of occurrence of disasters or natural calamities are there but most particularly when they occur in destinations which they may consider visiting or plan to visit </w:t>
      </w:r>
      <w:r>
        <w:fldChar w:fldCharType="begin" w:fldLock="1"/>
      </w:r>
      <w:r>
        <w:instrText xml:space="preserve">ADDIN CSL_CITATION {"citationItems":[{"id":"ITEM-1","itemData":{"author":[{"dropping-particle":"","family":"Dickman","given":"S","non-dropping-particle":"","parse-names":false,"suffix":""}],"container-title":"Melbourne: Oxford University Press","id":"ITEM-1","issued":{"date-parts":[["2003"]]},"title":"Tourism and hospitality marketing","type":"webpage"},"uris":["http://www.mendeley.com/documents/?uuid=9959425c-76a0-4ddb-b2e3-abf4d2f5b4c4"]}],"mendeley":{"formattedCitation":"(Dickman 2003)","plainTextFormattedCitation":"(Dickman 2003)","previouslyFormattedCitation":"(Dickman 2003)"},"properties":{"noteIndex":0},"schema":"https://github.com/citation-style-language/schema/raw/master/csl-citation.json"}</w:instrText>
      </w:r>
      <w:r>
        <w:fldChar w:fldCharType="separate"/>
      </w:r>
      <w:r>
        <w:t>(Dickman 2003)</w:t>
      </w:r>
      <w:r>
        <w:fldChar w:fldCharType="end"/>
      </w:r>
      <w:r>
        <w:t xml:space="preserve">. Analysts have inspected whether traveller self‐confidence advances the response to an assortment of antagonistic occasions. A scale for estimating consumer self‐confidence while buying consumer items was tried and the outcomes demonstrate that the scale capacities well as far as estimating consumer travel self‐confidence. The study also found significant associations between this self‐confidence measure and different measures of travel conduct in light of the impact of antagonistic occasions </w:t>
      </w:r>
      <w:r>
        <w:rPr>
          <w:rFonts w:eastAsiaTheme="minorHAnsi"/>
          <w:bCs/>
          <w:lang w:eastAsia="en-US"/>
        </w:rPr>
        <w:fldChar w:fldCharType="begin" w:fldLock="1"/>
      </w:r>
      <w:r>
        <w:rPr>
          <w:rFonts w:eastAsiaTheme="minorHAnsi"/>
          <w:bCs/>
          <w:lang w:eastAsia="en-US"/>
        </w:rPr>
        <w:instrText xml:space="preserve">ADDIN CSL_CITATION {"citationItems":[{"id":"ITEM-1","itemData":{"DOI":"10.1080/10548400802164871","ISSN":"10548408","abstract":"The international travel and tourism industry has experienced the negative impact of a variety of both human-caused and natural disasters and events or threats which appear to have increased in frequency and severity in recent years. The impact of these risks on travel consumers has been significant. An understanding of how travelers react to these risks is therefore of particular interest to tourism marketers. This study investigates whether traveler self-confidence ameliorates the reaction to a variety of adverse events. A scale for measuring consumer self-confidence when purchasing consumer products was tested and the results indicate that the scale functions well in terms of measuring consumer travel self-confidence. The study also found significant associations between this self-confidence measure and various measures of travel behavior in response to the influence of adverse events. © 2008 The Haworth Press. All rights reserved.","author":[{"dropping-particle":"","family":"Valencia","given":"Juliana","non-dropping-particle":"","parse-names":false,"suffix":""},{"dropping-particle":"","family":"Crouch","given":"Geoffrey","non-dropping-particle":"","parse-names":false,"suffix":""}],"container-title":"Journal of Travel and Tourism Marketing","id":"ITEM-1","issue":"1","issued":{"date-parts":[["2008"]]},"page":"25-42","title":"Travel behavior in troubled times: The role of consumer self-confidence","type":"article-journal","volume":"25"},"uris":["http://www.mendeley.com/documents/?uuid=387494ed-1f65-40ab-aee3-bb63115c2e23"]}],"mendeley":{"formattedCitation":"(Valencia and Crouch 2008)","plainTextFormattedCitation":"(Valencia and Crouch 2008)","previouslyFormattedCitation":"(Valencia and Crouch 2008)"},"properties":{"noteIndex":0},"schema":"https://github.com/citation-style-language/schema/raw/master/csl-citation.json"}</w:instrText>
      </w:r>
      <w:r>
        <w:rPr>
          <w:rFonts w:eastAsiaTheme="minorHAnsi"/>
          <w:bCs/>
          <w:lang w:eastAsia="en-US"/>
        </w:rPr>
        <w:fldChar w:fldCharType="separate"/>
      </w:r>
      <w:r>
        <w:rPr>
          <w:rFonts w:eastAsiaTheme="minorHAnsi"/>
          <w:bCs/>
          <w:lang w:eastAsia="en-US"/>
        </w:rPr>
        <w:t>(Valencia and Crouch 2008)</w:t>
      </w:r>
      <w:r>
        <w:rPr>
          <w:rFonts w:eastAsiaTheme="minorHAnsi"/>
          <w:bCs/>
          <w:lang w:eastAsia="en-US"/>
        </w:rPr>
        <w:fldChar w:fldCharType="end"/>
      </w:r>
      <w:r>
        <w:t>.</w:t>
      </w:r>
    </w:p>
    <w:p w14:paraId="36A6911E">
      <w:pPr>
        <w:pStyle w:val="15"/>
        <w:shd w:val="clear" w:color="auto" w:fill="FFFFFF"/>
        <w:spacing w:before="0" w:beforeAutospacing="0" w:after="0" w:afterAutospacing="0" w:line="360" w:lineRule="auto"/>
        <w:jc w:val="both"/>
      </w:pPr>
      <w:r>
        <w:t xml:space="preserve">Interesting outcome of study directed by the researcher heightened thoughtful of travel behaviour differences depend across domiciliary kinds in cities as well as life sequences of individuals. Researchers have explored that there exists the relation between presence of young children in the family with relatively higher auto use, and lower levels of physically active travel (i.e., walking and bicycling) and public transit use. The research also explored the negative impact of young children on average and school-age children in particular, on adults’ active travel is knowingly better for men than women and in addition, identified factors that can help reduce gender inequality in auto use and active travel within households with one or more young children </w:t>
      </w:r>
      <w:r>
        <w:fldChar w:fldCharType="begin" w:fldLock="1"/>
      </w:r>
      <w:r>
        <w:instrText xml:space="preserve">ADDIN CSL_CITATION {"citationItems":[{"id":"ITEM-1","itemData":{"DOI":"https://doi.org/10.1016/j.tra.2018.12.022","author":[{"dropping-particle":"","family":"Joh","given":"Chakrabarti and","non-dropping-particle":"","parse-names":false,"suffix":""}],"container-title":"Transportation Research Part A: Policy and Practice","id":"ITEM-1","issue":"120","issued":{"date-parts":[["2019"]]},"page":"101- 115","title":"The effect of parenthood on travel behavior: Evidence from the California Household Travel Survey","type":"article-journal"},"uris":["http://www.mendeley.com/documents/?uuid=679993b1-838a-4412-a6c1-9c6163e31448"]}],"mendeley":{"formattedCitation":"(Joh 2019)","plainTextFormattedCitation":"(Joh 2019)","previouslyFormattedCitation":"(Joh 2019)"},"properties":{"noteIndex":0},"schema":"https://github.com/citation-style-language/schema/raw/master/csl-citation.json"}</w:instrText>
      </w:r>
      <w:r>
        <w:fldChar w:fldCharType="separate"/>
      </w:r>
      <w:r>
        <w:t>(Joh 2019)</w:t>
      </w:r>
      <w:r>
        <w:fldChar w:fldCharType="end"/>
      </w:r>
      <w:r>
        <w:t xml:space="preserve">. Researcher has industrialized a valid and reliable dimension scale assisting in improving the effective management of the memorable experience of your travel plan. The scale includes seven domains: pleasure-seeking, nourishment, local culture, significance, facts, involvement, and novelty supporting the data with this dimensional structure of the extraordinary tourism involvement as well as its internal steadiness and validity (i.e., content, construct, convergent, and discriminate validity) </w:t>
      </w:r>
      <w:r>
        <w:fldChar w:fldCharType="begin" w:fldLock="1"/>
      </w:r>
      <w:r>
        <w:instrText xml:space="preserve">ADDIN CSL_CITATION {"citationItems":[{"id":"ITEM-1","itemData":{"DOI":"10.1177/0047287510385467","author":[{"dropping-particle":"","family":"Kim et","given":"","non-dropping-particle":"","parse-names":false,"suffix":""}],"container-title":"Journal of Travel Research","id":"ITEM-1","issue":"51","issued":{"date-parts":[["2010"]]},"page":"12-25","title":"Development of a Scale to Measure Memorable Tourism Experience","type":"article-journal","volume":"1"},"uris":["http://www.mendeley.com/documents/?uuid=a2092772-f3ea-44b9-b945-f00dcfa065c8"]}],"mendeley":{"formattedCitation":"(Kim et 2010)","manualFormatting":"(Kim et all 2010)","plainTextFormattedCitation":"(Kim et 2010)","previouslyFormattedCitation":"(Kim et 2010)"},"properties":{"noteIndex":0},"schema":"https://github.com/citation-style-language/schema/raw/master/csl-citation.json"}</w:instrText>
      </w:r>
      <w:r>
        <w:fldChar w:fldCharType="separate"/>
      </w:r>
      <w:r>
        <w:t>(Kim et all 2010)</w:t>
      </w:r>
      <w:r>
        <w:fldChar w:fldCharType="end"/>
      </w:r>
      <w:r>
        <w:rPr>
          <w:rFonts w:eastAsiaTheme="minorHAnsi"/>
          <w:lang w:eastAsia="en-US"/>
        </w:rPr>
        <w:t xml:space="preserve">. </w:t>
      </w:r>
    </w:p>
    <w:p w14:paraId="2F19EFEF">
      <w:pPr>
        <w:pStyle w:val="15"/>
        <w:shd w:val="clear" w:color="auto" w:fill="FFFFFF"/>
        <w:spacing w:before="0" w:beforeAutospacing="0" w:after="0" w:afterAutospacing="0" w:line="360" w:lineRule="auto"/>
        <w:jc w:val="both"/>
      </w:pPr>
      <w:r>
        <w:t xml:space="preserve">The theoretical framework was about travel behaviour research through a description of the scope of the research object, fundamentally human activity calendars, and a conceptualisation of the traveller as a net performer exchanging infrastructure and human networks and dealing with the social content of the activities undertaken. Later part of the research is an operationalisation of this framework through the dynamic micro simulation of daily life nested within the micro simulation of longer-term projects and choices </w:t>
      </w:r>
      <w:r>
        <w:fldChar w:fldCharType="begin" w:fldLock="1"/>
      </w:r>
      <w:r>
        <w:instrText xml:space="preserve">ADDIN CSL_CITATION {"citationItems":[{"id":"ITEM-1","itemData":{"author":[{"dropping-particle":"","family":"Axhausen","given":"","non-dropping-particle":"","parse-names":false,"suffix":""}],"container-title":"https://www.researchgate.net/publication/237262766_Concepts_of_Travel_Behavior_Research/link/0deec525ce0c1cdf9e000000/download","id":"ITEM-1","issued":{"date-parts":[["2007"]]},"title":"Concepts of Travel Behavior Research","type":"webpage"},"uris":["http://www.mendeley.com/documents/?uuid=adde5ae7-031a-4d36-84d3-c5b62d5de110"]}],"mendeley":{"formattedCitation":"(Axhausen 2007)","plainTextFormattedCitation":"(Axhausen 2007)","previouslyFormattedCitation":"(Axhausen 2007)"},"properties":{"noteIndex":0},"schema":"https://github.com/citation-style-language/schema/raw/master/csl-citation.json"}</w:instrText>
      </w:r>
      <w:r>
        <w:fldChar w:fldCharType="separate"/>
      </w:r>
      <w:r>
        <w:t>(Axhausen 2007)</w:t>
      </w:r>
      <w:r>
        <w:fldChar w:fldCharType="end"/>
      </w:r>
      <w:r>
        <w:t xml:space="preserve">. Researchers have identified the most perilous qualities of use of social media in tourism, with the intent to explore the association between traveller’s perceptions of social media, essential features and benefits, and the consequences of the users. Social media in tourism may be of value creation when formed to realize the functions apply to tourism and the benefits perceived as employing social media for tourism affecting traveller’s influence on value creation to tourists when planning a trip and travelling. The exploration of their study was the most critical and various social media resources for travellers are vital, and it can be a potential and crucial sustainable support because of Value, Rareness, Limitability, and Non-substitutable </w:t>
      </w:r>
      <w:r>
        <w:fldChar w:fldCharType="begin" w:fldLock="1"/>
      </w:r>
      <w:r>
        <w:instrText xml:space="preserve">ADDIN CSL_CITATION {"citationItems":[{"id":"ITEM-1","itemData":{"author":[{"dropping-particle":"","family":"Ly","given":"","non-dropping-particle":"","parse-names":false,"suffix":""}],"container-title":"Journal of Tourism &amp; Hospitality","id":"ITEM-1","issue":"1","issued":{"date-parts":[["2020"]]},"page":"424","title":"Effect of Social Media in Tourism (Case in Cambodia)","type":"legal_case","volume":"9"},"uris":["http://www.mendeley.com/documents/?uuid=d131e2d4-ee50-4ec2-ac30-3c52af376584"]}],"mendeley":{"formattedCitation":"(Ly 2020)","manualFormatting":"(Ly B, et all 2020)","plainTextFormattedCitation":"(Ly 2020)","previouslyFormattedCitation":"(Ly 2020)"},"properties":{"noteIndex":0},"schema":"https://github.com/citation-style-language/schema/raw/master/csl-citation.json"}</w:instrText>
      </w:r>
      <w:r>
        <w:fldChar w:fldCharType="separate"/>
      </w:r>
      <w:r>
        <w:t>(Ly B, et all 2020)</w:t>
      </w:r>
      <w:r>
        <w:fldChar w:fldCharType="end"/>
      </w:r>
      <w:r>
        <w:t xml:space="preserve">.  </w:t>
      </w:r>
    </w:p>
    <w:p w14:paraId="11167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Due to travel restrictions, all type of public transportation and tourist visas being suspended including Domestic, Road, Railway, Ground Checks, Ships, Port and Aviation, India will lose tourists incoming from China and other East Asian countries in the first quarter due to COVID-19.   As compared to last year, this time India has recorded decline in incoming and outgoing tourist’s cancellation plans by 67% and 52%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ingh","given":"Garima","non-dropping-particle":"","parse-names":false,"suffix":""}],"container-title":"https://www.thehindubusinessline.com/economy/tourism-industry-stares-at-300-m-loss/article31025324.ece#","id":"ITEM-1","issued":{"date-parts":[["2020"]]},"title":"Tourism industry stares at $300-m loss","type":"webpage"},"uris":["http://www.mendeley.com/documents/?uuid=d3aa9b81-8a39-410c-bcb7-e206885e9f92"]}],"mendeley":{"formattedCitation":"(Singh 2020)","plainTextFormattedCitation":"(Singh 2020)","previouslyFormattedCitation":"(Singh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(Singh 2020)</w:t>
      </w:r>
      <w:r>
        <w:rPr>
          <w:rFonts w:ascii="Times New Roman" w:hAnsi="Times New Roman" w:cs="Times New Roman"/>
          <w:sz w:val="24"/>
          <w:szCs w:val="24"/>
        </w:rPr>
        <w:fldChar w:fldCharType="end"/>
      </w:r>
      <w:r>
        <w:rPr>
          <w:rFonts w:ascii="Times New Roman" w:hAnsi="Times New Roman" w:cs="Times New Roman"/>
          <w:sz w:val="24"/>
          <w:szCs w:val="24"/>
        </w:rPr>
        <w:t xml:space="preserve"> respectively Due to banned of formal and informal travels, hotel industry has faced many cancellations due to COVID-19 as most of the seminars, conferences, workshops etc. also got cancelled. Forget about normal travels, even up to 90% of Cruise bookings have been cancelled to countries like Thailand, Singapore, and Malaysia etc. As per Indian Association of Tour Operators (IATO) not only normal tour plans but entire links of travels like hotel bookings, flight bookings, tourist attractions etc may face up to 8500 crore lass due to restricted and postponed and banned international journeys in the first quarter only for which the entire loss is estimated of  around 38 million, which is 70% of total workforce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KPMG","given":"","non-dropping-particle":"","parse-names":false,"suffix":""}],"container-title":"https://home.kpmg/content/dam/kpmg/in/pdf/2020/04/potential-impact-of-covid-19-on-the-Indian-economy.pdf","id":"ITEM-1","issued":{"date-parts":[["2020"]]},"title":"Potential impact of covid 19 on the Indian economy","type":"webpage"},"uris":["http://www.mendeley.com/documents/?uuid=994bfc25-3ee0-4482-bc5e-482efa72a328"]}],"mendeley":{"formattedCitation":"(KPMG 2020)","plainTextFormattedCitation":"(KPMG 2020)","previouslyFormattedCitation":"(KPMG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(KPMG 2020)</w:t>
      </w:r>
      <w:r>
        <w:rPr>
          <w:rFonts w:ascii="Times New Roman" w:hAnsi="Times New Roman" w:cs="Times New Roman"/>
          <w:sz w:val="24"/>
          <w:szCs w:val="24"/>
        </w:rPr>
        <w:fldChar w:fldCharType="end"/>
      </w:r>
      <w:r>
        <w:rPr>
          <w:rFonts w:ascii="Times New Roman" w:hAnsi="Times New Roman" w:cs="Times New Roman"/>
          <w:sz w:val="24"/>
          <w:szCs w:val="24"/>
        </w:rPr>
        <w:t>.</w:t>
      </w:r>
    </w:p>
    <w:p w14:paraId="267839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present study aims to provide some insight on Impact of COVID-19 on tourist/traveller’s behaviour, long-term impact COVID-19 on travellers, and what sort of tactics will be needed to reinvigorate the market. </w:t>
      </w:r>
    </w:p>
    <w:p w14:paraId="6D32D549">
      <w:pPr>
        <w:pStyle w:val="15"/>
        <w:shd w:val="clear" w:color="auto" w:fill="FFFFFF"/>
        <w:spacing w:before="0" w:beforeAutospacing="0" w:after="0" w:afterAutospacing="0" w:line="360" w:lineRule="auto"/>
        <w:jc w:val="both"/>
        <w:rPr>
          <w:b/>
        </w:rPr>
      </w:pPr>
      <w:commentRangeStart w:id="4"/>
      <w:r>
        <w:rPr>
          <w:b/>
        </w:rPr>
        <w:t>3. Research Objective</w:t>
      </w:r>
      <w:commentRangeEnd w:id="4"/>
      <w:r>
        <w:commentReference w:id="4"/>
      </w:r>
    </w:p>
    <w:p w14:paraId="522D38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present research was conducted to measure the change in travellers’ preference and expectations due to CORONA Pandemic in the state of Gujarat and to provide strategies for reviving travel and tourism industry.</w:t>
      </w:r>
    </w:p>
    <w:p w14:paraId="2BE20334">
      <w:pPr>
        <w:autoSpaceDE w:val="0"/>
        <w:autoSpaceDN w:val="0"/>
        <w:adjustRightInd w:val="0"/>
        <w:spacing w:after="0" w:line="360" w:lineRule="auto"/>
        <w:jc w:val="both"/>
        <w:rPr>
          <w:rFonts w:ascii="Times New Roman" w:hAnsi="Times New Roman" w:cs="Times New Roman"/>
          <w:sz w:val="24"/>
          <w:szCs w:val="24"/>
        </w:rPr>
      </w:pPr>
    </w:p>
    <w:p w14:paraId="18A1BAC2">
      <w:pPr>
        <w:pStyle w:val="15"/>
        <w:shd w:val="clear" w:color="auto" w:fill="FFFFFF"/>
        <w:spacing w:before="0" w:beforeAutospacing="0" w:after="0" w:afterAutospacing="0" w:line="360" w:lineRule="auto"/>
        <w:jc w:val="both"/>
        <w:rPr>
          <w:b/>
        </w:rPr>
      </w:pPr>
    </w:p>
    <w:p w14:paraId="0F86684A">
      <w:pPr>
        <w:pStyle w:val="15"/>
        <w:shd w:val="clear" w:color="auto" w:fill="FFFFFF"/>
        <w:spacing w:before="0" w:beforeAutospacing="0" w:after="0" w:afterAutospacing="0" w:line="360" w:lineRule="auto"/>
        <w:jc w:val="both"/>
        <w:rPr>
          <w:b/>
        </w:rPr>
      </w:pPr>
      <w:commentRangeStart w:id="5"/>
      <w:r>
        <w:rPr>
          <w:b/>
        </w:rPr>
        <w:t>4. Research Methodology</w:t>
      </w:r>
      <w:commentRangeEnd w:id="5"/>
      <w:r>
        <w:commentReference w:id="5"/>
      </w:r>
    </w:p>
    <w:p w14:paraId="325BA11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was carried out with descriptive research design whereby primary data was collected through structured questionnaire with the help of online survey method, sent among travellers or vacationers residing in the state of Gujarat during pandemic era. Non probability convenience sampling technique was used to survey 1043 respondents from defined sampling frame. It was carried out to measure the change in travellers’ preference due to pandemic and to provide strategies for reviving travel and tourism industry.</w:t>
      </w:r>
    </w:p>
    <w:p w14:paraId="0040EB9F">
      <w:pPr>
        <w:spacing w:after="0" w:line="360" w:lineRule="auto"/>
        <w:jc w:val="both"/>
        <w:rPr>
          <w:rFonts w:ascii="Times New Roman" w:hAnsi="Times New Roman" w:cs="Times New Roman"/>
          <w:color w:val="FF0000"/>
          <w:sz w:val="24"/>
          <w:szCs w:val="24"/>
        </w:rPr>
      </w:pPr>
    </w:p>
    <w:p w14:paraId="559BDF91">
      <w:pPr>
        <w:spacing w:after="0" w:line="360" w:lineRule="auto"/>
        <w:jc w:val="both"/>
        <w:rPr>
          <w:rFonts w:ascii="Times New Roman" w:hAnsi="Times New Roman" w:cs="Times New Roman"/>
          <w:b/>
          <w:sz w:val="24"/>
          <w:szCs w:val="24"/>
        </w:rPr>
      </w:pPr>
      <w:commentRangeStart w:id="6"/>
      <w:r>
        <w:rPr>
          <w:rFonts w:ascii="Times New Roman" w:hAnsi="Times New Roman" w:cs="Times New Roman"/>
          <w:b/>
          <w:sz w:val="24"/>
          <w:szCs w:val="24"/>
        </w:rPr>
        <w:t>5. Result and Discussion</w:t>
      </w:r>
      <w:commentRangeEnd w:id="6"/>
      <w:r>
        <w:commentReference w:id="6"/>
      </w:r>
    </w:p>
    <w:p w14:paraId="57DCAF58">
      <w:pPr>
        <w:spacing w:after="0" w:line="360" w:lineRule="auto"/>
        <w:jc w:val="both"/>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5.1 Descriptive of the sample</w:t>
      </w:r>
    </w:p>
    <w:p w14:paraId="483F99E3">
      <w:pPr>
        <w:spacing w:after="0" w:line="360" w:lineRule="auto"/>
        <w:jc w:val="center"/>
        <w:rPr>
          <w:rFonts w:ascii="Times New Roman" w:hAnsi="Times New Roman" w:cs="Times New Roman"/>
          <w:b/>
          <w:sz w:val="24"/>
          <w:szCs w:val="24"/>
        </w:rPr>
      </w:pPr>
      <w:r>
        <w:rPr>
          <w:rFonts w:ascii="Times New Roman" w:hAnsi="Times New Roman" w:eastAsia="Times New Roman" w:cs="Times New Roman"/>
          <w:b/>
          <w:sz w:val="24"/>
          <w:szCs w:val="24"/>
        </w:rPr>
        <w:t xml:space="preserve">TABLE </w:t>
      </w:r>
      <w:r>
        <w:rPr>
          <w:rFonts w:ascii="Times New Roman" w:hAnsi="Times New Roman" w:eastAsia="Times New Roman" w:cs="Times New Roman"/>
          <w:b/>
          <w:bCs/>
          <w:sz w:val="24"/>
          <w:szCs w:val="24"/>
        </w:rPr>
        <w:t>1:</w:t>
      </w:r>
      <w:r>
        <w:rPr>
          <w:rFonts w:ascii="Times New Roman" w:hAnsi="Times New Roman" w:eastAsia="Times New Roman" w:cs="Times New Roman"/>
          <w:b/>
          <w:bCs/>
          <w:color w:val="000000"/>
          <w:sz w:val="24"/>
          <w:szCs w:val="24"/>
          <w:lang w:eastAsia="en-IN"/>
        </w:rPr>
        <w:t xml:space="preserve"> Descriptive of the sample</w:t>
      </w:r>
    </w:p>
    <w:tbl>
      <w:tblPr>
        <w:tblStyle w:val="6"/>
        <w:tblW w:w="5000" w:type="pct"/>
        <w:jc w:val="center"/>
        <w:tblLayout w:type="autofit"/>
        <w:tblCellMar>
          <w:top w:w="0" w:type="dxa"/>
          <w:left w:w="108" w:type="dxa"/>
          <w:bottom w:w="0" w:type="dxa"/>
          <w:right w:w="108" w:type="dxa"/>
        </w:tblCellMar>
      </w:tblPr>
      <w:tblGrid>
        <w:gridCol w:w="3250"/>
        <w:gridCol w:w="696"/>
        <w:gridCol w:w="876"/>
        <w:gridCol w:w="2823"/>
        <w:gridCol w:w="721"/>
        <w:gridCol w:w="876"/>
      </w:tblGrid>
      <w:tr w14:paraId="07A89364">
        <w:tblPrEx>
          <w:tblCellMar>
            <w:top w:w="0" w:type="dxa"/>
            <w:left w:w="108" w:type="dxa"/>
            <w:bottom w:w="0" w:type="dxa"/>
            <w:right w:w="108" w:type="dxa"/>
          </w:tblCellMar>
        </w:tblPrEx>
        <w:trPr>
          <w:trHeight w:val="330" w:hRule="atLeast"/>
          <w:jc w:val="center"/>
        </w:trPr>
        <w:tc>
          <w:tcPr>
            <w:tcW w:w="1794" w:type="pct"/>
            <w:tcBorders>
              <w:top w:val="single" w:color="auto" w:sz="8" w:space="0"/>
              <w:left w:val="nil"/>
              <w:bottom w:val="single" w:color="auto" w:sz="12" w:space="0"/>
              <w:right w:val="nil"/>
            </w:tcBorders>
            <w:shd w:val="clear" w:color="auto" w:fill="auto"/>
            <w:noWrap/>
            <w:vAlign w:val="center"/>
          </w:tcPr>
          <w:p w14:paraId="4AFF67EA">
            <w:pPr>
              <w:spacing w:after="0" w:line="360" w:lineRule="auto"/>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A. Gender</w:t>
            </w:r>
          </w:p>
        </w:tc>
        <w:tc>
          <w:tcPr>
            <w:tcW w:w="322" w:type="pct"/>
            <w:tcBorders>
              <w:top w:val="single" w:color="auto" w:sz="8" w:space="0"/>
              <w:left w:val="nil"/>
              <w:bottom w:val="single" w:color="auto" w:sz="12" w:space="0"/>
              <w:right w:val="nil"/>
            </w:tcBorders>
            <w:shd w:val="clear" w:color="auto" w:fill="auto"/>
            <w:noWrap/>
            <w:vAlign w:val="center"/>
          </w:tcPr>
          <w:p w14:paraId="43425CAA">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90" w:type="pct"/>
            <w:tcBorders>
              <w:top w:val="single" w:color="auto" w:sz="8" w:space="0"/>
              <w:left w:val="nil"/>
              <w:bottom w:val="single" w:color="auto" w:sz="12" w:space="0"/>
              <w:right w:val="nil"/>
            </w:tcBorders>
            <w:shd w:val="clear" w:color="auto" w:fill="auto"/>
            <w:noWrap/>
            <w:vAlign w:val="center"/>
          </w:tcPr>
          <w:p w14:paraId="63E9CBBC">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c>
          <w:tcPr>
            <w:tcW w:w="1507" w:type="pct"/>
            <w:tcBorders>
              <w:top w:val="single" w:color="auto" w:sz="8" w:space="0"/>
              <w:left w:val="nil"/>
              <w:bottom w:val="single" w:color="auto" w:sz="12" w:space="0"/>
              <w:right w:val="nil"/>
            </w:tcBorders>
            <w:shd w:val="clear" w:color="auto" w:fill="auto"/>
            <w:noWrap/>
            <w:vAlign w:val="center"/>
          </w:tcPr>
          <w:p w14:paraId="1B39CD4E">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B. Age (Years)</w:t>
            </w:r>
          </w:p>
        </w:tc>
        <w:tc>
          <w:tcPr>
            <w:tcW w:w="444" w:type="pct"/>
            <w:tcBorders>
              <w:top w:val="single" w:color="auto" w:sz="8" w:space="0"/>
              <w:left w:val="nil"/>
              <w:bottom w:val="single" w:color="auto" w:sz="12" w:space="0"/>
              <w:right w:val="nil"/>
            </w:tcBorders>
            <w:shd w:val="clear" w:color="auto" w:fill="auto"/>
            <w:noWrap/>
            <w:vAlign w:val="center"/>
          </w:tcPr>
          <w:p w14:paraId="1385F34B">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44" w:type="pct"/>
            <w:tcBorders>
              <w:top w:val="single" w:color="auto" w:sz="8" w:space="0"/>
              <w:left w:val="nil"/>
              <w:bottom w:val="single" w:color="auto" w:sz="12" w:space="0"/>
              <w:right w:val="nil"/>
            </w:tcBorders>
            <w:shd w:val="clear" w:color="auto" w:fill="auto"/>
            <w:noWrap/>
            <w:vAlign w:val="center"/>
          </w:tcPr>
          <w:p w14:paraId="14D34271">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r>
      <w:tr w14:paraId="0E60AEC1">
        <w:tblPrEx>
          <w:tblCellMar>
            <w:top w:w="0" w:type="dxa"/>
            <w:left w:w="108" w:type="dxa"/>
            <w:bottom w:w="0" w:type="dxa"/>
            <w:right w:w="108" w:type="dxa"/>
          </w:tblCellMar>
        </w:tblPrEx>
        <w:trPr>
          <w:trHeight w:val="315" w:hRule="atLeast"/>
          <w:jc w:val="center"/>
        </w:trPr>
        <w:tc>
          <w:tcPr>
            <w:tcW w:w="1794" w:type="pct"/>
            <w:tcBorders>
              <w:top w:val="single" w:color="auto" w:sz="12" w:space="0"/>
              <w:left w:val="nil"/>
              <w:bottom w:val="nil"/>
              <w:right w:val="nil"/>
            </w:tcBorders>
            <w:shd w:val="clear" w:color="auto" w:fill="auto"/>
            <w:noWrap/>
            <w:vAlign w:val="center"/>
          </w:tcPr>
          <w:p w14:paraId="692B087E">
            <w:pPr>
              <w:spacing w:after="0" w:line="360" w:lineRule="auto"/>
              <w:rPr>
                <w:rFonts w:ascii="Times New Roman" w:hAnsi="Times New Roman" w:eastAsia="Times New Roman" w:cs="Times New Roman"/>
                <w:b/>
                <w:bCs/>
                <w:color w:val="000000"/>
                <w:sz w:val="24"/>
                <w:szCs w:val="24"/>
                <w:lang w:eastAsia="en-IN"/>
              </w:rPr>
            </w:pPr>
          </w:p>
        </w:tc>
        <w:tc>
          <w:tcPr>
            <w:tcW w:w="322" w:type="pct"/>
            <w:tcBorders>
              <w:top w:val="single" w:color="auto" w:sz="12" w:space="0"/>
              <w:left w:val="nil"/>
              <w:bottom w:val="nil"/>
              <w:right w:val="nil"/>
            </w:tcBorders>
            <w:shd w:val="clear" w:color="auto" w:fill="auto"/>
            <w:noWrap/>
            <w:vAlign w:val="center"/>
          </w:tcPr>
          <w:p w14:paraId="32F1A736">
            <w:pPr>
              <w:spacing w:after="0" w:line="360" w:lineRule="auto"/>
              <w:jc w:val="center"/>
              <w:rPr>
                <w:rFonts w:ascii="Times New Roman" w:hAnsi="Times New Roman" w:eastAsia="Times New Roman" w:cs="Times New Roman"/>
                <w:b/>
                <w:bCs/>
                <w:i/>
                <w:iCs/>
                <w:color w:val="000000"/>
                <w:sz w:val="24"/>
                <w:szCs w:val="24"/>
                <w:lang w:eastAsia="en-IN"/>
              </w:rPr>
            </w:pPr>
          </w:p>
        </w:tc>
        <w:tc>
          <w:tcPr>
            <w:tcW w:w="490" w:type="pct"/>
            <w:tcBorders>
              <w:top w:val="single" w:color="auto" w:sz="12" w:space="0"/>
              <w:left w:val="nil"/>
              <w:bottom w:val="nil"/>
              <w:right w:val="nil"/>
            </w:tcBorders>
            <w:shd w:val="clear" w:color="auto" w:fill="auto"/>
            <w:noWrap/>
            <w:vAlign w:val="center"/>
          </w:tcPr>
          <w:p w14:paraId="7BA8897F">
            <w:pPr>
              <w:spacing w:after="0" w:line="360" w:lineRule="auto"/>
              <w:jc w:val="center"/>
              <w:rPr>
                <w:rFonts w:ascii="Times New Roman" w:hAnsi="Times New Roman" w:eastAsia="Times New Roman" w:cs="Times New Roman"/>
                <w:b/>
                <w:bCs/>
                <w:color w:val="000000"/>
                <w:sz w:val="24"/>
                <w:szCs w:val="24"/>
                <w:lang w:eastAsia="en-IN"/>
              </w:rPr>
            </w:pPr>
          </w:p>
        </w:tc>
        <w:tc>
          <w:tcPr>
            <w:tcW w:w="1507" w:type="pct"/>
            <w:tcBorders>
              <w:top w:val="single" w:color="auto" w:sz="12" w:space="0"/>
              <w:left w:val="nil"/>
              <w:bottom w:val="nil"/>
              <w:right w:val="nil"/>
            </w:tcBorders>
            <w:shd w:val="clear" w:color="auto" w:fill="auto"/>
            <w:noWrap/>
            <w:vAlign w:val="center"/>
          </w:tcPr>
          <w:p w14:paraId="0BAFC6E6">
            <w:pPr>
              <w:spacing w:after="0" w:line="360" w:lineRule="auto"/>
              <w:jc w:val="center"/>
              <w:rPr>
                <w:rFonts w:ascii="Times New Roman" w:hAnsi="Times New Roman" w:eastAsia="Times New Roman" w:cs="Times New Roman"/>
                <w:b/>
                <w:bCs/>
                <w:color w:val="000000"/>
                <w:sz w:val="24"/>
                <w:szCs w:val="24"/>
                <w:lang w:eastAsia="en-IN"/>
              </w:rPr>
            </w:pPr>
          </w:p>
        </w:tc>
        <w:tc>
          <w:tcPr>
            <w:tcW w:w="444" w:type="pct"/>
            <w:tcBorders>
              <w:top w:val="single" w:color="auto" w:sz="12" w:space="0"/>
              <w:left w:val="nil"/>
              <w:bottom w:val="nil"/>
              <w:right w:val="nil"/>
            </w:tcBorders>
            <w:shd w:val="clear" w:color="auto" w:fill="auto"/>
            <w:noWrap/>
            <w:vAlign w:val="center"/>
          </w:tcPr>
          <w:p w14:paraId="716E1F79">
            <w:pPr>
              <w:spacing w:after="0" w:line="360" w:lineRule="auto"/>
              <w:jc w:val="center"/>
              <w:rPr>
                <w:rFonts w:ascii="Times New Roman" w:hAnsi="Times New Roman" w:eastAsia="Times New Roman" w:cs="Times New Roman"/>
                <w:b/>
                <w:bCs/>
                <w:i/>
                <w:iCs/>
                <w:color w:val="000000"/>
                <w:sz w:val="24"/>
                <w:szCs w:val="24"/>
                <w:lang w:eastAsia="en-IN"/>
              </w:rPr>
            </w:pPr>
          </w:p>
        </w:tc>
        <w:tc>
          <w:tcPr>
            <w:tcW w:w="444" w:type="pct"/>
            <w:tcBorders>
              <w:top w:val="single" w:color="auto" w:sz="12" w:space="0"/>
              <w:left w:val="nil"/>
              <w:bottom w:val="nil"/>
              <w:right w:val="nil"/>
            </w:tcBorders>
            <w:shd w:val="clear" w:color="auto" w:fill="auto"/>
            <w:noWrap/>
            <w:vAlign w:val="center"/>
          </w:tcPr>
          <w:p w14:paraId="28BA4E75">
            <w:pPr>
              <w:spacing w:after="0" w:line="360" w:lineRule="auto"/>
              <w:jc w:val="center"/>
              <w:rPr>
                <w:rFonts w:ascii="Times New Roman" w:hAnsi="Times New Roman" w:eastAsia="Times New Roman" w:cs="Times New Roman"/>
                <w:b/>
                <w:bCs/>
                <w:color w:val="000000"/>
                <w:sz w:val="24"/>
                <w:szCs w:val="24"/>
                <w:lang w:eastAsia="en-IN"/>
              </w:rPr>
            </w:pPr>
          </w:p>
        </w:tc>
      </w:tr>
      <w:tr w14:paraId="1CF1BE36">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2E1CEA32">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Female</w:t>
            </w:r>
          </w:p>
        </w:tc>
        <w:tc>
          <w:tcPr>
            <w:tcW w:w="322" w:type="pct"/>
            <w:tcBorders>
              <w:top w:val="nil"/>
              <w:left w:val="nil"/>
              <w:bottom w:val="nil"/>
              <w:right w:val="nil"/>
            </w:tcBorders>
            <w:shd w:val="clear" w:color="auto" w:fill="auto"/>
            <w:noWrap/>
            <w:vAlign w:val="center"/>
          </w:tcPr>
          <w:p w14:paraId="26514FF7">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416</w:t>
            </w:r>
          </w:p>
        </w:tc>
        <w:tc>
          <w:tcPr>
            <w:tcW w:w="490" w:type="pct"/>
            <w:tcBorders>
              <w:top w:val="nil"/>
              <w:left w:val="nil"/>
              <w:bottom w:val="nil"/>
              <w:right w:val="nil"/>
            </w:tcBorders>
            <w:shd w:val="clear" w:color="auto" w:fill="auto"/>
            <w:noWrap/>
            <w:vAlign w:val="center"/>
          </w:tcPr>
          <w:p w14:paraId="18757B5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60.10</w:t>
            </w:r>
          </w:p>
        </w:tc>
        <w:tc>
          <w:tcPr>
            <w:tcW w:w="1507" w:type="pct"/>
            <w:tcBorders>
              <w:top w:val="nil"/>
              <w:left w:val="nil"/>
              <w:bottom w:val="nil"/>
              <w:right w:val="nil"/>
            </w:tcBorders>
            <w:shd w:val="clear" w:color="auto" w:fill="auto"/>
            <w:vAlign w:val="center"/>
          </w:tcPr>
          <w:p w14:paraId="6E0A874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&lt; 20</w:t>
            </w:r>
          </w:p>
        </w:tc>
        <w:tc>
          <w:tcPr>
            <w:tcW w:w="444" w:type="pct"/>
            <w:tcBorders>
              <w:top w:val="nil"/>
              <w:left w:val="nil"/>
              <w:bottom w:val="nil"/>
              <w:right w:val="nil"/>
            </w:tcBorders>
            <w:shd w:val="clear" w:color="auto" w:fill="auto"/>
            <w:noWrap/>
            <w:vAlign w:val="center"/>
          </w:tcPr>
          <w:p w14:paraId="24F5CA7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w:t>
            </w:r>
          </w:p>
        </w:tc>
        <w:tc>
          <w:tcPr>
            <w:tcW w:w="444" w:type="pct"/>
            <w:tcBorders>
              <w:top w:val="nil"/>
              <w:left w:val="nil"/>
              <w:bottom w:val="nil"/>
              <w:right w:val="nil"/>
            </w:tcBorders>
            <w:shd w:val="clear" w:color="auto" w:fill="auto"/>
            <w:noWrap/>
            <w:vAlign w:val="center"/>
          </w:tcPr>
          <w:p w14:paraId="04647539">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w:t>
            </w:r>
          </w:p>
        </w:tc>
      </w:tr>
      <w:tr w14:paraId="21AD24B1">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011AE16E">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Male</w:t>
            </w:r>
          </w:p>
        </w:tc>
        <w:tc>
          <w:tcPr>
            <w:tcW w:w="322" w:type="pct"/>
            <w:tcBorders>
              <w:top w:val="nil"/>
              <w:left w:val="nil"/>
              <w:bottom w:val="nil"/>
              <w:right w:val="nil"/>
            </w:tcBorders>
            <w:shd w:val="clear" w:color="auto" w:fill="auto"/>
            <w:noWrap/>
            <w:vAlign w:val="center"/>
          </w:tcPr>
          <w:p w14:paraId="7F46FB32">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627</w:t>
            </w:r>
          </w:p>
        </w:tc>
        <w:tc>
          <w:tcPr>
            <w:tcW w:w="490" w:type="pct"/>
            <w:tcBorders>
              <w:top w:val="nil"/>
              <w:left w:val="nil"/>
              <w:bottom w:val="nil"/>
              <w:right w:val="nil"/>
            </w:tcBorders>
            <w:shd w:val="clear" w:color="auto" w:fill="auto"/>
            <w:noWrap/>
            <w:vAlign w:val="center"/>
          </w:tcPr>
          <w:p w14:paraId="611F9CE2">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39.90</w:t>
            </w:r>
          </w:p>
        </w:tc>
        <w:tc>
          <w:tcPr>
            <w:tcW w:w="1507" w:type="pct"/>
            <w:tcBorders>
              <w:top w:val="nil"/>
              <w:left w:val="nil"/>
              <w:bottom w:val="nil"/>
              <w:right w:val="nil"/>
            </w:tcBorders>
            <w:shd w:val="clear" w:color="auto" w:fill="auto"/>
            <w:vAlign w:val="center"/>
          </w:tcPr>
          <w:p w14:paraId="14D268E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21 to 30</w:t>
            </w:r>
          </w:p>
        </w:tc>
        <w:tc>
          <w:tcPr>
            <w:tcW w:w="444" w:type="pct"/>
            <w:tcBorders>
              <w:top w:val="nil"/>
              <w:left w:val="nil"/>
              <w:bottom w:val="nil"/>
              <w:right w:val="nil"/>
            </w:tcBorders>
            <w:shd w:val="clear" w:color="auto" w:fill="auto"/>
            <w:noWrap/>
            <w:vAlign w:val="center"/>
          </w:tcPr>
          <w:p w14:paraId="670E9DA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893</w:t>
            </w:r>
          </w:p>
        </w:tc>
        <w:tc>
          <w:tcPr>
            <w:tcW w:w="444" w:type="pct"/>
            <w:tcBorders>
              <w:top w:val="nil"/>
              <w:left w:val="nil"/>
              <w:bottom w:val="nil"/>
              <w:right w:val="nil"/>
            </w:tcBorders>
            <w:shd w:val="clear" w:color="auto" w:fill="auto"/>
            <w:noWrap/>
            <w:vAlign w:val="center"/>
          </w:tcPr>
          <w:p w14:paraId="36C43EE2">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85.6</w:t>
            </w:r>
          </w:p>
        </w:tc>
      </w:tr>
      <w:tr w14:paraId="586D4E4B">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0A6563CF">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6EB2B6F1">
            <w:pPr>
              <w:spacing w:after="0" w:line="360" w:lineRule="auto"/>
              <w:jc w:val="center"/>
              <w:rPr>
                <w:rFonts w:ascii="Times New Roman" w:hAnsi="Times New Roman" w:eastAsia="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tcPr>
          <w:p w14:paraId="592124F9">
            <w:pPr>
              <w:spacing w:after="0" w:line="360" w:lineRule="auto"/>
              <w:jc w:val="center"/>
              <w:rPr>
                <w:rFonts w:ascii="Times New Roman" w:hAnsi="Times New Roman" w:eastAsia="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tcPr>
          <w:p w14:paraId="6794542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 to 40</w:t>
            </w:r>
          </w:p>
        </w:tc>
        <w:tc>
          <w:tcPr>
            <w:tcW w:w="444" w:type="pct"/>
            <w:tcBorders>
              <w:top w:val="nil"/>
              <w:left w:val="nil"/>
              <w:bottom w:val="nil"/>
              <w:right w:val="nil"/>
            </w:tcBorders>
            <w:shd w:val="clear" w:color="auto" w:fill="auto"/>
            <w:noWrap/>
            <w:vAlign w:val="center"/>
          </w:tcPr>
          <w:p w14:paraId="406E1585">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92</w:t>
            </w:r>
          </w:p>
        </w:tc>
        <w:tc>
          <w:tcPr>
            <w:tcW w:w="444" w:type="pct"/>
            <w:tcBorders>
              <w:top w:val="nil"/>
              <w:left w:val="nil"/>
              <w:bottom w:val="nil"/>
              <w:right w:val="nil"/>
            </w:tcBorders>
            <w:shd w:val="clear" w:color="auto" w:fill="auto"/>
            <w:noWrap/>
            <w:vAlign w:val="center"/>
          </w:tcPr>
          <w:p w14:paraId="5A3C5A9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8.8</w:t>
            </w:r>
          </w:p>
        </w:tc>
      </w:tr>
      <w:tr w14:paraId="2486308B">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7461667D">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57A5C20B">
            <w:pPr>
              <w:spacing w:after="0" w:line="360" w:lineRule="auto"/>
              <w:jc w:val="center"/>
              <w:rPr>
                <w:rFonts w:ascii="Times New Roman" w:hAnsi="Times New Roman" w:eastAsia="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tcPr>
          <w:p w14:paraId="0D120AEC">
            <w:pPr>
              <w:spacing w:after="0" w:line="360" w:lineRule="auto"/>
              <w:jc w:val="center"/>
              <w:rPr>
                <w:rFonts w:ascii="Times New Roman" w:hAnsi="Times New Roman" w:eastAsia="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tcPr>
          <w:p w14:paraId="0839BAE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41 to 50</w:t>
            </w:r>
          </w:p>
        </w:tc>
        <w:tc>
          <w:tcPr>
            <w:tcW w:w="444" w:type="pct"/>
            <w:tcBorders>
              <w:top w:val="nil"/>
              <w:left w:val="nil"/>
              <w:bottom w:val="nil"/>
              <w:right w:val="nil"/>
            </w:tcBorders>
            <w:shd w:val="clear" w:color="auto" w:fill="auto"/>
            <w:noWrap/>
            <w:vAlign w:val="center"/>
          </w:tcPr>
          <w:p w14:paraId="29C502F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17</w:t>
            </w:r>
          </w:p>
        </w:tc>
        <w:tc>
          <w:tcPr>
            <w:tcW w:w="444" w:type="pct"/>
            <w:tcBorders>
              <w:top w:val="nil"/>
              <w:left w:val="nil"/>
              <w:bottom w:val="nil"/>
              <w:right w:val="nil"/>
            </w:tcBorders>
            <w:shd w:val="clear" w:color="auto" w:fill="auto"/>
            <w:noWrap/>
            <w:vAlign w:val="center"/>
          </w:tcPr>
          <w:p w14:paraId="060FBB0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1.6</w:t>
            </w:r>
          </w:p>
        </w:tc>
      </w:tr>
      <w:tr w14:paraId="694656B6">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4B00FECA">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003B715D">
            <w:pPr>
              <w:spacing w:after="0" w:line="360" w:lineRule="auto"/>
              <w:jc w:val="center"/>
              <w:rPr>
                <w:rFonts w:ascii="Times New Roman" w:hAnsi="Times New Roman" w:eastAsia="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tcPr>
          <w:p w14:paraId="0378B86F">
            <w:pPr>
              <w:spacing w:after="0" w:line="360" w:lineRule="auto"/>
              <w:jc w:val="center"/>
              <w:rPr>
                <w:rFonts w:ascii="Times New Roman" w:hAnsi="Times New Roman" w:eastAsia="Times New Roman" w:cs="Times New Roman"/>
                <w:color w:val="000000"/>
                <w:sz w:val="24"/>
                <w:szCs w:val="24"/>
                <w:lang w:eastAsia="en-IN"/>
              </w:rPr>
            </w:pPr>
          </w:p>
        </w:tc>
        <w:tc>
          <w:tcPr>
            <w:tcW w:w="1507" w:type="pct"/>
            <w:tcBorders>
              <w:top w:val="nil"/>
              <w:left w:val="nil"/>
              <w:bottom w:val="nil"/>
              <w:right w:val="nil"/>
            </w:tcBorders>
            <w:shd w:val="clear" w:color="auto" w:fill="auto"/>
            <w:vAlign w:val="center"/>
          </w:tcPr>
          <w:p w14:paraId="49481DEB">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&gt; 50</w:t>
            </w:r>
          </w:p>
        </w:tc>
        <w:tc>
          <w:tcPr>
            <w:tcW w:w="444" w:type="pct"/>
            <w:tcBorders>
              <w:top w:val="nil"/>
              <w:left w:val="nil"/>
              <w:bottom w:val="nil"/>
              <w:right w:val="nil"/>
            </w:tcBorders>
            <w:shd w:val="clear" w:color="auto" w:fill="auto"/>
            <w:noWrap/>
            <w:vAlign w:val="center"/>
          </w:tcPr>
          <w:p w14:paraId="6EB08CE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444" w:type="pct"/>
            <w:tcBorders>
              <w:top w:val="nil"/>
              <w:left w:val="nil"/>
              <w:bottom w:val="nil"/>
              <w:right w:val="nil"/>
            </w:tcBorders>
            <w:shd w:val="clear" w:color="auto" w:fill="auto"/>
            <w:noWrap/>
            <w:vAlign w:val="center"/>
          </w:tcPr>
          <w:p w14:paraId="061B883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r>
      <w:tr w14:paraId="65B2BF17">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4A797A0E">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tcPr>
          <w:p w14:paraId="314C412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tcPr>
          <w:p w14:paraId="556D503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100.00</w:t>
            </w:r>
          </w:p>
        </w:tc>
        <w:tc>
          <w:tcPr>
            <w:tcW w:w="1507" w:type="pct"/>
            <w:tcBorders>
              <w:top w:val="nil"/>
              <w:left w:val="nil"/>
              <w:bottom w:val="nil"/>
              <w:right w:val="nil"/>
            </w:tcBorders>
            <w:shd w:val="clear" w:color="auto" w:fill="auto"/>
            <w:noWrap/>
            <w:vAlign w:val="center"/>
          </w:tcPr>
          <w:p w14:paraId="5DABF56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tcPr>
          <w:p w14:paraId="28F3121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tcPr>
          <w:p w14:paraId="1009DEBD">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100.00</w:t>
            </w:r>
          </w:p>
        </w:tc>
      </w:tr>
      <w:tr w14:paraId="2FB7DEB2">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1559CBAC">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30E731B1">
            <w:pPr>
              <w:spacing w:after="0" w:line="360" w:lineRule="auto"/>
              <w:jc w:val="center"/>
              <w:rPr>
                <w:rFonts w:ascii="Times New Roman" w:hAnsi="Times New Roman" w:eastAsia="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tcPr>
          <w:p w14:paraId="306A3396">
            <w:pPr>
              <w:spacing w:after="0" w:line="360" w:lineRule="auto"/>
              <w:jc w:val="center"/>
              <w:rPr>
                <w:rFonts w:ascii="Times New Roman" w:hAnsi="Times New Roman" w:eastAsia="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tcPr>
          <w:p w14:paraId="7549C4A0">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2A0924BD">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BD32ED1">
            <w:pPr>
              <w:spacing w:after="0" w:line="360" w:lineRule="auto"/>
              <w:jc w:val="center"/>
              <w:rPr>
                <w:rFonts w:ascii="Times New Roman" w:hAnsi="Times New Roman" w:eastAsia="Times New Roman" w:cs="Times New Roman"/>
                <w:color w:val="000000"/>
                <w:sz w:val="24"/>
                <w:szCs w:val="24"/>
                <w:lang w:eastAsia="en-IN"/>
              </w:rPr>
            </w:pPr>
          </w:p>
        </w:tc>
      </w:tr>
      <w:tr w14:paraId="43315C82">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3BE7132E">
            <w:pPr>
              <w:spacing w:after="0" w:line="360" w:lineRule="auto"/>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C. Highest Education</w:t>
            </w:r>
          </w:p>
        </w:tc>
        <w:tc>
          <w:tcPr>
            <w:tcW w:w="322" w:type="pct"/>
            <w:tcBorders>
              <w:top w:val="nil"/>
              <w:left w:val="nil"/>
              <w:bottom w:val="nil"/>
              <w:right w:val="nil"/>
            </w:tcBorders>
            <w:shd w:val="clear" w:color="auto" w:fill="auto"/>
            <w:noWrap/>
            <w:vAlign w:val="center"/>
          </w:tcPr>
          <w:p w14:paraId="2AD78E40">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tcPr>
          <w:p w14:paraId="2A78EC1E">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tcPr>
          <w:p w14:paraId="7C06FD95">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D. Income (In INR lakhs)</w:t>
            </w:r>
          </w:p>
        </w:tc>
        <w:tc>
          <w:tcPr>
            <w:tcW w:w="444" w:type="pct"/>
            <w:tcBorders>
              <w:top w:val="nil"/>
              <w:left w:val="nil"/>
              <w:bottom w:val="nil"/>
              <w:right w:val="nil"/>
            </w:tcBorders>
            <w:shd w:val="clear" w:color="auto" w:fill="auto"/>
            <w:noWrap/>
            <w:vAlign w:val="center"/>
          </w:tcPr>
          <w:p w14:paraId="333B304B">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44" w:type="pct"/>
            <w:tcBorders>
              <w:top w:val="nil"/>
              <w:left w:val="nil"/>
              <w:bottom w:val="nil"/>
              <w:right w:val="nil"/>
            </w:tcBorders>
            <w:shd w:val="clear" w:color="auto" w:fill="auto"/>
            <w:noWrap/>
            <w:vAlign w:val="center"/>
          </w:tcPr>
          <w:p w14:paraId="00B88E22">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r>
      <w:tr w14:paraId="6BF2A6F0">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57B6BCDF">
            <w:pPr>
              <w:spacing w:after="0" w:line="360" w:lineRule="auto"/>
              <w:rPr>
                <w:rFonts w:ascii="Times New Roman" w:hAnsi="Times New Roman" w:eastAsia="Times New Roman" w:cs="Times New Roman"/>
                <w:b/>
                <w:bCs/>
                <w:color w:val="000000"/>
                <w:sz w:val="24"/>
                <w:szCs w:val="24"/>
                <w:lang w:eastAsia="en-IN"/>
              </w:rPr>
            </w:pPr>
          </w:p>
        </w:tc>
        <w:tc>
          <w:tcPr>
            <w:tcW w:w="322" w:type="pct"/>
            <w:tcBorders>
              <w:top w:val="nil"/>
              <w:left w:val="nil"/>
              <w:bottom w:val="nil"/>
              <w:right w:val="nil"/>
            </w:tcBorders>
            <w:shd w:val="clear" w:color="auto" w:fill="auto"/>
            <w:noWrap/>
            <w:vAlign w:val="center"/>
          </w:tcPr>
          <w:p w14:paraId="18788D8E">
            <w:pPr>
              <w:spacing w:after="0" w:line="360" w:lineRule="auto"/>
              <w:jc w:val="center"/>
              <w:rPr>
                <w:rFonts w:ascii="Times New Roman" w:hAnsi="Times New Roman" w:eastAsia="Times New Roman" w:cs="Times New Roman"/>
                <w:b/>
                <w:bCs/>
                <w:i/>
                <w:iCs/>
                <w:color w:val="000000"/>
                <w:sz w:val="24"/>
                <w:szCs w:val="24"/>
                <w:lang w:eastAsia="en-IN"/>
              </w:rPr>
            </w:pPr>
          </w:p>
        </w:tc>
        <w:tc>
          <w:tcPr>
            <w:tcW w:w="490" w:type="pct"/>
            <w:tcBorders>
              <w:top w:val="nil"/>
              <w:left w:val="nil"/>
              <w:bottom w:val="nil"/>
              <w:right w:val="nil"/>
            </w:tcBorders>
            <w:shd w:val="clear" w:color="auto" w:fill="auto"/>
            <w:noWrap/>
            <w:vAlign w:val="center"/>
          </w:tcPr>
          <w:p w14:paraId="63DB528E">
            <w:pPr>
              <w:spacing w:after="0" w:line="360" w:lineRule="auto"/>
              <w:jc w:val="center"/>
              <w:rPr>
                <w:rFonts w:ascii="Times New Roman" w:hAnsi="Times New Roman" w:eastAsia="Times New Roman" w:cs="Times New Roman"/>
                <w:b/>
                <w:bCs/>
                <w:color w:val="000000"/>
                <w:sz w:val="24"/>
                <w:szCs w:val="24"/>
                <w:lang w:eastAsia="en-IN"/>
              </w:rPr>
            </w:pPr>
          </w:p>
        </w:tc>
        <w:tc>
          <w:tcPr>
            <w:tcW w:w="1507" w:type="pct"/>
            <w:tcBorders>
              <w:top w:val="nil"/>
              <w:left w:val="nil"/>
              <w:bottom w:val="nil"/>
              <w:right w:val="nil"/>
            </w:tcBorders>
            <w:shd w:val="clear" w:color="auto" w:fill="auto"/>
            <w:noWrap/>
            <w:vAlign w:val="center"/>
          </w:tcPr>
          <w:p w14:paraId="6FFB06D9">
            <w:pPr>
              <w:spacing w:after="0" w:line="360" w:lineRule="auto"/>
              <w:jc w:val="center"/>
              <w:rPr>
                <w:rFonts w:ascii="Times New Roman" w:hAnsi="Times New Roman" w:eastAsia="Times New Roman" w:cs="Times New Roman"/>
                <w:b/>
                <w:bCs/>
                <w:color w:val="000000"/>
                <w:sz w:val="24"/>
                <w:szCs w:val="24"/>
                <w:lang w:eastAsia="en-IN"/>
              </w:rPr>
            </w:pPr>
          </w:p>
        </w:tc>
        <w:tc>
          <w:tcPr>
            <w:tcW w:w="444" w:type="pct"/>
            <w:tcBorders>
              <w:top w:val="nil"/>
              <w:left w:val="nil"/>
              <w:bottom w:val="nil"/>
              <w:right w:val="nil"/>
            </w:tcBorders>
            <w:shd w:val="clear" w:color="auto" w:fill="auto"/>
            <w:noWrap/>
            <w:vAlign w:val="center"/>
          </w:tcPr>
          <w:p w14:paraId="0C4296F1">
            <w:pPr>
              <w:spacing w:after="0" w:line="360" w:lineRule="auto"/>
              <w:jc w:val="center"/>
              <w:rPr>
                <w:rFonts w:ascii="Times New Roman" w:hAnsi="Times New Roman" w:eastAsia="Times New Roman" w:cs="Times New Roman"/>
                <w:b/>
                <w:bCs/>
                <w:i/>
                <w:iCs/>
                <w:color w:val="000000"/>
                <w:sz w:val="24"/>
                <w:szCs w:val="24"/>
                <w:lang w:eastAsia="en-IN"/>
              </w:rPr>
            </w:pPr>
          </w:p>
        </w:tc>
        <w:tc>
          <w:tcPr>
            <w:tcW w:w="444" w:type="pct"/>
            <w:tcBorders>
              <w:top w:val="nil"/>
              <w:left w:val="nil"/>
              <w:bottom w:val="nil"/>
              <w:right w:val="nil"/>
            </w:tcBorders>
            <w:shd w:val="clear" w:color="auto" w:fill="auto"/>
            <w:noWrap/>
            <w:vAlign w:val="center"/>
          </w:tcPr>
          <w:p w14:paraId="71A54270">
            <w:pPr>
              <w:spacing w:after="0" w:line="360" w:lineRule="auto"/>
              <w:jc w:val="center"/>
              <w:rPr>
                <w:rFonts w:ascii="Times New Roman" w:hAnsi="Times New Roman" w:eastAsia="Times New Roman" w:cs="Times New Roman"/>
                <w:b/>
                <w:bCs/>
                <w:color w:val="000000"/>
                <w:sz w:val="24"/>
                <w:szCs w:val="24"/>
                <w:lang w:eastAsia="en-IN"/>
              </w:rPr>
            </w:pPr>
          </w:p>
        </w:tc>
      </w:tr>
      <w:tr w14:paraId="3A597210">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56FB46E3">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Below HSC</w:t>
            </w:r>
          </w:p>
        </w:tc>
        <w:tc>
          <w:tcPr>
            <w:tcW w:w="322" w:type="pct"/>
            <w:tcBorders>
              <w:top w:val="nil"/>
              <w:left w:val="nil"/>
              <w:bottom w:val="nil"/>
              <w:right w:val="nil"/>
            </w:tcBorders>
            <w:shd w:val="clear" w:color="auto" w:fill="auto"/>
            <w:noWrap/>
            <w:vAlign w:val="center"/>
          </w:tcPr>
          <w:p w14:paraId="00DB5C7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tcPr>
          <w:p w14:paraId="7A780212">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1507" w:type="pct"/>
            <w:tcBorders>
              <w:top w:val="nil"/>
              <w:left w:val="nil"/>
              <w:bottom w:val="nil"/>
              <w:right w:val="nil"/>
            </w:tcBorders>
            <w:shd w:val="clear" w:color="auto" w:fill="auto"/>
            <w:vAlign w:val="center"/>
          </w:tcPr>
          <w:p w14:paraId="68F46480">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&lt; 3</w:t>
            </w:r>
          </w:p>
        </w:tc>
        <w:tc>
          <w:tcPr>
            <w:tcW w:w="444" w:type="pct"/>
            <w:tcBorders>
              <w:top w:val="nil"/>
              <w:left w:val="nil"/>
              <w:bottom w:val="nil"/>
              <w:right w:val="nil"/>
            </w:tcBorders>
            <w:shd w:val="clear" w:color="auto" w:fill="auto"/>
            <w:noWrap/>
            <w:vAlign w:val="center"/>
          </w:tcPr>
          <w:p w14:paraId="02C0608A">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206</w:t>
            </w:r>
          </w:p>
        </w:tc>
        <w:tc>
          <w:tcPr>
            <w:tcW w:w="444" w:type="pct"/>
            <w:tcBorders>
              <w:top w:val="nil"/>
              <w:left w:val="nil"/>
              <w:bottom w:val="nil"/>
              <w:right w:val="nil"/>
            </w:tcBorders>
            <w:shd w:val="clear" w:color="auto" w:fill="auto"/>
            <w:noWrap/>
            <w:vAlign w:val="center"/>
          </w:tcPr>
          <w:p w14:paraId="29444009">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19.8</w:t>
            </w:r>
          </w:p>
        </w:tc>
      </w:tr>
      <w:tr w14:paraId="46D33D33">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1479A3A9">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Under Graduates</w:t>
            </w:r>
          </w:p>
        </w:tc>
        <w:tc>
          <w:tcPr>
            <w:tcW w:w="322" w:type="pct"/>
            <w:tcBorders>
              <w:top w:val="nil"/>
              <w:left w:val="nil"/>
              <w:bottom w:val="nil"/>
              <w:right w:val="nil"/>
            </w:tcBorders>
            <w:shd w:val="clear" w:color="auto" w:fill="auto"/>
            <w:noWrap/>
            <w:vAlign w:val="center"/>
          </w:tcPr>
          <w:p w14:paraId="198847B0">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97</w:t>
            </w:r>
          </w:p>
        </w:tc>
        <w:tc>
          <w:tcPr>
            <w:tcW w:w="490" w:type="pct"/>
            <w:tcBorders>
              <w:top w:val="nil"/>
              <w:left w:val="nil"/>
              <w:bottom w:val="nil"/>
              <w:right w:val="nil"/>
            </w:tcBorders>
            <w:shd w:val="clear" w:color="auto" w:fill="auto"/>
            <w:noWrap/>
            <w:vAlign w:val="center"/>
          </w:tcPr>
          <w:p w14:paraId="1C32F4B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9.3</w:t>
            </w:r>
          </w:p>
        </w:tc>
        <w:tc>
          <w:tcPr>
            <w:tcW w:w="1507" w:type="pct"/>
            <w:tcBorders>
              <w:top w:val="nil"/>
              <w:left w:val="nil"/>
              <w:bottom w:val="nil"/>
              <w:right w:val="nil"/>
            </w:tcBorders>
            <w:shd w:val="clear" w:color="auto" w:fill="auto"/>
            <w:vAlign w:val="center"/>
          </w:tcPr>
          <w:p w14:paraId="69E3F3A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 to 6</w:t>
            </w:r>
          </w:p>
        </w:tc>
        <w:tc>
          <w:tcPr>
            <w:tcW w:w="444" w:type="pct"/>
            <w:tcBorders>
              <w:top w:val="nil"/>
              <w:left w:val="nil"/>
              <w:bottom w:val="nil"/>
              <w:right w:val="nil"/>
            </w:tcBorders>
            <w:shd w:val="clear" w:color="auto" w:fill="auto"/>
            <w:noWrap/>
            <w:vAlign w:val="center"/>
          </w:tcPr>
          <w:p w14:paraId="6906B38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450</w:t>
            </w:r>
          </w:p>
        </w:tc>
        <w:tc>
          <w:tcPr>
            <w:tcW w:w="444" w:type="pct"/>
            <w:tcBorders>
              <w:top w:val="nil"/>
              <w:left w:val="nil"/>
              <w:bottom w:val="nil"/>
              <w:right w:val="nil"/>
            </w:tcBorders>
            <w:shd w:val="clear" w:color="auto" w:fill="auto"/>
            <w:noWrap/>
            <w:vAlign w:val="center"/>
          </w:tcPr>
          <w:p w14:paraId="4121C01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43.1</w:t>
            </w:r>
          </w:p>
        </w:tc>
      </w:tr>
      <w:tr w14:paraId="1555C91C">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30DF9742">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Graduate</w:t>
            </w:r>
          </w:p>
        </w:tc>
        <w:tc>
          <w:tcPr>
            <w:tcW w:w="322" w:type="pct"/>
            <w:tcBorders>
              <w:top w:val="nil"/>
              <w:left w:val="nil"/>
              <w:bottom w:val="nil"/>
              <w:right w:val="nil"/>
            </w:tcBorders>
            <w:shd w:val="clear" w:color="auto" w:fill="auto"/>
            <w:noWrap/>
            <w:vAlign w:val="center"/>
          </w:tcPr>
          <w:p w14:paraId="0CBA8EA1">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220</w:t>
            </w:r>
          </w:p>
        </w:tc>
        <w:tc>
          <w:tcPr>
            <w:tcW w:w="490" w:type="pct"/>
            <w:tcBorders>
              <w:top w:val="nil"/>
              <w:left w:val="nil"/>
              <w:bottom w:val="nil"/>
              <w:right w:val="nil"/>
            </w:tcBorders>
            <w:shd w:val="clear" w:color="auto" w:fill="auto"/>
            <w:noWrap/>
            <w:vAlign w:val="center"/>
          </w:tcPr>
          <w:p w14:paraId="6BFE6D2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21.1</w:t>
            </w:r>
          </w:p>
        </w:tc>
        <w:tc>
          <w:tcPr>
            <w:tcW w:w="1507" w:type="pct"/>
            <w:tcBorders>
              <w:top w:val="nil"/>
              <w:left w:val="nil"/>
              <w:bottom w:val="nil"/>
              <w:right w:val="nil"/>
            </w:tcBorders>
            <w:shd w:val="clear" w:color="auto" w:fill="auto"/>
            <w:vAlign w:val="center"/>
          </w:tcPr>
          <w:p w14:paraId="1AAF94D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 to 10</w:t>
            </w:r>
          </w:p>
        </w:tc>
        <w:tc>
          <w:tcPr>
            <w:tcW w:w="444" w:type="pct"/>
            <w:tcBorders>
              <w:top w:val="nil"/>
              <w:left w:val="nil"/>
              <w:bottom w:val="nil"/>
              <w:right w:val="nil"/>
            </w:tcBorders>
            <w:shd w:val="clear" w:color="auto" w:fill="auto"/>
            <w:noWrap/>
            <w:vAlign w:val="center"/>
          </w:tcPr>
          <w:p w14:paraId="5CEDE42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197</w:t>
            </w:r>
          </w:p>
        </w:tc>
        <w:tc>
          <w:tcPr>
            <w:tcW w:w="444" w:type="pct"/>
            <w:tcBorders>
              <w:top w:val="nil"/>
              <w:left w:val="nil"/>
              <w:bottom w:val="nil"/>
              <w:right w:val="nil"/>
            </w:tcBorders>
            <w:shd w:val="clear" w:color="auto" w:fill="auto"/>
            <w:noWrap/>
            <w:vAlign w:val="center"/>
          </w:tcPr>
          <w:p w14:paraId="2D579E0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18.9</w:t>
            </w:r>
          </w:p>
        </w:tc>
      </w:tr>
      <w:tr w14:paraId="29C03A9A">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1710FFDB">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Post Graduate</w:t>
            </w:r>
          </w:p>
        </w:tc>
        <w:tc>
          <w:tcPr>
            <w:tcW w:w="322" w:type="pct"/>
            <w:tcBorders>
              <w:top w:val="nil"/>
              <w:left w:val="nil"/>
              <w:bottom w:val="nil"/>
              <w:right w:val="nil"/>
            </w:tcBorders>
            <w:shd w:val="clear" w:color="auto" w:fill="auto"/>
            <w:noWrap/>
            <w:vAlign w:val="center"/>
          </w:tcPr>
          <w:p w14:paraId="02342F62">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616</w:t>
            </w:r>
          </w:p>
        </w:tc>
        <w:tc>
          <w:tcPr>
            <w:tcW w:w="490" w:type="pct"/>
            <w:tcBorders>
              <w:top w:val="nil"/>
              <w:left w:val="nil"/>
              <w:bottom w:val="nil"/>
              <w:right w:val="nil"/>
            </w:tcBorders>
            <w:shd w:val="clear" w:color="auto" w:fill="auto"/>
            <w:noWrap/>
            <w:vAlign w:val="center"/>
          </w:tcPr>
          <w:p w14:paraId="270A6645">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59.1</w:t>
            </w:r>
          </w:p>
        </w:tc>
        <w:tc>
          <w:tcPr>
            <w:tcW w:w="1507" w:type="pct"/>
            <w:tcBorders>
              <w:top w:val="nil"/>
              <w:left w:val="nil"/>
              <w:bottom w:val="nil"/>
              <w:right w:val="nil"/>
            </w:tcBorders>
            <w:shd w:val="clear" w:color="auto" w:fill="auto"/>
            <w:vAlign w:val="center"/>
          </w:tcPr>
          <w:p w14:paraId="55022A3A">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&gt;10</w:t>
            </w:r>
          </w:p>
        </w:tc>
        <w:tc>
          <w:tcPr>
            <w:tcW w:w="444" w:type="pct"/>
            <w:tcBorders>
              <w:top w:val="nil"/>
              <w:left w:val="nil"/>
              <w:bottom w:val="nil"/>
              <w:right w:val="nil"/>
            </w:tcBorders>
            <w:shd w:val="clear" w:color="auto" w:fill="auto"/>
            <w:noWrap/>
            <w:vAlign w:val="center"/>
          </w:tcPr>
          <w:p w14:paraId="4F1AD6A6">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190</w:t>
            </w:r>
          </w:p>
        </w:tc>
        <w:tc>
          <w:tcPr>
            <w:tcW w:w="444" w:type="pct"/>
            <w:tcBorders>
              <w:top w:val="nil"/>
              <w:left w:val="nil"/>
              <w:bottom w:val="nil"/>
              <w:right w:val="nil"/>
            </w:tcBorders>
            <w:shd w:val="clear" w:color="auto" w:fill="auto"/>
            <w:noWrap/>
            <w:vAlign w:val="center"/>
          </w:tcPr>
          <w:p w14:paraId="53A98781">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18.2</w:t>
            </w:r>
          </w:p>
        </w:tc>
      </w:tr>
      <w:tr w14:paraId="3985FA4A">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4E94FE83">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Doctorate</w:t>
            </w:r>
          </w:p>
        </w:tc>
        <w:tc>
          <w:tcPr>
            <w:tcW w:w="322" w:type="pct"/>
            <w:tcBorders>
              <w:top w:val="nil"/>
              <w:left w:val="nil"/>
              <w:bottom w:val="nil"/>
              <w:right w:val="nil"/>
            </w:tcBorders>
            <w:shd w:val="clear" w:color="auto" w:fill="auto"/>
            <w:noWrap/>
            <w:vAlign w:val="center"/>
          </w:tcPr>
          <w:p w14:paraId="44F4B5E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26</w:t>
            </w:r>
          </w:p>
        </w:tc>
        <w:tc>
          <w:tcPr>
            <w:tcW w:w="490" w:type="pct"/>
            <w:tcBorders>
              <w:top w:val="nil"/>
              <w:left w:val="nil"/>
              <w:bottom w:val="nil"/>
              <w:right w:val="nil"/>
            </w:tcBorders>
            <w:shd w:val="clear" w:color="auto" w:fill="auto"/>
            <w:noWrap/>
            <w:vAlign w:val="center"/>
          </w:tcPr>
          <w:p w14:paraId="7AF2BE8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w:t>
            </w:r>
          </w:p>
        </w:tc>
        <w:tc>
          <w:tcPr>
            <w:tcW w:w="1507" w:type="pct"/>
            <w:tcBorders>
              <w:top w:val="nil"/>
              <w:left w:val="nil"/>
              <w:bottom w:val="nil"/>
              <w:right w:val="nil"/>
            </w:tcBorders>
            <w:shd w:val="clear" w:color="auto" w:fill="auto"/>
            <w:noWrap/>
            <w:vAlign w:val="center"/>
          </w:tcPr>
          <w:p w14:paraId="4D84EF14">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7FD4B398">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1DFACC8D">
            <w:pPr>
              <w:spacing w:after="0" w:line="360" w:lineRule="auto"/>
              <w:jc w:val="center"/>
              <w:rPr>
                <w:rFonts w:ascii="Times New Roman" w:hAnsi="Times New Roman" w:eastAsia="Times New Roman" w:cs="Times New Roman"/>
                <w:color w:val="000000"/>
                <w:sz w:val="24"/>
                <w:szCs w:val="24"/>
                <w:lang w:eastAsia="en-IN"/>
              </w:rPr>
            </w:pPr>
          </w:p>
        </w:tc>
      </w:tr>
      <w:tr w14:paraId="738AB63F">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63DFC425">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Professional Degree</w:t>
            </w:r>
          </w:p>
        </w:tc>
        <w:tc>
          <w:tcPr>
            <w:tcW w:w="322" w:type="pct"/>
            <w:tcBorders>
              <w:top w:val="nil"/>
              <w:left w:val="nil"/>
              <w:bottom w:val="nil"/>
              <w:right w:val="nil"/>
            </w:tcBorders>
            <w:shd w:val="clear" w:color="auto" w:fill="auto"/>
            <w:noWrap/>
            <w:vAlign w:val="center"/>
          </w:tcPr>
          <w:p w14:paraId="1A74A26D">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41</w:t>
            </w:r>
          </w:p>
        </w:tc>
        <w:tc>
          <w:tcPr>
            <w:tcW w:w="490" w:type="pct"/>
            <w:tcBorders>
              <w:top w:val="nil"/>
              <w:left w:val="nil"/>
              <w:bottom w:val="nil"/>
              <w:right w:val="nil"/>
            </w:tcBorders>
            <w:shd w:val="clear" w:color="auto" w:fill="auto"/>
            <w:noWrap/>
            <w:vAlign w:val="center"/>
          </w:tcPr>
          <w:p w14:paraId="0787E10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w:t>
            </w:r>
          </w:p>
        </w:tc>
        <w:tc>
          <w:tcPr>
            <w:tcW w:w="1507" w:type="pct"/>
            <w:tcBorders>
              <w:top w:val="nil"/>
              <w:left w:val="nil"/>
              <w:bottom w:val="nil"/>
              <w:right w:val="nil"/>
            </w:tcBorders>
            <w:shd w:val="clear" w:color="auto" w:fill="auto"/>
            <w:noWrap/>
            <w:vAlign w:val="center"/>
          </w:tcPr>
          <w:p w14:paraId="02D18512">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AEAB2BF">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58D80D7F">
            <w:pPr>
              <w:spacing w:after="0" w:line="360" w:lineRule="auto"/>
              <w:jc w:val="center"/>
              <w:rPr>
                <w:rFonts w:ascii="Times New Roman" w:hAnsi="Times New Roman" w:eastAsia="Times New Roman" w:cs="Times New Roman"/>
                <w:color w:val="000000"/>
                <w:sz w:val="24"/>
                <w:szCs w:val="24"/>
                <w:lang w:eastAsia="en-IN"/>
              </w:rPr>
            </w:pPr>
          </w:p>
        </w:tc>
      </w:tr>
      <w:tr w14:paraId="6C386FBC">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2B7E8B6B">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Other</w:t>
            </w:r>
          </w:p>
        </w:tc>
        <w:tc>
          <w:tcPr>
            <w:tcW w:w="322" w:type="pct"/>
            <w:tcBorders>
              <w:top w:val="nil"/>
              <w:left w:val="nil"/>
              <w:bottom w:val="nil"/>
              <w:right w:val="nil"/>
            </w:tcBorders>
            <w:shd w:val="clear" w:color="auto" w:fill="auto"/>
            <w:noWrap/>
            <w:vAlign w:val="center"/>
          </w:tcPr>
          <w:p w14:paraId="30B75D8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35</w:t>
            </w:r>
          </w:p>
        </w:tc>
        <w:tc>
          <w:tcPr>
            <w:tcW w:w="490" w:type="pct"/>
            <w:tcBorders>
              <w:top w:val="nil"/>
              <w:left w:val="nil"/>
              <w:bottom w:val="nil"/>
              <w:right w:val="nil"/>
            </w:tcBorders>
            <w:shd w:val="clear" w:color="auto" w:fill="auto"/>
            <w:noWrap/>
            <w:vAlign w:val="center"/>
          </w:tcPr>
          <w:p w14:paraId="058B5C09">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w:t>
            </w:r>
          </w:p>
        </w:tc>
        <w:tc>
          <w:tcPr>
            <w:tcW w:w="1507" w:type="pct"/>
            <w:tcBorders>
              <w:top w:val="nil"/>
              <w:left w:val="nil"/>
              <w:bottom w:val="nil"/>
              <w:right w:val="nil"/>
            </w:tcBorders>
            <w:shd w:val="clear" w:color="auto" w:fill="auto"/>
            <w:noWrap/>
            <w:vAlign w:val="center"/>
          </w:tcPr>
          <w:p w14:paraId="4E5678E5">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6668C8CC">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5CEC319E">
            <w:pPr>
              <w:spacing w:after="0" w:line="360" w:lineRule="auto"/>
              <w:jc w:val="center"/>
              <w:rPr>
                <w:rFonts w:ascii="Times New Roman" w:hAnsi="Times New Roman" w:eastAsia="Times New Roman" w:cs="Times New Roman"/>
                <w:color w:val="000000"/>
                <w:sz w:val="24"/>
                <w:szCs w:val="24"/>
                <w:lang w:eastAsia="en-IN"/>
              </w:rPr>
            </w:pPr>
          </w:p>
        </w:tc>
      </w:tr>
      <w:tr w14:paraId="52365CEE">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4C236A5E">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tcPr>
          <w:p w14:paraId="05B487B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tcPr>
          <w:p w14:paraId="79C7631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100.0</w:t>
            </w:r>
          </w:p>
        </w:tc>
        <w:tc>
          <w:tcPr>
            <w:tcW w:w="1507" w:type="pct"/>
            <w:tcBorders>
              <w:top w:val="nil"/>
              <w:left w:val="nil"/>
              <w:bottom w:val="nil"/>
              <w:right w:val="nil"/>
            </w:tcBorders>
            <w:shd w:val="clear" w:color="auto" w:fill="auto"/>
            <w:noWrap/>
            <w:vAlign w:val="center"/>
          </w:tcPr>
          <w:p w14:paraId="7130C9C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tcPr>
          <w:p w14:paraId="77BAF86A">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tcPr>
          <w:p w14:paraId="5AD9023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100.0</w:t>
            </w:r>
          </w:p>
        </w:tc>
      </w:tr>
      <w:tr w14:paraId="14EFDBA2">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0A9800B6">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04600F53">
            <w:pPr>
              <w:spacing w:after="0" w:line="360" w:lineRule="auto"/>
              <w:jc w:val="center"/>
              <w:rPr>
                <w:rFonts w:ascii="Times New Roman" w:hAnsi="Times New Roman" w:eastAsia="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tcPr>
          <w:p w14:paraId="7438A862">
            <w:pPr>
              <w:spacing w:after="0" w:line="360" w:lineRule="auto"/>
              <w:jc w:val="center"/>
              <w:rPr>
                <w:rFonts w:ascii="Times New Roman" w:hAnsi="Times New Roman" w:eastAsia="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tcPr>
          <w:p w14:paraId="3CA0B183">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7BC6B671">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115214AD">
            <w:pPr>
              <w:spacing w:after="0" w:line="360" w:lineRule="auto"/>
              <w:jc w:val="center"/>
              <w:rPr>
                <w:rFonts w:ascii="Times New Roman" w:hAnsi="Times New Roman" w:eastAsia="Times New Roman" w:cs="Times New Roman"/>
                <w:color w:val="000000"/>
                <w:sz w:val="24"/>
                <w:szCs w:val="24"/>
                <w:lang w:eastAsia="en-IN"/>
              </w:rPr>
            </w:pPr>
          </w:p>
        </w:tc>
      </w:tr>
      <w:tr w14:paraId="0A792A23">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50C9A4D3">
            <w:pPr>
              <w:spacing w:after="0" w:line="360" w:lineRule="auto"/>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E. Occupation</w:t>
            </w:r>
          </w:p>
        </w:tc>
        <w:tc>
          <w:tcPr>
            <w:tcW w:w="322" w:type="pct"/>
            <w:tcBorders>
              <w:top w:val="nil"/>
              <w:left w:val="nil"/>
              <w:bottom w:val="nil"/>
              <w:right w:val="nil"/>
            </w:tcBorders>
            <w:shd w:val="clear" w:color="auto" w:fill="auto"/>
            <w:noWrap/>
            <w:vAlign w:val="center"/>
          </w:tcPr>
          <w:p w14:paraId="62C51DB9">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tcPr>
          <w:p w14:paraId="3F1231B3">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tcPr>
          <w:p w14:paraId="380984A8">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F. Family Type</w:t>
            </w:r>
          </w:p>
        </w:tc>
        <w:tc>
          <w:tcPr>
            <w:tcW w:w="444" w:type="pct"/>
            <w:tcBorders>
              <w:top w:val="nil"/>
              <w:left w:val="nil"/>
              <w:bottom w:val="nil"/>
              <w:right w:val="nil"/>
            </w:tcBorders>
            <w:shd w:val="clear" w:color="auto" w:fill="auto"/>
            <w:noWrap/>
            <w:vAlign w:val="center"/>
          </w:tcPr>
          <w:p w14:paraId="6032F8B2">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44" w:type="pct"/>
            <w:tcBorders>
              <w:top w:val="nil"/>
              <w:left w:val="nil"/>
              <w:bottom w:val="nil"/>
              <w:right w:val="nil"/>
            </w:tcBorders>
            <w:shd w:val="clear" w:color="auto" w:fill="auto"/>
            <w:noWrap/>
            <w:vAlign w:val="center"/>
          </w:tcPr>
          <w:p w14:paraId="1E7BB270">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r>
      <w:tr w14:paraId="71E611C6">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65524413">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Housewife</w:t>
            </w:r>
          </w:p>
        </w:tc>
        <w:tc>
          <w:tcPr>
            <w:tcW w:w="322" w:type="pct"/>
            <w:tcBorders>
              <w:top w:val="nil"/>
              <w:left w:val="nil"/>
              <w:bottom w:val="nil"/>
              <w:right w:val="nil"/>
            </w:tcBorders>
            <w:shd w:val="clear" w:color="auto" w:fill="auto"/>
            <w:noWrap/>
            <w:vAlign w:val="center"/>
          </w:tcPr>
          <w:p w14:paraId="200A720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16</w:t>
            </w:r>
          </w:p>
        </w:tc>
        <w:tc>
          <w:tcPr>
            <w:tcW w:w="490" w:type="pct"/>
            <w:tcBorders>
              <w:top w:val="nil"/>
              <w:left w:val="nil"/>
              <w:bottom w:val="nil"/>
              <w:right w:val="nil"/>
            </w:tcBorders>
            <w:shd w:val="clear" w:color="auto" w:fill="auto"/>
            <w:noWrap/>
            <w:vAlign w:val="center"/>
          </w:tcPr>
          <w:p w14:paraId="4BC6652B">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1.5</w:t>
            </w:r>
          </w:p>
        </w:tc>
        <w:tc>
          <w:tcPr>
            <w:tcW w:w="1507" w:type="pct"/>
            <w:tcBorders>
              <w:top w:val="nil"/>
              <w:left w:val="nil"/>
              <w:bottom w:val="nil"/>
              <w:right w:val="nil"/>
            </w:tcBorders>
            <w:shd w:val="clear" w:color="auto" w:fill="auto"/>
            <w:vAlign w:val="center"/>
          </w:tcPr>
          <w:p w14:paraId="1523F38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Joint </w:t>
            </w:r>
          </w:p>
        </w:tc>
        <w:tc>
          <w:tcPr>
            <w:tcW w:w="444" w:type="pct"/>
            <w:tcBorders>
              <w:top w:val="nil"/>
              <w:left w:val="nil"/>
              <w:bottom w:val="nil"/>
              <w:right w:val="nil"/>
            </w:tcBorders>
            <w:shd w:val="clear" w:color="auto" w:fill="auto"/>
            <w:noWrap/>
            <w:vAlign w:val="center"/>
          </w:tcPr>
          <w:p w14:paraId="1F42FBEE">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401</w:t>
            </w:r>
          </w:p>
        </w:tc>
        <w:tc>
          <w:tcPr>
            <w:tcW w:w="444" w:type="pct"/>
            <w:tcBorders>
              <w:top w:val="nil"/>
              <w:left w:val="nil"/>
              <w:bottom w:val="nil"/>
              <w:right w:val="nil"/>
            </w:tcBorders>
            <w:shd w:val="clear" w:color="auto" w:fill="auto"/>
            <w:noWrap/>
            <w:vAlign w:val="center"/>
          </w:tcPr>
          <w:p w14:paraId="67C7AA8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38.4</w:t>
            </w:r>
          </w:p>
        </w:tc>
      </w:tr>
      <w:tr w14:paraId="2684C344">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2244C820">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Students</w:t>
            </w:r>
          </w:p>
        </w:tc>
        <w:tc>
          <w:tcPr>
            <w:tcW w:w="322" w:type="pct"/>
            <w:tcBorders>
              <w:top w:val="nil"/>
              <w:left w:val="nil"/>
              <w:bottom w:val="nil"/>
              <w:right w:val="nil"/>
            </w:tcBorders>
            <w:shd w:val="clear" w:color="auto" w:fill="auto"/>
            <w:noWrap/>
            <w:vAlign w:val="center"/>
          </w:tcPr>
          <w:p w14:paraId="43BE3C61">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448</w:t>
            </w:r>
          </w:p>
        </w:tc>
        <w:tc>
          <w:tcPr>
            <w:tcW w:w="490" w:type="pct"/>
            <w:tcBorders>
              <w:top w:val="nil"/>
              <w:left w:val="nil"/>
              <w:bottom w:val="nil"/>
              <w:right w:val="nil"/>
            </w:tcBorders>
            <w:shd w:val="clear" w:color="auto" w:fill="auto"/>
            <w:noWrap/>
            <w:vAlign w:val="center"/>
          </w:tcPr>
          <w:p w14:paraId="741F3D6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43.0</w:t>
            </w:r>
          </w:p>
        </w:tc>
        <w:tc>
          <w:tcPr>
            <w:tcW w:w="1507" w:type="pct"/>
            <w:tcBorders>
              <w:top w:val="nil"/>
              <w:left w:val="nil"/>
              <w:bottom w:val="nil"/>
              <w:right w:val="nil"/>
            </w:tcBorders>
            <w:shd w:val="clear" w:color="auto" w:fill="auto"/>
            <w:vAlign w:val="center"/>
          </w:tcPr>
          <w:p w14:paraId="6D82EB3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Nuclear </w:t>
            </w:r>
          </w:p>
        </w:tc>
        <w:tc>
          <w:tcPr>
            <w:tcW w:w="444" w:type="pct"/>
            <w:tcBorders>
              <w:top w:val="nil"/>
              <w:left w:val="nil"/>
              <w:bottom w:val="nil"/>
              <w:right w:val="nil"/>
            </w:tcBorders>
            <w:shd w:val="clear" w:color="auto" w:fill="auto"/>
            <w:noWrap/>
            <w:vAlign w:val="center"/>
          </w:tcPr>
          <w:p w14:paraId="528748C5">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642</w:t>
            </w:r>
          </w:p>
        </w:tc>
        <w:tc>
          <w:tcPr>
            <w:tcW w:w="444" w:type="pct"/>
            <w:tcBorders>
              <w:top w:val="nil"/>
              <w:left w:val="nil"/>
              <w:bottom w:val="nil"/>
              <w:right w:val="nil"/>
            </w:tcBorders>
            <w:shd w:val="clear" w:color="auto" w:fill="auto"/>
            <w:noWrap/>
            <w:vAlign w:val="center"/>
          </w:tcPr>
          <w:p w14:paraId="2AFF7DAB">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61.6</w:t>
            </w:r>
          </w:p>
        </w:tc>
      </w:tr>
      <w:tr w14:paraId="5EFA097F">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4E43DFBE">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Self-employed</w:t>
            </w:r>
          </w:p>
        </w:tc>
        <w:tc>
          <w:tcPr>
            <w:tcW w:w="322" w:type="pct"/>
            <w:tcBorders>
              <w:top w:val="nil"/>
              <w:left w:val="nil"/>
              <w:bottom w:val="nil"/>
              <w:right w:val="nil"/>
            </w:tcBorders>
            <w:shd w:val="clear" w:color="auto" w:fill="auto"/>
            <w:noWrap/>
            <w:vAlign w:val="center"/>
          </w:tcPr>
          <w:p w14:paraId="1CEB6646">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50</w:t>
            </w:r>
          </w:p>
        </w:tc>
        <w:tc>
          <w:tcPr>
            <w:tcW w:w="490" w:type="pct"/>
            <w:tcBorders>
              <w:top w:val="nil"/>
              <w:left w:val="nil"/>
              <w:bottom w:val="nil"/>
              <w:right w:val="nil"/>
            </w:tcBorders>
            <w:shd w:val="clear" w:color="auto" w:fill="auto"/>
            <w:noWrap/>
            <w:vAlign w:val="center"/>
          </w:tcPr>
          <w:p w14:paraId="0DBF54A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4.8</w:t>
            </w:r>
          </w:p>
        </w:tc>
        <w:tc>
          <w:tcPr>
            <w:tcW w:w="1507" w:type="pct"/>
            <w:tcBorders>
              <w:top w:val="nil"/>
              <w:left w:val="nil"/>
              <w:bottom w:val="nil"/>
              <w:right w:val="nil"/>
            </w:tcBorders>
            <w:shd w:val="clear" w:color="auto" w:fill="auto"/>
            <w:vAlign w:val="center"/>
          </w:tcPr>
          <w:p w14:paraId="001EB674">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54A2D53">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79B990EF">
            <w:pPr>
              <w:spacing w:after="0" w:line="360" w:lineRule="auto"/>
              <w:jc w:val="center"/>
              <w:rPr>
                <w:rFonts w:ascii="Times New Roman" w:hAnsi="Times New Roman" w:eastAsia="Times New Roman" w:cs="Times New Roman"/>
                <w:color w:val="000000"/>
                <w:sz w:val="24"/>
                <w:szCs w:val="24"/>
                <w:lang w:eastAsia="en-IN"/>
              </w:rPr>
            </w:pPr>
          </w:p>
        </w:tc>
      </w:tr>
      <w:tr w14:paraId="61039239">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394B43E6">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Professional</w:t>
            </w:r>
          </w:p>
        </w:tc>
        <w:tc>
          <w:tcPr>
            <w:tcW w:w="322" w:type="pct"/>
            <w:tcBorders>
              <w:top w:val="nil"/>
              <w:left w:val="nil"/>
              <w:bottom w:val="nil"/>
              <w:right w:val="nil"/>
            </w:tcBorders>
            <w:shd w:val="clear" w:color="auto" w:fill="auto"/>
            <w:noWrap/>
            <w:vAlign w:val="center"/>
          </w:tcPr>
          <w:p w14:paraId="1778A49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102</w:t>
            </w:r>
          </w:p>
        </w:tc>
        <w:tc>
          <w:tcPr>
            <w:tcW w:w="490" w:type="pct"/>
            <w:tcBorders>
              <w:top w:val="nil"/>
              <w:left w:val="nil"/>
              <w:bottom w:val="nil"/>
              <w:right w:val="nil"/>
            </w:tcBorders>
            <w:shd w:val="clear" w:color="auto" w:fill="auto"/>
            <w:noWrap/>
            <w:vAlign w:val="center"/>
          </w:tcPr>
          <w:p w14:paraId="0A4E62F6">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9.8</w:t>
            </w:r>
          </w:p>
        </w:tc>
        <w:tc>
          <w:tcPr>
            <w:tcW w:w="1507" w:type="pct"/>
            <w:tcBorders>
              <w:top w:val="nil"/>
              <w:left w:val="nil"/>
              <w:bottom w:val="nil"/>
              <w:right w:val="nil"/>
            </w:tcBorders>
            <w:shd w:val="clear" w:color="auto" w:fill="auto"/>
            <w:noWrap/>
            <w:vAlign w:val="center"/>
          </w:tcPr>
          <w:p w14:paraId="7C373CBF">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6E22733B">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AAB8469">
            <w:pPr>
              <w:spacing w:after="0" w:line="360" w:lineRule="auto"/>
              <w:jc w:val="center"/>
              <w:rPr>
                <w:rFonts w:ascii="Times New Roman" w:hAnsi="Times New Roman" w:eastAsia="Times New Roman" w:cs="Times New Roman"/>
                <w:color w:val="000000"/>
                <w:sz w:val="24"/>
                <w:szCs w:val="24"/>
                <w:lang w:eastAsia="en-IN"/>
              </w:rPr>
            </w:pPr>
          </w:p>
        </w:tc>
      </w:tr>
      <w:tr w14:paraId="6FD4DA61">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610D8BFE">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Service</w:t>
            </w:r>
          </w:p>
        </w:tc>
        <w:tc>
          <w:tcPr>
            <w:tcW w:w="322" w:type="pct"/>
            <w:tcBorders>
              <w:top w:val="nil"/>
              <w:left w:val="nil"/>
              <w:bottom w:val="nil"/>
              <w:right w:val="nil"/>
            </w:tcBorders>
            <w:shd w:val="clear" w:color="auto" w:fill="auto"/>
            <w:noWrap/>
            <w:vAlign w:val="center"/>
          </w:tcPr>
          <w:p w14:paraId="5FC06FB4">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290</w:t>
            </w:r>
          </w:p>
        </w:tc>
        <w:tc>
          <w:tcPr>
            <w:tcW w:w="490" w:type="pct"/>
            <w:tcBorders>
              <w:top w:val="nil"/>
              <w:left w:val="nil"/>
              <w:bottom w:val="nil"/>
              <w:right w:val="nil"/>
            </w:tcBorders>
            <w:shd w:val="clear" w:color="auto" w:fill="auto"/>
            <w:noWrap/>
            <w:vAlign w:val="center"/>
          </w:tcPr>
          <w:p w14:paraId="748A43D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27.8</w:t>
            </w:r>
          </w:p>
        </w:tc>
        <w:tc>
          <w:tcPr>
            <w:tcW w:w="1507" w:type="pct"/>
            <w:tcBorders>
              <w:top w:val="nil"/>
              <w:left w:val="nil"/>
              <w:bottom w:val="nil"/>
              <w:right w:val="nil"/>
            </w:tcBorders>
            <w:shd w:val="clear" w:color="auto" w:fill="auto"/>
            <w:noWrap/>
            <w:vAlign w:val="center"/>
          </w:tcPr>
          <w:p w14:paraId="7758E405">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28308316">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6821B2CA">
            <w:pPr>
              <w:spacing w:after="0" w:line="360" w:lineRule="auto"/>
              <w:jc w:val="center"/>
              <w:rPr>
                <w:rFonts w:ascii="Times New Roman" w:hAnsi="Times New Roman" w:eastAsia="Times New Roman" w:cs="Times New Roman"/>
                <w:color w:val="000000"/>
                <w:sz w:val="24"/>
                <w:szCs w:val="24"/>
                <w:lang w:eastAsia="en-IN"/>
              </w:rPr>
            </w:pPr>
          </w:p>
        </w:tc>
      </w:tr>
      <w:tr w14:paraId="5B694F61">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53CAA3C3">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Business</w:t>
            </w:r>
          </w:p>
        </w:tc>
        <w:tc>
          <w:tcPr>
            <w:tcW w:w="322" w:type="pct"/>
            <w:tcBorders>
              <w:top w:val="nil"/>
              <w:left w:val="nil"/>
              <w:bottom w:val="nil"/>
              <w:right w:val="nil"/>
            </w:tcBorders>
            <w:shd w:val="clear" w:color="auto" w:fill="auto"/>
            <w:noWrap/>
            <w:vAlign w:val="center"/>
          </w:tcPr>
          <w:p w14:paraId="1FF958AB">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129</w:t>
            </w:r>
          </w:p>
        </w:tc>
        <w:tc>
          <w:tcPr>
            <w:tcW w:w="490" w:type="pct"/>
            <w:tcBorders>
              <w:top w:val="nil"/>
              <w:left w:val="nil"/>
              <w:bottom w:val="nil"/>
              <w:right w:val="nil"/>
            </w:tcBorders>
            <w:shd w:val="clear" w:color="auto" w:fill="auto"/>
            <w:noWrap/>
            <w:vAlign w:val="center"/>
          </w:tcPr>
          <w:p w14:paraId="3BCB5005">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12.4</w:t>
            </w:r>
          </w:p>
        </w:tc>
        <w:tc>
          <w:tcPr>
            <w:tcW w:w="1507" w:type="pct"/>
            <w:tcBorders>
              <w:top w:val="nil"/>
              <w:left w:val="nil"/>
              <w:bottom w:val="nil"/>
              <w:right w:val="nil"/>
            </w:tcBorders>
            <w:shd w:val="clear" w:color="auto" w:fill="auto"/>
            <w:noWrap/>
            <w:vAlign w:val="center"/>
          </w:tcPr>
          <w:p w14:paraId="01C996A1">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2DA4448E">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11E6B98F">
            <w:pPr>
              <w:spacing w:after="0" w:line="360" w:lineRule="auto"/>
              <w:jc w:val="center"/>
              <w:rPr>
                <w:rFonts w:ascii="Times New Roman" w:hAnsi="Times New Roman" w:eastAsia="Times New Roman" w:cs="Times New Roman"/>
                <w:color w:val="000000"/>
                <w:sz w:val="24"/>
                <w:szCs w:val="24"/>
                <w:lang w:eastAsia="en-IN"/>
              </w:rPr>
            </w:pPr>
          </w:p>
        </w:tc>
      </w:tr>
      <w:tr w14:paraId="00F14FE5">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7217316C">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Other</w:t>
            </w:r>
          </w:p>
        </w:tc>
        <w:tc>
          <w:tcPr>
            <w:tcW w:w="322" w:type="pct"/>
            <w:tcBorders>
              <w:top w:val="nil"/>
              <w:left w:val="nil"/>
              <w:bottom w:val="nil"/>
              <w:right w:val="nil"/>
            </w:tcBorders>
            <w:shd w:val="clear" w:color="auto" w:fill="auto"/>
            <w:noWrap/>
            <w:vAlign w:val="center"/>
          </w:tcPr>
          <w:p w14:paraId="7ECFFFBB">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tcPr>
          <w:p w14:paraId="0C92A0BF">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1507" w:type="pct"/>
            <w:tcBorders>
              <w:top w:val="nil"/>
              <w:left w:val="nil"/>
              <w:bottom w:val="nil"/>
              <w:right w:val="nil"/>
            </w:tcBorders>
            <w:shd w:val="clear" w:color="auto" w:fill="auto"/>
            <w:noWrap/>
            <w:vAlign w:val="center"/>
          </w:tcPr>
          <w:p w14:paraId="702D83F2">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1D2BBC79">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1EA349E">
            <w:pPr>
              <w:spacing w:after="0" w:line="360" w:lineRule="auto"/>
              <w:jc w:val="center"/>
              <w:rPr>
                <w:rFonts w:ascii="Times New Roman" w:hAnsi="Times New Roman" w:eastAsia="Times New Roman" w:cs="Times New Roman"/>
                <w:color w:val="000000"/>
                <w:sz w:val="24"/>
                <w:szCs w:val="24"/>
                <w:lang w:eastAsia="en-IN"/>
              </w:rPr>
            </w:pPr>
          </w:p>
        </w:tc>
      </w:tr>
      <w:tr w14:paraId="458F6F3B">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4492A409">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Grand Total</w:t>
            </w:r>
          </w:p>
        </w:tc>
        <w:tc>
          <w:tcPr>
            <w:tcW w:w="322" w:type="pct"/>
            <w:tcBorders>
              <w:top w:val="nil"/>
              <w:left w:val="nil"/>
              <w:bottom w:val="nil"/>
              <w:right w:val="nil"/>
            </w:tcBorders>
            <w:shd w:val="clear" w:color="auto" w:fill="auto"/>
            <w:noWrap/>
            <w:vAlign w:val="center"/>
          </w:tcPr>
          <w:p w14:paraId="48ABCEAD">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1043</w:t>
            </w:r>
          </w:p>
        </w:tc>
        <w:tc>
          <w:tcPr>
            <w:tcW w:w="490" w:type="pct"/>
            <w:tcBorders>
              <w:top w:val="nil"/>
              <w:left w:val="nil"/>
              <w:bottom w:val="nil"/>
              <w:right w:val="nil"/>
            </w:tcBorders>
            <w:shd w:val="clear" w:color="auto" w:fill="auto"/>
            <w:noWrap/>
            <w:vAlign w:val="center"/>
          </w:tcPr>
          <w:p w14:paraId="0224AD40">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100.0</w:t>
            </w:r>
          </w:p>
        </w:tc>
        <w:tc>
          <w:tcPr>
            <w:tcW w:w="1507" w:type="pct"/>
            <w:tcBorders>
              <w:top w:val="nil"/>
              <w:left w:val="nil"/>
              <w:bottom w:val="nil"/>
              <w:right w:val="nil"/>
            </w:tcBorders>
            <w:shd w:val="clear" w:color="auto" w:fill="auto"/>
            <w:noWrap/>
            <w:vAlign w:val="center"/>
          </w:tcPr>
          <w:p w14:paraId="54172107">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Grand Total</w:t>
            </w:r>
          </w:p>
        </w:tc>
        <w:tc>
          <w:tcPr>
            <w:tcW w:w="444" w:type="pct"/>
            <w:tcBorders>
              <w:top w:val="nil"/>
              <w:left w:val="nil"/>
              <w:bottom w:val="nil"/>
              <w:right w:val="nil"/>
            </w:tcBorders>
            <w:shd w:val="clear" w:color="auto" w:fill="auto"/>
            <w:noWrap/>
            <w:vAlign w:val="center"/>
          </w:tcPr>
          <w:p w14:paraId="165AECE7">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1043</w:t>
            </w:r>
          </w:p>
        </w:tc>
        <w:tc>
          <w:tcPr>
            <w:tcW w:w="444" w:type="pct"/>
            <w:tcBorders>
              <w:top w:val="nil"/>
              <w:left w:val="nil"/>
              <w:bottom w:val="nil"/>
              <w:right w:val="nil"/>
            </w:tcBorders>
            <w:shd w:val="clear" w:color="auto" w:fill="auto"/>
            <w:noWrap/>
            <w:vAlign w:val="center"/>
          </w:tcPr>
          <w:p w14:paraId="393F1EDA">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100.0</w:t>
            </w:r>
          </w:p>
        </w:tc>
      </w:tr>
      <w:tr w14:paraId="31A98FEA">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2AAB02B3">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bottom w:val="nil"/>
              <w:right w:val="nil"/>
            </w:tcBorders>
            <w:shd w:val="clear" w:color="auto" w:fill="auto"/>
            <w:noWrap/>
            <w:vAlign w:val="center"/>
          </w:tcPr>
          <w:p w14:paraId="7D9365D0">
            <w:pPr>
              <w:spacing w:after="0" w:line="360" w:lineRule="auto"/>
              <w:jc w:val="center"/>
              <w:rPr>
                <w:rFonts w:ascii="Times New Roman" w:hAnsi="Times New Roman" w:eastAsia="Times New Roman" w:cs="Times New Roman"/>
                <w:color w:val="000000"/>
                <w:sz w:val="24"/>
                <w:szCs w:val="24"/>
                <w:lang w:eastAsia="en-IN"/>
              </w:rPr>
            </w:pPr>
          </w:p>
        </w:tc>
        <w:tc>
          <w:tcPr>
            <w:tcW w:w="490" w:type="pct"/>
            <w:tcBorders>
              <w:top w:val="nil"/>
              <w:left w:val="nil"/>
              <w:bottom w:val="nil"/>
              <w:right w:val="nil"/>
            </w:tcBorders>
            <w:shd w:val="clear" w:color="auto" w:fill="auto"/>
            <w:noWrap/>
            <w:vAlign w:val="center"/>
          </w:tcPr>
          <w:p w14:paraId="1AB5E622">
            <w:pPr>
              <w:spacing w:after="0" w:line="360" w:lineRule="auto"/>
              <w:jc w:val="center"/>
              <w:rPr>
                <w:rFonts w:ascii="Times New Roman" w:hAnsi="Times New Roman" w:eastAsia="Times New Roman" w:cs="Times New Roman"/>
                <w:color w:val="000000"/>
                <w:sz w:val="24"/>
                <w:szCs w:val="24"/>
                <w:lang w:eastAsia="en-IN"/>
              </w:rPr>
            </w:pPr>
          </w:p>
        </w:tc>
        <w:tc>
          <w:tcPr>
            <w:tcW w:w="1507" w:type="pct"/>
            <w:tcBorders>
              <w:top w:val="nil"/>
              <w:left w:val="nil"/>
              <w:bottom w:val="nil"/>
              <w:right w:val="nil"/>
            </w:tcBorders>
            <w:shd w:val="clear" w:color="auto" w:fill="auto"/>
            <w:noWrap/>
            <w:vAlign w:val="center"/>
          </w:tcPr>
          <w:p w14:paraId="4F4A6CB5">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75394B18">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202D4C6">
            <w:pPr>
              <w:spacing w:after="0" w:line="360" w:lineRule="auto"/>
              <w:jc w:val="center"/>
              <w:rPr>
                <w:rFonts w:ascii="Times New Roman" w:hAnsi="Times New Roman" w:eastAsia="Times New Roman" w:cs="Times New Roman"/>
                <w:color w:val="000000"/>
                <w:sz w:val="24"/>
                <w:szCs w:val="24"/>
                <w:lang w:eastAsia="en-IN"/>
              </w:rPr>
            </w:pPr>
          </w:p>
        </w:tc>
      </w:tr>
      <w:tr w14:paraId="3F7A49AB">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5102D1A2">
            <w:pPr>
              <w:spacing w:after="0" w:line="360" w:lineRule="auto"/>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 xml:space="preserve">G. Family Members </w:t>
            </w:r>
          </w:p>
        </w:tc>
        <w:tc>
          <w:tcPr>
            <w:tcW w:w="322" w:type="pct"/>
            <w:tcBorders>
              <w:top w:val="nil"/>
              <w:left w:val="nil"/>
              <w:bottom w:val="nil"/>
              <w:right w:val="nil"/>
            </w:tcBorders>
            <w:shd w:val="clear" w:color="auto" w:fill="auto"/>
            <w:noWrap/>
            <w:vAlign w:val="center"/>
          </w:tcPr>
          <w:p w14:paraId="74311495">
            <w:pPr>
              <w:spacing w:after="0" w:line="360" w:lineRule="auto"/>
              <w:jc w:val="center"/>
              <w:rPr>
                <w:rFonts w:ascii="Times New Roman" w:hAnsi="Times New Roman" w:eastAsia="Times New Roman" w:cs="Times New Roman"/>
                <w:b/>
                <w:bCs/>
                <w:i/>
                <w:iCs/>
                <w:color w:val="000000"/>
                <w:sz w:val="24"/>
                <w:szCs w:val="24"/>
                <w:lang w:eastAsia="en-IN"/>
              </w:rPr>
            </w:pPr>
            <w:r>
              <w:rPr>
                <w:rFonts w:ascii="Times New Roman" w:hAnsi="Times New Roman" w:eastAsia="Times New Roman" w:cs="Times New Roman"/>
                <w:b/>
                <w:bCs/>
                <w:i/>
                <w:iCs/>
                <w:color w:val="000000"/>
                <w:sz w:val="24"/>
                <w:szCs w:val="24"/>
                <w:lang w:eastAsia="en-IN"/>
              </w:rPr>
              <w:t>N</w:t>
            </w:r>
          </w:p>
        </w:tc>
        <w:tc>
          <w:tcPr>
            <w:tcW w:w="490" w:type="pct"/>
            <w:tcBorders>
              <w:top w:val="nil"/>
              <w:left w:val="nil"/>
              <w:bottom w:val="nil"/>
              <w:right w:val="nil"/>
            </w:tcBorders>
            <w:shd w:val="clear" w:color="auto" w:fill="auto"/>
            <w:noWrap/>
            <w:vAlign w:val="center"/>
          </w:tcPr>
          <w:p w14:paraId="19EF8514">
            <w:pPr>
              <w:spacing w:after="0" w:line="360" w:lineRule="auto"/>
              <w:jc w:val="center"/>
              <w:rPr>
                <w:rFonts w:ascii="Times New Roman" w:hAnsi="Times New Roman" w:eastAsia="Times New Roman" w:cs="Times New Roman"/>
                <w:b/>
                <w:bCs/>
                <w:color w:val="000000"/>
                <w:sz w:val="24"/>
                <w:szCs w:val="24"/>
                <w:lang w:eastAsia="en-IN"/>
              </w:rPr>
            </w:pPr>
            <w:r>
              <w:rPr>
                <w:rFonts w:ascii="Times New Roman" w:hAnsi="Times New Roman" w:eastAsia="Times New Roman" w:cs="Times New Roman"/>
                <w:b/>
                <w:bCs/>
                <w:color w:val="000000"/>
                <w:sz w:val="24"/>
                <w:szCs w:val="24"/>
                <w:lang w:eastAsia="en-IN"/>
              </w:rPr>
              <w:t>P (%)</w:t>
            </w:r>
          </w:p>
        </w:tc>
        <w:tc>
          <w:tcPr>
            <w:tcW w:w="1507" w:type="pct"/>
            <w:tcBorders>
              <w:top w:val="nil"/>
              <w:left w:val="nil"/>
              <w:bottom w:val="nil"/>
              <w:right w:val="nil"/>
            </w:tcBorders>
            <w:shd w:val="clear" w:color="auto" w:fill="auto"/>
            <w:noWrap/>
            <w:vAlign w:val="center"/>
          </w:tcPr>
          <w:p w14:paraId="14D107F1">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322A5A74">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1DDCECEF">
            <w:pPr>
              <w:spacing w:after="0" w:line="360" w:lineRule="auto"/>
              <w:jc w:val="center"/>
              <w:rPr>
                <w:rFonts w:ascii="Times New Roman" w:hAnsi="Times New Roman" w:eastAsia="Times New Roman" w:cs="Times New Roman"/>
                <w:color w:val="000000"/>
                <w:sz w:val="24"/>
                <w:szCs w:val="24"/>
                <w:lang w:eastAsia="en-IN"/>
              </w:rPr>
            </w:pPr>
          </w:p>
        </w:tc>
      </w:tr>
      <w:tr w14:paraId="6AF6A61C">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5168EB7A">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Less than 3 </w:t>
            </w:r>
          </w:p>
        </w:tc>
        <w:tc>
          <w:tcPr>
            <w:tcW w:w="322" w:type="pct"/>
            <w:tcBorders>
              <w:top w:val="nil"/>
              <w:left w:val="nil"/>
              <w:bottom w:val="nil"/>
              <w:right w:val="nil"/>
            </w:tcBorders>
            <w:shd w:val="clear" w:color="auto" w:fill="auto"/>
            <w:noWrap/>
            <w:vAlign w:val="center"/>
          </w:tcPr>
          <w:p w14:paraId="411E96AA">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51</w:t>
            </w:r>
          </w:p>
        </w:tc>
        <w:tc>
          <w:tcPr>
            <w:tcW w:w="490" w:type="pct"/>
            <w:tcBorders>
              <w:top w:val="nil"/>
              <w:left w:val="nil"/>
              <w:bottom w:val="nil"/>
              <w:right w:val="nil"/>
            </w:tcBorders>
            <w:shd w:val="clear" w:color="auto" w:fill="auto"/>
            <w:noWrap/>
            <w:vAlign w:val="center"/>
          </w:tcPr>
          <w:p w14:paraId="4D86CE7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4.9</w:t>
            </w:r>
          </w:p>
        </w:tc>
        <w:tc>
          <w:tcPr>
            <w:tcW w:w="1507" w:type="pct"/>
            <w:tcBorders>
              <w:top w:val="nil"/>
              <w:left w:val="nil"/>
              <w:bottom w:val="nil"/>
              <w:right w:val="nil"/>
            </w:tcBorders>
            <w:shd w:val="clear" w:color="auto" w:fill="auto"/>
            <w:noWrap/>
            <w:vAlign w:val="center"/>
          </w:tcPr>
          <w:p w14:paraId="47AAF1AF">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0406B399">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1024B313">
            <w:pPr>
              <w:spacing w:after="0" w:line="360" w:lineRule="auto"/>
              <w:jc w:val="center"/>
              <w:rPr>
                <w:rFonts w:ascii="Times New Roman" w:hAnsi="Times New Roman" w:eastAsia="Times New Roman" w:cs="Times New Roman"/>
                <w:color w:val="000000"/>
                <w:sz w:val="24"/>
                <w:szCs w:val="24"/>
                <w:lang w:eastAsia="en-IN"/>
              </w:rPr>
            </w:pPr>
          </w:p>
        </w:tc>
      </w:tr>
      <w:tr w14:paraId="3E741237">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134F6195">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4 to 5 </w:t>
            </w:r>
          </w:p>
        </w:tc>
        <w:tc>
          <w:tcPr>
            <w:tcW w:w="322" w:type="pct"/>
            <w:tcBorders>
              <w:top w:val="nil"/>
              <w:left w:val="nil"/>
              <w:bottom w:val="nil"/>
              <w:right w:val="nil"/>
            </w:tcBorders>
            <w:shd w:val="clear" w:color="auto" w:fill="auto"/>
            <w:noWrap/>
            <w:vAlign w:val="center"/>
          </w:tcPr>
          <w:p w14:paraId="675F49B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740</w:t>
            </w:r>
          </w:p>
        </w:tc>
        <w:tc>
          <w:tcPr>
            <w:tcW w:w="490" w:type="pct"/>
            <w:tcBorders>
              <w:top w:val="nil"/>
              <w:left w:val="nil"/>
              <w:bottom w:val="nil"/>
              <w:right w:val="nil"/>
            </w:tcBorders>
            <w:shd w:val="clear" w:color="auto" w:fill="auto"/>
            <w:noWrap/>
            <w:vAlign w:val="center"/>
          </w:tcPr>
          <w:p w14:paraId="4D9B3730">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70.9</w:t>
            </w:r>
          </w:p>
        </w:tc>
        <w:tc>
          <w:tcPr>
            <w:tcW w:w="1507" w:type="pct"/>
            <w:tcBorders>
              <w:top w:val="nil"/>
              <w:left w:val="nil"/>
              <w:bottom w:val="nil"/>
              <w:right w:val="nil"/>
            </w:tcBorders>
            <w:shd w:val="clear" w:color="auto" w:fill="auto"/>
            <w:noWrap/>
            <w:vAlign w:val="center"/>
          </w:tcPr>
          <w:p w14:paraId="56A0FA23">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78A8F86A">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054EE356">
            <w:pPr>
              <w:spacing w:after="0" w:line="360" w:lineRule="auto"/>
              <w:jc w:val="center"/>
              <w:rPr>
                <w:rFonts w:ascii="Times New Roman" w:hAnsi="Times New Roman" w:eastAsia="Times New Roman" w:cs="Times New Roman"/>
                <w:color w:val="000000"/>
                <w:sz w:val="24"/>
                <w:szCs w:val="24"/>
                <w:lang w:eastAsia="en-IN"/>
              </w:rPr>
            </w:pPr>
          </w:p>
        </w:tc>
      </w:tr>
      <w:tr w14:paraId="23A406EE">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05EB95C3">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6 to 7</w:t>
            </w:r>
          </w:p>
        </w:tc>
        <w:tc>
          <w:tcPr>
            <w:tcW w:w="322" w:type="pct"/>
            <w:tcBorders>
              <w:top w:val="nil"/>
              <w:left w:val="nil"/>
              <w:bottom w:val="nil"/>
              <w:right w:val="nil"/>
            </w:tcBorders>
            <w:shd w:val="clear" w:color="auto" w:fill="auto"/>
            <w:noWrap/>
            <w:vAlign w:val="center"/>
          </w:tcPr>
          <w:p w14:paraId="39DCFBC8">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204</w:t>
            </w:r>
          </w:p>
        </w:tc>
        <w:tc>
          <w:tcPr>
            <w:tcW w:w="490" w:type="pct"/>
            <w:tcBorders>
              <w:top w:val="nil"/>
              <w:left w:val="nil"/>
              <w:bottom w:val="nil"/>
              <w:right w:val="nil"/>
            </w:tcBorders>
            <w:shd w:val="clear" w:color="auto" w:fill="auto"/>
            <w:noWrap/>
            <w:vAlign w:val="center"/>
          </w:tcPr>
          <w:p w14:paraId="6DB40C5B">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19.6</w:t>
            </w:r>
          </w:p>
        </w:tc>
        <w:tc>
          <w:tcPr>
            <w:tcW w:w="1507" w:type="pct"/>
            <w:tcBorders>
              <w:top w:val="nil"/>
              <w:left w:val="nil"/>
              <w:bottom w:val="nil"/>
              <w:right w:val="nil"/>
            </w:tcBorders>
            <w:shd w:val="clear" w:color="auto" w:fill="auto"/>
            <w:noWrap/>
            <w:vAlign w:val="center"/>
          </w:tcPr>
          <w:p w14:paraId="2F4B040F">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6BE776CF">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29C5C85B">
            <w:pPr>
              <w:spacing w:after="0" w:line="360" w:lineRule="auto"/>
              <w:jc w:val="center"/>
              <w:rPr>
                <w:rFonts w:ascii="Times New Roman" w:hAnsi="Times New Roman" w:eastAsia="Times New Roman" w:cs="Times New Roman"/>
                <w:color w:val="000000"/>
                <w:sz w:val="24"/>
                <w:szCs w:val="24"/>
                <w:lang w:eastAsia="en-IN"/>
              </w:rPr>
            </w:pPr>
          </w:p>
        </w:tc>
      </w:tr>
      <w:tr w14:paraId="6E4BFD07">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66AA90F4">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 to 9</w:t>
            </w:r>
          </w:p>
        </w:tc>
        <w:tc>
          <w:tcPr>
            <w:tcW w:w="322" w:type="pct"/>
            <w:tcBorders>
              <w:top w:val="nil"/>
              <w:left w:val="nil"/>
              <w:bottom w:val="nil"/>
              <w:right w:val="nil"/>
            </w:tcBorders>
            <w:shd w:val="clear" w:color="auto" w:fill="auto"/>
            <w:noWrap/>
            <w:vAlign w:val="center"/>
          </w:tcPr>
          <w:p w14:paraId="3887DF32">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490" w:type="pct"/>
            <w:tcBorders>
              <w:top w:val="nil"/>
              <w:left w:val="nil"/>
              <w:bottom w:val="nil"/>
              <w:right w:val="nil"/>
            </w:tcBorders>
            <w:shd w:val="clear" w:color="auto" w:fill="auto"/>
            <w:noWrap/>
            <w:vAlign w:val="center"/>
          </w:tcPr>
          <w:p w14:paraId="4F8A52FC">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.8</w:t>
            </w:r>
          </w:p>
        </w:tc>
        <w:tc>
          <w:tcPr>
            <w:tcW w:w="1507" w:type="pct"/>
            <w:tcBorders>
              <w:top w:val="nil"/>
              <w:left w:val="nil"/>
              <w:bottom w:val="nil"/>
              <w:right w:val="nil"/>
            </w:tcBorders>
            <w:shd w:val="clear" w:color="auto" w:fill="auto"/>
            <w:noWrap/>
            <w:vAlign w:val="center"/>
          </w:tcPr>
          <w:p w14:paraId="089E74E0">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41F67B5C">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27E744ED">
            <w:pPr>
              <w:spacing w:after="0" w:line="360" w:lineRule="auto"/>
              <w:jc w:val="center"/>
              <w:rPr>
                <w:rFonts w:ascii="Times New Roman" w:hAnsi="Times New Roman" w:eastAsia="Times New Roman" w:cs="Times New Roman"/>
                <w:color w:val="000000"/>
                <w:sz w:val="24"/>
                <w:szCs w:val="24"/>
                <w:lang w:eastAsia="en-IN"/>
              </w:rPr>
            </w:pPr>
          </w:p>
        </w:tc>
      </w:tr>
      <w:tr w14:paraId="4BF4AB07">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vAlign w:val="center"/>
          </w:tcPr>
          <w:p w14:paraId="7436F9F0">
            <w:pPr>
              <w:spacing w:after="0" w:line="36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More than 9 </w:t>
            </w:r>
          </w:p>
        </w:tc>
        <w:tc>
          <w:tcPr>
            <w:tcW w:w="322" w:type="pct"/>
            <w:tcBorders>
              <w:top w:val="nil"/>
              <w:left w:val="nil"/>
              <w:bottom w:val="nil"/>
              <w:right w:val="nil"/>
            </w:tcBorders>
            <w:shd w:val="clear" w:color="auto" w:fill="auto"/>
            <w:noWrap/>
            <w:vAlign w:val="center"/>
          </w:tcPr>
          <w:p w14:paraId="7C1F6AE3">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40</w:t>
            </w:r>
          </w:p>
        </w:tc>
        <w:tc>
          <w:tcPr>
            <w:tcW w:w="490" w:type="pct"/>
            <w:tcBorders>
              <w:top w:val="nil"/>
              <w:left w:val="nil"/>
              <w:bottom w:val="nil"/>
              <w:right w:val="nil"/>
            </w:tcBorders>
            <w:shd w:val="clear" w:color="auto" w:fill="auto"/>
            <w:noWrap/>
            <w:vAlign w:val="center"/>
          </w:tcPr>
          <w:p w14:paraId="5C548CA9">
            <w:pPr>
              <w:spacing w:after="0" w:line="36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w:t>
            </w:r>
          </w:p>
        </w:tc>
        <w:tc>
          <w:tcPr>
            <w:tcW w:w="1507" w:type="pct"/>
            <w:tcBorders>
              <w:top w:val="nil"/>
              <w:left w:val="nil"/>
              <w:bottom w:val="nil"/>
              <w:right w:val="nil"/>
            </w:tcBorders>
            <w:shd w:val="clear" w:color="auto" w:fill="auto"/>
            <w:noWrap/>
            <w:vAlign w:val="center"/>
          </w:tcPr>
          <w:p w14:paraId="32A51586">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02377F43">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2619EF0E">
            <w:pPr>
              <w:spacing w:after="0" w:line="360" w:lineRule="auto"/>
              <w:jc w:val="center"/>
              <w:rPr>
                <w:rFonts w:ascii="Times New Roman" w:hAnsi="Times New Roman" w:eastAsia="Times New Roman" w:cs="Times New Roman"/>
                <w:color w:val="000000"/>
                <w:sz w:val="24"/>
                <w:szCs w:val="24"/>
                <w:lang w:eastAsia="en-IN"/>
              </w:rPr>
            </w:pPr>
          </w:p>
        </w:tc>
      </w:tr>
      <w:tr w14:paraId="607F7CDF">
        <w:tblPrEx>
          <w:tblCellMar>
            <w:top w:w="0" w:type="dxa"/>
            <w:left w:w="108" w:type="dxa"/>
            <w:bottom w:w="0" w:type="dxa"/>
            <w:right w:w="108" w:type="dxa"/>
          </w:tblCellMar>
        </w:tblPrEx>
        <w:trPr>
          <w:trHeight w:val="315" w:hRule="atLeast"/>
          <w:jc w:val="center"/>
        </w:trPr>
        <w:tc>
          <w:tcPr>
            <w:tcW w:w="1794" w:type="pct"/>
            <w:tcBorders>
              <w:top w:val="nil"/>
              <w:left w:val="nil"/>
              <w:bottom w:val="nil"/>
              <w:right w:val="nil"/>
            </w:tcBorders>
            <w:shd w:val="clear" w:color="auto" w:fill="auto"/>
            <w:noWrap/>
            <w:vAlign w:val="center"/>
          </w:tcPr>
          <w:p w14:paraId="04520C34">
            <w:pPr>
              <w:spacing w:after="0" w:line="360" w:lineRule="auto"/>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Grand Total</w:t>
            </w:r>
          </w:p>
        </w:tc>
        <w:tc>
          <w:tcPr>
            <w:tcW w:w="322" w:type="pct"/>
            <w:tcBorders>
              <w:top w:val="nil"/>
              <w:left w:val="nil"/>
              <w:bottom w:val="nil"/>
              <w:right w:val="nil"/>
            </w:tcBorders>
            <w:shd w:val="clear" w:color="auto" w:fill="auto"/>
            <w:noWrap/>
            <w:vAlign w:val="center"/>
          </w:tcPr>
          <w:p w14:paraId="5AAAE681">
            <w:pPr>
              <w:spacing w:after="0" w:line="360" w:lineRule="auto"/>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1043</w:t>
            </w:r>
          </w:p>
        </w:tc>
        <w:tc>
          <w:tcPr>
            <w:tcW w:w="490" w:type="pct"/>
            <w:tcBorders>
              <w:top w:val="nil"/>
              <w:left w:val="nil"/>
              <w:bottom w:val="nil"/>
              <w:right w:val="nil"/>
            </w:tcBorders>
            <w:shd w:val="clear" w:color="auto" w:fill="auto"/>
            <w:noWrap/>
            <w:vAlign w:val="center"/>
          </w:tcPr>
          <w:p w14:paraId="6959C4DE">
            <w:pPr>
              <w:spacing w:after="0" w:line="360" w:lineRule="auto"/>
              <w:jc w:val="center"/>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100.0</w:t>
            </w:r>
          </w:p>
        </w:tc>
        <w:tc>
          <w:tcPr>
            <w:tcW w:w="1507" w:type="pct"/>
            <w:tcBorders>
              <w:top w:val="nil"/>
              <w:left w:val="nil"/>
              <w:bottom w:val="nil"/>
              <w:right w:val="nil"/>
            </w:tcBorders>
            <w:shd w:val="clear" w:color="auto" w:fill="auto"/>
            <w:noWrap/>
            <w:vAlign w:val="center"/>
          </w:tcPr>
          <w:p w14:paraId="33E268F8">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0FE1B04A">
            <w:pPr>
              <w:spacing w:after="0" w:line="360" w:lineRule="auto"/>
              <w:jc w:val="center"/>
              <w:rPr>
                <w:rFonts w:ascii="Times New Roman" w:hAnsi="Times New Roman" w:eastAsia="Times New Roman" w:cs="Times New Roman"/>
                <w:color w:val="000000"/>
                <w:sz w:val="24"/>
                <w:szCs w:val="24"/>
                <w:lang w:eastAsia="en-IN"/>
              </w:rPr>
            </w:pPr>
          </w:p>
        </w:tc>
        <w:tc>
          <w:tcPr>
            <w:tcW w:w="444" w:type="pct"/>
            <w:tcBorders>
              <w:top w:val="nil"/>
              <w:left w:val="nil"/>
              <w:bottom w:val="nil"/>
              <w:right w:val="nil"/>
            </w:tcBorders>
            <w:shd w:val="clear" w:color="auto" w:fill="auto"/>
            <w:noWrap/>
            <w:vAlign w:val="center"/>
          </w:tcPr>
          <w:p w14:paraId="6034B137">
            <w:pPr>
              <w:spacing w:after="0" w:line="360" w:lineRule="auto"/>
              <w:jc w:val="center"/>
              <w:rPr>
                <w:rFonts w:ascii="Times New Roman" w:hAnsi="Times New Roman" w:eastAsia="Times New Roman" w:cs="Times New Roman"/>
                <w:color w:val="000000"/>
                <w:sz w:val="24"/>
                <w:szCs w:val="24"/>
                <w:lang w:eastAsia="en-IN"/>
              </w:rPr>
            </w:pPr>
          </w:p>
        </w:tc>
      </w:tr>
      <w:tr w14:paraId="3E2814F3">
        <w:tblPrEx>
          <w:tblCellMar>
            <w:top w:w="0" w:type="dxa"/>
            <w:left w:w="108" w:type="dxa"/>
            <w:bottom w:w="0" w:type="dxa"/>
            <w:right w:w="108" w:type="dxa"/>
          </w:tblCellMar>
        </w:tblPrEx>
        <w:trPr>
          <w:trHeight w:val="315" w:hRule="atLeast"/>
          <w:jc w:val="center"/>
        </w:trPr>
        <w:tc>
          <w:tcPr>
            <w:tcW w:w="1794" w:type="pct"/>
            <w:tcBorders>
              <w:top w:val="nil"/>
              <w:left w:val="nil"/>
              <w:right w:val="nil"/>
            </w:tcBorders>
            <w:shd w:val="clear" w:color="auto" w:fill="auto"/>
            <w:noWrap/>
            <w:vAlign w:val="bottom"/>
          </w:tcPr>
          <w:p w14:paraId="15E65473">
            <w:pPr>
              <w:spacing w:after="0" w:line="360" w:lineRule="auto"/>
              <w:rPr>
                <w:rFonts w:ascii="Times New Roman" w:hAnsi="Times New Roman" w:eastAsia="Times New Roman" w:cs="Times New Roman"/>
                <w:color w:val="000000"/>
                <w:sz w:val="24"/>
                <w:szCs w:val="24"/>
                <w:lang w:eastAsia="en-IN"/>
              </w:rPr>
            </w:pPr>
          </w:p>
        </w:tc>
        <w:tc>
          <w:tcPr>
            <w:tcW w:w="322" w:type="pct"/>
            <w:tcBorders>
              <w:top w:val="nil"/>
              <w:left w:val="nil"/>
              <w:right w:val="nil"/>
            </w:tcBorders>
            <w:shd w:val="clear" w:color="auto" w:fill="auto"/>
            <w:noWrap/>
            <w:vAlign w:val="bottom"/>
          </w:tcPr>
          <w:p w14:paraId="404286A9">
            <w:pPr>
              <w:spacing w:after="0" w:line="360" w:lineRule="auto"/>
              <w:rPr>
                <w:rFonts w:ascii="Times New Roman" w:hAnsi="Times New Roman" w:eastAsia="Times New Roman" w:cs="Times New Roman"/>
                <w:color w:val="000000"/>
                <w:sz w:val="24"/>
                <w:szCs w:val="24"/>
                <w:lang w:eastAsia="en-IN"/>
              </w:rPr>
            </w:pPr>
          </w:p>
        </w:tc>
        <w:tc>
          <w:tcPr>
            <w:tcW w:w="490" w:type="pct"/>
            <w:tcBorders>
              <w:top w:val="nil"/>
              <w:left w:val="nil"/>
              <w:right w:val="nil"/>
            </w:tcBorders>
            <w:shd w:val="clear" w:color="auto" w:fill="auto"/>
            <w:noWrap/>
            <w:vAlign w:val="bottom"/>
          </w:tcPr>
          <w:p w14:paraId="5334D4CA">
            <w:pPr>
              <w:spacing w:after="0" w:line="360" w:lineRule="auto"/>
              <w:rPr>
                <w:rFonts w:ascii="Times New Roman" w:hAnsi="Times New Roman" w:eastAsia="Times New Roman" w:cs="Times New Roman"/>
                <w:color w:val="000000"/>
                <w:sz w:val="24"/>
                <w:szCs w:val="24"/>
                <w:lang w:eastAsia="en-IN"/>
              </w:rPr>
            </w:pPr>
          </w:p>
        </w:tc>
        <w:tc>
          <w:tcPr>
            <w:tcW w:w="1507" w:type="pct"/>
            <w:tcBorders>
              <w:top w:val="nil"/>
              <w:left w:val="nil"/>
              <w:right w:val="nil"/>
            </w:tcBorders>
            <w:shd w:val="clear" w:color="auto" w:fill="auto"/>
            <w:noWrap/>
            <w:vAlign w:val="bottom"/>
          </w:tcPr>
          <w:p w14:paraId="2CD42998">
            <w:pPr>
              <w:spacing w:after="0" w:line="360" w:lineRule="auto"/>
              <w:rPr>
                <w:rFonts w:ascii="Times New Roman" w:hAnsi="Times New Roman" w:eastAsia="Times New Roman" w:cs="Times New Roman"/>
                <w:color w:val="000000"/>
                <w:sz w:val="24"/>
                <w:szCs w:val="24"/>
                <w:lang w:eastAsia="en-IN"/>
              </w:rPr>
            </w:pPr>
          </w:p>
        </w:tc>
        <w:tc>
          <w:tcPr>
            <w:tcW w:w="444" w:type="pct"/>
            <w:tcBorders>
              <w:top w:val="nil"/>
              <w:left w:val="nil"/>
              <w:right w:val="nil"/>
            </w:tcBorders>
            <w:shd w:val="clear" w:color="auto" w:fill="auto"/>
            <w:noWrap/>
            <w:vAlign w:val="bottom"/>
          </w:tcPr>
          <w:p w14:paraId="624C6862">
            <w:pPr>
              <w:spacing w:after="0" w:line="360" w:lineRule="auto"/>
              <w:rPr>
                <w:rFonts w:ascii="Times New Roman" w:hAnsi="Times New Roman" w:eastAsia="Times New Roman" w:cs="Times New Roman"/>
                <w:color w:val="000000"/>
                <w:sz w:val="24"/>
                <w:szCs w:val="24"/>
                <w:lang w:eastAsia="en-IN"/>
              </w:rPr>
            </w:pPr>
          </w:p>
        </w:tc>
        <w:tc>
          <w:tcPr>
            <w:tcW w:w="444" w:type="pct"/>
            <w:tcBorders>
              <w:top w:val="nil"/>
              <w:left w:val="nil"/>
              <w:right w:val="nil"/>
            </w:tcBorders>
            <w:shd w:val="clear" w:color="auto" w:fill="auto"/>
            <w:noWrap/>
            <w:vAlign w:val="bottom"/>
          </w:tcPr>
          <w:p w14:paraId="284D7256">
            <w:pPr>
              <w:spacing w:after="0" w:line="360" w:lineRule="auto"/>
              <w:rPr>
                <w:rFonts w:ascii="Times New Roman" w:hAnsi="Times New Roman" w:eastAsia="Times New Roman" w:cs="Times New Roman"/>
                <w:color w:val="000000"/>
                <w:sz w:val="24"/>
                <w:szCs w:val="24"/>
                <w:lang w:eastAsia="en-IN"/>
              </w:rPr>
            </w:pPr>
          </w:p>
        </w:tc>
      </w:tr>
      <w:tr w14:paraId="1B50A3D3">
        <w:tblPrEx>
          <w:tblCellMar>
            <w:top w:w="0" w:type="dxa"/>
            <w:left w:w="108" w:type="dxa"/>
            <w:bottom w:w="0" w:type="dxa"/>
            <w:right w:w="108" w:type="dxa"/>
          </w:tblCellMar>
        </w:tblPrEx>
        <w:trPr>
          <w:trHeight w:val="330" w:hRule="atLeast"/>
          <w:jc w:val="center"/>
        </w:trPr>
        <w:tc>
          <w:tcPr>
            <w:tcW w:w="5000" w:type="pct"/>
            <w:gridSpan w:val="6"/>
            <w:tcBorders>
              <w:left w:val="nil"/>
              <w:bottom w:val="single" w:color="auto" w:sz="12" w:space="0"/>
              <w:right w:val="nil"/>
            </w:tcBorders>
            <w:shd w:val="clear" w:color="auto" w:fill="auto"/>
          </w:tcPr>
          <w:p w14:paraId="22B8819A">
            <w:pPr>
              <w:spacing w:after="0" w:line="360" w:lineRule="auto"/>
              <w:rPr>
                <w:rFonts w:ascii="Times New Roman" w:hAnsi="Times New Roman" w:eastAsia="Times New Roman" w:cs="Times New Roman"/>
                <w:bCs/>
                <w:color w:val="000000"/>
                <w:sz w:val="24"/>
                <w:szCs w:val="24"/>
                <w:lang w:eastAsia="en-IN"/>
              </w:rPr>
            </w:pPr>
            <w:r>
              <w:rPr>
                <w:rFonts w:ascii="Times New Roman" w:hAnsi="Times New Roman" w:eastAsia="Times New Roman" w:cs="Times New Roman"/>
                <w:bCs/>
                <w:color w:val="000000"/>
                <w:sz w:val="24"/>
                <w:szCs w:val="24"/>
                <w:lang w:eastAsia="en-IN"/>
              </w:rPr>
              <w:t xml:space="preserve">Notes: Where </w:t>
            </w:r>
            <w:r>
              <w:rPr>
                <w:rFonts w:ascii="Times New Roman" w:hAnsi="Times New Roman" w:eastAsia="Times New Roman" w:cs="Times New Roman"/>
                <w:bCs/>
                <w:i/>
                <w:color w:val="000000"/>
                <w:sz w:val="24"/>
                <w:szCs w:val="24"/>
                <w:lang w:eastAsia="en-IN"/>
              </w:rPr>
              <w:t>N</w:t>
            </w:r>
            <w:r>
              <w:rPr>
                <w:rFonts w:ascii="Times New Roman" w:hAnsi="Times New Roman" w:eastAsia="Times New Roman" w:cs="Times New Roman"/>
                <w:bCs/>
                <w:color w:val="000000"/>
                <w:sz w:val="24"/>
                <w:szCs w:val="24"/>
                <w:lang w:eastAsia="en-IN"/>
              </w:rPr>
              <w:t xml:space="preserve"> = frequency; P= percentage. This table shows the descriptive of the sample</w:t>
            </w:r>
          </w:p>
        </w:tc>
      </w:tr>
    </w:tbl>
    <w:p w14:paraId="7FA995F0">
      <w:pPr>
        <w:spacing w:after="0" w:line="360" w:lineRule="auto"/>
        <w:jc w:val="both"/>
        <w:rPr>
          <w:rFonts w:ascii="Times New Roman" w:hAnsi="Times New Roman" w:cs="Times New Roman"/>
          <w:b/>
          <w:sz w:val="24"/>
          <w:szCs w:val="24"/>
        </w:rPr>
      </w:pPr>
    </w:p>
    <w:p w14:paraId="27EA128C">
      <w:pPr>
        <w:autoSpaceDE w:val="0"/>
        <w:autoSpaceDN w:val="0"/>
        <w:adjustRightInd w:val="0"/>
        <w:spacing w:after="0" w:line="360" w:lineRule="auto"/>
        <w:rPr>
          <w:rFonts w:ascii="Times New Roman" w:hAnsi="Times New Roman" w:cs="Times New Roman"/>
          <w:b/>
          <w:sz w:val="24"/>
          <w:szCs w:val="24"/>
          <w:lang w:bidi="gu-IN"/>
        </w:rPr>
      </w:pPr>
      <w:r>
        <w:rPr>
          <w:rFonts w:ascii="Times New Roman" w:hAnsi="Times New Roman" w:cs="Times New Roman"/>
          <w:b/>
          <w:sz w:val="24"/>
          <w:szCs w:val="24"/>
          <w:lang w:bidi="gu-IN"/>
        </w:rPr>
        <w:t>5.2 Travel during Vacation period and plan to change</w:t>
      </w:r>
    </w:p>
    <w:p w14:paraId="59D65029">
      <w:pPr>
        <w:autoSpaceDE w:val="0"/>
        <w:autoSpaceDN w:val="0"/>
        <w:adjustRightInd w:val="0"/>
        <w:spacing w:after="0" w:line="360" w:lineRule="auto"/>
        <w:jc w:val="center"/>
        <w:rPr>
          <w:rFonts w:ascii="Times New Roman" w:hAnsi="Times New Roman" w:cs="Times New Roman"/>
          <w:sz w:val="24"/>
          <w:szCs w:val="24"/>
          <w:lang w:bidi="gu-IN"/>
        </w:rPr>
      </w:pPr>
      <w:r>
        <w:rPr>
          <w:rFonts w:ascii="Times New Roman" w:hAnsi="Times New Roman" w:cs="Times New Roman"/>
          <w:sz w:val="24"/>
          <w:szCs w:val="24"/>
          <w:lang w:eastAsia="en-IN" w:bidi="gu-IN"/>
        </w:rPr>
        <w:drawing>
          <wp:inline distT="0" distB="0" distL="0" distR="0">
            <wp:extent cx="2424430" cy="1603375"/>
            <wp:effectExtent l="19050" t="0" r="13777"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4"/>
          <w:szCs w:val="24"/>
          <w:lang w:eastAsia="en-IN" w:bidi="gu-IN"/>
        </w:rPr>
        <w:drawing>
          <wp:inline distT="0" distB="0" distL="0" distR="0">
            <wp:extent cx="2441575" cy="1603375"/>
            <wp:effectExtent l="19050" t="0" r="15488"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CE23CB">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bidi="gu-IN"/>
        </w:rPr>
        <w:t>Figure 1: Preference of travellers during Vacation period and plan to change due to Covid-19 outbreak</w:t>
      </w:r>
    </w:p>
    <w:p w14:paraId="383FCFA1">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Excel output</w:t>
      </w:r>
    </w:p>
    <w:p w14:paraId="030D25C3">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Out of the total response received 93.6 % travellers prefer domestic travel and 6.4% travellers prefer global travel during vacation. And out of </w:t>
      </w:r>
      <w:bookmarkStart w:id="1" w:name="_Hlk39049295"/>
      <w:r>
        <w:rPr>
          <w:rFonts w:ascii="Times New Roman" w:hAnsi="Times New Roman" w:cs="Times New Roman"/>
          <w:sz w:val="24"/>
          <w:szCs w:val="24"/>
          <w:lang w:bidi="gu-IN"/>
        </w:rPr>
        <w:t xml:space="preserve">these 88% travellers have changed their travel plan and 22 % travellers are might change their plan due to COVID-19 outbreak. </w:t>
      </w:r>
      <w:bookmarkEnd w:id="1"/>
      <w:r>
        <w:rPr>
          <w:rFonts w:ascii="Times New Roman" w:hAnsi="Times New Roman" w:cs="Times New Roman"/>
          <w:sz w:val="24"/>
          <w:szCs w:val="24"/>
          <w:lang w:bidi="gu-IN"/>
        </w:rPr>
        <w:t>Travel plans of 15 % travellers were not going to affect due to COVID-19 outbreak.</w:t>
      </w:r>
    </w:p>
    <w:p w14:paraId="2A6E6E40">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eastAsia="Times New Roman" w:cs="Times New Roman"/>
          <w:b/>
          <w:bCs/>
          <w:color w:val="000000"/>
          <w:sz w:val="24"/>
          <w:szCs w:val="24"/>
        </w:rPr>
        <w:t xml:space="preserve">5.2.1 Chi-Square Analysis Performed to Identify the </w:t>
      </w:r>
      <w:r>
        <w:rPr>
          <w:rFonts w:ascii="Times New Roman" w:hAnsi="Times New Roman" w:eastAsia="Times New Roman" w:cs="Times New Roman"/>
          <w:b/>
          <w:sz w:val="24"/>
          <w:szCs w:val="24"/>
        </w:rPr>
        <w:t xml:space="preserve">Association between </w:t>
      </w:r>
      <w:r>
        <w:rPr>
          <w:rFonts w:ascii="Times New Roman" w:hAnsi="Times New Roman" w:cs="Times New Roman"/>
          <w:b/>
          <w:sz w:val="24"/>
          <w:szCs w:val="24"/>
          <w:lang w:bidi="gu-IN"/>
        </w:rPr>
        <w:t>Change in the travel plan due to COVID-19 outbreak,</w:t>
      </w:r>
      <w:r>
        <w:rPr>
          <w:rFonts w:ascii="Times New Roman" w:hAnsi="Times New Roman" w:cs="Times New Roman"/>
          <w:b/>
          <w:color w:val="000000"/>
          <w:sz w:val="24"/>
          <w:szCs w:val="24"/>
          <w:lang w:bidi="gu-IN"/>
        </w:rPr>
        <w:t xml:space="preserve"> Annual Family Income and Age of the travellers</w:t>
      </w:r>
    </w:p>
    <w:p w14:paraId="698860DF">
      <w:pPr>
        <w:autoSpaceDE w:val="0"/>
        <w:autoSpaceDN w:val="0"/>
        <w:adjustRightInd w:val="0"/>
        <w:spacing w:after="0" w:line="360" w:lineRule="auto"/>
        <w:jc w:val="both"/>
        <w:rPr>
          <w:rFonts w:ascii="Times New Roman" w:hAnsi="Times New Roman" w:eastAsia="Times New Roman" w:cs="Times New Roman"/>
          <w:bCs/>
          <w:color w:val="000000"/>
          <w:sz w:val="24"/>
          <w:szCs w:val="24"/>
          <w:lang w:val="en-US"/>
        </w:rPr>
      </w:pPr>
      <w:r>
        <w:rPr>
          <w:rFonts w:ascii="Times New Roman" w:hAnsi="Times New Roman" w:eastAsia="Times New Roman" w:cs="Times New Roman"/>
          <w:b/>
          <w:bCs/>
          <w:color w:val="000000"/>
          <w:sz w:val="24"/>
          <w:szCs w:val="24"/>
          <w:lang w:val="en-US"/>
        </w:rPr>
        <w:t>H</w:t>
      </w:r>
      <w:r>
        <w:rPr>
          <w:rFonts w:ascii="Times New Roman" w:hAnsi="Times New Roman" w:eastAsia="Times New Roman" w:cs="Times New Roman"/>
          <w:b/>
          <w:bCs/>
          <w:color w:val="000000"/>
          <w:sz w:val="24"/>
          <w:szCs w:val="24"/>
          <w:vertAlign w:val="subscript"/>
          <w:lang w:val="en-US"/>
        </w:rPr>
        <w:t>0:</w:t>
      </w:r>
      <w:r>
        <w:rPr>
          <w:rFonts w:ascii="Times New Roman" w:hAnsi="Times New Roman" w:eastAsia="Times New Roman" w:cs="Times New Roman"/>
          <w:bCs/>
          <w:color w:val="000000"/>
          <w:sz w:val="24"/>
          <w:szCs w:val="24"/>
          <w:lang w:val="en-US"/>
        </w:rPr>
        <w:t xml:space="preserve"> </w:t>
      </w:r>
      <w:r>
        <w:rPr>
          <w:rFonts w:ascii="Times New Roman" w:hAnsi="Times New Roman" w:cs="Times New Roman"/>
          <w:sz w:val="24"/>
          <w:szCs w:val="24"/>
          <w:lang w:bidi="gu-IN"/>
        </w:rPr>
        <w:t>Change in the travel plan due to COVID-19 outbreak</w:t>
      </w:r>
      <w:r>
        <w:rPr>
          <w:rFonts w:ascii="Times New Roman" w:hAnsi="Times New Roman" w:eastAsia="Times New Roman" w:cs="Times New Roman"/>
          <w:bCs/>
          <w:color w:val="000000"/>
          <w:sz w:val="24"/>
          <w:szCs w:val="24"/>
          <w:lang w:val="en-US"/>
        </w:rPr>
        <w:t xml:space="preserve"> is independent to Annual Family Income groups across the different age groups. </w:t>
      </w:r>
    </w:p>
    <w:p w14:paraId="2FF930C4">
      <w:pPr>
        <w:autoSpaceDE w:val="0"/>
        <w:autoSpaceDN w:val="0"/>
        <w:adjustRightInd w:val="0"/>
        <w:spacing w:after="0" w:line="360" w:lineRule="auto"/>
        <w:jc w:val="both"/>
        <w:rPr>
          <w:rFonts w:ascii="Times New Roman" w:hAnsi="Times New Roman" w:eastAsia="Times New Roman" w:cs="Times New Roman"/>
          <w:bCs/>
          <w:color w:val="000000"/>
          <w:sz w:val="24"/>
          <w:szCs w:val="24"/>
          <w:lang w:val="en-US"/>
        </w:rPr>
      </w:pPr>
      <w:r>
        <w:rPr>
          <w:rFonts w:ascii="Times New Roman" w:hAnsi="Times New Roman" w:eastAsia="Times New Roman" w:cs="Times New Roman"/>
          <w:b/>
          <w:bCs/>
          <w:color w:val="000000"/>
          <w:sz w:val="24"/>
          <w:szCs w:val="24"/>
          <w:lang w:val="en-US"/>
        </w:rPr>
        <w:t>H</w:t>
      </w:r>
      <w:r>
        <w:rPr>
          <w:rFonts w:ascii="Times New Roman" w:hAnsi="Times New Roman" w:eastAsia="Times New Roman" w:cs="Times New Roman"/>
          <w:b/>
          <w:bCs/>
          <w:color w:val="000000"/>
          <w:sz w:val="24"/>
          <w:szCs w:val="24"/>
          <w:vertAlign w:val="subscript"/>
          <w:lang w:val="en-US"/>
        </w:rPr>
        <w:t>1:</w:t>
      </w:r>
      <w:r>
        <w:rPr>
          <w:rFonts w:ascii="Times New Roman" w:hAnsi="Times New Roman" w:eastAsia="Times New Roman" w:cs="Times New Roman"/>
          <w:bCs/>
          <w:color w:val="000000"/>
          <w:sz w:val="24"/>
          <w:szCs w:val="24"/>
          <w:lang w:val="en-US"/>
        </w:rPr>
        <w:t xml:space="preserve"> </w:t>
      </w:r>
      <w:r>
        <w:rPr>
          <w:rFonts w:ascii="Times New Roman" w:hAnsi="Times New Roman" w:cs="Times New Roman"/>
          <w:sz w:val="24"/>
          <w:szCs w:val="24"/>
          <w:lang w:bidi="gu-IN"/>
        </w:rPr>
        <w:t>Change in the travel plan due to COVID-19 outbreak</w:t>
      </w:r>
      <w:r>
        <w:rPr>
          <w:rFonts w:ascii="Times New Roman" w:hAnsi="Times New Roman" w:eastAsia="Times New Roman" w:cs="Times New Roman"/>
          <w:bCs/>
          <w:color w:val="000000"/>
          <w:sz w:val="24"/>
          <w:szCs w:val="24"/>
          <w:lang w:val="en-US"/>
        </w:rPr>
        <w:t xml:space="preserve"> is not independent to Annual Family Income groups across the different age groups. </w:t>
      </w:r>
    </w:p>
    <w:p w14:paraId="05D09C4F">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eastAsia="Times New Roman" w:cs="Times New Roman"/>
          <w:b/>
          <w:sz w:val="24"/>
          <w:szCs w:val="24"/>
        </w:rPr>
        <w:t xml:space="preserve">TABLE </w:t>
      </w:r>
      <w:r>
        <w:rPr>
          <w:rFonts w:ascii="Times New Roman" w:hAnsi="Times New Roman" w:eastAsia="Times New Roman" w:cs="Times New Roman"/>
          <w:b/>
          <w:bCs/>
          <w:sz w:val="24"/>
          <w:szCs w:val="24"/>
        </w:rPr>
        <w:t>2:</w:t>
      </w:r>
      <w:r>
        <w:rPr>
          <w:rFonts w:ascii="Times New Roman" w:hAnsi="Times New Roman" w:eastAsia="Times New Roman" w:cs="Times New Roman"/>
          <w:b/>
          <w:sz w:val="24"/>
          <w:szCs w:val="24"/>
        </w:rPr>
        <w:t xml:space="preserve"> Chi-Square Test:</w:t>
      </w:r>
      <w:r>
        <w:rPr>
          <w:rFonts w:ascii="Times New Roman" w:hAnsi="Times New Roman" w:cs="Times New Roman"/>
          <w:b/>
          <w:sz w:val="24"/>
          <w:szCs w:val="24"/>
          <w:lang w:bidi="gu-IN"/>
        </w:rPr>
        <w:t xml:space="preserve"> Change in the travel plan due to COVID-19 outbreak -</w:t>
      </w:r>
      <w:r>
        <w:rPr>
          <w:rFonts w:ascii="Times New Roman" w:hAnsi="Times New Roman" w:cs="Times New Roman"/>
          <w:b/>
          <w:color w:val="000000"/>
          <w:sz w:val="24"/>
          <w:szCs w:val="24"/>
          <w:lang w:bidi="gu-IN"/>
        </w:rPr>
        <w:t>Annual Family Income - Age of the travellers</w:t>
      </w:r>
    </w:p>
    <w:tbl>
      <w:tblPr>
        <w:tblStyle w:val="6"/>
        <w:tblW w:w="9056" w:type="dxa"/>
        <w:jc w:val="center"/>
        <w:tblLayout w:type="autofit"/>
        <w:tblCellMar>
          <w:top w:w="0" w:type="dxa"/>
          <w:left w:w="0" w:type="dxa"/>
          <w:bottom w:w="0" w:type="dxa"/>
          <w:right w:w="0" w:type="dxa"/>
        </w:tblCellMar>
      </w:tblPr>
      <w:tblGrid>
        <w:gridCol w:w="1706"/>
        <w:gridCol w:w="1711"/>
        <w:gridCol w:w="426"/>
        <w:gridCol w:w="1417"/>
        <w:gridCol w:w="3796"/>
      </w:tblGrid>
      <w:tr w14:paraId="217BE010">
        <w:tblPrEx>
          <w:tblCellMar>
            <w:top w:w="0" w:type="dxa"/>
            <w:left w:w="0" w:type="dxa"/>
            <w:bottom w:w="0" w:type="dxa"/>
            <w:right w:w="0" w:type="dxa"/>
          </w:tblCellMar>
        </w:tblPrEx>
        <w:trPr>
          <w:cantSplit/>
          <w:jc w:val="center"/>
        </w:trPr>
        <w:tc>
          <w:tcPr>
            <w:tcW w:w="1706" w:type="dxa"/>
            <w:tcBorders>
              <w:top w:val="single" w:color="auto" w:sz="8" w:space="0"/>
              <w:bottom w:val="single" w:color="auto" w:sz="12" w:space="0"/>
            </w:tcBorders>
            <w:shd w:val="clear" w:color="auto" w:fill="FFFFFF"/>
            <w:vAlign w:val="center"/>
          </w:tcPr>
          <w:p w14:paraId="2F0932A8">
            <w:pPr>
              <w:autoSpaceDE w:val="0"/>
              <w:autoSpaceDN w:val="0"/>
              <w:adjustRightInd w:val="0"/>
              <w:spacing w:after="0" w:line="360" w:lineRule="auto"/>
              <w:ind w:right="60"/>
              <w:jc w:val="center"/>
              <w:rPr>
                <w:rFonts w:ascii="Times New Roman" w:hAnsi="Times New Roman" w:cs="Times New Roman"/>
                <w:b/>
                <w:sz w:val="24"/>
                <w:szCs w:val="24"/>
                <w:lang w:bidi="gu-IN"/>
              </w:rPr>
            </w:pPr>
            <w:r>
              <w:rPr>
                <w:rFonts w:ascii="Times New Roman" w:hAnsi="Times New Roman" w:cs="Times New Roman"/>
                <w:b/>
                <w:sz w:val="24"/>
                <w:szCs w:val="24"/>
                <w:lang w:bidi="gu-IN"/>
              </w:rPr>
              <w:t>Age</w:t>
            </w:r>
          </w:p>
        </w:tc>
        <w:tc>
          <w:tcPr>
            <w:tcW w:w="1711" w:type="dxa"/>
            <w:tcBorders>
              <w:top w:val="single" w:color="auto" w:sz="8" w:space="0"/>
              <w:bottom w:val="single" w:color="auto" w:sz="12" w:space="0"/>
            </w:tcBorders>
            <w:shd w:val="clear" w:color="auto" w:fill="FFFFFF"/>
            <w:vAlign w:val="center"/>
          </w:tcPr>
          <w:p w14:paraId="0EE9141A">
            <w:pPr>
              <w:autoSpaceDE w:val="0"/>
              <w:autoSpaceDN w:val="0"/>
              <w:adjustRightInd w:val="0"/>
              <w:spacing w:after="0" w:line="360" w:lineRule="auto"/>
              <w:ind w:left="60" w:right="60"/>
              <w:jc w:val="center"/>
              <w:rPr>
                <w:rFonts w:ascii="Times New Roman" w:hAnsi="Times New Roman" w:cs="Times New Roman"/>
                <w:b/>
                <w:sz w:val="24"/>
                <w:szCs w:val="24"/>
                <w:lang w:bidi="gu-IN"/>
              </w:rPr>
            </w:pPr>
            <w:r>
              <w:rPr>
                <w:rFonts w:ascii="Times New Roman" w:hAnsi="Times New Roman" w:cs="Times New Roman"/>
                <w:b/>
                <w:sz w:val="24"/>
                <w:szCs w:val="24"/>
                <w:lang w:bidi="gu-IN"/>
              </w:rPr>
              <w:t>Pearson Chi-Square Value</w:t>
            </w:r>
          </w:p>
        </w:tc>
        <w:tc>
          <w:tcPr>
            <w:tcW w:w="426" w:type="dxa"/>
            <w:tcBorders>
              <w:top w:val="single" w:color="auto" w:sz="8" w:space="0"/>
              <w:bottom w:val="single" w:color="auto" w:sz="12" w:space="0"/>
            </w:tcBorders>
            <w:shd w:val="clear" w:color="auto" w:fill="FFFFFF"/>
            <w:vAlign w:val="center"/>
          </w:tcPr>
          <w:p w14:paraId="1EB4DE59">
            <w:pPr>
              <w:autoSpaceDE w:val="0"/>
              <w:autoSpaceDN w:val="0"/>
              <w:adjustRightInd w:val="0"/>
              <w:spacing w:after="0" w:line="360" w:lineRule="auto"/>
              <w:ind w:left="60" w:right="60"/>
              <w:jc w:val="center"/>
              <w:rPr>
                <w:rFonts w:ascii="Times New Roman" w:hAnsi="Times New Roman" w:cs="Times New Roman"/>
                <w:b/>
                <w:sz w:val="24"/>
                <w:szCs w:val="24"/>
                <w:lang w:bidi="gu-IN"/>
              </w:rPr>
            </w:pPr>
            <w:r>
              <w:rPr>
                <w:rFonts w:ascii="Times New Roman" w:hAnsi="Times New Roman" w:cs="Times New Roman"/>
                <w:b/>
                <w:sz w:val="24"/>
                <w:szCs w:val="24"/>
                <w:lang w:bidi="gu-IN"/>
              </w:rPr>
              <w:t>df</w:t>
            </w:r>
          </w:p>
        </w:tc>
        <w:tc>
          <w:tcPr>
            <w:tcW w:w="1417" w:type="dxa"/>
            <w:tcBorders>
              <w:top w:val="single" w:color="auto" w:sz="8" w:space="0"/>
              <w:bottom w:val="single" w:color="auto" w:sz="12" w:space="0"/>
            </w:tcBorders>
            <w:shd w:val="clear" w:color="auto" w:fill="FFFFFF"/>
            <w:vAlign w:val="center"/>
          </w:tcPr>
          <w:p w14:paraId="1BC2B8F4">
            <w:pPr>
              <w:autoSpaceDE w:val="0"/>
              <w:autoSpaceDN w:val="0"/>
              <w:adjustRightInd w:val="0"/>
              <w:spacing w:after="0" w:line="360" w:lineRule="auto"/>
              <w:ind w:left="60" w:right="60"/>
              <w:jc w:val="center"/>
              <w:rPr>
                <w:rFonts w:ascii="Times New Roman" w:hAnsi="Times New Roman" w:cs="Times New Roman"/>
                <w:b/>
                <w:sz w:val="24"/>
                <w:szCs w:val="24"/>
                <w:lang w:bidi="gu-IN"/>
              </w:rPr>
            </w:pPr>
            <w:r>
              <w:rPr>
                <w:rFonts w:ascii="Times New Roman" w:hAnsi="Times New Roman" w:cs="Times New Roman"/>
                <w:b/>
                <w:sz w:val="24"/>
                <w:szCs w:val="24"/>
                <w:lang w:bidi="gu-IN"/>
              </w:rPr>
              <w:t>Asymp. Sig. (2-sided)</w:t>
            </w:r>
          </w:p>
        </w:tc>
        <w:tc>
          <w:tcPr>
            <w:tcW w:w="3796" w:type="dxa"/>
            <w:tcBorders>
              <w:top w:val="single" w:color="auto" w:sz="8" w:space="0"/>
              <w:bottom w:val="single" w:color="auto" w:sz="12" w:space="0"/>
            </w:tcBorders>
            <w:shd w:val="clear" w:color="auto" w:fill="FFFFFF"/>
            <w:vAlign w:val="center"/>
          </w:tcPr>
          <w:p w14:paraId="183E1A19">
            <w:pPr>
              <w:autoSpaceDE w:val="0"/>
              <w:autoSpaceDN w:val="0"/>
              <w:adjustRightInd w:val="0"/>
              <w:spacing w:after="0" w:line="360" w:lineRule="auto"/>
              <w:ind w:left="60" w:right="60"/>
              <w:jc w:val="center"/>
              <w:rPr>
                <w:rFonts w:ascii="Times New Roman" w:hAnsi="Times New Roman" w:cs="Times New Roman"/>
                <w:b/>
                <w:sz w:val="24"/>
                <w:szCs w:val="24"/>
                <w:lang w:bidi="gu-IN"/>
              </w:rPr>
            </w:pPr>
            <w:r>
              <w:rPr>
                <w:rFonts w:ascii="Times New Roman" w:hAnsi="Times New Roman" w:cs="Times New Roman"/>
                <w:b/>
                <w:color w:val="000000"/>
                <w:sz w:val="24"/>
                <w:szCs w:val="24"/>
                <w:lang w:val="en-US" w:bidi="gu-IN"/>
              </w:rPr>
              <w:t>Outcome</w:t>
            </w:r>
          </w:p>
        </w:tc>
      </w:tr>
      <w:tr w14:paraId="740E80F1">
        <w:tblPrEx>
          <w:tblCellMar>
            <w:top w:w="0" w:type="dxa"/>
            <w:left w:w="0" w:type="dxa"/>
            <w:bottom w:w="0" w:type="dxa"/>
            <w:right w:w="0" w:type="dxa"/>
          </w:tblCellMar>
        </w:tblPrEx>
        <w:trPr>
          <w:cantSplit/>
          <w:trHeight w:val="189" w:hRule="atLeast"/>
          <w:jc w:val="center"/>
        </w:trPr>
        <w:tc>
          <w:tcPr>
            <w:tcW w:w="1706" w:type="dxa"/>
            <w:tcBorders>
              <w:top w:val="single" w:color="auto" w:sz="12" w:space="0"/>
            </w:tcBorders>
            <w:shd w:val="clear" w:color="auto" w:fill="FFFFFF"/>
            <w:vAlign w:val="center"/>
          </w:tcPr>
          <w:p w14:paraId="284F9B62">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Below 20 Years</w:t>
            </w:r>
          </w:p>
        </w:tc>
        <w:tc>
          <w:tcPr>
            <w:tcW w:w="1711" w:type="dxa"/>
            <w:tcBorders>
              <w:top w:val="single" w:color="auto" w:sz="12" w:space="0"/>
            </w:tcBorders>
            <w:shd w:val="clear" w:color="auto" w:fill="FFFFFF"/>
            <w:vAlign w:val="center"/>
          </w:tcPr>
          <w:p w14:paraId="1108C2B7">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15.043</w:t>
            </w:r>
          </w:p>
        </w:tc>
        <w:tc>
          <w:tcPr>
            <w:tcW w:w="426" w:type="dxa"/>
            <w:tcBorders>
              <w:top w:val="single" w:color="auto" w:sz="12" w:space="0"/>
            </w:tcBorders>
            <w:shd w:val="clear" w:color="auto" w:fill="FFFFFF"/>
            <w:vAlign w:val="center"/>
          </w:tcPr>
          <w:p w14:paraId="18229E3B">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2</w:t>
            </w:r>
          </w:p>
        </w:tc>
        <w:tc>
          <w:tcPr>
            <w:tcW w:w="1417" w:type="dxa"/>
            <w:tcBorders>
              <w:top w:val="single" w:color="auto" w:sz="12" w:space="0"/>
            </w:tcBorders>
            <w:shd w:val="clear" w:color="auto" w:fill="FFFFFF"/>
            <w:vAlign w:val="center"/>
          </w:tcPr>
          <w:p w14:paraId="031CF64F">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.368</w:t>
            </w:r>
          </w:p>
        </w:tc>
        <w:tc>
          <w:tcPr>
            <w:tcW w:w="3796" w:type="dxa"/>
            <w:tcBorders>
              <w:top w:val="single" w:color="auto" w:sz="12" w:space="0"/>
            </w:tcBorders>
            <w:shd w:val="clear" w:color="auto" w:fill="FFFFFF"/>
            <w:vAlign w:val="center"/>
          </w:tcPr>
          <w:p w14:paraId="0921E302">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color w:val="000000"/>
                <w:sz w:val="24"/>
                <w:szCs w:val="24"/>
                <w:lang w:val="en-US" w:bidi="gu-IN"/>
              </w:rPr>
              <w:t>No enough Evidence of association</w:t>
            </w:r>
          </w:p>
        </w:tc>
      </w:tr>
      <w:tr w14:paraId="31B08ADE">
        <w:tblPrEx>
          <w:tblCellMar>
            <w:top w:w="0" w:type="dxa"/>
            <w:left w:w="0" w:type="dxa"/>
            <w:bottom w:w="0" w:type="dxa"/>
            <w:right w:w="0" w:type="dxa"/>
          </w:tblCellMar>
        </w:tblPrEx>
        <w:trPr>
          <w:cantSplit/>
          <w:jc w:val="center"/>
        </w:trPr>
        <w:tc>
          <w:tcPr>
            <w:tcW w:w="1706" w:type="dxa"/>
            <w:shd w:val="clear" w:color="auto" w:fill="FFFFFF"/>
            <w:vAlign w:val="center"/>
          </w:tcPr>
          <w:p w14:paraId="6B759DBE">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21 to 30 Years</w:t>
            </w:r>
          </w:p>
        </w:tc>
        <w:tc>
          <w:tcPr>
            <w:tcW w:w="1711" w:type="dxa"/>
            <w:shd w:val="clear" w:color="auto" w:fill="FFFFFF"/>
            <w:vAlign w:val="center"/>
          </w:tcPr>
          <w:p w14:paraId="1A316ADA">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86.046</w:t>
            </w:r>
          </w:p>
        </w:tc>
        <w:tc>
          <w:tcPr>
            <w:tcW w:w="426" w:type="dxa"/>
            <w:shd w:val="clear" w:color="auto" w:fill="FFFFFF"/>
            <w:vAlign w:val="center"/>
          </w:tcPr>
          <w:p w14:paraId="74DCE52A">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6</w:t>
            </w:r>
          </w:p>
        </w:tc>
        <w:tc>
          <w:tcPr>
            <w:tcW w:w="1417" w:type="dxa"/>
            <w:shd w:val="clear" w:color="auto" w:fill="FFFFFF"/>
            <w:vAlign w:val="center"/>
          </w:tcPr>
          <w:p w14:paraId="59507065">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.117</w:t>
            </w:r>
          </w:p>
        </w:tc>
        <w:tc>
          <w:tcPr>
            <w:tcW w:w="3796" w:type="dxa"/>
            <w:shd w:val="clear" w:color="auto" w:fill="FFFFFF"/>
            <w:vAlign w:val="center"/>
          </w:tcPr>
          <w:p w14:paraId="7DF4C182">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color w:val="000000"/>
                <w:sz w:val="24"/>
                <w:szCs w:val="24"/>
                <w:lang w:val="en-US" w:bidi="gu-IN"/>
              </w:rPr>
              <w:t>No enough Evidence of association</w:t>
            </w:r>
          </w:p>
        </w:tc>
      </w:tr>
      <w:tr w14:paraId="6631F4D8">
        <w:tblPrEx>
          <w:tblCellMar>
            <w:top w:w="0" w:type="dxa"/>
            <w:left w:w="0" w:type="dxa"/>
            <w:bottom w:w="0" w:type="dxa"/>
            <w:right w:w="0" w:type="dxa"/>
          </w:tblCellMar>
        </w:tblPrEx>
        <w:trPr>
          <w:cantSplit/>
          <w:jc w:val="center"/>
        </w:trPr>
        <w:tc>
          <w:tcPr>
            <w:tcW w:w="1706" w:type="dxa"/>
            <w:shd w:val="clear" w:color="auto" w:fill="FFFFFF"/>
            <w:vAlign w:val="center"/>
          </w:tcPr>
          <w:p w14:paraId="5CCC3D30">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31 to 40 Years</w:t>
            </w:r>
          </w:p>
        </w:tc>
        <w:tc>
          <w:tcPr>
            <w:tcW w:w="1711" w:type="dxa"/>
            <w:shd w:val="clear" w:color="auto" w:fill="FFFFFF"/>
            <w:vAlign w:val="center"/>
          </w:tcPr>
          <w:p w14:paraId="225452C6">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74.836</w:t>
            </w:r>
          </w:p>
        </w:tc>
        <w:tc>
          <w:tcPr>
            <w:tcW w:w="426" w:type="dxa"/>
            <w:shd w:val="clear" w:color="auto" w:fill="FFFFFF"/>
            <w:vAlign w:val="center"/>
          </w:tcPr>
          <w:p w14:paraId="17F844D5">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6</w:t>
            </w:r>
          </w:p>
        </w:tc>
        <w:tc>
          <w:tcPr>
            <w:tcW w:w="1417" w:type="dxa"/>
            <w:shd w:val="clear" w:color="auto" w:fill="FFFFFF"/>
            <w:vAlign w:val="center"/>
          </w:tcPr>
          <w:p w14:paraId="2A755D1F">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.177</w:t>
            </w:r>
          </w:p>
        </w:tc>
        <w:tc>
          <w:tcPr>
            <w:tcW w:w="3796" w:type="dxa"/>
            <w:shd w:val="clear" w:color="auto" w:fill="FFFFFF"/>
            <w:vAlign w:val="center"/>
          </w:tcPr>
          <w:p w14:paraId="73823B83">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color w:val="000000"/>
                <w:sz w:val="24"/>
                <w:szCs w:val="24"/>
                <w:lang w:val="en-US" w:bidi="gu-IN"/>
              </w:rPr>
              <w:t>No enough Evidence of association</w:t>
            </w:r>
          </w:p>
        </w:tc>
      </w:tr>
      <w:tr w14:paraId="0D632846">
        <w:tblPrEx>
          <w:tblCellMar>
            <w:top w:w="0" w:type="dxa"/>
            <w:left w:w="0" w:type="dxa"/>
            <w:bottom w:w="0" w:type="dxa"/>
            <w:right w:w="0" w:type="dxa"/>
          </w:tblCellMar>
        </w:tblPrEx>
        <w:trPr>
          <w:cantSplit/>
          <w:jc w:val="center"/>
        </w:trPr>
        <w:tc>
          <w:tcPr>
            <w:tcW w:w="1706" w:type="dxa"/>
            <w:shd w:val="clear" w:color="auto" w:fill="FFFFFF"/>
            <w:vAlign w:val="center"/>
          </w:tcPr>
          <w:p w14:paraId="258ADDCF">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41 t0 50 Years</w:t>
            </w:r>
          </w:p>
        </w:tc>
        <w:tc>
          <w:tcPr>
            <w:tcW w:w="1711" w:type="dxa"/>
            <w:shd w:val="clear" w:color="auto" w:fill="FFFFFF"/>
            <w:vAlign w:val="center"/>
          </w:tcPr>
          <w:p w14:paraId="5B6C11C8">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11.057</w:t>
            </w:r>
          </w:p>
        </w:tc>
        <w:tc>
          <w:tcPr>
            <w:tcW w:w="426" w:type="dxa"/>
            <w:shd w:val="clear" w:color="auto" w:fill="FFFFFF"/>
            <w:vAlign w:val="center"/>
          </w:tcPr>
          <w:p w14:paraId="5BF31FB7">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2</w:t>
            </w:r>
          </w:p>
        </w:tc>
        <w:tc>
          <w:tcPr>
            <w:tcW w:w="1417" w:type="dxa"/>
            <w:shd w:val="clear" w:color="auto" w:fill="FFFFFF"/>
            <w:vAlign w:val="center"/>
          </w:tcPr>
          <w:p w14:paraId="19148533">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.143</w:t>
            </w:r>
          </w:p>
        </w:tc>
        <w:tc>
          <w:tcPr>
            <w:tcW w:w="3796" w:type="dxa"/>
            <w:shd w:val="clear" w:color="auto" w:fill="FFFFFF"/>
            <w:vAlign w:val="center"/>
          </w:tcPr>
          <w:p w14:paraId="4346C793">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No enough Evidence of association</w:t>
            </w:r>
          </w:p>
        </w:tc>
      </w:tr>
      <w:tr w14:paraId="65A55C01">
        <w:tblPrEx>
          <w:tblCellMar>
            <w:top w:w="0" w:type="dxa"/>
            <w:left w:w="0" w:type="dxa"/>
            <w:bottom w:w="0" w:type="dxa"/>
            <w:right w:w="0" w:type="dxa"/>
          </w:tblCellMar>
        </w:tblPrEx>
        <w:trPr>
          <w:cantSplit/>
          <w:jc w:val="center"/>
        </w:trPr>
        <w:tc>
          <w:tcPr>
            <w:tcW w:w="1706" w:type="dxa"/>
            <w:shd w:val="clear" w:color="auto" w:fill="FFFFFF"/>
            <w:vAlign w:val="center"/>
          </w:tcPr>
          <w:p w14:paraId="300CBF0D">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51 Years and above</w:t>
            </w:r>
          </w:p>
        </w:tc>
        <w:tc>
          <w:tcPr>
            <w:tcW w:w="1711" w:type="dxa"/>
            <w:shd w:val="clear" w:color="auto" w:fill="FFFFFF"/>
            <w:vAlign w:val="center"/>
          </w:tcPr>
          <w:p w14:paraId="740A2358">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14.540</w:t>
            </w:r>
          </w:p>
        </w:tc>
        <w:tc>
          <w:tcPr>
            <w:tcW w:w="426" w:type="dxa"/>
            <w:shd w:val="clear" w:color="auto" w:fill="FFFFFF"/>
            <w:vAlign w:val="center"/>
          </w:tcPr>
          <w:p w14:paraId="43FAEE11">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2</w:t>
            </w:r>
          </w:p>
        </w:tc>
        <w:tc>
          <w:tcPr>
            <w:tcW w:w="1417" w:type="dxa"/>
            <w:shd w:val="clear" w:color="auto" w:fill="FFFFFF"/>
            <w:vAlign w:val="center"/>
          </w:tcPr>
          <w:p w14:paraId="0C8BC8D6">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.167</w:t>
            </w:r>
          </w:p>
        </w:tc>
        <w:tc>
          <w:tcPr>
            <w:tcW w:w="3796" w:type="dxa"/>
            <w:shd w:val="clear" w:color="auto" w:fill="FFFFFF"/>
            <w:vAlign w:val="center"/>
          </w:tcPr>
          <w:p w14:paraId="69A4783B">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No enough Evidence of association</w:t>
            </w:r>
          </w:p>
        </w:tc>
      </w:tr>
      <w:tr w14:paraId="7021B6B1">
        <w:tblPrEx>
          <w:tblCellMar>
            <w:top w:w="0" w:type="dxa"/>
            <w:left w:w="0" w:type="dxa"/>
            <w:bottom w:w="0" w:type="dxa"/>
            <w:right w:w="0" w:type="dxa"/>
          </w:tblCellMar>
        </w:tblPrEx>
        <w:trPr>
          <w:cantSplit/>
          <w:jc w:val="center"/>
        </w:trPr>
        <w:tc>
          <w:tcPr>
            <w:tcW w:w="1706" w:type="dxa"/>
            <w:tcBorders>
              <w:bottom w:val="single" w:color="auto" w:sz="12" w:space="0"/>
            </w:tcBorders>
            <w:shd w:val="clear" w:color="auto" w:fill="FFFFFF"/>
            <w:vAlign w:val="center"/>
          </w:tcPr>
          <w:p w14:paraId="13C773C6">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Total</w:t>
            </w:r>
          </w:p>
        </w:tc>
        <w:tc>
          <w:tcPr>
            <w:tcW w:w="1711" w:type="dxa"/>
            <w:tcBorders>
              <w:bottom w:val="single" w:color="auto" w:sz="12" w:space="0"/>
            </w:tcBorders>
            <w:shd w:val="clear" w:color="auto" w:fill="FFFFFF"/>
            <w:vAlign w:val="center"/>
          </w:tcPr>
          <w:p w14:paraId="65B12B80">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9.599</w:t>
            </w:r>
          </w:p>
        </w:tc>
        <w:tc>
          <w:tcPr>
            <w:tcW w:w="426" w:type="dxa"/>
            <w:tcBorders>
              <w:bottom w:val="single" w:color="auto" w:sz="12" w:space="0"/>
            </w:tcBorders>
            <w:shd w:val="clear" w:color="auto" w:fill="FFFFFF"/>
            <w:vAlign w:val="center"/>
          </w:tcPr>
          <w:p w14:paraId="58DEACA8">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6</w:t>
            </w:r>
          </w:p>
        </w:tc>
        <w:tc>
          <w:tcPr>
            <w:tcW w:w="1417" w:type="dxa"/>
            <w:tcBorders>
              <w:bottom w:val="single" w:color="auto" w:sz="12" w:space="0"/>
            </w:tcBorders>
            <w:shd w:val="clear" w:color="auto" w:fill="FFFFFF"/>
            <w:vAlign w:val="center"/>
          </w:tcPr>
          <w:p w14:paraId="71929D18">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sz w:val="24"/>
                <w:szCs w:val="24"/>
                <w:lang w:bidi="gu-IN"/>
              </w:rPr>
              <w:t>.143</w:t>
            </w:r>
          </w:p>
        </w:tc>
        <w:tc>
          <w:tcPr>
            <w:tcW w:w="3796" w:type="dxa"/>
            <w:tcBorders>
              <w:bottom w:val="single" w:color="auto" w:sz="12" w:space="0"/>
            </w:tcBorders>
            <w:shd w:val="clear" w:color="auto" w:fill="FFFFFF"/>
            <w:vAlign w:val="center"/>
          </w:tcPr>
          <w:p w14:paraId="20A1896C">
            <w:pPr>
              <w:autoSpaceDE w:val="0"/>
              <w:autoSpaceDN w:val="0"/>
              <w:adjustRightInd w:val="0"/>
              <w:spacing w:after="0" w:line="360" w:lineRule="auto"/>
              <w:ind w:left="60" w:right="60"/>
              <w:jc w:val="center"/>
              <w:rPr>
                <w:rFonts w:ascii="Times New Roman" w:hAnsi="Times New Roman" w:cs="Times New Roman"/>
                <w:sz w:val="24"/>
                <w:szCs w:val="24"/>
                <w:lang w:bidi="gu-IN"/>
              </w:rPr>
            </w:pPr>
            <w:r>
              <w:rPr>
                <w:rFonts w:ascii="Times New Roman" w:hAnsi="Times New Roman" w:cs="Times New Roman"/>
                <w:color w:val="000000"/>
                <w:sz w:val="24"/>
                <w:szCs w:val="24"/>
                <w:lang w:val="en-US" w:bidi="gu-IN"/>
              </w:rPr>
              <w:t>No enough Evidence of association</w:t>
            </w:r>
          </w:p>
        </w:tc>
      </w:tr>
    </w:tbl>
    <w:p w14:paraId="586AA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age group of 21 to 30 years which is 13.10% of the total travellers who belongs to less than Rs. 3,00,000 annual family income said that they might definitely change the plan, out of total 27.10 % travellers who belongs to less than Rs. 3,00,001 to 6,00,000 annual family income said they also might definitely change the plan, out of total 15.90% travellers who belongs to less than Rs. 6,00,001 to 10,00,000 annual family income said they will definitely change the plan while out of total 15.00% travellers who belongs to more than Rs. 10,00,000 annual family income said they are also likely to change the plan and likewise as shown in table but the </w:t>
      </w:r>
      <w:r>
        <w:rPr>
          <w:rFonts w:ascii="Times New Roman" w:hAnsi="Times New Roman" w:cs="Times New Roman"/>
          <w:sz w:val="24"/>
          <w:szCs w:val="24"/>
          <w:shd w:val="clear" w:color="auto" w:fill="FFFFFF" w:themeFill="background1"/>
        </w:rPr>
        <w:t xml:space="preserve">Pearson Chi-Square test yielded that with chi-square value of 86.046, df=6 the p value is greater than 0.05 so null hypothesis is not being rejected. </w:t>
      </w:r>
      <w:r>
        <w:rPr>
          <w:rFonts w:ascii="Times New Roman" w:hAnsi="Times New Roman" w:cs="Times New Roman"/>
          <w:sz w:val="24"/>
          <w:szCs w:val="24"/>
        </w:rPr>
        <w:t xml:space="preserve">Thus, </w:t>
      </w:r>
      <w:bookmarkStart w:id="2" w:name="_Hlk39050447"/>
      <w:r>
        <w:rPr>
          <w:rFonts w:ascii="Times New Roman" w:hAnsi="Times New Roman" w:cs="Times New Roman"/>
          <w:sz w:val="24"/>
          <w:szCs w:val="24"/>
        </w:rPr>
        <w:t>it can be concluded that for the age group of 21 to 30 years of age the annual family groups and their planning to change travel plan are independent</w:t>
      </w:r>
      <w:bookmarkEnd w:id="2"/>
      <w:r>
        <w:rPr>
          <w:rFonts w:ascii="Times New Roman" w:hAnsi="Times New Roman" w:cs="Times New Roman"/>
          <w:sz w:val="24"/>
          <w:szCs w:val="24"/>
        </w:rPr>
        <w:t xml:space="preserve">. And so on for the rest of the variables included in the above test. </w:t>
      </w:r>
    </w:p>
    <w:p w14:paraId="0EDF530F">
      <w:pPr>
        <w:autoSpaceDE w:val="0"/>
        <w:autoSpaceDN w:val="0"/>
        <w:adjustRightInd w:val="0"/>
        <w:spacing w:after="0" w:line="360" w:lineRule="auto"/>
        <w:jc w:val="both"/>
        <w:rPr>
          <w:rFonts w:ascii="Times New Roman" w:hAnsi="Times New Roman" w:cs="Times New Roman"/>
          <w:b/>
          <w:bCs/>
          <w:sz w:val="24"/>
          <w:szCs w:val="24"/>
          <w:lang w:bidi="gu-IN"/>
        </w:rPr>
      </w:pPr>
    </w:p>
    <w:p w14:paraId="28821A74">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bCs/>
          <w:sz w:val="24"/>
          <w:szCs w:val="24"/>
          <w:lang w:bidi="gu-IN"/>
        </w:rPr>
        <w:t>5.3 Travelling Duration</w:t>
      </w:r>
    </w:p>
    <w:p w14:paraId="223D89DE">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Following chart shows the how long the travellers used to travel before COVID-19 outbreak in Gujarat state</w:t>
      </w:r>
    </w:p>
    <w:p w14:paraId="2DDEC631">
      <w:pPr>
        <w:autoSpaceDE w:val="0"/>
        <w:autoSpaceDN w:val="0"/>
        <w:adjustRightInd w:val="0"/>
        <w:spacing w:after="0" w:line="360" w:lineRule="auto"/>
        <w:jc w:val="both"/>
        <w:rPr>
          <w:rFonts w:ascii="Times New Roman" w:hAnsi="Times New Roman" w:cs="Times New Roman"/>
          <w:sz w:val="24"/>
          <w:szCs w:val="24"/>
          <w:lang w:bidi="gu-IN"/>
        </w:rPr>
      </w:pPr>
    </w:p>
    <w:p w14:paraId="566616A6">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sz w:val="24"/>
          <w:szCs w:val="24"/>
          <w:lang w:eastAsia="en-IN" w:bidi="gu-IN"/>
        </w:rPr>
        <w:drawing>
          <wp:inline distT="0" distB="0" distL="0" distR="0">
            <wp:extent cx="4826635" cy="1971675"/>
            <wp:effectExtent l="19050" t="0" r="11540" b="9277"/>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7FB7C5">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bCs/>
          <w:sz w:val="24"/>
          <w:szCs w:val="24"/>
          <w:lang w:bidi="gu-IN"/>
        </w:rPr>
        <w:t xml:space="preserve">Figure 2: How long travellers used to travel before </w:t>
      </w:r>
      <w:r>
        <w:rPr>
          <w:rFonts w:ascii="Times New Roman" w:hAnsi="Times New Roman" w:cs="Times New Roman"/>
          <w:b/>
          <w:sz w:val="24"/>
          <w:szCs w:val="24"/>
          <w:lang w:bidi="gu-IN"/>
        </w:rPr>
        <w:t>COVID-19 outbreak</w:t>
      </w:r>
    </w:p>
    <w:p w14:paraId="2FB9D5C3">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074A617A">
      <w:pPr>
        <w:autoSpaceDE w:val="0"/>
        <w:autoSpaceDN w:val="0"/>
        <w:adjustRightInd w:val="0"/>
        <w:spacing w:after="0" w:line="360" w:lineRule="auto"/>
        <w:jc w:val="center"/>
        <w:rPr>
          <w:rFonts w:ascii="Times New Roman" w:hAnsi="Times New Roman" w:cs="Times New Roman"/>
          <w:b/>
          <w:bCs/>
          <w:sz w:val="24"/>
          <w:szCs w:val="24"/>
          <w:lang w:bidi="gu-IN"/>
        </w:rPr>
      </w:pPr>
    </w:p>
    <w:p w14:paraId="4B8A2B4F">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41.6 % vacationers used to have 5 to 7 days long trips, 28.8 % vacationers used to have 3 to 4 days long trip, 11.2 % vacationers used to have 8 to 14 days long trip, 10.4 % vacationers used to have 1 to 2 days long trips and 8% vacationers used to have more than 14 days long trips before </w:t>
      </w:r>
      <w:r>
        <w:rPr>
          <w:rFonts w:ascii="Times New Roman" w:hAnsi="Times New Roman" w:cs="Times New Roman"/>
          <w:sz w:val="24"/>
          <w:szCs w:val="24"/>
        </w:rPr>
        <w:t xml:space="preserve">COVID-19 </w:t>
      </w:r>
      <w:r>
        <w:rPr>
          <w:rFonts w:ascii="Times New Roman" w:hAnsi="Times New Roman" w:cs="Times New Roman"/>
          <w:sz w:val="24"/>
          <w:szCs w:val="24"/>
          <w:lang w:bidi="gu-IN"/>
        </w:rPr>
        <w:t xml:space="preserve">outbreak for past 2 years. </w:t>
      </w:r>
    </w:p>
    <w:p w14:paraId="0EAC5310">
      <w:pPr>
        <w:autoSpaceDE w:val="0"/>
        <w:autoSpaceDN w:val="0"/>
        <w:adjustRightInd w:val="0"/>
        <w:spacing w:after="0" w:line="360" w:lineRule="auto"/>
        <w:jc w:val="both"/>
        <w:rPr>
          <w:rFonts w:ascii="Times New Roman" w:hAnsi="Times New Roman" w:cs="Times New Roman"/>
          <w:sz w:val="24"/>
          <w:szCs w:val="24"/>
          <w:lang w:bidi="gu-IN"/>
        </w:rPr>
      </w:pPr>
    </w:p>
    <w:p w14:paraId="03FB4CBB">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Following figure shows the Change in travel duration due to COVID-19 outbreak in Gujarat State</w:t>
      </w:r>
    </w:p>
    <w:p w14:paraId="5ABB5316">
      <w:pPr>
        <w:autoSpaceDE w:val="0"/>
        <w:autoSpaceDN w:val="0"/>
        <w:adjustRightInd w:val="0"/>
        <w:spacing w:after="0" w:line="360" w:lineRule="auto"/>
        <w:jc w:val="center"/>
        <w:rPr>
          <w:rFonts w:ascii="Times New Roman" w:hAnsi="Times New Roman" w:cs="Times New Roman"/>
          <w:sz w:val="24"/>
          <w:szCs w:val="24"/>
          <w:lang w:bidi="gu-IN"/>
        </w:rPr>
      </w:pPr>
      <w:r>
        <w:rPr>
          <w:rFonts w:ascii="Times New Roman" w:hAnsi="Times New Roman" w:cs="Times New Roman"/>
          <w:b/>
          <w:sz w:val="24"/>
          <w:szCs w:val="24"/>
          <w:lang w:eastAsia="en-IN" w:bidi="gu-IN"/>
        </w:rPr>
        <w:drawing>
          <wp:inline distT="0" distB="0" distL="0" distR="0">
            <wp:extent cx="4573270" cy="1645920"/>
            <wp:effectExtent l="19050" t="0" r="1739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6F52D3">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bidi="gu-IN"/>
        </w:rPr>
        <w:t>Figure 3: Change in travel duration due to COVID-19 outbreak</w:t>
      </w:r>
    </w:p>
    <w:p w14:paraId="4CC94EB4">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61DD385D">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44% travellers might change their travel duration and 34.4% travellers were going to change their travel duration. Travel duration of 21.6% travellers was not going to get affected by outbreak of COVID-19.</w:t>
      </w:r>
    </w:p>
    <w:p w14:paraId="7EC833FA">
      <w:pPr>
        <w:autoSpaceDE w:val="0"/>
        <w:autoSpaceDN w:val="0"/>
        <w:adjustRightInd w:val="0"/>
        <w:spacing w:after="0" w:line="360" w:lineRule="auto"/>
        <w:jc w:val="both"/>
        <w:rPr>
          <w:rFonts w:ascii="Times New Roman" w:hAnsi="Times New Roman" w:cs="Times New Roman"/>
          <w:sz w:val="24"/>
          <w:szCs w:val="24"/>
          <w:lang w:bidi="gu-IN"/>
        </w:rPr>
      </w:pPr>
      <w:bookmarkStart w:id="3" w:name="_Hlk39049307"/>
      <w:r>
        <w:rPr>
          <w:rFonts w:ascii="Times New Roman" w:hAnsi="Times New Roman" w:cs="Times New Roman"/>
          <w:sz w:val="24"/>
          <w:szCs w:val="24"/>
          <w:lang w:bidi="gu-IN"/>
        </w:rPr>
        <w:t>Among these responses,</w:t>
      </w:r>
      <w:r>
        <w:rPr>
          <w:rFonts w:ascii="Times New Roman" w:hAnsi="Times New Roman" w:cs="Times New Roman"/>
          <w:sz w:val="24"/>
          <w:szCs w:val="24"/>
          <w:lang w:val="en-US" w:bidi="gu-IN"/>
        </w:rPr>
        <w:t xml:space="preserve"> researchers concluded that there is enough evidence to suggest an association between the</w:t>
      </w:r>
      <w:r>
        <w:rPr>
          <w:rFonts w:ascii="Times New Roman" w:hAnsi="Times New Roman" w:cs="Times New Roman"/>
          <w:sz w:val="24"/>
          <w:szCs w:val="24"/>
          <w:lang w:bidi="gu-IN"/>
        </w:rPr>
        <w:t xml:space="preserve"> duration of travelling before COVID-19 and their plan to change the duration after COVID -19. (χ²= 150.886, p=0.000, p&lt;0.05). </w:t>
      </w:r>
    </w:p>
    <w:p w14:paraId="617F091C">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eastAsia="Times New Roman" w:cs="Times New Roman"/>
          <w:b/>
          <w:bCs/>
          <w:color w:val="000000"/>
          <w:sz w:val="24"/>
          <w:szCs w:val="24"/>
        </w:rPr>
        <w:t xml:space="preserve">5.3.1 Chi-Square Analysis Performed to Identify the </w:t>
      </w:r>
      <w:r>
        <w:rPr>
          <w:rFonts w:ascii="Times New Roman" w:hAnsi="Times New Roman" w:eastAsia="Times New Roman" w:cs="Times New Roman"/>
          <w:b/>
          <w:sz w:val="24"/>
          <w:szCs w:val="24"/>
        </w:rPr>
        <w:t xml:space="preserve">Association among </w:t>
      </w:r>
      <w:r>
        <w:rPr>
          <w:rFonts w:ascii="Times New Roman" w:hAnsi="Times New Roman" w:cs="Times New Roman"/>
          <w:b/>
          <w:sz w:val="24"/>
          <w:szCs w:val="24"/>
          <w:lang w:bidi="gu-IN"/>
        </w:rPr>
        <w:t xml:space="preserve">Changes in travel duration due to COVID-19 outbreak, Gender and </w:t>
      </w:r>
      <w:r>
        <w:rPr>
          <w:rFonts w:ascii="Times New Roman" w:hAnsi="Times New Roman" w:cs="Times New Roman"/>
          <w:b/>
          <w:color w:val="000000"/>
          <w:sz w:val="24"/>
          <w:szCs w:val="24"/>
          <w:lang w:bidi="gu-IN"/>
        </w:rPr>
        <w:t>Age of the travellers</w:t>
      </w:r>
    </w:p>
    <w:p w14:paraId="618D6AC9">
      <w:pPr>
        <w:autoSpaceDE w:val="0"/>
        <w:autoSpaceDN w:val="0"/>
        <w:adjustRightInd w:val="0"/>
        <w:spacing w:after="0" w:line="360" w:lineRule="auto"/>
        <w:jc w:val="both"/>
        <w:rPr>
          <w:rFonts w:ascii="Times New Roman" w:hAnsi="Times New Roman" w:eastAsia="Times New Roman" w:cs="Times New Roman"/>
          <w:b/>
          <w:bCs/>
          <w:color w:val="000000"/>
          <w:sz w:val="24"/>
          <w:szCs w:val="24"/>
          <w:lang w:val="en-US"/>
        </w:rPr>
      </w:pPr>
      <w:r>
        <w:rPr>
          <w:rFonts w:ascii="Times New Roman" w:hAnsi="Times New Roman" w:eastAsia="Times New Roman" w:cs="Times New Roman"/>
          <w:b/>
          <w:bCs/>
          <w:color w:val="000000"/>
          <w:sz w:val="24"/>
          <w:szCs w:val="24"/>
          <w:lang w:val="en-US"/>
        </w:rPr>
        <w:t>H</w:t>
      </w:r>
      <w:r>
        <w:rPr>
          <w:rFonts w:ascii="Times New Roman" w:hAnsi="Times New Roman" w:eastAsia="Times New Roman" w:cs="Times New Roman"/>
          <w:b/>
          <w:bCs/>
          <w:color w:val="000000"/>
          <w:sz w:val="24"/>
          <w:szCs w:val="24"/>
          <w:vertAlign w:val="subscript"/>
          <w:lang w:val="en-US"/>
        </w:rPr>
        <w:t>0:</w:t>
      </w:r>
      <w:r>
        <w:rPr>
          <w:rFonts w:ascii="Times New Roman" w:hAnsi="Times New Roman" w:eastAsia="Times New Roman" w:cs="Times New Roman"/>
          <w:bCs/>
          <w:color w:val="000000"/>
          <w:sz w:val="24"/>
          <w:szCs w:val="24"/>
          <w:lang w:val="en-US"/>
        </w:rPr>
        <w:t xml:space="preserve"> </w:t>
      </w:r>
      <w:r>
        <w:rPr>
          <w:rFonts w:ascii="Times New Roman" w:hAnsi="Times New Roman" w:cs="Times New Roman"/>
          <w:sz w:val="24"/>
          <w:szCs w:val="24"/>
          <w:lang w:bidi="gu-IN"/>
        </w:rPr>
        <w:t>Changes in travel duration due to COVID-19 outbreak</w:t>
      </w:r>
      <w:r>
        <w:rPr>
          <w:rFonts w:ascii="Times New Roman" w:hAnsi="Times New Roman" w:eastAsia="Times New Roman" w:cs="Times New Roman"/>
          <w:bCs/>
          <w:color w:val="000000"/>
          <w:sz w:val="24"/>
          <w:szCs w:val="24"/>
          <w:lang w:val="en-US"/>
        </w:rPr>
        <w:t xml:space="preserve"> is independent to </w:t>
      </w:r>
      <w:r>
        <w:rPr>
          <w:rFonts w:ascii="Times New Roman" w:hAnsi="Times New Roman" w:cs="Times New Roman"/>
          <w:sz w:val="24"/>
          <w:szCs w:val="24"/>
          <w:lang w:bidi="gu-IN"/>
        </w:rPr>
        <w:t xml:space="preserve">Gender and </w:t>
      </w:r>
      <w:r>
        <w:rPr>
          <w:rFonts w:ascii="Times New Roman" w:hAnsi="Times New Roman" w:cs="Times New Roman"/>
          <w:color w:val="000000"/>
          <w:sz w:val="24"/>
          <w:szCs w:val="24"/>
          <w:lang w:bidi="gu-IN"/>
        </w:rPr>
        <w:t>Age of the travellers</w:t>
      </w:r>
      <w:r>
        <w:rPr>
          <w:rFonts w:ascii="Times New Roman" w:hAnsi="Times New Roman" w:eastAsia="Times New Roman" w:cs="Times New Roman"/>
          <w:b/>
          <w:bCs/>
          <w:color w:val="000000"/>
          <w:sz w:val="24"/>
          <w:szCs w:val="24"/>
          <w:lang w:val="en-US"/>
        </w:rPr>
        <w:t xml:space="preserve"> </w:t>
      </w:r>
    </w:p>
    <w:p w14:paraId="09468547">
      <w:pPr>
        <w:autoSpaceDE w:val="0"/>
        <w:autoSpaceDN w:val="0"/>
        <w:adjustRightInd w:val="0"/>
        <w:spacing w:after="0" w:line="360" w:lineRule="auto"/>
        <w:jc w:val="both"/>
        <w:rPr>
          <w:rFonts w:ascii="Times New Roman" w:hAnsi="Times New Roman" w:eastAsia="Times New Roman" w:cs="Times New Roman"/>
          <w:bCs/>
          <w:color w:val="000000"/>
          <w:sz w:val="24"/>
          <w:szCs w:val="24"/>
          <w:lang w:val="en-US"/>
        </w:rPr>
      </w:pPr>
      <w:r>
        <w:rPr>
          <w:rFonts w:ascii="Times New Roman" w:hAnsi="Times New Roman" w:eastAsia="Times New Roman" w:cs="Times New Roman"/>
          <w:b/>
          <w:bCs/>
          <w:color w:val="000000"/>
          <w:sz w:val="24"/>
          <w:szCs w:val="24"/>
          <w:lang w:val="en-US"/>
        </w:rPr>
        <w:t>H</w:t>
      </w:r>
      <w:r>
        <w:rPr>
          <w:rFonts w:ascii="Times New Roman" w:hAnsi="Times New Roman" w:eastAsia="Times New Roman" w:cs="Times New Roman"/>
          <w:b/>
          <w:bCs/>
          <w:color w:val="000000"/>
          <w:sz w:val="24"/>
          <w:szCs w:val="24"/>
          <w:vertAlign w:val="subscript"/>
          <w:lang w:val="en-US"/>
        </w:rPr>
        <w:t>1:</w:t>
      </w:r>
      <w:r>
        <w:rPr>
          <w:rFonts w:ascii="Times New Roman" w:hAnsi="Times New Roman" w:eastAsia="Times New Roman" w:cs="Times New Roman"/>
          <w:bCs/>
          <w:color w:val="000000"/>
          <w:sz w:val="24"/>
          <w:szCs w:val="24"/>
          <w:lang w:val="en-US"/>
        </w:rPr>
        <w:t xml:space="preserve"> </w:t>
      </w:r>
      <w:r>
        <w:rPr>
          <w:rFonts w:ascii="Times New Roman" w:hAnsi="Times New Roman" w:cs="Times New Roman"/>
          <w:sz w:val="24"/>
          <w:szCs w:val="24"/>
          <w:lang w:bidi="gu-IN"/>
        </w:rPr>
        <w:t>Changes in travel duration due to COVID-19 outbreak</w:t>
      </w:r>
      <w:r>
        <w:rPr>
          <w:rFonts w:ascii="Times New Roman" w:hAnsi="Times New Roman" w:eastAsia="Times New Roman" w:cs="Times New Roman"/>
          <w:bCs/>
          <w:color w:val="000000"/>
          <w:sz w:val="24"/>
          <w:szCs w:val="24"/>
          <w:lang w:val="en-US"/>
        </w:rPr>
        <w:t xml:space="preserve"> is not independent to </w:t>
      </w:r>
      <w:r>
        <w:rPr>
          <w:rFonts w:ascii="Times New Roman" w:hAnsi="Times New Roman" w:cs="Times New Roman"/>
          <w:sz w:val="24"/>
          <w:szCs w:val="24"/>
          <w:lang w:bidi="gu-IN"/>
        </w:rPr>
        <w:t xml:space="preserve">Gender and </w:t>
      </w:r>
      <w:r>
        <w:rPr>
          <w:rFonts w:ascii="Times New Roman" w:hAnsi="Times New Roman" w:cs="Times New Roman"/>
          <w:color w:val="000000"/>
          <w:sz w:val="24"/>
          <w:szCs w:val="24"/>
          <w:lang w:bidi="gu-IN"/>
        </w:rPr>
        <w:t>Age of the travellers</w:t>
      </w:r>
    </w:p>
    <w:p w14:paraId="7173A99D">
      <w:pPr>
        <w:autoSpaceDE w:val="0"/>
        <w:autoSpaceDN w:val="0"/>
        <w:adjustRightInd w:val="0"/>
        <w:spacing w:after="0" w:line="360" w:lineRule="auto"/>
        <w:jc w:val="center"/>
        <w:rPr>
          <w:rFonts w:ascii="Times New Roman" w:hAnsi="Times New Roman" w:cs="Times New Roman"/>
          <w:b/>
          <w:color w:val="000000"/>
          <w:sz w:val="24"/>
          <w:szCs w:val="24"/>
          <w:lang w:bidi="gu-IN"/>
        </w:rPr>
      </w:pPr>
      <w:r>
        <w:rPr>
          <w:rFonts w:ascii="Times New Roman" w:hAnsi="Times New Roman" w:eastAsia="Times New Roman" w:cs="Times New Roman"/>
          <w:b/>
          <w:sz w:val="24"/>
          <w:szCs w:val="24"/>
        </w:rPr>
        <w:t xml:space="preserve">TABLE </w:t>
      </w:r>
      <w:r>
        <w:rPr>
          <w:rFonts w:ascii="Times New Roman" w:hAnsi="Times New Roman" w:eastAsia="Times New Roman" w:cs="Times New Roman"/>
          <w:b/>
          <w:bCs/>
          <w:sz w:val="24"/>
          <w:szCs w:val="24"/>
        </w:rPr>
        <w:t>3:</w:t>
      </w:r>
      <w:r>
        <w:rPr>
          <w:rFonts w:ascii="Times New Roman" w:hAnsi="Times New Roman" w:eastAsia="Times New Roman" w:cs="Times New Roman"/>
          <w:b/>
          <w:sz w:val="24"/>
          <w:szCs w:val="24"/>
        </w:rPr>
        <w:t xml:space="preserve"> Chi-Square Test:</w:t>
      </w:r>
      <w:r>
        <w:rPr>
          <w:rFonts w:ascii="Times New Roman" w:hAnsi="Times New Roman" w:cs="Times New Roman"/>
          <w:b/>
          <w:sz w:val="24"/>
          <w:szCs w:val="24"/>
          <w:lang w:bidi="gu-IN"/>
        </w:rPr>
        <w:t xml:space="preserve"> Changes in travel duration due to COVID-19 outbreak</w:t>
      </w:r>
      <w:r>
        <w:rPr>
          <w:rFonts w:ascii="Times New Roman" w:hAnsi="Times New Roman" w:eastAsia="Times New Roman" w:cs="Times New Roman"/>
          <w:bCs/>
          <w:color w:val="000000"/>
          <w:sz w:val="24"/>
          <w:szCs w:val="24"/>
          <w:lang w:val="en-US"/>
        </w:rPr>
        <w:t>-</w:t>
      </w:r>
      <w:r>
        <w:rPr>
          <w:rFonts w:ascii="Times New Roman" w:hAnsi="Times New Roman" w:cs="Times New Roman"/>
          <w:b/>
          <w:sz w:val="24"/>
          <w:szCs w:val="24"/>
          <w:lang w:bidi="gu-IN"/>
        </w:rPr>
        <w:t xml:space="preserve">Gender - </w:t>
      </w:r>
      <w:r>
        <w:rPr>
          <w:rFonts w:ascii="Times New Roman" w:hAnsi="Times New Roman" w:cs="Times New Roman"/>
          <w:b/>
          <w:color w:val="000000"/>
          <w:sz w:val="24"/>
          <w:szCs w:val="24"/>
          <w:lang w:bidi="gu-IN"/>
        </w:rPr>
        <w:t>Age of the travellers</w:t>
      </w:r>
    </w:p>
    <w:tbl>
      <w:tblPr>
        <w:tblStyle w:val="6"/>
        <w:tblW w:w="0" w:type="auto"/>
        <w:jc w:val="center"/>
        <w:tblLayout w:type="autofit"/>
        <w:tblCellMar>
          <w:top w:w="0" w:type="dxa"/>
          <w:left w:w="108" w:type="dxa"/>
          <w:bottom w:w="0" w:type="dxa"/>
          <w:right w:w="108" w:type="dxa"/>
        </w:tblCellMar>
      </w:tblPr>
      <w:tblGrid>
        <w:gridCol w:w="2093"/>
        <w:gridCol w:w="2551"/>
        <w:gridCol w:w="426"/>
        <w:gridCol w:w="1417"/>
        <w:gridCol w:w="2755"/>
      </w:tblGrid>
      <w:tr w14:paraId="59E19641">
        <w:tblPrEx>
          <w:tblCellMar>
            <w:top w:w="0" w:type="dxa"/>
            <w:left w:w="108" w:type="dxa"/>
            <w:bottom w:w="0" w:type="dxa"/>
            <w:right w:w="108" w:type="dxa"/>
          </w:tblCellMar>
        </w:tblPrEx>
        <w:trPr>
          <w:cantSplit/>
          <w:trHeight w:val="343" w:hRule="atLeast"/>
          <w:jc w:val="center"/>
        </w:trPr>
        <w:tc>
          <w:tcPr>
            <w:tcW w:w="2093" w:type="dxa"/>
            <w:tcBorders>
              <w:top w:val="single" w:color="auto" w:sz="8" w:space="0"/>
              <w:bottom w:val="single" w:color="auto" w:sz="12" w:space="0"/>
            </w:tcBorders>
            <w:shd w:val="clear" w:color="000000" w:fill="FFFFFF"/>
            <w:vAlign w:val="center"/>
          </w:tcPr>
          <w:p w14:paraId="7D3EEE68">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Age</w:t>
            </w:r>
          </w:p>
        </w:tc>
        <w:tc>
          <w:tcPr>
            <w:tcW w:w="2551" w:type="dxa"/>
            <w:tcBorders>
              <w:top w:val="single" w:color="auto" w:sz="8" w:space="0"/>
              <w:bottom w:val="single" w:color="auto" w:sz="12" w:space="0"/>
            </w:tcBorders>
            <w:shd w:val="clear" w:color="000000" w:fill="FFFFFF"/>
            <w:vAlign w:val="center"/>
          </w:tcPr>
          <w:p w14:paraId="724D0E14">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sz w:val="24"/>
                <w:szCs w:val="24"/>
                <w:lang w:val="en-US" w:eastAsia="en-IN" w:bidi="gu-IN"/>
              </w:rPr>
              <w:t>Pearson Chi-Square</w:t>
            </w:r>
          </w:p>
          <w:p w14:paraId="112210AD">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Value</w:t>
            </w:r>
          </w:p>
        </w:tc>
        <w:tc>
          <w:tcPr>
            <w:tcW w:w="426" w:type="dxa"/>
            <w:tcBorders>
              <w:top w:val="single" w:color="auto" w:sz="8" w:space="0"/>
              <w:bottom w:val="single" w:color="auto" w:sz="12" w:space="0"/>
            </w:tcBorders>
            <w:shd w:val="clear" w:color="000000" w:fill="FFFFFF"/>
            <w:vAlign w:val="center"/>
          </w:tcPr>
          <w:p w14:paraId="62E6769E">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df</w:t>
            </w:r>
          </w:p>
        </w:tc>
        <w:tc>
          <w:tcPr>
            <w:tcW w:w="1417" w:type="dxa"/>
            <w:tcBorders>
              <w:top w:val="single" w:color="auto" w:sz="8" w:space="0"/>
              <w:bottom w:val="single" w:color="auto" w:sz="12" w:space="0"/>
            </w:tcBorders>
            <w:shd w:val="clear" w:color="000000" w:fill="FFFFFF"/>
            <w:vAlign w:val="center"/>
          </w:tcPr>
          <w:p w14:paraId="3E6166F6">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Asymp. Sig. (2-sided)</w:t>
            </w:r>
          </w:p>
        </w:tc>
        <w:tc>
          <w:tcPr>
            <w:tcW w:w="2755" w:type="dxa"/>
            <w:tcBorders>
              <w:top w:val="single" w:color="auto" w:sz="8" w:space="0"/>
              <w:bottom w:val="single" w:color="auto" w:sz="12" w:space="0"/>
            </w:tcBorders>
            <w:shd w:val="clear" w:color="000000" w:fill="FFFFFF"/>
            <w:vAlign w:val="center"/>
          </w:tcPr>
          <w:p w14:paraId="39B7C3DC">
            <w:pPr>
              <w:pStyle w:val="37"/>
              <w:spacing w:line="360" w:lineRule="auto"/>
              <w:jc w:val="center"/>
              <w:rPr>
                <w:rFonts w:ascii="Times New Roman" w:hAnsi="Times New Roman" w:cs="Times New Roman"/>
                <w:sz w:val="24"/>
                <w:szCs w:val="24"/>
                <w:lang w:eastAsia="en-IN"/>
              </w:rPr>
            </w:pPr>
            <w:r>
              <w:rPr>
                <w:rFonts w:ascii="Times New Roman" w:hAnsi="Times New Roman" w:cs="Times New Roman"/>
                <w:color w:val="000000"/>
                <w:sz w:val="24"/>
                <w:szCs w:val="24"/>
                <w:lang w:val="en-US" w:bidi="gu-IN"/>
              </w:rPr>
              <w:t>Outcome</w:t>
            </w:r>
          </w:p>
        </w:tc>
      </w:tr>
      <w:tr w14:paraId="1C448D24">
        <w:tblPrEx>
          <w:tblCellMar>
            <w:top w:w="0" w:type="dxa"/>
            <w:left w:w="108" w:type="dxa"/>
            <w:bottom w:w="0" w:type="dxa"/>
            <w:right w:w="108" w:type="dxa"/>
          </w:tblCellMar>
        </w:tblPrEx>
        <w:trPr>
          <w:cantSplit/>
          <w:trHeight w:val="325" w:hRule="atLeast"/>
          <w:jc w:val="center"/>
        </w:trPr>
        <w:tc>
          <w:tcPr>
            <w:tcW w:w="2093" w:type="dxa"/>
            <w:tcBorders>
              <w:top w:val="single" w:color="auto" w:sz="12" w:space="0"/>
            </w:tcBorders>
            <w:shd w:val="clear" w:color="000000" w:fill="FFFFFF"/>
            <w:vAlign w:val="center"/>
          </w:tcPr>
          <w:p w14:paraId="3E4E1275">
            <w:pPr>
              <w:pStyle w:val="37"/>
              <w:spacing w:line="360" w:lineRule="auto"/>
              <w:jc w:val="center"/>
              <w:rPr>
                <w:rFonts w:ascii="Times New Roman" w:hAnsi="Times New Roman" w:cs="Times New Roman"/>
                <w:sz w:val="24"/>
                <w:szCs w:val="24"/>
                <w:lang w:val="en-US" w:eastAsia="en-IN" w:bidi="gu-IN"/>
              </w:rPr>
            </w:pPr>
            <w:r>
              <w:rPr>
                <w:rFonts w:ascii="Times New Roman" w:hAnsi="Times New Roman" w:eastAsia="Times New Roman" w:cs="Times New Roman"/>
                <w:color w:val="000000"/>
                <w:sz w:val="24"/>
                <w:szCs w:val="24"/>
                <w:lang w:val="en-US" w:eastAsia="en-IN" w:bidi="gu-IN"/>
              </w:rPr>
              <w:t>Below 20 years</w:t>
            </w:r>
          </w:p>
        </w:tc>
        <w:tc>
          <w:tcPr>
            <w:tcW w:w="2551" w:type="dxa"/>
            <w:tcBorders>
              <w:top w:val="single" w:color="auto" w:sz="12" w:space="0"/>
            </w:tcBorders>
            <w:shd w:val="clear" w:color="000000" w:fill="FFFFFF"/>
            <w:vAlign w:val="center"/>
          </w:tcPr>
          <w:p w14:paraId="5426D9FC">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sz w:val="24"/>
                <w:szCs w:val="24"/>
                <w:lang w:val="en-US" w:eastAsia="en-IN" w:bidi="gu-IN"/>
              </w:rPr>
              <w:t>33.000</w:t>
            </w:r>
          </w:p>
        </w:tc>
        <w:tc>
          <w:tcPr>
            <w:tcW w:w="426" w:type="dxa"/>
            <w:tcBorders>
              <w:top w:val="single" w:color="auto" w:sz="12" w:space="0"/>
            </w:tcBorders>
            <w:shd w:val="clear" w:color="000000" w:fill="FFFFFF"/>
            <w:vAlign w:val="center"/>
          </w:tcPr>
          <w:p w14:paraId="71857D53">
            <w:pPr>
              <w:pStyle w:val="37"/>
              <w:spacing w:line="360" w:lineRule="auto"/>
              <w:jc w:val="center"/>
              <w:rPr>
                <w:rFonts w:ascii="Times New Roman" w:hAnsi="Times New Roman" w:cs="Times New Roman"/>
                <w:sz w:val="24"/>
                <w:szCs w:val="24"/>
                <w:lang w:val="en-US" w:eastAsia="en-IN" w:bidi="gu-IN"/>
              </w:rPr>
            </w:pPr>
            <w:r>
              <w:rPr>
                <w:rFonts w:ascii="Times New Roman" w:hAnsi="Times New Roman" w:eastAsia="Times New Roman" w:cs="Times New Roman"/>
                <w:color w:val="000000"/>
                <w:sz w:val="24"/>
                <w:szCs w:val="24"/>
                <w:lang w:val="en-US" w:eastAsia="en-IN" w:bidi="gu-IN"/>
              </w:rPr>
              <w:t>1</w:t>
            </w:r>
          </w:p>
        </w:tc>
        <w:tc>
          <w:tcPr>
            <w:tcW w:w="1417" w:type="dxa"/>
            <w:tcBorders>
              <w:top w:val="single" w:color="auto" w:sz="12" w:space="0"/>
            </w:tcBorders>
            <w:shd w:val="clear" w:color="000000" w:fill="FFFFFF"/>
            <w:vAlign w:val="center"/>
          </w:tcPr>
          <w:p w14:paraId="2925BEC2">
            <w:pPr>
              <w:pStyle w:val="37"/>
              <w:spacing w:line="360" w:lineRule="auto"/>
              <w:jc w:val="center"/>
              <w:rPr>
                <w:rFonts w:ascii="Times New Roman" w:hAnsi="Times New Roman" w:cs="Times New Roman"/>
                <w:sz w:val="24"/>
                <w:szCs w:val="24"/>
                <w:lang w:val="en-US" w:eastAsia="en-IN" w:bidi="gu-IN"/>
              </w:rPr>
            </w:pPr>
            <w:r>
              <w:rPr>
                <w:rFonts w:ascii="Times New Roman" w:hAnsi="Times New Roman" w:eastAsia="Times New Roman" w:cs="Times New Roman"/>
                <w:color w:val="000000"/>
                <w:sz w:val="24"/>
                <w:szCs w:val="24"/>
                <w:lang w:val="en-US" w:eastAsia="en-IN" w:bidi="gu-IN"/>
              </w:rPr>
              <w:t>0.000</w:t>
            </w:r>
          </w:p>
        </w:tc>
        <w:tc>
          <w:tcPr>
            <w:tcW w:w="2755" w:type="dxa"/>
            <w:tcBorders>
              <w:top w:val="single" w:color="auto" w:sz="12" w:space="0"/>
            </w:tcBorders>
            <w:shd w:val="clear" w:color="000000" w:fill="FFFFFF"/>
            <w:vAlign w:val="center"/>
          </w:tcPr>
          <w:p w14:paraId="2813D7A5">
            <w:pPr>
              <w:pStyle w:val="37"/>
              <w:spacing w:line="360" w:lineRule="auto"/>
              <w:jc w:val="center"/>
              <w:rPr>
                <w:rFonts w:ascii="Times New Roman" w:hAnsi="Times New Roman" w:cs="Times New Roman"/>
                <w:sz w:val="24"/>
                <w:szCs w:val="24"/>
                <w:lang w:val="en-US" w:eastAsia="en-IN"/>
              </w:rPr>
            </w:pPr>
            <w:r>
              <w:rPr>
                <w:rFonts w:ascii="Times New Roman" w:hAnsi="Times New Roman" w:cs="Times New Roman"/>
                <w:color w:val="000000"/>
                <w:sz w:val="24"/>
                <w:szCs w:val="24"/>
                <w:lang w:val="en-US" w:bidi="gu-IN"/>
              </w:rPr>
              <w:t>Evidence of association</w:t>
            </w:r>
          </w:p>
        </w:tc>
      </w:tr>
      <w:tr w14:paraId="0B0D946E">
        <w:tblPrEx>
          <w:tblCellMar>
            <w:top w:w="0" w:type="dxa"/>
            <w:left w:w="108" w:type="dxa"/>
            <w:bottom w:w="0" w:type="dxa"/>
            <w:right w:w="108" w:type="dxa"/>
          </w:tblCellMar>
        </w:tblPrEx>
        <w:trPr>
          <w:cantSplit/>
          <w:trHeight w:val="325" w:hRule="atLeast"/>
          <w:jc w:val="center"/>
        </w:trPr>
        <w:tc>
          <w:tcPr>
            <w:tcW w:w="2093" w:type="dxa"/>
            <w:shd w:val="clear" w:color="000000" w:fill="FFFFFF"/>
            <w:vAlign w:val="center"/>
          </w:tcPr>
          <w:p w14:paraId="0CE75A66">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21 to 30 Years</w:t>
            </w:r>
          </w:p>
        </w:tc>
        <w:tc>
          <w:tcPr>
            <w:tcW w:w="2551" w:type="dxa"/>
            <w:shd w:val="clear" w:color="000000" w:fill="FFFFFF"/>
            <w:vAlign w:val="center"/>
          </w:tcPr>
          <w:p w14:paraId="2283B700">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0.422</w:t>
            </w:r>
          </w:p>
        </w:tc>
        <w:tc>
          <w:tcPr>
            <w:tcW w:w="426" w:type="dxa"/>
            <w:shd w:val="clear" w:color="000000" w:fill="FFFFFF"/>
            <w:vAlign w:val="center"/>
          </w:tcPr>
          <w:p w14:paraId="32103A77">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2</w:t>
            </w:r>
          </w:p>
        </w:tc>
        <w:tc>
          <w:tcPr>
            <w:tcW w:w="1417" w:type="dxa"/>
            <w:shd w:val="clear" w:color="000000" w:fill="FFFFFF"/>
            <w:vAlign w:val="center"/>
          </w:tcPr>
          <w:p w14:paraId="339FBB4D">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0.810</w:t>
            </w:r>
          </w:p>
        </w:tc>
        <w:tc>
          <w:tcPr>
            <w:tcW w:w="2755" w:type="dxa"/>
            <w:shd w:val="clear" w:color="000000" w:fill="FFFFFF"/>
            <w:vAlign w:val="center"/>
          </w:tcPr>
          <w:p w14:paraId="11E14B2C">
            <w:pPr>
              <w:pStyle w:val="37"/>
              <w:spacing w:line="360" w:lineRule="auto"/>
              <w:jc w:val="center"/>
              <w:rPr>
                <w:rFonts w:ascii="Times New Roman" w:hAnsi="Times New Roman" w:cs="Times New Roman"/>
                <w:sz w:val="24"/>
                <w:szCs w:val="24"/>
                <w:lang w:eastAsia="en-IN"/>
              </w:rPr>
            </w:pPr>
            <w:r>
              <w:rPr>
                <w:rFonts w:ascii="Times New Roman" w:hAnsi="Times New Roman" w:cs="Times New Roman"/>
                <w:color w:val="000000"/>
                <w:sz w:val="24"/>
                <w:szCs w:val="24"/>
                <w:lang w:val="en-US" w:bidi="gu-IN"/>
              </w:rPr>
              <w:t>No enough Evidence of association</w:t>
            </w:r>
          </w:p>
        </w:tc>
      </w:tr>
      <w:tr w14:paraId="29BB4250">
        <w:tblPrEx>
          <w:tblCellMar>
            <w:top w:w="0" w:type="dxa"/>
            <w:left w:w="108" w:type="dxa"/>
            <w:bottom w:w="0" w:type="dxa"/>
            <w:right w:w="108" w:type="dxa"/>
          </w:tblCellMar>
        </w:tblPrEx>
        <w:trPr>
          <w:cantSplit/>
          <w:trHeight w:val="405" w:hRule="atLeast"/>
          <w:jc w:val="center"/>
        </w:trPr>
        <w:tc>
          <w:tcPr>
            <w:tcW w:w="2093" w:type="dxa"/>
            <w:shd w:val="clear" w:color="000000" w:fill="FFFFFF"/>
            <w:vAlign w:val="center"/>
          </w:tcPr>
          <w:p w14:paraId="2303F157">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31 to 40 Years</w:t>
            </w:r>
          </w:p>
        </w:tc>
        <w:tc>
          <w:tcPr>
            <w:tcW w:w="2551" w:type="dxa"/>
            <w:shd w:val="clear" w:color="000000" w:fill="FFFFFF"/>
            <w:vAlign w:val="center"/>
          </w:tcPr>
          <w:p w14:paraId="694E64FA">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19.839</w:t>
            </w:r>
          </w:p>
        </w:tc>
        <w:tc>
          <w:tcPr>
            <w:tcW w:w="426" w:type="dxa"/>
            <w:shd w:val="clear" w:color="000000" w:fill="FFFFFF"/>
            <w:vAlign w:val="center"/>
          </w:tcPr>
          <w:p w14:paraId="7F84CADF">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1</w:t>
            </w:r>
          </w:p>
        </w:tc>
        <w:tc>
          <w:tcPr>
            <w:tcW w:w="1417" w:type="dxa"/>
            <w:shd w:val="clear" w:color="000000" w:fill="FFFFFF"/>
            <w:vAlign w:val="center"/>
          </w:tcPr>
          <w:p w14:paraId="2467B71D">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0.000</w:t>
            </w:r>
          </w:p>
        </w:tc>
        <w:tc>
          <w:tcPr>
            <w:tcW w:w="2755" w:type="dxa"/>
            <w:shd w:val="clear" w:color="000000" w:fill="FFFFFF"/>
            <w:vAlign w:val="center"/>
          </w:tcPr>
          <w:p w14:paraId="39E88ECE">
            <w:pPr>
              <w:pStyle w:val="37"/>
              <w:spacing w:line="360" w:lineRule="auto"/>
              <w:jc w:val="center"/>
              <w:rPr>
                <w:rFonts w:ascii="Times New Roman" w:hAnsi="Times New Roman" w:cs="Times New Roman"/>
                <w:sz w:val="24"/>
                <w:szCs w:val="24"/>
                <w:lang w:eastAsia="en-IN"/>
              </w:rPr>
            </w:pPr>
            <w:r>
              <w:rPr>
                <w:rFonts w:ascii="Times New Roman" w:hAnsi="Times New Roman" w:cs="Times New Roman"/>
                <w:color w:val="000000"/>
                <w:sz w:val="24"/>
                <w:szCs w:val="24"/>
                <w:lang w:val="en-US" w:bidi="gu-IN"/>
              </w:rPr>
              <w:t>Evidence of association</w:t>
            </w:r>
          </w:p>
        </w:tc>
      </w:tr>
      <w:tr w14:paraId="568B6DA7">
        <w:tblPrEx>
          <w:tblCellMar>
            <w:top w:w="0" w:type="dxa"/>
            <w:left w:w="108" w:type="dxa"/>
            <w:bottom w:w="0" w:type="dxa"/>
            <w:right w:w="108" w:type="dxa"/>
          </w:tblCellMar>
        </w:tblPrEx>
        <w:trPr>
          <w:cantSplit/>
          <w:trHeight w:val="510" w:hRule="atLeast"/>
          <w:jc w:val="center"/>
        </w:trPr>
        <w:tc>
          <w:tcPr>
            <w:tcW w:w="2093" w:type="dxa"/>
            <w:shd w:val="clear" w:color="000000" w:fill="FFFFFF"/>
            <w:vAlign w:val="center"/>
          </w:tcPr>
          <w:p w14:paraId="0FEBC9DD">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41 to 50 Years</w:t>
            </w:r>
          </w:p>
        </w:tc>
        <w:tc>
          <w:tcPr>
            <w:tcW w:w="2551" w:type="dxa"/>
            <w:shd w:val="clear" w:color="000000" w:fill="FFFFFF"/>
            <w:vAlign w:val="center"/>
          </w:tcPr>
          <w:p w14:paraId="63ABCBBF">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17.000</w:t>
            </w:r>
          </w:p>
        </w:tc>
        <w:tc>
          <w:tcPr>
            <w:tcW w:w="426" w:type="dxa"/>
            <w:shd w:val="clear" w:color="000000" w:fill="FFFFFF"/>
            <w:vAlign w:val="center"/>
          </w:tcPr>
          <w:p w14:paraId="50B43B86">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1</w:t>
            </w:r>
          </w:p>
        </w:tc>
        <w:tc>
          <w:tcPr>
            <w:tcW w:w="1417" w:type="dxa"/>
            <w:shd w:val="clear" w:color="000000" w:fill="FFFFFF"/>
            <w:vAlign w:val="center"/>
          </w:tcPr>
          <w:p w14:paraId="2D5C550E">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0.000</w:t>
            </w:r>
          </w:p>
        </w:tc>
        <w:tc>
          <w:tcPr>
            <w:tcW w:w="2755" w:type="dxa"/>
            <w:shd w:val="clear" w:color="000000" w:fill="FFFFFF"/>
            <w:vAlign w:val="center"/>
          </w:tcPr>
          <w:p w14:paraId="4A37B79A">
            <w:pPr>
              <w:pStyle w:val="37"/>
              <w:spacing w:line="360" w:lineRule="auto"/>
              <w:jc w:val="center"/>
              <w:rPr>
                <w:rFonts w:ascii="Times New Roman" w:hAnsi="Times New Roman" w:cs="Times New Roman"/>
                <w:sz w:val="24"/>
                <w:szCs w:val="24"/>
                <w:lang w:eastAsia="en-IN"/>
              </w:rPr>
            </w:pPr>
            <w:r>
              <w:rPr>
                <w:rFonts w:ascii="Times New Roman" w:hAnsi="Times New Roman" w:cs="Times New Roman"/>
                <w:color w:val="000000"/>
                <w:sz w:val="24"/>
                <w:szCs w:val="24"/>
                <w:lang w:val="en-US" w:bidi="gu-IN"/>
              </w:rPr>
              <w:t>Evidence of association</w:t>
            </w:r>
          </w:p>
        </w:tc>
      </w:tr>
      <w:tr w14:paraId="41455DEA">
        <w:tblPrEx>
          <w:tblCellMar>
            <w:top w:w="0" w:type="dxa"/>
            <w:left w:w="108" w:type="dxa"/>
            <w:bottom w:w="0" w:type="dxa"/>
            <w:right w:w="108" w:type="dxa"/>
          </w:tblCellMar>
        </w:tblPrEx>
        <w:trPr>
          <w:cantSplit/>
          <w:trHeight w:val="510" w:hRule="atLeast"/>
          <w:jc w:val="center"/>
        </w:trPr>
        <w:tc>
          <w:tcPr>
            <w:tcW w:w="2093" w:type="dxa"/>
            <w:shd w:val="clear" w:color="000000" w:fill="FFFFFF"/>
            <w:vAlign w:val="center"/>
          </w:tcPr>
          <w:p w14:paraId="3DFA9049">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sz w:val="24"/>
                <w:szCs w:val="24"/>
                <w:lang w:val="en-US" w:eastAsia="en-IN" w:bidi="gu-IN"/>
              </w:rPr>
              <w:t>51 Years and above</w:t>
            </w:r>
          </w:p>
        </w:tc>
        <w:tc>
          <w:tcPr>
            <w:tcW w:w="2551" w:type="dxa"/>
            <w:shd w:val="clear" w:color="000000" w:fill="FFFFFF"/>
            <w:vAlign w:val="center"/>
          </w:tcPr>
          <w:p w14:paraId="507E1A95">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sz w:val="24"/>
                <w:szCs w:val="24"/>
                <w:lang w:val="en-US" w:eastAsia="en-IN" w:bidi="gu-IN"/>
              </w:rPr>
              <w:t>15.765</w:t>
            </w:r>
          </w:p>
        </w:tc>
        <w:tc>
          <w:tcPr>
            <w:tcW w:w="426" w:type="dxa"/>
            <w:shd w:val="clear" w:color="000000" w:fill="FFFFFF"/>
            <w:vAlign w:val="center"/>
          </w:tcPr>
          <w:p w14:paraId="10CEACB5">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sz w:val="24"/>
                <w:szCs w:val="24"/>
                <w:lang w:val="en-US" w:eastAsia="en-IN" w:bidi="gu-IN"/>
              </w:rPr>
              <w:t>1</w:t>
            </w:r>
          </w:p>
        </w:tc>
        <w:tc>
          <w:tcPr>
            <w:tcW w:w="1417" w:type="dxa"/>
            <w:shd w:val="clear" w:color="000000" w:fill="FFFFFF"/>
            <w:vAlign w:val="center"/>
          </w:tcPr>
          <w:p w14:paraId="63C468C7">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sz w:val="24"/>
                <w:szCs w:val="24"/>
                <w:lang w:val="en-US" w:eastAsia="en-IN" w:bidi="gu-IN"/>
              </w:rPr>
              <w:t>0.000</w:t>
            </w:r>
          </w:p>
        </w:tc>
        <w:tc>
          <w:tcPr>
            <w:tcW w:w="2755" w:type="dxa"/>
            <w:shd w:val="clear" w:color="000000" w:fill="FFFFFF"/>
            <w:vAlign w:val="center"/>
          </w:tcPr>
          <w:p w14:paraId="00F49002">
            <w:pPr>
              <w:pStyle w:val="37"/>
              <w:spacing w:line="360" w:lineRule="auto"/>
              <w:jc w:val="center"/>
              <w:rPr>
                <w:rFonts w:ascii="Times New Roman" w:hAnsi="Times New Roman" w:cs="Times New Roman"/>
                <w:sz w:val="24"/>
                <w:szCs w:val="24"/>
                <w:lang w:val="en-US" w:eastAsia="en-IN" w:bidi="gu-IN"/>
              </w:rPr>
            </w:pPr>
            <w:r>
              <w:rPr>
                <w:rFonts w:ascii="Times New Roman" w:hAnsi="Times New Roman" w:cs="Times New Roman"/>
                <w:color w:val="000000"/>
                <w:sz w:val="24"/>
                <w:szCs w:val="24"/>
                <w:lang w:val="en-US" w:bidi="gu-IN"/>
              </w:rPr>
              <w:t>Evidence of association</w:t>
            </w:r>
          </w:p>
        </w:tc>
      </w:tr>
      <w:tr w14:paraId="69BC3131">
        <w:tblPrEx>
          <w:tblCellMar>
            <w:top w:w="0" w:type="dxa"/>
            <w:left w:w="108" w:type="dxa"/>
            <w:bottom w:w="0" w:type="dxa"/>
            <w:right w:w="108" w:type="dxa"/>
          </w:tblCellMar>
        </w:tblPrEx>
        <w:trPr>
          <w:cantSplit/>
          <w:trHeight w:val="267" w:hRule="atLeast"/>
          <w:jc w:val="center"/>
        </w:trPr>
        <w:tc>
          <w:tcPr>
            <w:tcW w:w="2093" w:type="dxa"/>
            <w:tcBorders>
              <w:bottom w:val="single" w:color="auto" w:sz="12" w:space="0"/>
            </w:tcBorders>
            <w:shd w:val="clear" w:color="000000" w:fill="FFFFFF"/>
            <w:vAlign w:val="center"/>
          </w:tcPr>
          <w:p w14:paraId="1D30B4E6">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Total</w:t>
            </w:r>
          </w:p>
        </w:tc>
        <w:tc>
          <w:tcPr>
            <w:tcW w:w="2551" w:type="dxa"/>
            <w:tcBorders>
              <w:bottom w:val="single" w:color="auto" w:sz="12" w:space="0"/>
            </w:tcBorders>
            <w:shd w:val="clear" w:color="000000" w:fill="FFFFFF"/>
            <w:vAlign w:val="center"/>
          </w:tcPr>
          <w:p w14:paraId="7098A728">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1.029</w:t>
            </w:r>
          </w:p>
        </w:tc>
        <w:tc>
          <w:tcPr>
            <w:tcW w:w="426" w:type="dxa"/>
            <w:tcBorders>
              <w:bottom w:val="single" w:color="auto" w:sz="12" w:space="0"/>
            </w:tcBorders>
            <w:shd w:val="clear" w:color="000000" w:fill="FFFFFF"/>
            <w:vAlign w:val="center"/>
          </w:tcPr>
          <w:p w14:paraId="2B518DF0">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2</w:t>
            </w:r>
          </w:p>
        </w:tc>
        <w:tc>
          <w:tcPr>
            <w:tcW w:w="1417" w:type="dxa"/>
            <w:tcBorders>
              <w:bottom w:val="single" w:color="auto" w:sz="12" w:space="0"/>
            </w:tcBorders>
            <w:shd w:val="clear" w:color="000000" w:fill="FFFFFF"/>
            <w:vAlign w:val="center"/>
          </w:tcPr>
          <w:p w14:paraId="72BEF2F2">
            <w:pPr>
              <w:pStyle w:val="37"/>
              <w:spacing w:line="360" w:lineRule="auto"/>
              <w:jc w:val="center"/>
              <w:rPr>
                <w:rFonts w:ascii="Times New Roman" w:hAnsi="Times New Roman" w:cs="Times New Roman"/>
                <w:sz w:val="24"/>
                <w:szCs w:val="24"/>
                <w:lang w:eastAsia="en-IN"/>
              </w:rPr>
            </w:pPr>
            <w:r>
              <w:rPr>
                <w:rFonts w:ascii="Times New Roman" w:hAnsi="Times New Roman" w:cs="Times New Roman"/>
                <w:sz w:val="24"/>
                <w:szCs w:val="24"/>
                <w:lang w:val="en-US" w:eastAsia="en-IN" w:bidi="gu-IN"/>
              </w:rPr>
              <w:t>0.006</w:t>
            </w:r>
          </w:p>
        </w:tc>
        <w:tc>
          <w:tcPr>
            <w:tcW w:w="2755" w:type="dxa"/>
            <w:tcBorders>
              <w:bottom w:val="single" w:color="auto" w:sz="12" w:space="0"/>
            </w:tcBorders>
            <w:shd w:val="clear" w:color="000000" w:fill="FFFFFF"/>
            <w:vAlign w:val="center"/>
          </w:tcPr>
          <w:p w14:paraId="227B280D">
            <w:pPr>
              <w:pStyle w:val="37"/>
              <w:spacing w:line="360" w:lineRule="auto"/>
              <w:jc w:val="center"/>
              <w:rPr>
                <w:rFonts w:ascii="Times New Roman" w:hAnsi="Times New Roman" w:cs="Times New Roman"/>
                <w:sz w:val="24"/>
                <w:szCs w:val="24"/>
                <w:lang w:eastAsia="en-IN"/>
              </w:rPr>
            </w:pPr>
            <w:r>
              <w:rPr>
                <w:rFonts w:ascii="Times New Roman" w:hAnsi="Times New Roman" w:cs="Times New Roman"/>
                <w:color w:val="000000"/>
                <w:sz w:val="24"/>
                <w:szCs w:val="24"/>
                <w:lang w:val="en-US" w:bidi="gu-IN"/>
              </w:rPr>
              <w:t>Evidence of association</w:t>
            </w:r>
          </w:p>
        </w:tc>
      </w:tr>
    </w:tbl>
    <w:p w14:paraId="73B82706">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(Source: Primary data; SPSS Output)</w:t>
      </w:r>
    </w:p>
    <w:p w14:paraId="7ABE058A">
      <w:pPr>
        <w:autoSpaceDE w:val="0"/>
        <w:autoSpaceDN w:val="0"/>
        <w:adjustRightInd w:val="0"/>
        <w:spacing w:after="0" w:line="360" w:lineRule="auto"/>
        <w:jc w:val="center"/>
        <w:rPr>
          <w:rFonts w:ascii="Times New Roman" w:hAnsi="Times New Roman" w:cs="Times New Roman"/>
          <w:sz w:val="24"/>
          <w:szCs w:val="24"/>
        </w:rPr>
      </w:pPr>
    </w:p>
    <w:p w14:paraId="66E782C8">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rPr>
        <w:t xml:space="preserve">For the age group below 20 years, 50% of total male travellers said that they will </w:t>
      </w:r>
      <w:r>
        <w:rPr>
          <w:rFonts w:ascii="Times New Roman" w:hAnsi="Times New Roman" w:cs="Times New Roman"/>
          <w:sz w:val="24"/>
          <w:szCs w:val="24"/>
          <w:lang w:bidi="gu-IN"/>
        </w:rPr>
        <w:t>change their travel duration due to COVID-19 outbreak</w:t>
      </w:r>
      <w:r>
        <w:rPr>
          <w:rFonts w:ascii="Times New Roman" w:hAnsi="Times New Roman" w:cs="Times New Roman"/>
          <w:sz w:val="24"/>
          <w:szCs w:val="24"/>
        </w:rPr>
        <w:t xml:space="preserve"> while in the same age group, 50% female travellers said that they may be </w:t>
      </w:r>
      <w:r>
        <w:rPr>
          <w:rFonts w:ascii="Times New Roman" w:hAnsi="Times New Roman" w:cs="Times New Roman"/>
          <w:sz w:val="24"/>
          <w:szCs w:val="24"/>
          <w:lang w:bidi="gu-IN"/>
        </w:rPr>
        <w:t xml:space="preserve">changing their travel duration due to COVID-19 outbreak. </w:t>
      </w:r>
    </w:p>
    <w:p w14:paraId="5A91120A">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Pr>
          <w:rFonts w:ascii="Times New Roman" w:hAnsi="Times New Roman" w:cs="Times New Roman"/>
          <w:sz w:val="24"/>
          <w:szCs w:val="24"/>
        </w:rPr>
        <w:t xml:space="preserve">For the age group 21 to 30 years, 25.50% of total male and 16.80% female travellers said that they will </w:t>
      </w:r>
      <w:r>
        <w:rPr>
          <w:rFonts w:ascii="Times New Roman" w:hAnsi="Times New Roman" w:cs="Times New Roman"/>
          <w:sz w:val="24"/>
          <w:szCs w:val="24"/>
          <w:lang w:bidi="gu-IN"/>
        </w:rPr>
        <w:t>change their travel duration due to COVID-19 outbreak</w:t>
      </w:r>
      <w:r>
        <w:rPr>
          <w:rFonts w:ascii="Times New Roman" w:hAnsi="Times New Roman" w:cs="Times New Roman"/>
          <w:sz w:val="24"/>
          <w:szCs w:val="24"/>
        </w:rPr>
        <w:t xml:space="preserve"> while 15% male and 9.30% female travellers said that they will not </w:t>
      </w:r>
      <w:r>
        <w:rPr>
          <w:rFonts w:ascii="Times New Roman" w:hAnsi="Times New Roman" w:cs="Times New Roman"/>
          <w:sz w:val="24"/>
          <w:szCs w:val="24"/>
          <w:lang w:bidi="gu-IN"/>
        </w:rPr>
        <w:t>change their travel duration due to COVID-19 outbreak and 16.90</w:t>
      </w:r>
      <w:r>
        <w:rPr>
          <w:rFonts w:ascii="Times New Roman" w:hAnsi="Times New Roman" w:cs="Times New Roman"/>
          <w:sz w:val="24"/>
          <w:szCs w:val="24"/>
        </w:rPr>
        <w:t>% male and 14% female travellers said that they might change</w:t>
      </w:r>
      <w:r>
        <w:rPr>
          <w:rFonts w:ascii="Times New Roman" w:hAnsi="Times New Roman" w:cs="Times New Roman"/>
          <w:sz w:val="24"/>
          <w:szCs w:val="24"/>
          <w:lang w:bidi="gu-IN"/>
        </w:rPr>
        <w:t xml:space="preserve"> their travel duration due to COVID-19 outbreak. </w:t>
      </w:r>
      <w:r>
        <w:rPr>
          <w:rFonts w:ascii="Times New Roman" w:hAnsi="Times New Roman" w:cs="Times New Roman"/>
          <w:sz w:val="24"/>
          <w:szCs w:val="24"/>
        </w:rPr>
        <w:t xml:space="preserve">For the age group 31 to 40 years, 45.50% of total male and 18.20% female travellers said that they will </w:t>
      </w:r>
      <w:r>
        <w:rPr>
          <w:rFonts w:ascii="Times New Roman" w:hAnsi="Times New Roman" w:cs="Times New Roman"/>
          <w:sz w:val="24"/>
          <w:szCs w:val="24"/>
          <w:lang w:bidi="gu-IN"/>
        </w:rPr>
        <w:t>change their travel duration due to COVID-19 outbreak</w:t>
      </w:r>
      <w:r>
        <w:rPr>
          <w:rFonts w:ascii="Times New Roman" w:hAnsi="Times New Roman" w:cs="Times New Roman"/>
          <w:sz w:val="24"/>
          <w:szCs w:val="24"/>
        </w:rPr>
        <w:t xml:space="preserve"> while </w:t>
      </w:r>
      <w:r>
        <w:rPr>
          <w:rFonts w:ascii="Times New Roman" w:hAnsi="Times New Roman" w:cs="Times New Roman"/>
          <w:sz w:val="24"/>
          <w:szCs w:val="24"/>
          <w:lang w:bidi="gu-IN"/>
        </w:rPr>
        <w:t>9.10</w:t>
      </w:r>
      <w:r>
        <w:rPr>
          <w:rFonts w:ascii="Times New Roman" w:hAnsi="Times New Roman" w:cs="Times New Roman"/>
          <w:sz w:val="24"/>
          <w:szCs w:val="24"/>
        </w:rPr>
        <w:t xml:space="preserve">% male and 27.30 % female travellers said that they may be </w:t>
      </w:r>
      <w:r>
        <w:rPr>
          <w:rFonts w:ascii="Times New Roman" w:hAnsi="Times New Roman" w:cs="Times New Roman"/>
          <w:sz w:val="24"/>
          <w:szCs w:val="24"/>
          <w:lang w:bidi="gu-IN"/>
        </w:rPr>
        <w:t xml:space="preserve">changing their travel duration due to COVID-19 outbreak. </w:t>
      </w:r>
      <w:r>
        <w:rPr>
          <w:rFonts w:ascii="Times New Roman" w:hAnsi="Times New Roman" w:cs="Times New Roman"/>
          <w:sz w:val="24"/>
          <w:szCs w:val="24"/>
        </w:rPr>
        <w:t xml:space="preserve">For the age group 41 to 50 years, 50% of the total male travellers said that they will </w:t>
      </w:r>
      <w:r>
        <w:rPr>
          <w:rFonts w:ascii="Times New Roman" w:hAnsi="Times New Roman" w:cs="Times New Roman"/>
          <w:sz w:val="24"/>
          <w:szCs w:val="24"/>
          <w:lang w:bidi="gu-IN"/>
        </w:rPr>
        <w:t>change their travel duration due to COVID-19 outbreak</w:t>
      </w:r>
      <w:r>
        <w:rPr>
          <w:rFonts w:ascii="Times New Roman" w:hAnsi="Times New Roman" w:cs="Times New Roman"/>
          <w:sz w:val="24"/>
          <w:szCs w:val="24"/>
        </w:rPr>
        <w:t xml:space="preserve"> while in the same age group the 50% female travellers said that they will not be </w:t>
      </w:r>
      <w:r>
        <w:rPr>
          <w:rFonts w:ascii="Times New Roman" w:hAnsi="Times New Roman" w:cs="Times New Roman"/>
          <w:sz w:val="24"/>
          <w:szCs w:val="24"/>
          <w:lang w:bidi="gu-IN"/>
        </w:rPr>
        <w:t xml:space="preserve">changing their travel duration due to COVID-19 outbreak. </w:t>
      </w:r>
    </w:p>
    <w:p w14:paraId="0A6DEC3E">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Pr>
          <w:rFonts w:ascii="Times New Roman" w:hAnsi="Times New Roman" w:cs="Times New Roman"/>
          <w:sz w:val="24"/>
          <w:szCs w:val="24"/>
        </w:rPr>
        <w:t xml:space="preserve">The Pearson Chi-Square test yielded that with chi-square value of </w:t>
      </w:r>
      <w:r>
        <w:rPr>
          <w:rFonts w:ascii="Times New Roman" w:hAnsi="Times New Roman" w:eastAsia="Times New Roman" w:cs="Times New Roman"/>
          <w:color w:val="000000"/>
          <w:sz w:val="24"/>
          <w:szCs w:val="24"/>
          <w:lang w:val="en-US" w:eastAsia="en-IN" w:bidi="gu-IN"/>
        </w:rPr>
        <w:t>4.00</w:t>
      </w:r>
      <w:r>
        <w:rPr>
          <w:rFonts w:ascii="Times New Roman" w:hAnsi="Times New Roman" w:cs="Times New Roman"/>
          <w:sz w:val="24"/>
          <w:szCs w:val="24"/>
        </w:rPr>
        <w:t xml:space="preserve">, df=1 the p value is less than 0.05 so null hypotheses gets rejected. Thus, it can be concluded that for the age below 20 years the </w:t>
      </w:r>
      <w:r>
        <w:rPr>
          <w:rFonts w:ascii="Times New Roman" w:hAnsi="Times New Roman" w:cs="Times New Roman"/>
          <w:sz w:val="24"/>
          <w:szCs w:val="24"/>
          <w:lang w:bidi="gu-IN"/>
        </w:rPr>
        <w:t>change in travel duration due to COVID-19 outbreak</w:t>
      </w:r>
      <w:r>
        <w:rPr>
          <w:rFonts w:ascii="Times New Roman" w:hAnsi="Times New Roman" w:eastAsia="Times New Roman" w:cs="Times New Roman"/>
          <w:bCs/>
          <w:color w:val="000000"/>
          <w:sz w:val="24"/>
          <w:szCs w:val="24"/>
          <w:lang w:val="en-US"/>
        </w:rPr>
        <w:t xml:space="preserve"> is not independent to </w:t>
      </w:r>
      <w:r>
        <w:rPr>
          <w:rFonts w:ascii="Times New Roman" w:hAnsi="Times New Roman" w:cs="Times New Roman"/>
          <w:sz w:val="24"/>
          <w:szCs w:val="24"/>
          <w:lang w:bidi="gu-IN"/>
        </w:rPr>
        <w:t xml:space="preserve">Gender and </w:t>
      </w:r>
      <w:r>
        <w:rPr>
          <w:rFonts w:ascii="Times New Roman" w:hAnsi="Times New Roman" w:cs="Times New Roman"/>
          <w:color w:val="000000"/>
          <w:sz w:val="24"/>
          <w:szCs w:val="24"/>
          <w:lang w:bidi="gu-IN"/>
        </w:rPr>
        <w:t xml:space="preserve">Age of the travellers. For other age groups, except the age group 21 to 30 years for which the p value is greater than 0.05 </w:t>
      </w:r>
      <w:r>
        <w:rPr>
          <w:rFonts w:ascii="Times New Roman" w:hAnsi="Times New Roman" w:cs="Times New Roman"/>
          <w:sz w:val="24"/>
          <w:szCs w:val="24"/>
        </w:rPr>
        <w:t xml:space="preserve">researchers fail to reject the null hypothesis and thus for only this age year it can be concluded that the </w:t>
      </w:r>
      <w:r>
        <w:rPr>
          <w:rFonts w:ascii="Times New Roman" w:hAnsi="Times New Roman" w:cs="Times New Roman"/>
          <w:sz w:val="24"/>
          <w:szCs w:val="24"/>
          <w:lang w:bidi="gu-IN"/>
        </w:rPr>
        <w:t>change in travel duration due to COVID-19 outbreak</w:t>
      </w:r>
      <w:r>
        <w:rPr>
          <w:rFonts w:ascii="Times New Roman" w:hAnsi="Times New Roman" w:eastAsia="Times New Roman" w:cs="Times New Roman"/>
          <w:bCs/>
          <w:sz w:val="24"/>
          <w:szCs w:val="24"/>
          <w:lang w:val="en-US"/>
        </w:rPr>
        <w:t xml:space="preserve"> is independent to </w:t>
      </w:r>
      <w:r>
        <w:rPr>
          <w:rFonts w:ascii="Times New Roman" w:hAnsi="Times New Roman" w:cs="Times New Roman"/>
          <w:sz w:val="24"/>
          <w:szCs w:val="24"/>
          <w:lang w:bidi="gu-IN"/>
        </w:rPr>
        <w:t>Gender and Age of the travellers</w:t>
      </w:r>
      <w:bookmarkEnd w:id="3"/>
      <w:r>
        <w:rPr>
          <w:rFonts w:ascii="Times New Roman" w:hAnsi="Times New Roman" w:cs="Times New Roman"/>
          <w:sz w:val="24"/>
          <w:szCs w:val="24"/>
          <w:lang w:bidi="gu-IN"/>
        </w:rPr>
        <w:t xml:space="preserve">, while for the rest </w:t>
      </w:r>
      <w:r>
        <w:rPr>
          <w:rFonts w:ascii="Times New Roman" w:hAnsi="Times New Roman" w:cs="Times New Roman"/>
          <w:sz w:val="24"/>
          <w:szCs w:val="24"/>
        </w:rPr>
        <w:t xml:space="preserve">the </w:t>
      </w:r>
      <w:r>
        <w:rPr>
          <w:rFonts w:ascii="Times New Roman" w:hAnsi="Times New Roman" w:cs="Times New Roman"/>
          <w:sz w:val="24"/>
          <w:szCs w:val="24"/>
          <w:lang w:bidi="gu-IN"/>
        </w:rPr>
        <w:t>change in travel duration due to COVID-19 outbreak</w:t>
      </w:r>
      <w:r>
        <w:rPr>
          <w:rFonts w:ascii="Times New Roman" w:hAnsi="Times New Roman" w:eastAsia="Times New Roman" w:cs="Times New Roman"/>
          <w:bCs/>
          <w:color w:val="000000"/>
          <w:sz w:val="24"/>
          <w:szCs w:val="24"/>
          <w:lang w:val="en-US"/>
        </w:rPr>
        <w:t xml:space="preserve"> is not independent to </w:t>
      </w:r>
      <w:r>
        <w:rPr>
          <w:rFonts w:ascii="Times New Roman" w:hAnsi="Times New Roman" w:cs="Times New Roman"/>
          <w:sz w:val="24"/>
          <w:szCs w:val="24"/>
          <w:lang w:bidi="gu-IN"/>
        </w:rPr>
        <w:t xml:space="preserve">Gender and </w:t>
      </w:r>
      <w:r>
        <w:rPr>
          <w:rFonts w:ascii="Times New Roman" w:hAnsi="Times New Roman" w:cs="Times New Roman"/>
          <w:color w:val="000000"/>
          <w:sz w:val="24"/>
          <w:szCs w:val="24"/>
          <w:lang w:bidi="gu-IN"/>
        </w:rPr>
        <w:t>Age of the travellers.</w:t>
      </w:r>
    </w:p>
    <w:p w14:paraId="360CBB80">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5.4 Preferred Mode of Public transportation by travellers domestically</w:t>
      </w:r>
    </w:p>
    <w:p w14:paraId="2181E116">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Following figure shows the Preferred Mode of Public transportation by travellers while travelling domestically</w:t>
      </w:r>
    </w:p>
    <w:p w14:paraId="0EA4DCB1">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eastAsia="en-IN" w:bidi="gu-IN"/>
        </w:rPr>
        <w:drawing>
          <wp:inline distT="0" distB="0" distL="0" distR="0">
            <wp:extent cx="4573270" cy="1558290"/>
            <wp:effectExtent l="19050" t="0" r="17393" b="3644"/>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B321A7">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bidi="gu-IN"/>
        </w:rPr>
        <w:t>Figure 4: Preferred Mode of Public transportation by travellers domestically</w:t>
      </w:r>
    </w:p>
    <w:p w14:paraId="241EFC14">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53B96122">
      <w:pPr>
        <w:autoSpaceDE w:val="0"/>
        <w:autoSpaceDN w:val="0"/>
        <w:adjustRightInd w:val="0"/>
        <w:spacing w:after="0" w:line="360" w:lineRule="auto"/>
        <w:jc w:val="center"/>
        <w:rPr>
          <w:rFonts w:ascii="Times New Roman" w:hAnsi="Times New Roman" w:cs="Times New Roman"/>
          <w:b/>
          <w:bCs/>
          <w:sz w:val="24"/>
          <w:szCs w:val="24"/>
          <w:lang w:bidi="gu-IN"/>
        </w:rPr>
      </w:pPr>
    </w:p>
    <w:p w14:paraId="09D03557">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While travelling in domestic places 47.6 % travellers have preferred Train, 32.8 % travellers have preferred Car, 13.6 % travellers have preferred Flight and 7 % have preferred Bus.</w:t>
      </w:r>
    </w:p>
    <w:p w14:paraId="139AF1DF">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eastAsia="en-IN" w:bidi="gu-IN"/>
        </w:rPr>
        <w:drawing>
          <wp:inline distT="0" distB="0" distL="0" distR="0">
            <wp:extent cx="4577080" cy="1876425"/>
            <wp:effectExtent l="19050" t="0" r="13583" b="9442"/>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3DB262">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bidi="gu-IN"/>
        </w:rPr>
        <w:t>Figure 5: Change in Preferred Mode of Public transportation</w:t>
      </w:r>
    </w:p>
    <w:p w14:paraId="6BF1202F">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1C6C88F6">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While travelling in domestic places, 30.4 % travellers have already changed their preferred mode of transportation and 28 % travellers might be changing their Preferred Mode of Public transportation. There is no change in Preferred Mode of Public transportation in case of 41.6 % travellers.</w:t>
      </w:r>
    </w:p>
    <w:p w14:paraId="0ACF0FC6">
      <w:pPr>
        <w:autoSpaceDE w:val="0"/>
        <w:autoSpaceDN w:val="0"/>
        <w:adjustRightInd w:val="0"/>
        <w:spacing w:after="0" w:line="360" w:lineRule="auto"/>
        <w:jc w:val="both"/>
        <w:rPr>
          <w:rFonts w:ascii="Times New Roman" w:hAnsi="Times New Roman" w:cs="Times New Roman"/>
          <w:sz w:val="24"/>
          <w:szCs w:val="24"/>
          <w:lang w:bidi="gu-IN"/>
        </w:rPr>
      </w:pPr>
      <w:bookmarkStart w:id="4" w:name="_Hlk39049318"/>
      <w:r>
        <w:rPr>
          <w:rFonts w:ascii="Times New Roman" w:hAnsi="Times New Roman" w:cs="Times New Roman"/>
          <w:sz w:val="24"/>
          <w:szCs w:val="24"/>
          <w:lang w:bidi="gu-IN"/>
        </w:rPr>
        <w:t>Among these responses,</w:t>
      </w:r>
      <w:r>
        <w:rPr>
          <w:rFonts w:ascii="Times New Roman" w:hAnsi="Times New Roman" w:cs="Times New Roman"/>
          <w:sz w:val="24"/>
          <w:szCs w:val="24"/>
          <w:lang w:val="en-US" w:bidi="gu-IN"/>
        </w:rPr>
        <w:t xml:space="preserve"> researchers conclude that there is enough evidence to suggest an association between the</w:t>
      </w:r>
      <w:r>
        <w:rPr>
          <w:rFonts w:ascii="Times New Roman" w:hAnsi="Times New Roman" w:cs="Times New Roman"/>
          <w:sz w:val="24"/>
          <w:szCs w:val="24"/>
          <w:lang w:bidi="gu-IN"/>
        </w:rPr>
        <w:t xml:space="preserve"> mode of the transport of travelling before COVID-19 and their plan to change </w:t>
      </w:r>
      <w:r>
        <w:rPr>
          <w:rFonts w:ascii="Times New Roman" w:hAnsi="Times New Roman" w:cs="Times New Roman"/>
          <w:sz w:val="24"/>
          <w:szCs w:val="24"/>
          <w:lang w:val="en-US" w:bidi="gu-IN"/>
        </w:rPr>
        <w:t>the</w:t>
      </w:r>
      <w:r>
        <w:rPr>
          <w:rFonts w:ascii="Times New Roman" w:hAnsi="Times New Roman" w:cs="Times New Roman"/>
          <w:sz w:val="24"/>
          <w:szCs w:val="24"/>
          <w:lang w:bidi="gu-IN"/>
        </w:rPr>
        <w:t xml:space="preserve"> mode of the transport of travelling after COVID-19. (χ²= 171.019, p=0.000, p&lt;0.05). </w:t>
      </w:r>
    </w:p>
    <w:bookmarkEnd w:id="4"/>
    <w:p w14:paraId="449CE091">
      <w:pPr>
        <w:autoSpaceDE w:val="0"/>
        <w:autoSpaceDN w:val="0"/>
        <w:adjustRightInd w:val="0"/>
        <w:spacing w:after="0" w:line="360" w:lineRule="auto"/>
        <w:rPr>
          <w:rFonts w:ascii="Times New Roman" w:hAnsi="Times New Roman" w:cs="Times New Roman"/>
          <w:b/>
          <w:sz w:val="24"/>
          <w:szCs w:val="24"/>
          <w:lang w:bidi="gu-IN"/>
        </w:rPr>
      </w:pPr>
      <w:r>
        <w:rPr>
          <w:rFonts w:ascii="Times New Roman" w:hAnsi="Times New Roman" w:cs="Times New Roman"/>
          <w:b/>
          <w:sz w:val="24"/>
          <w:szCs w:val="24"/>
          <w:lang w:bidi="gu-IN"/>
        </w:rPr>
        <w:t>5.5 Preferred Convoy during travelling</w:t>
      </w:r>
    </w:p>
    <w:p w14:paraId="515FF903">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 69.6 % travellers preferred to travel with family members, 29.6 % travellers preferred to travel with friends and 8 % travellers preferred to travel with colleagues. Out of the total 14.4 % travellers have changed their preference and 14.4 % travellers might be changing their preference of accompanies during travelling due to outbreak of COVID-19. 71.2 % travellers have not changed their preference of accompanies during travelling.</w:t>
      </w:r>
    </w:p>
    <w:p w14:paraId="69E0B5DD">
      <w:pPr>
        <w:autoSpaceDE w:val="0"/>
        <w:autoSpaceDN w:val="0"/>
        <w:adjustRightInd w:val="0"/>
        <w:spacing w:after="0" w:line="360" w:lineRule="auto"/>
        <w:jc w:val="both"/>
        <w:rPr>
          <w:rFonts w:ascii="Times New Roman" w:hAnsi="Times New Roman" w:cs="Times New Roman"/>
          <w:sz w:val="24"/>
          <w:szCs w:val="24"/>
          <w:lang w:bidi="gu-IN"/>
        </w:rPr>
      </w:pPr>
      <w:bookmarkStart w:id="5" w:name="_Hlk39049336"/>
      <w:r>
        <w:rPr>
          <w:rFonts w:ascii="Times New Roman" w:hAnsi="Times New Roman" w:cs="Times New Roman"/>
          <w:sz w:val="24"/>
          <w:szCs w:val="24"/>
          <w:lang w:bidi="gu-IN"/>
        </w:rPr>
        <w:t>Among these responses,</w:t>
      </w:r>
      <w:r>
        <w:rPr>
          <w:rFonts w:ascii="Times New Roman" w:hAnsi="Times New Roman" w:cs="Times New Roman"/>
          <w:sz w:val="24"/>
          <w:szCs w:val="24"/>
          <w:lang w:val="en-US" w:bidi="gu-IN"/>
        </w:rPr>
        <w:t xml:space="preserve"> researchers conclude that there is no enough evidence to suggest an association between the</w:t>
      </w:r>
      <w:r>
        <w:rPr>
          <w:rFonts w:ascii="Times New Roman" w:hAnsi="Times New Roman" w:cs="Times New Roman"/>
          <w:sz w:val="24"/>
          <w:szCs w:val="24"/>
          <w:lang w:bidi="gu-IN"/>
        </w:rPr>
        <w:t xml:space="preserve"> accompanying during travelling before COVID-19 and their plan to change </w:t>
      </w:r>
      <w:r>
        <w:rPr>
          <w:rFonts w:ascii="Times New Roman" w:hAnsi="Times New Roman" w:cs="Times New Roman"/>
          <w:sz w:val="24"/>
          <w:szCs w:val="24"/>
          <w:lang w:val="en-US" w:bidi="gu-IN"/>
        </w:rPr>
        <w:t>the</w:t>
      </w:r>
      <w:r>
        <w:rPr>
          <w:rFonts w:ascii="Times New Roman" w:hAnsi="Times New Roman" w:cs="Times New Roman"/>
          <w:sz w:val="24"/>
          <w:szCs w:val="24"/>
          <w:lang w:bidi="gu-IN"/>
        </w:rPr>
        <w:t xml:space="preserve"> accompanying during travelling after COVID-19. (χ²= 5.816, p=0.213, p&gt;0.05). </w:t>
      </w:r>
    </w:p>
    <w:bookmarkEnd w:id="5"/>
    <w:p w14:paraId="6CADCDF4">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TABLE 4: Chi-Square Test Results</w:t>
      </w:r>
    </w:p>
    <w:tbl>
      <w:tblPr>
        <w:tblStyle w:val="6"/>
        <w:tblW w:w="0" w:type="auto"/>
        <w:jc w:val="center"/>
        <w:tblLayout w:type="autofit"/>
        <w:tblCellMar>
          <w:top w:w="0" w:type="dxa"/>
          <w:left w:w="0" w:type="dxa"/>
          <w:bottom w:w="0" w:type="dxa"/>
          <w:right w:w="0" w:type="dxa"/>
        </w:tblCellMar>
      </w:tblPr>
      <w:tblGrid>
        <w:gridCol w:w="3475"/>
        <w:gridCol w:w="900"/>
        <w:gridCol w:w="320"/>
        <w:gridCol w:w="980"/>
        <w:gridCol w:w="3351"/>
      </w:tblGrid>
      <w:tr w14:paraId="21E99B18">
        <w:tblPrEx>
          <w:tblCellMar>
            <w:top w:w="0" w:type="dxa"/>
            <w:left w:w="0" w:type="dxa"/>
            <w:bottom w:w="0" w:type="dxa"/>
            <w:right w:w="0" w:type="dxa"/>
          </w:tblCellMar>
        </w:tblPrEx>
        <w:trPr>
          <w:cantSplit/>
          <w:jc w:val="center"/>
        </w:trPr>
        <w:tc>
          <w:tcPr>
            <w:tcW w:w="0" w:type="auto"/>
            <w:tcBorders>
              <w:top w:val="single" w:color="auto" w:sz="8" w:space="0"/>
              <w:bottom w:val="single" w:color="auto" w:sz="12" w:space="0"/>
            </w:tcBorders>
            <w:shd w:val="clear" w:color="auto" w:fill="FFFFFF"/>
          </w:tcPr>
          <w:p w14:paraId="62C2EE58">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 xml:space="preserve">Pearson Chi-Square for Variables </w:t>
            </w:r>
          </w:p>
        </w:tc>
        <w:tc>
          <w:tcPr>
            <w:tcW w:w="0" w:type="auto"/>
            <w:tcBorders>
              <w:top w:val="single" w:color="auto" w:sz="8" w:space="0"/>
              <w:bottom w:val="single" w:color="auto" w:sz="12" w:space="0"/>
            </w:tcBorders>
            <w:shd w:val="clear" w:color="auto" w:fill="FFFFFF"/>
          </w:tcPr>
          <w:p w14:paraId="6B3E849A">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Value</w:t>
            </w:r>
          </w:p>
        </w:tc>
        <w:tc>
          <w:tcPr>
            <w:tcW w:w="0" w:type="auto"/>
            <w:tcBorders>
              <w:top w:val="single" w:color="auto" w:sz="8" w:space="0"/>
              <w:bottom w:val="single" w:color="auto" w:sz="12" w:space="0"/>
            </w:tcBorders>
            <w:shd w:val="clear" w:color="auto" w:fill="FFFFFF"/>
          </w:tcPr>
          <w:p w14:paraId="5871F198">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df</w:t>
            </w:r>
          </w:p>
        </w:tc>
        <w:tc>
          <w:tcPr>
            <w:tcW w:w="980" w:type="dxa"/>
            <w:tcBorders>
              <w:top w:val="single" w:color="auto" w:sz="8" w:space="0"/>
              <w:bottom w:val="single" w:color="auto" w:sz="12" w:space="0"/>
            </w:tcBorders>
            <w:shd w:val="clear" w:color="auto" w:fill="FFFFFF"/>
          </w:tcPr>
          <w:p w14:paraId="264E328E">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p-value</w:t>
            </w:r>
          </w:p>
        </w:tc>
        <w:tc>
          <w:tcPr>
            <w:tcW w:w="3351" w:type="dxa"/>
            <w:tcBorders>
              <w:top w:val="single" w:color="auto" w:sz="8" w:space="0"/>
              <w:bottom w:val="single" w:color="auto" w:sz="12" w:space="0"/>
            </w:tcBorders>
            <w:shd w:val="clear" w:color="auto" w:fill="FFFFFF"/>
          </w:tcPr>
          <w:p w14:paraId="20F63F5D">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 xml:space="preserve">Outcome </w:t>
            </w:r>
          </w:p>
        </w:tc>
      </w:tr>
      <w:tr w14:paraId="060F3FBB">
        <w:tblPrEx>
          <w:tblCellMar>
            <w:top w:w="0" w:type="dxa"/>
            <w:left w:w="0" w:type="dxa"/>
            <w:bottom w:w="0" w:type="dxa"/>
            <w:right w:w="0" w:type="dxa"/>
          </w:tblCellMar>
        </w:tblPrEx>
        <w:trPr>
          <w:cantSplit/>
          <w:jc w:val="center"/>
        </w:trPr>
        <w:tc>
          <w:tcPr>
            <w:tcW w:w="0" w:type="auto"/>
            <w:tcBorders>
              <w:top w:val="single" w:color="auto" w:sz="12" w:space="0"/>
            </w:tcBorders>
            <w:shd w:val="clear" w:color="auto" w:fill="FFFFFF"/>
            <w:vAlign w:val="center"/>
          </w:tcPr>
          <w:p w14:paraId="19EFA610">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Plane to change traveling plane</w:t>
            </w:r>
          </w:p>
        </w:tc>
        <w:tc>
          <w:tcPr>
            <w:tcW w:w="0" w:type="auto"/>
            <w:tcBorders>
              <w:top w:val="single" w:color="auto" w:sz="12" w:space="0"/>
            </w:tcBorders>
            <w:shd w:val="clear" w:color="auto" w:fill="FFFFFF"/>
            <w:vAlign w:val="center"/>
          </w:tcPr>
          <w:p w14:paraId="19C26C16">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12.055</w:t>
            </w:r>
          </w:p>
        </w:tc>
        <w:tc>
          <w:tcPr>
            <w:tcW w:w="0" w:type="auto"/>
            <w:tcBorders>
              <w:top w:val="single" w:color="auto" w:sz="12" w:space="0"/>
            </w:tcBorders>
            <w:shd w:val="clear" w:color="auto" w:fill="FFFFFF"/>
            <w:vAlign w:val="center"/>
          </w:tcPr>
          <w:p w14:paraId="52B94B47">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2</w:t>
            </w:r>
          </w:p>
        </w:tc>
        <w:tc>
          <w:tcPr>
            <w:tcW w:w="980" w:type="dxa"/>
            <w:tcBorders>
              <w:top w:val="single" w:color="auto" w:sz="12" w:space="0"/>
            </w:tcBorders>
            <w:shd w:val="clear" w:color="auto" w:fill="FFFFFF"/>
            <w:vAlign w:val="center"/>
          </w:tcPr>
          <w:p w14:paraId="2989C0FB">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.002</w:t>
            </w:r>
          </w:p>
        </w:tc>
        <w:tc>
          <w:tcPr>
            <w:tcW w:w="3351" w:type="dxa"/>
            <w:tcBorders>
              <w:top w:val="single" w:color="auto" w:sz="12" w:space="0"/>
            </w:tcBorders>
            <w:shd w:val="clear" w:color="auto" w:fill="FFFFFF"/>
          </w:tcPr>
          <w:p w14:paraId="24BD1D06">
            <w:pPr>
              <w:autoSpaceDE w:val="0"/>
              <w:autoSpaceDN w:val="0"/>
              <w:adjustRightInd w:val="0"/>
              <w:spacing w:after="0" w:line="360" w:lineRule="auto"/>
              <w:ind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Evidence of association</w:t>
            </w:r>
          </w:p>
        </w:tc>
      </w:tr>
      <w:tr w14:paraId="7C312694">
        <w:tblPrEx>
          <w:tblCellMar>
            <w:top w:w="0" w:type="dxa"/>
            <w:left w:w="0" w:type="dxa"/>
            <w:bottom w:w="0" w:type="dxa"/>
            <w:right w:w="0" w:type="dxa"/>
          </w:tblCellMar>
        </w:tblPrEx>
        <w:trPr>
          <w:cantSplit/>
          <w:jc w:val="center"/>
        </w:trPr>
        <w:tc>
          <w:tcPr>
            <w:tcW w:w="0" w:type="auto"/>
            <w:shd w:val="clear" w:color="auto" w:fill="FFFFFF"/>
            <w:vAlign w:val="center"/>
          </w:tcPr>
          <w:p w14:paraId="120CA687">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 xml:space="preserve">Duration of Travelling </w:t>
            </w:r>
          </w:p>
        </w:tc>
        <w:tc>
          <w:tcPr>
            <w:tcW w:w="0" w:type="auto"/>
            <w:shd w:val="clear" w:color="auto" w:fill="FFFFFF"/>
            <w:vAlign w:val="center"/>
          </w:tcPr>
          <w:p w14:paraId="0A5D485C">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150.886</w:t>
            </w:r>
          </w:p>
        </w:tc>
        <w:tc>
          <w:tcPr>
            <w:tcW w:w="0" w:type="auto"/>
            <w:shd w:val="clear" w:color="auto" w:fill="FFFFFF"/>
            <w:vAlign w:val="center"/>
          </w:tcPr>
          <w:p w14:paraId="37ADB78E">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8</w:t>
            </w:r>
          </w:p>
        </w:tc>
        <w:tc>
          <w:tcPr>
            <w:tcW w:w="980" w:type="dxa"/>
            <w:shd w:val="clear" w:color="auto" w:fill="FFFFFF"/>
            <w:vAlign w:val="center"/>
          </w:tcPr>
          <w:p w14:paraId="1E679D07">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.000</w:t>
            </w:r>
          </w:p>
        </w:tc>
        <w:tc>
          <w:tcPr>
            <w:tcW w:w="3351" w:type="dxa"/>
            <w:shd w:val="clear" w:color="auto" w:fill="FFFFFF"/>
          </w:tcPr>
          <w:p w14:paraId="07FFD23D">
            <w:pPr>
              <w:autoSpaceDE w:val="0"/>
              <w:autoSpaceDN w:val="0"/>
              <w:adjustRightInd w:val="0"/>
              <w:spacing w:after="0" w:line="360" w:lineRule="auto"/>
              <w:ind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Evidence of association</w:t>
            </w:r>
          </w:p>
        </w:tc>
      </w:tr>
      <w:tr w14:paraId="50FC4B5B">
        <w:tblPrEx>
          <w:tblCellMar>
            <w:top w:w="0" w:type="dxa"/>
            <w:left w:w="0" w:type="dxa"/>
            <w:bottom w:w="0" w:type="dxa"/>
            <w:right w:w="0" w:type="dxa"/>
          </w:tblCellMar>
        </w:tblPrEx>
        <w:trPr>
          <w:cantSplit/>
          <w:jc w:val="center"/>
        </w:trPr>
        <w:tc>
          <w:tcPr>
            <w:tcW w:w="0" w:type="auto"/>
            <w:shd w:val="clear" w:color="auto" w:fill="FFFFFF"/>
            <w:vAlign w:val="center"/>
          </w:tcPr>
          <w:p w14:paraId="04A1F35B">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 xml:space="preserve">Mode of transport during Travelling </w:t>
            </w:r>
          </w:p>
        </w:tc>
        <w:tc>
          <w:tcPr>
            <w:tcW w:w="0" w:type="auto"/>
            <w:shd w:val="clear" w:color="auto" w:fill="FFFFFF"/>
            <w:vAlign w:val="center"/>
          </w:tcPr>
          <w:p w14:paraId="540199A3">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171.019</w:t>
            </w:r>
          </w:p>
        </w:tc>
        <w:tc>
          <w:tcPr>
            <w:tcW w:w="0" w:type="auto"/>
            <w:shd w:val="clear" w:color="auto" w:fill="FFFFFF"/>
            <w:vAlign w:val="center"/>
          </w:tcPr>
          <w:p w14:paraId="5C6FE92A">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6</w:t>
            </w:r>
          </w:p>
        </w:tc>
        <w:tc>
          <w:tcPr>
            <w:tcW w:w="980" w:type="dxa"/>
            <w:shd w:val="clear" w:color="auto" w:fill="FFFFFF"/>
            <w:vAlign w:val="center"/>
          </w:tcPr>
          <w:p w14:paraId="4C50E020">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.000</w:t>
            </w:r>
          </w:p>
        </w:tc>
        <w:tc>
          <w:tcPr>
            <w:tcW w:w="3351" w:type="dxa"/>
            <w:shd w:val="clear" w:color="auto" w:fill="FFFFFF"/>
          </w:tcPr>
          <w:p w14:paraId="55B30CBB">
            <w:pPr>
              <w:autoSpaceDE w:val="0"/>
              <w:autoSpaceDN w:val="0"/>
              <w:adjustRightInd w:val="0"/>
              <w:spacing w:after="0" w:line="360" w:lineRule="auto"/>
              <w:ind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Evidence of association</w:t>
            </w:r>
          </w:p>
        </w:tc>
      </w:tr>
      <w:tr w14:paraId="5F0C2EE9">
        <w:tblPrEx>
          <w:tblCellMar>
            <w:top w:w="0" w:type="dxa"/>
            <w:left w:w="0" w:type="dxa"/>
            <w:bottom w:w="0" w:type="dxa"/>
            <w:right w:w="0" w:type="dxa"/>
          </w:tblCellMar>
        </w:tblPrEx>
        <w:trPr>
          <w:cantSplit/>
          <w:jc w:val="center"/>
        </w:trPr>
        <w:tc>
          <w:tcPr>
            <w:tcW w:w="0" w:type="auto"/>
            <w:tcBorders>
              <w:bottom w:val="single" w:color="auto" w:sz="12" w:space="0"/>
            </w:tcBorders>
            <w:shd w:val="clear" w:color="auto" w:fill="FFFFFF"/>
            <w:vAlign w:val="center"/>
          </w:tcPr>
          <w:p w14:paraId="79E3D1B3">
            <w:pPr>
              <w:autoSpaceDE w:val="0"/>
              <w:autoSpaceDN w:val="0"/>
              <w:adjustRightInd w:val="0"/>
              <w:spacing w:after="0" w:line="360" w:lineRule="auto"/>
              <w:ind w:left="60"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Accompany During Travelling</w:t>
            </w:r>
          </w:p>
        </w:tc>
        <w:tc>
          <w:tcPr>
            <w:tcW w:w="0" w:type="auto"/>
            <w:tcBorders>
              <w:bottom w:val="single" w:color="auto" w:sz="12" w:space="0"/>
            </w:tcBorders>
            <w:shd w:val="clear" w:color="auto" w:fill="FFFFFF"/>
            <w:vAlign w:val="center"/>
          </w:tcPr>
          <w:p w14:paraId="33F0B298">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5.816</w:t>
            </w:r>
          </w:p>
        </w:tc>
        <w:tc>
          <w:tcPr>
            <w:tcW w:w="0" w:type="auto"/>
            <w:tcBorders>
              <w:bottom w:val="single" w:color="auto" w:sz="12" w:space="0"/>
            </w:tcBorders>
            <w:shd w:val="clear" w:color="auto" w:fill="FFFFFF"/>
            <w:vAlign w:val="center"/>
          </w:tcPr>
          <w:p w14:paraId="340040B8">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4</w:t>
            </w:r>
          </w:p>
        </w:tc>
        <w:tc>
          <w:tcPr>
            <w:tcW w:w="980" w:type="dxa"/>
            <w:tcBorders>
              <w:bottom w:val="single" w:color="auto" w:sz="12" w:space="0"/>
            </w:tcBorders>
            <w:shd w:val="clear" w:color="auto" w:fill="FFFFFF"/>
            <w:vAlign w:val="center"/>
          </w:tcPr>
          <w:p w14:paraId="08BFA1F9">
            <w:pPr>
              <w:autoSpaceDE w:val="0"/>
              <w:autoSpaceDN w:val="0"/>
              <w:adjustRightInd w:val="0"/>
              <w:spacing w:after="0" w:line="360" w:lineRule="auto"/>
              <w:ind w:left="60" w:right="60"/>
              <w:jc w:val="center"/>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.213</w:t>
            </w:r>
          </w:p>
        </w:tc>
        <w:tc>
          <w:tcPr>
            <w:tcW w:w="3351" w:type="dxa"/>
            <w:tcBorders>
              <w:bottom w:val="single" w:color="auto" w:sz="12" w:space="0"/>
            </w:tcBorders>
            <w:shd w:val="clear" w:color="auto" w:fill="FFFFFF"/>
          </w:tcPr>
          <w:p w14:paraId="3AB579BE">
            <w:pPr>
              <w:autoSpaceDE w:val="0"/>
              <w:autoSpaceDN w:val="0"/>
              <w:adjustRightInd w:val="0"/>
              <w:spacing w:after="0" w:line="360" w:lineRule="auto"/>
              <w:ind w:right="60"/>
              <w:rPr>
                <w:rFonts w:ascii="Times New Roman" w:hAnsi="Times New Roman" w:cs="Times New Roman"/>
                <w:color w:val="000000"/>
                <w:sz w:val="24"/>
                <w:szCs w:val="24"/>
                <w:lang w:val="en-US" w:bidi="gu-IN"/>
              </w:rPr>
            </w:pPr>
            <w:r>
              <w:rPr>
                <w:rFonts w:ascii="Times New Roman" w:hAnsi="Times New Roman" w:cs="Times New Roman"/>
                <w:color w:val="000000"/>
                <w:sz w:val="24"/>
                <w:szCs w:val="24"/>
                <w:lang w:val="en-US" w:bidi="gu-IN"/>
              </w:rPr>
              <w:t>No enough Evidence of association</w:t>
            </w:r>
          </w:p>
        </w:tc>
      </w:tr>
    </w:tbl>
    <w:p w14:paraId="71708605">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(Source: Primary data; complied SPSS Output)</w:t>
      </w:r>
    </w:p>
    <w:p w14:paraId="04D264CE">
      <w:pPr>
        <w:autoSpaceDE w:val="0"/>
        <w:autoSpaceDN w:val="0"/>
        <w:adjustRightInd w:val="0"/>
        <w:spacing w:after="0" w:line="360" w:lineRule="auto"/>
        <w:rPr>
          <w:rStyle w:val="16"/>
          <w:rFonts w:ascii="Times New Roman" w:hAnsi="Times New Roman" w:cs="Times New Roman"/>
          <w:sz w:val="24"/>
          <w:szCs w:val="24"/>
        </w:rPr>
      </w:pPr>
    </w:p>
    <w:p w14:paraId="1671F766">
      <w:pPr>
        <w:autoSpaceDE w:val="0"/>
        <w:autoSpaceDN w:val="0"/>
        <w:adjustRightInd w:val="0"/>
        <w:spacing w:after="0" w:line="360" w:lineRule="auto"/>
        <w:rPr>
          <w:rStyle w:val="16"/>
          <w:rFonts w:ascii="Times New Roman" w:hAnsi="Times New Roman" w:cs="Times New Roman"/>
          <w:bCs w:val="0"/>
          <w:sz w:val="24"/>
          <w:szCs w:val="24"/>
        </w:rPr>
      </w:pPr>
      <w:r>
        <w:rPr>
          <w:rStyle w:val="16"/>
          <w:rFonts w:ascii="Times New Roman" w:hAnsi="Times New Roman" w:cs="Times New Roman"/>
          <w:sz w:val="24"/>
          <w:szCs w:val="24"/>
        </w:rPr>
        <w:t>5.6 Impact of COVID-19 outbreak on travel plan</w:t>
      </w:r>
    </w:p>
    <w:p w14:paraId="2D2CBF40">
      <w:pPr>
        <w:spacing w:after="0" w:line="360" w:lineRule="auto"/>
        <w:jc w:val="both"/>
        <w:rPr>
          <w:rStyle w:val="16"/>
          <w:rFonts w:ascii="Times New Roman" w:hAnsi="Times New Roman" w:cs="Times New Roman"/>
          <w:b w:val="0"/>
          <w:sz w:val="24"/>
          <w:szCs w:val="24"/>
        </w:rPr>
      </w:pPr>
      <w:r>
        <w:rPr>
          <w:rStyle w:val="16"/>
          <w:rFonts w:ascii="Times New Roman" w:hAnsi="Times New Roman" w:cs="Times New Roman"/>
          <w:b w:val="0"/>
          <w:sz w:val="24"/>
          <w:szCs w:val="24"/>
        </w:rPr>
        <w:t>Following figure shows that how the travel plan has been affected due to COVID-19 outbreak in Gujarat State</w:t>
      </w:r>
    </w:p>
    <w:p w14:paraId="28B1C0C2">
      <w:pPr>
        <w:spacing w:after="0" w:line="360" w:lineRule="auto"/>
        <w:jc w:val="center"/>
        <w:rPr>
          <w:rStyle w:val="16"/>
          <w:rFonts w:ascii="Times New Roman" w:hAnsi="Times New Roman" w:cs="Times New Roman"/>
          <w:b w:val="0"/>
          <w:sz w:val="24"/>
          <w:szCs w:val="24"/>
        </w:rPr>
      </w:pPr>
      <w:r>
        <w:rPr>
          <w:rStyle w:val="16"/>
          <w:rFonts w:ascii="Times New Roman" w:hAnsi="Times New Roman" w:cs="Times New Roman"/>
          <w:b w:val="0"/>
          <w:sz w:val="24"/>
          <w:szCs w:val="24"/>
          <w:lang w:eastAsia="en-IN" w:bidi="gu-IN"/>
        </w:rPr>
        <w:drawing>
          <wp:inline distT="0" distB="0" distL="0" distR="0">
            <wp:extent cx="5731510" cy="2467610"/>
            <wp:effectExtent l="19050" t="0" r="21590" b="8629"/>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3CA96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bidi="gu-IN"/>
        </w:rPr>
        <w:t xml:space="preserve">Figure 6: </w:t>
      </w:r>
      <w:r>
        <w:rPr>
          <w:rStyle w:val="16"/>
          <w:rFonts w:ascii="Times New Roman" w:hAnsi="Times New Roman" w:cs="Times New Roman"/>
          <w:sz w:val="24"/>
          <w:szCs w:val="24"/>
        </w:rPr>
        <w:t>Impact of COVID-19 outbreak on travel plan</w:t>
      </w:r>
    </w:p>
    <w:p w14:paraId="203B5625">
      <w:pPr>
        <w:autoSpaceDE w:val="0"/>
        <w:autoSpaceDN w:val="0"/>
        <w:adjustRightInd w:val="0"/>
        <w:spacing w:after="0" w:line="360" w:lineRule="auto"/>
        <w:jc w:val="center"/>
        <w:rPr>
          <w:rStyle w:val="16"/>
          <w:rFonts w:ascii="Times New Roman" w:hAnsi="Times New Roman" w:cs="Times New Roman"/>
          <w:sz w:val="24"/>
          <w:szCs w:val="24"/>
          <w:lang w:bidi="gu-IN"/>
        </w:rPr>
      </w:pPr>
      <w:r>
        <w:rPr>
          <w:rFonts w:ascii="Times New Roman" w:hAnsi="Times New Roman" w:cs="Times New Roman"/>
          <w:b/>
          <w:bCs/>
          <w:sz w:val="24"/>
          <w:szCs w:val="24"/>
          <w:lang w:bidi="gu-IN"/>
        </w:rPr>
        <w:t>Sources: Primary data, SPSS output</w:t>
      </w:r>
    </w:p>
    <w:p w14:paraId="1F6483BD">
      <w:pPr>
        <w:spacing w:after="0" w:line="360" w:lineRule="auto"/>
        <w:jc w:val="both"/>
        <w:rPr>
          <w:rFonts w:ascii="Times New Roman" w:hAnsi="Times New Roman" w:cs="Times New Roman"/>
          <w:bCs/>
          <w:sz w:val="24"/>
          <w:szCs w:val="24"/>
        </w:rPr>
      </w:pPr>
      <w:bookmarkStart w:id="6" w:name="_Hlk39049367"/>
      <w:r>
        <w:rPr>
          <w:rStyle w:val="16"/>
          <w:rFonts w:ascii="Times New Roman" w:hAnsi="Times New Roman" w:cs="Times New Roman"/>
          <w:b w:val="0"/>
          <w:sz w:val="24"/>
          <w:szCs w:val="24"/>
        </w:rPr>
        <w:t xml:space="preserve">42.40% travellers were not planning to travel this year due to COVID-19 outbreak. 19.20% travellers had to cancel their travel plan mandatory for which they had booked earlier, </w:t>
      </w:r>
      <w:bookmarkEnd w:id="6"/>
      <w:r>
        <w:rPr>
          <w:rStyle w:val="16"/>
          <w:rFonts w:ascii="Times New Roman" w:hAnsi="Times New Roman" w:cs="Times New Roman"/>
          <w:b w:val="0"/>
          <w:sz w:val="24"/>
          <w:szCs w:val="24"/>
        </w:rPr>
        <w:t>15.20% travellers willingly cancelled their travel plan that they had booked earlier, 16 % traveller have delayed their booking and travel plan of 7.20% traveller have not been affected in case of COVID-19 outbreak.</w:t>
      </w:r>
    </w:p>
    <w:p w14:paraId="6E1EA946">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5.7 Expectation of future booking</w:t>
      </w:r>
    </w:p>
    <w:p w14:paraId="2950C470">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Following figure shows that </w:t>
      </w:r>
      <w:r>
        <w:rPr>
          <w:rFonts w:ascii="Times New Roman" w:hAnsi="Times New Roman" w:cs="Times New Roman"/>
          <w:bCs/>
          <w:sz w:val="24"/>
          <w:szCs w:val="24"/>
          <w:lang w:bidi="gu-IN"/>
        </w:rPr>
        <w:t xml:space="preserve">after how much time traveller will plan their vacation again </w:t>
      </w:r>
      <w:r>
        <w:rPr>
          <w:rFonts w:ascii="Times New Roman" w:hAnsi="Times New Roman" w:cs="Times New Roman"/>
          <w:sz w:val="24"/>
          <w:szCs w:val="24"/>
          <w:lang w:bidi="gu-IN"/>
        </w:rPr>
        <w:t xml:space="preserve">after a complete cure from COVID-19 </w:t>
      </w:r>
      <w:r>
        <w:rPr>
          <w:rFonts w:ascii="Times New Roman" w:hAnsi="Times New Roman" w:cs="Times New Roman"/>
          <w:bCs/>
          <w:sz w:val="24"/>
          <w:szCs w:val="24"/>
          <w:lang w:bidi="gu-IN"/>
        </w:rPr>
        <w:t>if they have delayed or cancelled their travel booking</w:t>
      </w:r>
    </w:p>
    <w:p w14:paraId="1A8CC6A5">
      <w:pPr>
        <w:autoSpaceDE w:val="0"/>
        <w:autoSpaceDN w:val="0"/>
        <w:adjustRightInd w:val="0"/>
        <w:spacing w:after="0" w:line="360" w:lineRule="auto"/>
        <w:jc w:val="center"/>
        <w:rPr>
          <w:rFonts w:ascii="Times New Roman" w:hAnsi="Times New Roman" w:cs="Times New Roman"/>
          <w:sz w:val="24"/>
          <w:szCs w:val="24"/>
          <w:lang w:bidi="gu-IN"/>
        </w:rPr>
      </w:pPr>
      <w:r>
        <w:rPr>
          <w:rFonts w:ascii="Times New Roman" w:hAnsi="Times New Roman" w:cs="Times New Roman"/>
          <w:sz w:val="24"/>
          <w:szCs w:val="24"/>
          <w:lang w:eastAsia="en-IN" w:bidi="gu-IN"/>
        </w:rPr>
        <w:drawing>
          <wp:inline distT="0" distB="0" distL="0" distR="0">
            <wp:extent cx="5731510" cy="2571115"/>
            <wp:effectExtent l="19050" t="0" r="21590" b="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AD6622">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bidi="gu-IN"/>
        </w:rPr>
        <w:t>Figure 7: Expectation of future booking</w:t>
      </w:r>
    </w:p>
    <w:p w14:paraId="0833F70E">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4C997940">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20 % traveller will be planning their vacation again once restriction lifted by the state and Central Government after a complete cure from COVID-19, 20 % traveller will be planning their vacation again a year after a complete cure from COVID-19, 17 % traveller will be planning their vacation again in next 7 to 9 months after complete cure from COVID-19, 15 % traveller will be planning their vacation again in next 4 to 6 months after a complete cure from COVID-19, 12 % traveller were not sure about the planning of their vacation again, 11 % traveller will be planning their vacation again in next 1 to 3 months after a complete cure from COVID-19, 3 % traveller will be planning their vacation again in next 10 to 12 months after a complete cure from COVID-19 and 2 % traveller will be planning their vacation again in next 7 to 9 months after a complete cure from COVID-19. </w:t>
      </w:r>
    </w:p>
    <w:p w14:paraId="36CD69B0">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 xml:space="preserve">5.8 Reallocate of fund that they were planning to invest on vacation if they get cancelled due to COVID-19 </w:t>
      </w:r>
    </w:p>
    <w:p w14:paraId="015C4BD3">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Following figure shows, from where travellers might reallocate their fund that they were planning to invest on vacation before cancellation of their travel booking </w:t>
      </w:r>
    </w:p>
    <w:p w14:paraId="4CD58AAF">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eastAsia="en-IN" w:bidi="gu-IN"/>
        </w:rPr>
        <w:drawing>
          <wp:inline distT="0" distB="0" distL="0" distR="0">
            <wp:extent cx="5731510" cy="2515870"/>
            <wp:effectExtent l="19050" t="0" r="21590" b="0"/>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363BC9">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sz w:val="24"/>
          <w:szCs w:val="24"/>
          <w:lang w:bidi="gu-IN"/>
        </w:rPr>
        <w:t>Figure 8: Reallocate of fund that they were planning to invest on vacation if they cancelled</w:t>
      </w:r>
    </w:p>
    <w:p w14:paraId="36A055A7">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4002B405">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If travellers cancelled their vacation then 22 % travellers might reallocate their funds to save it for future needs, 11% travellers might reallocate their fund to rebook their travel / vacation in future, 6 % travellers might reallocate their fund to spend it on other purchase, 5% travellers might reallocate their fund to spent on wellness, 5% travellers might reallocate their fund to donate it, 29 % travellers have not decided yet to reallocate their fund and 5% travellers might reallocate their fund to spend it on other purpose. </w:t>
      </w:r>
    </w:p>
    <w:p w14:paraId="42C1012D">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5.9 Persuade travellers to make travel booking after a complete cure from COVID-19 outbreak</w:t>
      </w:r>
    </w:p>
    <w:p w14:paraId="015701A1">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Following figure shows, what </w:t>
      </w:r>
      <w:r>
        <w:rPr>
          <w:rFonts w:ascii="Times New Roman" w:hAnsi="Times New Roman" w:cs="Times New Roman"/>
          <w:bCs/>
          <w:sz w:val="24"/>
          <w:szCs w:val="24"/>
          <w:lang w:bidi="gu-IN"/>
        </w:rPr>
        <w:t xml:space="preserve">would </w:t>
      </w:r>
      <w:r>
        <w:rPr>
          <w:rFonts w:ascii="Times New Roman" w:hAnsi="Times New Roman" w:cs="Times New Roman"/>
          <w:sz w:val="24"/>
          <w:szCs w:val="24"/>
          <w:lang w:bidi="gu-IN"/>
        </w:rPr>
        <w:t>persuade travellers to make travel booking again after a complete cure from COVID-19 outbreak?</w:t>
      </w:r>
    </w:p>
    <w:p w14:paraId="01E62EA5">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eastAsia="en-IN" w:bidi="gu-IN"/>
        </w:rPr>
        <w:drawing>
          <wp:inline distT="0" distB="0" distL="0" distR="0">
            <wp:extent cx="5737225" cy="2776855"/>
            <wp:effectExtent l="19050" t="0" r="15406" b="4058"/>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982969">
      <w:pPr>
        <w:autoSpaceDE w:val="0"/>
        <w:autoSpaceDN w:val="0"/>
        <w:adjustRightInd w:val="0"/>
        <w:spacing w:after="0" w:line="360" w:lineRule="auto"/>
        <w:jc w:val="center"/>
        <w:rPr>
          <w:rFonts w:ascii="Times New Roman" w:hAnsi="Times New Roman" w:cs="Times New Roman"/>
          <w:b/>
          <w:sz w:val="24"/>
          <w:szCs w:val="24"/>
          <w:lang w:bidi="gu-IN"/>
        </w:rPr>
      </w:pPr>
      <w:r>
        <w:rPr>
          <w:rFonts w:ascii="Times New Roman" w:hAnsi="Times New Roman" w:cs="Times New Roman"/>
          <w:b/>
          <w:sz w:val="24"/>
          <w:szCs w:val="24"/>
          <w:lang w:bidi="gu-IN"/>
        </w:rPr>
        <w:t>Figure 9 : Persuade travellers to make travel booking after a complete curd from COVID-19 outbreak</w:t>
      </w:r>
    </w:p>
    <w:p w14:paraId="467992B2">
      <w:pPr>
        <w:autoSpaceDE w:val="0"/>
        <w:autoSpaceDN w:val="0"/>
        <w:adjustRightInd w:val="0"/>
        <w:spacing w:after="0" w:line="360" w:lineRule="auto"/>
        <w:jc w:val="center"/>
        <w:rPr>
          <w:rFonts w:ascii="Times New Roman" w:hAnsi="Times New Roman" w:cs="Times New Roman"/>
          <w:b/>
          <w:bCs/>
          <w:sz w:val="24"/>
          <w:szCs w:val="24"/>
          <w:lang w:bidi="gu-IN"/>
        </w:rPr>
      </w:pPr>
      <w:r>
        <w:rPr>
          <w:rFonts w:ascii="Times New Roman" w:hAnsi="Times New Roman" w:cs="Times New Roman"/>
          <w:b/>
          <w:bCs/>
          <w:sz w:val="24"/>
          <w:szCs w:val="24"/>
          <w:lang w:bidi="gu-IN"/>
        </w:rPr>
        <w:t>Sources: Primary data, SPSS output</w:t>
      </w:r>
    </w:p>
    <w:p w14:paraId="40FD9766">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54.40 % travellers could not persuade to book a travel plan during this time, 18.40% travellers might get persuaded by safest travel plans offered by the agent, 5.60% travellers may be persuaded by discount in overall package, 4.80 % travellers might get persuaded if disruption caused by the Corona virus incorporate in travel insurance policy, 3.20 % travellers might be persuaded if flexibility offered by the agent in terms of the change in the location and duration after booking and 13.60% travellers may get persuaded by other category offered by agent.  </w:t>
      </w:r>
    </w:p>
    <w:p w14:paraId="5BA5EAA3">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5.10 Proposed Strategies for Travel and the travel industry</w:t>
      </w:r>
    </w:p>
    <w:p w14:paraId="07274D1B">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Essence on recommended that the </w:t>
      </w:r>
      <w:r>
        <w:rPr>
          <w:rStyle w:val="16"/>
          <w:rFonts w:ascii="Times New Roman" w:hAnsi="Times New Roman" w:cs="Times New Roman"/>
          <w:b w:val="0"/>
          <w:color w:val="000000"/>
          <w:sz w:val="24"/>
          <w:szCs w:val="24"/>
        </w:rPr>
        <w:t>traveller</w:t>
      </w:r>
      <w:r>
        <w:rPr>
          <w:rFonts w:ascii="Times New Roman" w:hAnsi="Times New Roman" w:cs="Times New Roman"/>
          <w:sz w:val="24"/>
          <w:szCs w:val="24"/>
          <w:lang w:bidi="gu-IN"/>
        </w:rPr>
        <w:t xml:space="preserve">’s certainty has been antagonistically impacted because of progressing pandemic and vulnerability. Re-establishing </w:t>
      </w:r>
      <w:r>
        <w:rPr>
          <w:rStyle w:val="16"/>
          <w:rFonts w:ascii="Times New Roman" w:hAnsi="Times New Roman" w:cs="Times New Roman"/>
          <w:b w:val="0"/>
          <w:color w:val="000000"/>
          <w:sz w:val="24"/>
          <w:szCs w:val="24"/>
        </w:rPr>
        <w:t>traveller’s</w:t>
      </w:r>
      <w:r>
        <w:rPr>
          <w:rFonts w:ascii="Times New Roman" w:hAnsi="Times New Roman" w:cs="Times New Roman"/>
          <w:sz w:val="24"/>
          <w:szCs w:val="24"/>
          <w:lang w:bidi="gu-IN"/>
        </w:rPr>
        <w:t xml:space="preserve"> trust in the travel industry and public transportation is must for restoration of </w:t>
      </w:r>
      <w:r>
        <w:rPr>
          <w:rFonts w:ascii="Times New Roman" w:hAnsi="Times New Roman" w:cs="Times New Roman"/>
          <w:bCs/>
          <w:sz w:val="24"/>
          <w:szCs w:val="24"/>
          <w:lang w:bidi="gu-IN"/>
        </w:rPr>
        <w:t>travel and tourism Industry</w:t>
      </w:r>
      <w:r>
        <w:rPr>
          <w:rFonts w:ascii="Times New Roman" w:hAnsi="Times New Roman" w:cs="Times New Roman"/>
          <w:sz w:val="24"/>
          <w:szCs w:val="24"/>
          <w:lang w:bidi="gu-IN"/>
        </w:rPr>
        <w:t>. The accompanying procedures can be adjusted to Restoring Confidence in Tourism.</w:t>
      </w:r>
    </w:p>
    <w:p w14:paraId="09C5A8C7">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b/>
          <w:sz w:val="24"/>
          <w:szCs w:val="24"/>
          <w:lang w:bidi="gu-IN"/>
        </w:rPr>
        <w:t>5.10.1</w:t>
      </w:r>
      <w:r>
        <w:rPr>
          <w:rFonts w:ascii="Times New Roman" w:hAnsi="Times New Roman" w:cs="Times New Roman"/>
          <w:sz w:val="24"/>
          <w:szCs w:val="24"/>
          <w:lang w:bidi="gu-IN"/>
        </w:rPr>
        <w:t xml:space="preserve"> Encouraging and promoting Domestic tourism – The current study found that most of the travellers has preferred domestic travelling over international travelling, thus d</w:t>
      </w:r>
      <w:r>
        <w:rPr>
          <w:rFonts w:ascii="Times New Roman" w:hAnsi="Times New Roman" w:cs="Times New Roman"/>
          <w:color w:val="000000"/>
          <w:sz w:val="24"/>
          <w:szCs w:val="24"/>
        </w:rPr>
        <w:t xml:space="preserve">omestic tourism </w:t>
      </w:r>
      <w:r>
        <w:rPr>
          <w:rFonts w:ascii="Times New Roman" w:hAnsi="Times New Roman" w:cs="Times New Roman"/>
          <w:sz w:val="24"/>
          <w:szCs w:val="24"/>
          <w:lang w:bidi="gu-IN"/>
        </w:rPr>
        <w:t xml:space="preserve">would extraordinarily help the economy in the event that individuals liked to travel locally inside their own country. India has a strong neighbourhood travel industry markets. With the appropriate </w:t>
      </w:r>
      <w:r>
        <w:rPr>
          <w:rFonts w:ascii="Times New Roman" w:hAnsi="Times New Roman" w:cs="Times New Roman"/>
          <w:bCs/>
          <w:sz w:val="24"/>
          <w:szCs w:val="24"/>
          <w:lang w:bidi="gu-IN"/>
        </w:rPr>
        <w:t>strategy</w:t>
      </w:r>
      <w:r>
        <w:rPr>
          <w:rFonts w:ascii="Times New Roman" w:hAnsi="Times New Roman" w:cs="Times New Roman"/>
          <w:sz w:val="24"/>
          <w:szCs w:val="24"/>
          <w:lang w:bidi="gu-IN"/>
        </w:rPr>
        <w:t xml:space="preserve"> and incentives </w:t>
      </w:r>
      <w:r>
        <w:rPr>
          <w:rFonts w:ascii="Times New Roman" w:hAnsi="Times New Roman" w:cs="Times New Roman"/>
          <w:bCs/>
          <w:sz w:val="24"/>
          <w:szCs w:val="24"/>
          <w:lang w:bidi="gu-IN"/>
        </w:rPr>
        <w:t>domestic tourism</w:t>
      </w:r>
      <w:r>
        <w:rPr>
          <w:rFonts w:ascii="Times New Roman" w:hAnsi="Times New Roman" w:cs="Times New Roman"/>
          <w:sz w:val="24"/>
          <w:szCs w:val="24"/>
          <w:lang w:bidi="gu-IN"/>
        </w:rPr>
        <w:t xml:space="preserve"> can be promoted that would be strongly prefer by the travellers.</w:t>
      </w:r>
    </w:p>
    <w:p w14:paraId="7EE894F5">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b/>
          <w:sz w:val="24"/>
          <w:szCs w:val="24"/>
          <w:lang w:bidi="gu-IN"/>
        </w:rPr>
        <w:t>5.10.2</w:t>
      </w:r>
      <w:r>
        <w:rPr>
          <w:rFonts w:ascii="Times New Roman" w:hAnsi="Times New Roman" w:cs="Times New Roman"/>
          <w:sz w:val="24"/>
          <w:szCs w:val="24"/>
          <w:lang w:bidi="gu-IN"/>
        </w:rPr>
        <w:t xml:space="preserve"> Leveraging Information and Communication innovation (Digitisation in travel industry services) – Evidence says that traveller would prefer online booking and interaction during COVID era over personal visit and thus it s suggested that investing in new innovation will keep on travel companies speeding up, with a more prominent level of computerization, virtual encounters, arrangement of ongoing data and accessibility of contactless payments and other services.</w:t>
      </w:r>
    </w:p>
    <w:p w14:paraId="3BA783D3">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b/>
          <w:sz w:val="24"/>
          <w:szCs w:val="24"/>
          <w:lang w:bidi="gu-IN"/>
        </w:rPr>
        <w:t>5.10.3</w:t>
      </w:r>
      <w:r>
        <w:rPr>
          <w:rFonts w:ascii="Times New Roman" w:hAnsi="Times New Roman" w:cs="Times New Roman"/>
          <w:sz w:val="24"/>
          <w:szCs w:val="24"/>
          <w:lang w:bidi="gu-IN"/>
        </w:rPr>
        <w:t xml:space="preserve"> Implementing VR Tourism – As most of the traveller said that they want to avoid personal visit to travel companies’/agencies office, in such cases they may think about augmented reality innovation in the travel industry as many nations have been executing it. It offers clients to real like experiences and promotes the travel industry in a superior manner. Virtual voyages through lodgings, booking points of interaction, travel experiences, and more can be given to empower </w:t>
      </w:r>
      <w:r>
        <w:rPr>
          <w:rFonts w:ascii="Times New Roman" w:hAnsi="Times New Roman" w:cs="Times New Roman"/>
          <w:color w:val="000000"/>
          <w:sz w:val="24"/>
          <w:szCs w:val="24"/>
        </w:rPr>
        <w:t>travellers</w:t>
      </w:r>
      <w:r>
        <w:rPr>
          <w:rFonts w:ascii="Times New Roman" w:hAnsi="Times New Roman" w:cs="Times New Roman"/>
          <w:sz w:val="24"/>
          <w:szCs w:val="24"/>
          <w:lang w:bidi="gu-IN"/>
        </w:rPr>
        <w:t xml:space="preserve"> to settle on informed choices.</w:t>
      </w:r>
    </w:p>
    <w:p w14:paraId="24790335">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b/>
          <w:sz w:val="24"/>
          <w:szCs w:val="24"/>
          <w:lang w:bidi="gu-IN"/>
        </w:rPr>
        <w:t>5.10.4</w:t>
      </w:r>
      <w:r>
        <w:rPr>
          <w:rFonts w:ascii="Times New Roman" w:hAnsi="Times New Roman" w:cs="Times New Roman"/>
          <w:sz w:val="24"/>
          <w:szCs w:val="24"/>
          <w:lang w:bidi="gu-IN"/>
        </w:rPr>
        <w:t xml:space="preserve"> </w:t>
      </w:r>
      <w:r>
        <w:rPr>
          <w:rFonts w:ascii="Times New Roman" w:hAnsi="Times New Roman" w:cs="Times New Roman"/>
          <w:bCs/>
          <w:sz w:val="24"/>
          <w:szCs w:val="24"/>
          <w:lang w:bidi="gu-IN"/>
        </w:rPr>
        <w:t>Reducing</w:t>
      </w:r>
      <w:r>
        <w:rPr>
          <w:rFonts w:ascii="Times New Roman" w:hAnsi="Times New Roman" w:cs="Times New Roman"/>
          <w:sz w:val="24"/>
          <w:szCs w:val="24"/>
          <w:lang w:bidi="gu-IN"/>
        </w:rPr>
        <w:t xml:space="preserve"> Scope of Uncertainty by reducing time duration</w:t>
      </w:r>
    </w:p>
    <w:p w14:paraId="517CBBA7">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Giving clear, precise and continuous data to </w:t>
      </w:r>
      <w:r>
        <w:rPr>
          <w:rFonts w:ascii="Times New Roman" w:hAnsi="Times New Roman" w:cs="Times New Roman"/>
          <w:color w:val="000000"/>
          <w:sz w:val="24"/>
          <w:szCs w:val="24"/>
        </w:rPr>
        <w:t>travellers</w:t>
      </w:r>
      <w:r>
        <w:rPr>
          <w:rFonts w:ascii="Times New Roman" w:hAnsi="Times New Roman" w:cs="Times New Roman"/>
          <w:sz w:val="24"/>
          <w:szCs w:val="24"/>
          <w:lang w:bidi="gu-IN"/>
        </w:rPr>
        <w:t xml:space="preserve"> might diminish the extent of Uncertainty among </w:t>
      </w:r>
      <w:r>
        <w:rPr>
          <w:rFonts w:ascii="Times New Roman" w:hAnsi="Times New Roman" w:cs="Times New Roman"/>
          <w:color w:val="000000"/>
          <w:sz w:val="24"/>
          <w:szCs w:val="24"/>
        </w:rPr>
        <w:t xml:space="preserve">tourists; they may reduce the time duration from the normal package as the study revealed that </w:t>
      </w:r>
      <w:r>
        <w:rPr>
          <w:rFonts w:ascii="Times New Roman" w:hAnsi="Times New Roman" w:cs="Times New Roman"/>
          <w:sz w:val="24"/>
          <w:szCs w:val="24"/>
        </w:rPr>
        <w:t xml:space="preserve">the </w:t>
      </w:r>
      <w:r>
        <w:rPr>
          <w:rFonts w:ascii="Times New Roman" w:hAnsi="Times New Roman" w:cs="Times New Roman"/>
          <w:sz w:val="24"/>
          <w:szCs w:val="24"/>
          <w:lang w:bidi="gu-IN"/>
        </w:rPr>
        <w:t>change in travel duration due to COVID-19 outbreak</w:t>
      </w:r>
      <w:r>
        <w:rPr>
          <w:rFonts w:ascii="Times New Roman" w:hAnsi="Times New Roman" w:eastAsia="Times New Roman" w:cs="Times New Roman"/>
          <w:bCs/>
          <w:sz w:val="24"/>
          <w:szCs w:val="24"/>
          <w:lang w:val="en-US"/>
        </w:rPr>
        <w:t xml:space="preserve"> is concomitant to </w:t>
      </w:r>
      <w:r>
        <w:rPr>
          <w:rFonts w:ascii="Times New Roman" w:hAnsi="Times New Roman" w:cs="Times New Roman"/>
          <w:sz w:val="24"/>
          <w:szCs w:val="24"/>
          <w:lang w:bidi="gu-IN"/>
        </w:rPr>
        <w:t>Gender and Age of the travellers</w:t>
      </w:r>
      <w:r>
        <w:rPr>
          <w:rFonts w:ascii="Times New Roman" w:hAnsi="Times New Roman" w:cs="Times New Roman"/>
          <w:color w:val="000000"/>
          <w:sz w:val="24"/>
          <w:szCs w:val="24"/>
        </w:rPr>
        <w:t>.</w:t>
      </w:r>
    </w:p>
    <w:p w14:paraId="3937E6BC">
      <w:pPr>
        <w:autoSpaceDE w:val="0"/>
        <w:autoSpaceDN w:val="0"/>
        <w:adjustRightInd w:val="0"/>
        <w:spacing w:after="0" w:line="360" w:lineRule="auto"/>
        <w:jc w:val="both"/>
        <w:rPr>
          <w:rFonts w:ascii="Times New Roman" w:hAnsi="Times New Roman" w:cs="Times New Roman"/>
          <w:sz w:val="24"/>
          <w:szCs w:val="24"/>
          <w:lang w:bidi="gu-IN"/>
        </w:rPr>
      </w:pPr>
      <w:r>
        <w:rPr>
          <w:rFonts w:ascii="Times New Roman" w:hAnsi="Times New Roman" w:cs="Times New Roman"/>
          <w:b/>
          <w:sz w:val="24"/>
          <w:szCs w:val="24"/>
          <w:lang w:bidi="gu-IN"/>
        </w:rPr>
        <w:t>5.10.5</w:t>
      </w:r>
      <w:r>
        <w:rPr>
          <w:rFonts w:ascii="Times New Roman" w:hAnsi="Times New Roman" w:cs="Times New Roman"/>
          <w:sz w:val="24"/>
          <w:szCs w:val="24"/>
          <w:lang w:bidi="gu-IN"/>
        </w:rPr>
        <w:t xml:space="preserve"> Strict COVID Protocol during travelling </w:t>
      </w:r>
    </w:p>
    <w:p w14:paraId="309B97CF">
      <w:pPr>
        <w:shd w:val="clear" w:color="auto" w:fill="FFFFFF" w:themeFill="background1"/>
        <w:autoSpaceDE w:val="0"/>
        <w:autoSpaceDN w:val="0"/>
        <w:adjustRightInd w:val="0"/>
        <w:spacing w:after="0" w:line="360" w:lineRule="auto"/>
        <w:jc w:val="both"/>
        <w:rPr>
          <w:rFonts w:ascii="Times New Roman" w:hAnsi="Times New Roman" w:cs="Times New Roman"/>
          <w:color w:val="FF0000"/>
          <w:sz w:val="24"/>
          <w:szCs w:val="24"/>
          <w:lang w:bidi="gu-IN"/>
        </w:rPr>
      </w:pPr>
      <w:r>
        <w:rPr>
          <w:rFonts w:ascii="Times New Roman" w:hAnsi="Times New Roman" w:cs="Times New Roman"/>
          <w:sz w:val="24"/>
          <w:szCs w:val="24"/>
          <w:lang w:bidi="gu-IN"/>
        </w:rPr>
        <w:t xml:space="preserve">Study revealed that there is an association between travel plan and preferred mode of travelling, traveller want to enjoy private and small vehicles over public and large or more seating capacity vehicles. Moreover, safety and cleanliness would be the basic </w:t>
      </w:r>
      <w:r>
        <w:rPr>
          <w:rFonts w:ascii="Times New Roman" w:hAnsi="Times New Roman" w:cs="Times New Roman"/>
          <w:color w:val="000000"/>
          <w:sz w:val="24"/>
          <w:szCs w:val="24"/>
        </w:rPr>
        <w:t xml:space="preserve">factors for travellers </w:t>
      </w:r>
      <w:r>
        <w:rPr>
          <w:rFonts w:ascii="Times New Roman" w:hAnsi="Times New Roman" w:cs="Times New Roman"/>
          <w:sz w:val="24"/>
          <w:szCs w:val="24"/>
          <w:lang w:bidi="gu-IN"/>
        </w:rPr>
        <w:t xml:space="preserve">to choose </w:t>
      </w:r>
      <w:r>
        <w:rPr>
          <w:rFonts w:ascii="Times New Roman" w:hAnsi="Times New Roman" w:cs="Times New Roman"/>
          <w:color w:val="000000"/>
          <w:sz w:val="24"/>
          <w:szCs w:val="24"/>
        </w:rPr>
        <w:t>destinations and it is strongly associated while making preference.</w:t>
      </w:r>
      <w:r>
        <w:rPr>
          <w:rFonts w:ascii="Times New Roman" w:hAnsi="Times New Roman" w:cs="Times New Roman"/>
          <w:sz w:val="24"/>
          <w:szCs w:val="24"/>
          <w:lang w:bidi="gu-IN"/>
        </w:rPr>
        <w:t xml:space="preserve"> Thus, Carrying out Safety protocols and contactless travel experiences will assist help to boost tourism industry.</w:t>
      </w:r>
    </w:p>
    <w:p w14:paraId="5C1BAE0C">
      <w:pPr>
        <w:autoSpaceDE w:val="0"/>
        <w:autoSpaceDN w:val="0"/>
        <w:adjustRightInd w:val="0"/>
        <w:spacing w:after="0" w:line="360" w:lineRule="auto"/>
        <w:jc w:val="both"/>
        <w:rPr>
          <w:rFonts w:ascii="Times New Roman" w:hAnsi="Times New Roman" w:cs="Times New Roman"/>
          <w:b/>
          <w:sz w:val="24"/>
          <w:szCs w:val="24"/>
          <w:lang w:bidi="gu-IN"/>
        </w:rPr>
      </w:pPr>
      <w:r>
        <w:rPr>
          <w:rFonts w:ascii="Times New Roman" w:hAnsi="Times New Roman" w:cs="Times New Roman"/>
          <w:b/>
          <w:sz w:val="24"/>
          <w:szCs w:val="24"/>
          <w:lang w:bidi="gu-IN"/>
        </w:rPr>
        <w:t>Implication of the study</w:t>
      </w:r>
    </w:p>
    <w:p w14:paraId="2CF0F800">
      <w:pPr>
        <w:autoSpaceDE w:val="0"/>
        <w:autoSpaceDN w:val="0"/>
        <w:adjustRightInd w:val="0"/>
        <w:spacing w:after="0" w:line="360" w:lineRule="auto"/>
        <w:jc w:val="both"/>
        <w:rPr>
          <w:rFonts w:ascii="Times New Roman" w:hAnsi="Times New Roman" w:cs="Times New Roman"/>
          <w:bCs/>
          <w:sz w:val="24"/>
          <w:szCs w:val="24"/>
        </w:rPr>
      </w:pPr>
      <w:r>
        <w:rPr>
          <w:rStyle w:val="16"/>
          <w:rFonts w:ascii="Times New Roman" w:hAnsi="Times New Roman" w:cs="Times New Roman"/>
          <w:b w:val="0"/>
          <w:sz w:val="24"/>
          <w:szCs w:val="24"/>
        </w:rPr>
        <w:t>The study revealed the changed in</w:t>
      </w:r>
      <w:r>
        <w:rPr>
          <w:rStyle w:val="16"/>
          <w:rFonts w:ascii="Times New Roman" w:hAnsi="Times New Roman" w:cs="Times New Roman"/>
          <w:sz w:val="24"/>
          <w:szCs w:val="24"/>
        </w:rPr>
        <w:t xml:space="preserve"> </w:t>
      </w:r>
      <w:r>
        <w:rPr>
          <w:rFonts w:ascii="Times New Roman" w:hAnsi="Times New Roman" w:cs="Times New Roman"/>
          <w:sz w:val="24"/>
          <w:szCs w:val="24"/>
        </w:rPr>
        <w:t xml:space="preserve">traveller’s behaviour due to COVID-19 outbreak which includes </w:t>
      </w:r>
      <w:r>
        <w:rPr>
          <w:rFonts w:ascii="Times New Roman" w:hAnsi="Times New Roman" w:cs="Times New Roman"/>
          <w:bCs/>
          <w:sz w:val="24"/>
          <w:szCs w:val="24"/>
          <w:lang w:bidi="gu-IN"/>
        </w:rPr>
        <w:t xml:space="preserve">Travelling duration, </w:t>
      </w:r>
      <w:r>
        <w:rPr>
          <w:rFonts w:ascii="Times New Roman" w:hAnsi="Times New Roman" w:cs="Times New Roman"/>
          <w:sz w:val="24"/>
          <w:szCs w:val="24"/>
          <w:lang w:bidi="gu-IN"/>
        </w:rPr>
        <w:t xml:space="preserve">Preferred mode of public transportation, Convoys prefer during travelling, Expectation of future booking, Reallocate of fund that they were planning to invest on vacation and what </w:t>
      </w:r>
      <w:r>
        <w:rPr>
          <w:rFonts w:ascii="Times New Roman" w:hAnsi="Times New Roman" w:cs="Times New Roman"/>
          <w:bCs/>
          <w:sz w:val="24"/>
          <w:szCs w:val="24"/>
          <w:lang w:bidi="gu-IN"/>
        </w:rPr>
        <w:t xml:space="preserve">would </w:t>
      </w:r>
      <w:r>
        <w:rPr>
          <w:rFonts w:ascii="Times New Roman" w:hAnsi="Times New Roman" w:cs="Times New Roman"/>
          <w:sz w:val="24"/>
          <w:szCs w:val="24"/>
          <w:lang w:bidi="gu-IN"/>
        </w:rPr>
        <w:t>persuade travellers to make travel booking again after a complete cure from COVID-19 outbreak. This study will help to</w:t>
      </w:r>
      <w:r>
        <w:rPr>
          <w:rFonts w:ascii="Times New Roman" w:hAnsi="Times New Roman" w:cs="Times New Roman"/>
          <w:sz w:val="24"/>
          <w:szCs w:val="24"/>
        </w:rPr>
        <w:t xml:space="preserve"> entire links of travels</w:t>
      </w:r>
      <w:r>
        <w:rPr>
          <w:rFonts w:ascii="Times New Roman" w:hAnsi="Times New Roman" w:cs="Times New Roman"/>
          <w:sz w:val="24"/>
          <w:szCs w:val="24"/>
          <w:lang w:bidi="gu-IN"/>
        </w:rPr>
        <w:t xml:space="preserve"> to </w:t>
      </w:r>
      <w:r>
        <w:rPr>
          <w:rStyle w:val="16"/>
          <w:rFonts w:ascii="Times New Roman" w:hAnsi="Times New Roman" w:cs="Times New Roman"/>
          <w:b w:val="0"/>
          <w:sz w:val="24"/>
          <w:szCs w:val="24"/>
        </w:rPr>
        <w:t>understand the change in travel behaviour. It also helps them to</w:t>
      </w:r>
      <w:r>
        <w:rPr>
          <w:rStyle w:val="16"/>
          <w:rFonts w:ascii="Times New Roman" w:hAnsi="Times New Roman" w:cs="Times New Roman"/>
          <w:sz w:val="24"/>
          <w:szCs w:val="24"/>
        </w:rPr>
        <w:t xml:space="preserve"> </w:t>
      </w:r>
      <w:r>
        <w:rPr>
          <w:rFonts w:ascii="Times New Roman" w:hAnsi="Times New Roman" w:cs="Times New Roman"/>
          <w:sz w:val="24"/>
          <w:szCs w:val="24"/>
          <w:lang w:bidi="gu-IN"/>
        </w:rPr>
        <w:t xml:space="preserve">make proper plan to cope the challenges that tourism sector are facing due to COVID-19 outbreak. Further, this study will be used to design </w:t>
      </w:r>
      <w:r>
        <w:rPr>
          <w:rStyle w:val="16"/>
          <w:rFonts w:ascii="Times New Roman" w:hAnsi="Times New Roman" w:cs="Times New Roman"/>
          <w:b w:val="0"/>
          <w:sz w:val="24"/>
          <w:szCs w:val="24"/>
        </w:rPr>
        <w:t xml:space="preserve">appropriate strategy and action plan by tour planners. </w:t>
      </w:r>
      <w:r>
        <w:rPr>
          <w:rFonts w:ascii="Times New Roman" w:hAnsi="Times New Roman" w:cs="Times New Roman"/>
          <w:sz w:val="24"/>
          <w:szCs w:val="24"/>
          <w:lang w:bidi="gu-IN"/>
        </w:rPr>
        <w:t xml:space="preserve">Executing measures recommended in this study to beat the obstructing viewpoints will assist to diminishing the pandemic's unfavourable impacts on the travel industry. Bringing in more such plans to action might re-establish </w:t>
      </w:r>
      <w:r>
        <w:rPr>
          <w:rFonts w:ascii="Times New Roman" w:hAnsi="Times New Roman" w:cs="Times New Roman"/>
          <w:color w:val="000000"/>
          <w:sz w:val="24"/>
          <w:szCs w:val="24"/>
        </w:rPr>
        <w:t>traveller</w:t>
      </w:r>
      <w:r>
        <w:rPr>
          <w:rFonts w:ascii="Times New Roman" w:hAnsi="Times New Roman" w:cs="Times New Roman"/>
          <w:sz w:val="24"/>
          <w:szCs w:val="24"/>
          <w:lang w:bidi="gu-IN"/>
        </w:rPr>
        <w:t xml:space="preserve"> certainty. This study will help to build a climate that will make it easier for travellers to arrive.</w:t>
      </w:r>
    </w:p>
    <w:p w14:paraId="3366D238">
      <w:pPr>
        <w:autoSpaceDE w:val="0"/>
        <w:autoSpaceDN w:val="0"/>
        <w:adjustRightInd w:val="0"/>
        <w:spacing w:after="0" w:line="360" w:lineRule="auto"/>
        <w:jc w:val="both"/>
        <w:rPr>
          <w:rFonts w:ascii="Times New Roman" w:hAnsi="Times New Roman" w:cs="Times New Roman"/>
          <w:b/>
          <w:bCs/>
          <w:color w:val="000000"/>
          <w:sz w:val="24"/>
          <w:szCs w:val="24"/>
          <w:lang w:bidi="gu-IN"/>
        </w:rPr>
      </w:pPr>
      <w:commentRangeStart w:id="7"/>
      <w:r>
        <w:rPr>
          <w:rFonts w:ascii="Times New Roman" w:hAnsi="Times New Roman" w:cs="Times New Roman"/>
          <w:b/>
          <w:bCs/>
          <w:color w:val="000000"/>
          <w:sz w:val="24"/>
          <w:szCs w:val="24"/>
          <w:lang w:bidi="gu-IN"/>
        </w:rPr>
        <w:t xml:space="preserve">Conclusion </w:t>
      </w:r>
      <w:commentRangeEnd w:id="7"/>
      <w:r>
        <w:commentReference w:id="7"/>
      </w:r>
    </w:p>
    <w:p w14:paraId="0A9B8D5B">
      <w:pPr>
        <w:autoSpaceDE w:val="0"/>
        <w:autoSpaceDN w:val="0"/>
        <w:adjustRightInd w:val="0"/>
        <w:spacing w:after="0" w:line="360" w:lineRule="auto"/>
        <w:jc w:val="both"/>
        <w:rPr>
          <w:rStyle w:val="16"/>
          <w:rFonts w:ascii="Times New Roman" w:hAnsi="Times New Roman" w:cs="Times New Roman"/>
          <w:b w:val="0"/>
          <w:sz w:val="24"/>
          <w:szCs w:val="24"/>
        </w:rPr>
      </w:pPr>
      <w:r>
        <w:rPr>
          <w:rFonts w:ascii="Times New Roman" w:hAnsi="Times New Roman" w:cs="Times New Roman"/>
          <w:sz w:val="24"/>
          <w:szCs w:val="24"/>
          <w:lang w:bidi="gu-IN"/>
        </w:rPr>
        <w:t xml:space="preserve">The study revealed that the most of the travellers have changed their travel plan due to </w:t>
      </w:r>
      <w:r>
        <w:rPr>
          <w:rFonts w:ascii="Times New Roman" w:hAnsi="Times New Roman" w:cs="Times New Roman"/>
          <w:sz w:val="24"/>
          <w:szCs w:val="24"/>
        </w:rPr>
        <w:t xml:space="preserve">COVID-19 </w:t>
      </w:r>
      <w:r>
        <w:rPr>
          <w:rFonts w:ascii="Times New Roman" w:hAnsi="Times New Roman" w:cs="Times New Roman"/>
          <w:sz w:val="24"/>
          <w:szCs w:val="24"/>
          <w:lang w:bidi="gu-IN"/>
        </w:rPr>
        <w:t xml:space="preserve">outbreak.  </w:t>
      </w:r>
      <w:r>
        <w:rPr>
          <w:rFonts w:ascii="Times New Roman" w:hAnsi="Times New Roman" w:cs="Times New Roman"/>
          <w:sz w:val="24"/>
          <w:szCs w:val="24"/>
        </w:rPr>
        <w:t xml:space="preserve">It also concluded that for the different age groups as well as the various annual family groups and their planning to change travel plan are independent. </w:t>
      </w:r>
      <w:r>
        <w:rPr>
          <w:rFonts w:ascii="Times New Roman" w:hAnsi="Times New Roman" w:cs="Times New Roman"/>
          <w:sz w:val="24"/>
          <w:szCs w:val="24"/>
          <w:lang w:bidi="gu-IN"/>
        </w:rPr>
        <w:t>Researchers</w:t>
      </w:r>
      <w:r>
        <w:rPr>
          <w:rFonts w:ascii="Times New Roman" w:hAnsi="Times New Roman" w:cs="Times New Roman"/>
          <w:sz w:val="24"/>
          <w:szCs w:val="24"/>
          <w:lang w:val="en-US" w:bidi="gu-IN"/>
        </w:rPr>
        <w:t xml:space="preserve"> have found enough evidence of association between the</w:t>
      </w:r>
      <w:r>
        <w:rPr>
          <w:rFonts w:ascii="Times New Roman" w:hAnsi="Times New Roman" w:cs="Times New Roman"/>
          <w:sz w:val="24"/>
          <w:szCs w:val="24"/>
          <w:lang w:bidi="gu-IN"/>
        </w:rPr>
        <w:t xml:space="preserve"> duration of travelling, mode of the transport and accompanying during travelling before COVID-19 and after COVID-19. Most of the t</w:t>
      </w:r>
      <w:r>
        <w:rPr>
          <w:rStyle w:val="16"/>
          <w:rFonts w:ascii="Times New Roman" w:hAnsi="Times New Roman" w:cs="Times New Roman"/>
          <w:b w:val="0"/>
          <w:sz w:val="24"/>
          <w:szCs w:val="24"/>
        </w:rPr>
        <w:t xml:space="preserve">ravellers of Gujarat were not planning to travel this year. While few travellers of Gujarat had to cancel their travel plan mandatory which they had booked earlier and moreover most the travellers were of the opinion to wait for a year or they might decide whenever restrictions will be lifted. The study also revealed that most of the traveller’s from Gujarat have not yet decided about reallocation of fund that they were planning to invest on vacation. The maximum numbers of the travellers could not be persuaded to book a travel plan during this period, so the fences for change in travel behaviour have been appropriately recognized and appropriate strategy should be selected, designed and implemented by tour planners. </w:t>
      </w:r>
      <w:r>
        <w:rPr>
          <w:rFonts w:ascii="Times New Roman" w:hAnsi="Times New Roman" w:cs="Times New Roman"/>
          <w:sz w:val="24"/>
          <w:szCs w:val="24"/>
        </w:rPr>
        <w:t xml:space="preserve">Thus, present research provided the proper insight of the impact of COVID-19 on traveller perspectives along with the strategies to revitalize </w:t>
      </w:r>
      <w:r>
        <w:rPr>
          <w:rFonts w:ascii="Times New Roman" w:hAnsi="Times New Roman" w:cs="Times New Roman"/>
          <w:sz w:val="24"/>
          <w:szCs w:val="24"/>
          <w:lang w:bidi="gu-IN"/>
        </w:rPr>
        <w:t>Travel and the travel industry</w:t>
      </w:r>
      <w:r>
        <w:rPr>
          <w:rFonts w:ascii="Times New Roman" w:hAnsi="Times New Roman" w:cs="Times New Roman"/>
          <w:sz w:val="24"/>
          <w:szCs w:val="24"/>
        </w:rPr>
        <w:t xml:space="preserve">. It also helped in enhancing knowledge in the subject matter. </w:t>
      </w:r>
    </w:p>
    <w:p w14:paraId="0C8A9BD3">
      <w:pPr>
        <w:autoSpaceDE w:val="0"/>
        <w:autoSpaceDN w:val="0"/>
        <w:adjustRightInd w:val="0"/>
        <w:spacing w:after="0" w:line="360" w:lineRule="auto"/>
        <w:rPr>
          <w:rFonts w:ascii="Times New Roman" w:hAnsi="Times New Roman" w:cs="Times New Roman"/>
          <w:sz w:val="24"/>
          <w:szCs w:val="24"/>
          <w:lang w:bidi="gu-IN"/>
        </w:rPr>
      </w:pPr>
    </w:p>
    <w:p w14:paraId="3C88B73C">
      <w:pPr>
        <w:pStyle w:val="15"/>
        <w:shd w:val="clear" w:color="auto" w:fill="FFFFFF"/>
        <w:spacing w:before="0" w:beforeAutospacing="0" w:after="0" w:afterAutospacing="0" w:line="360" w:lineRule="auto"/>
        <w:jc w:val="both"/>
        <w:rPr>
          <w:rFonts w:eastAsiaTheme="minorHAnsi"/>
          <w:b/>
          <w:lang w:eastAsia="en-US"/>
        </w:rPr>
      </w:pPr>
      <w:r>
        <w:rPr>
          <w:rFonts w:eastAsiaTheme="minorHAnsi"/>
          <w:b/>
          <w:lang w:eastAsia="en-US"/>
        </w:rPr>
        <w:t xml:space="preserve">Reference </w:t>
      </w:r>
    </w:p>
    <w:p w14:paraId="63EA3A82">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Pr>
          <w:rFonts w:ascii="Times New Roman" w:hAnsi="Times New Roman" w:cs="Times New Roman"/>
          <w:sz w:val="24"/>
          <w:szCs w:val="24"/>
        </w:rPr>
        <w:t xml:space="preserve">Axhausen. 2007. “Concepts of Travel Behavior Research.” </w:t>
      </w:r>
      <w:r>
        <w:rPr>
          <w:rFonts w:ascii="Times New Roman" w:hAnsi="Times New Roman" w:cs="Times New Roman"/>
          <w:i/>
          <w:iCs/>
          <w:sz w:val="24"/>
          <w:szCs w:val="24"/>
        </w:rPr>
        <w:t>https://www.researchgate.net/publication/237262766_Concepts_of_Travel_Behavior_Research/link/0deec525ce0c1cdf9e000000/download</w:t>
      </w:r>
      <w:r>
        <w:rPr>
          <w:rFonts w:ascii="Times New Roman" w:hAnsi="Times New Roman" w:cs="Times New Roman"/>
          <w:sz w:val="24"/>
          <w:szCs w:val="24"/>
        </w:rPr>
        <w:t>.</w:t>
      </w:r>
    </w:p>
    <w:p w14:paraId="2BD37288">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Beirman, D. 2003. “Restoring Tourism Destinations in Crisis: A Strategic Marketing Approach.” </w:t>
      </w:r>
      <w:r>
        <w:rPr>
          <w:rFonts w:ascii="Times New Roman" w:hAnsi="Times New Roman" w:cs="Times New Roman"/>
          <w:i/>
          <w:iCs/>
          <w:sz w:val="24"/>
          <w:szCs w:val="24"/>
        </w:rPr>
        <w:t>New South Wales, , Australia: Allen and Unwin.</w:t>
      </w:r>
    </w:p>
    <w:p w14:paraId="69DD950F">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Bhadeshiya, Hardik, Prakashkumar Patel, and Baxis Patel. 2020. “A Study on People Engagement in Various Activities during First Lockdown in Gujarat.” </w:t>
      </w:r>
      <w:r>
        <w:rPr>
          <w:rFonts w:ascii="Times New Roman" w:hAnsi="Times New Roman" w:cs="Times New Roman"/>
          <w:i/>
          <w:iCs/>
          <w:sz w:val="24"/>
          <w:szCs w:val="24"/>
        </w:rPr>
        <w:t>Sodh Sanchar Bulletin, ISSN 2229-3620</w:t>
      </w:r>
      <w:r>
        <w:rPr>
          <w:rFonts w:ascii="Times New Roman" w:hAnsi="Times New Roman" w:cs="Times New Roman"/>
          <w:sz w:val="24"/>
          <w:szCs w:val="24"/>
        </w:rPr>
        <w:t xml:space="preserve"> 10(40).</w:t>
      </w:r>
    </w:p>
    <w:p w14:paraId="74AC4F7D">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Dashboard, WHO Health Emergency. 2021. “WHO Coronavirus (COVID-19) Dashboard.” </w:t>
      </w:r>
      <w:r>
        <w:rPr>
          <w:rFonts w:ascii="Times New Roman" w:hAnsi="Times New Roman" w:cs="Times New Roman"/>
          <w:i/>
          <w:iCs/>
          <w:sz w:val="24"/>
          <w:szCs w:val="24"/>
        </w:rPr>
        <w:t>https://covid19.who.int/</w:t>
      </w:r>
      <w:r>
        <w:rPr>
          <w:rFonts w:ascii="Times New Roman" w:hAnsi="Times New Roman" w:cs="Times New Roman"/>
          <w:sz w:val="24"/>
          <w:szCs w:val="24"/>
        </w:rPr>
        <w:t>. https://covid19.who.int/.</w:t>
      </w:r>
    </w:p>
    <w:p w14:paraId="117275F5">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Dickman, S. 2003. “Tourism and Hospitality Marketing.” </w:t>
      </w:r>
      <w:r>
        <w:rPr>
          <w:rFonts w:ascii="Times New Roman" w:hAnsi="Times New Roman" w:cs="Times New Roman"/>
          <w:i/>
          <w:iCs/>
          <w:sz w:val="24"/>
          <w:szCs w:val="24"/>
        </w:rPr>
        <w:t>Melbourne: Oxford University Press</w:t>
      </w:r>
      <w:r>
        <w:rPr>
          <w:rFonts w:ascii="Times New Roman" w:hAnsi="Times New Roman" w:cs="Times New Roman"/>
          <w:sz w:val="24"/>
          <w:szCs w:val="24"/>
        </w:rPr>
        <w:t>.</w:t>
      </w:r>
    </w:p>
    <w:p w14:paraId="6F24021B">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Dutta, Arnab. 2020. “Coronavirus Impact May Render 38 Mn Jobless in Indian Tourism Industry.” </w:t>
      </w:r>
      <w:r>
        <w:rPr>
          <w:rFonts w:ascii="Times New Roman" w:hAnsi="Times New Roman" w:cs="Times New Roman"/>
          <w:i/>
          <w:iCs/>
          <w:sz w:val="24"/>
          <w:szCs w:val="24"/>
        </w:rPr>
        <w:t>Business Standard, https://www.business-standard.com/article/economy-policy/coronavirus-impact-may-render-38-mn-jobless-in-indian-tourism-industry-120031901851_1.html</w:t>
      </w:r>
      <w:r>
        <w:rPr>
          <w:rFonts w:ascii="Times New Roman" w:hAnsi="Times New Roman" w:cs="Times New Roman"/>
          <w:sz w:val="24"/>
          <w:szCs w:val="24"/>
        </w:rPr>
        <w:t>.</w:t>
      </w:r>
    </w:p>
    <w:p w14:paraId="5371B84C">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Joh, Chakrabarti and. 2019. “The Effect of Parenthood on Travel Behavior: Evidence from the California Household Travel Survey.” </w:t>
      </w:r>
      <w:r>
        <w:rPr>
          <w:rFonts w:ascii="Times New Roman" w:hAnsi="Times New Roman" w:cs="Times New Roman"/>
          <w:i/>
          <w:iCs/>
          <w:sz w:val="24"/>
          <w:szCs w:val="24"/>
        </w:rPr>
        <w:t>Transportation Research Part A: Policy and Practice</w:t>
      </w:r>
      <w:r>
        <w:rPr>
          <w:rFonts w:ascii="Times New Roman" w:hAnsi="Times New Roman" w:cs="Times New Roman"/>
          <w:sz w:val="24"/>
          <w:szCs w:val="24"/>
        </w:rPr>
        <w:t xml:space="preserve"> (120): 101–15.</w:t>
      </w:r>
    </w:p>
    <w:p w14:paraId="4CB82A6E">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Kim et. 2010. “Development of a Scale to Measure Memorable Tourism Experience.” </w:t>
      </w:r>
      <w:r>
        <w:rPr>
          <w:rFonts w:ascii="Times New Roman" w:hAnsi="Times New Roman" w:cs="Times New Roman"/>
          <w:i/>
          <w:iCs/>
          <w:sz w:val="24"/>
          <w:szCs w:val="24"/>
        </w:rPr>
        <w:t>Journal of Travel Research</w:t>
      </w:r>
      <w:r>
        <w:rPr>
          <w:rFonts w:ascii="Times New Roman" w:hAnsi="Times New Roman" w:cs="Times New Roman"/>
          <w:sz w:val="24"/>
          <w:szCs w:val="24"/>
        </w:rPr>
        <w:t xml:space="preserve"> 1(51): 12–25.</w:t>
      </w:r>
    </w:p>
    <w:p w14:paraId="50408A3D">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KPMG. 2020. “Potential Impact of Covid 19 on the Indian Economy.” </w:t>
      </w:r>
      <w:r>
        <w:rPr>
          <w:rFonts w:ascii="Times New Roman" w:hAnsi="Times New Roman" w:cs="Times New Roman"/>
          <w:i/>
          <w:iCs/>
          <w:sz w:val="24"/>
          <w:szCs w:val="24"/>
        </w:rPr>
        <w:t>https://home.kpmg/content/dam/kpmg/in/pdf/2020/04/potential-impact-of-covid-19-on-the-Indian-economy.pdf</w:t>
      </w:r>
      <w:r>
        <w:rPr>
          <w:rFonts w:ascii="Times New Roman" w:hAnsi="Times New Roman" w:cs="Times New Roman"/>
          <w:sz w:val="24"/>
          <w:szCs w:val="24"/>
        </w:rPr>
        <w:t>.</w:t>
      </w:r>
    </w:p>
    <w:p w14:paraId="57041C8D">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Ly. 2020. 9 Journal of Tourism &amp; Hospitality </w:t>
      </w:r>
      <w:r>
        <w:rPr>
          <w:rFonts w:ascii="Times New Roman" w:hAnsi="Times New Roman" w:cs="Times New Roman"/>
          <w:i/>
          <w:iCs/>
          <w:sz w:val="24"/>
          <w:szCs w:val="24"/>
        </w:rPr>
        <w:t>Effect of Social Media in Tourism (Case in Cambodia)</w:t>
      </w:r>
      <w:r>
        <w:rPr>
          <w:rFonts w:ascii="Times New Roman" w:hAnsi="Times New Roman" w:cs="Times New Roman"/>
          <w:sz w:val="24"/>
          <w:szCs w:val="24"/>
        </w:rPr>
        <w:t>.</w:t>
      </w:r>
    </w:p>
    <w:p w14:paraId="53C8379F">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Patel, Divyesh, D Vahoniya, Prakashkumar Patel, and Niharika Shah. 2020. “IMPACT OF COVID-19 ON TRANSPORTATION SYSTEM OF INDIA.” </w:t>
      </w:r>
      <w:r>
        <w:rPr>
          <w:rFonts w:ascii="Times New Roman" w:hAnsi="Times New Roman" w:cs="Times New Roman"/>
          <w:i/>
          <w:iCs/>
          <w:sz w:val="24"/>
          <w:szCs w:val="24"/>
        </w:rPr>
        <w:t>International Journal of Mechanical and Production Engineering Research and Development</w:t>
      </w:r>
      <w:r>
        <w:rPr>
          <w:rFonts w:ascii="Times New Roman" w:hAnsi="Times New Roman" w:cs="Times New Roman"/>
          <w:sz w:val="24"/>
          <w:szCs w:val="24"/>
        </w:rPr>
        <w:t xml:space="preserve"> 10(3): 5655–64. www.tjprc.org.</w:t>
      </w:r>
    </w:p>
    <w:p w14:paraId="430AA5E7">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Patel, Prakashkumar, Niharika Shah, Kunjal Sinha, and Hetal Thakar. 2020. “Government Response to Contain the Outbreak of COVID-19 with Special Reference to Public Transporattaion System in India.” </w:t>
      </w:r>
      <w:r>
        <w:rPr>
          <w:rFonts w:ascii="Times New Roman" w:hAnsi="Times New Roman" w:cs="Times New Roman"/>
          <w:i/>
          <w:iCs/>
          <w:sz w:val="24"/>
          <w:szCs w:val="24"/>
        </w:rPr>
        <w:t>International Journal of Mechanical and Production Engineering Research and Development</w:t>
      </w:r>
      <w:r>
        <w:rPr>
          <w:rFonts w:ascii="Times New Roman" w:hAnsi="Times New Roman" w:cs="Times New Roman"/>
          <w:sz w:val="24"/>
          <w:szCs w:val="24"/>
        </w:rPr>
        <w:t xml:space="preserve"> 10(3): 2325–38. www.tjprc.org.</w:t>
      </w:r>
    </w:p>
    <w:p w14:paraId="0A8B7247">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PTI. 2020. “Coronavirus Impact: Indian Tourism Could Run into Thousands of Crores of Rupees of Loss.” </w:t>
      </w:r>
      <w:r>
        <w:rPr>
          <w:rFonts w:ascii="Times New Roman" w:hAnsi="Times New Roman" w:cs="Times New Roman"/>
          <w:i/>
          <w:iCs/>
          <w:sz w:val="24"/>
          <w:szCs w:val="24"/>
        </w:rPr>
        <w:t>https://www.theweek.in/news/biz-tech/2020/03/12/coronavirus-impact-indian-tourism-could-run-into-thousands-of-crores-of-rupees.html</w:t>
      </w:r>
      <w:r>
        <w:rPr>
          <w:rFonts w:ascii="Times New Roman" w:hAnsi="Times New Roman" w:cs="Times New Roman"/>
          <w:sz w:val="24"/>
          <w:szCs w:val="24"/>
        </w:rPr>
        <w:t>.</w:t>
      </w:r>
    </w:p>
    <w:p w14:paraId="22ABBBBA">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Singh, Garima. 2020. “Tourism Industry Stares at $300-m Loss.” </w:t>
      </w:r>
      <w:r>
        <w:rPr>
          <w:rFonts w:ascii="Times New Roman" w:hAnsi="Times New Roman" w:cs="Times New Roman"/>
          <w:i/>
          <w:iCs/>
          <w:sz w:val="24"/>
          <w:szCs w:val="24"/>
        </w:rPr>
        <w:t>https://www.thehindubusinessline.com/economy/tourism-industry-stares-at-300-m-loss/article31025324.ece#</w:t>
      </w:r>
      <w:r>
        <w:rPr>
          <w:rFonts w:ascii="Times New Roman" w:hAnsi="Times New Roman" w:cs="Times New Roman"/>
          <w:sz w:val="24"/>
          <w:szCs w:val="24"/>
        </w:rPr>
        <w:t>.</w:t>
      </w:r>
    </w:p>
    <w:p w14:paraId="314D8F4F">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Valencia, Juliana, and Geoffrey Crouch. 2008. “Travel Behavior in Troubled Times: The Role of Consumer Self-Confidence.” </w:t>
      </w:r>
      <w:r>
        <w:rPr>
          <w:rFonts w:ascii="Times New Roman" w:hAnsi="Times New Roman" w:cs="Times New Roman"/>
          <w:i/>
          <w:iCs/>
          <w:sz w:val="24"/>
          <w:szCs w:val="24"/>
        </w:rPr>
        <w:t>Journal of Travel and Tourism Marketing</w:t>
      </w:r>
      <w:r>
        <w:rPr>
          <w:rFonts w:ascii="Times New Roman" w:hAnsi="Times New Roman" w:cs="Times New Roman"/>
          <w:sz w:val="24"/>
          <w:szCs w:val="24"/>
        </w:rPr>
        <w:t xml:space="preserve"> 25(1): 25–42.</w:t>
      </w:r>
    </w:p>
    <w:p w14:paraId="077FA125">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Welfare, Ministry of Health and Family, and Government of India. 2020. “Containment Plan for Large Outbreaks.” </w:t>
      </w:r>
      <w:r>
        <w:rPr>
          <w:rFonts w:ascii="Times New Roman" w:hAnsi="Times New Roman" w:cs="Times New Roman"/>
          <w:i/>
          <w:iCs/>
          <w:sz w:val="24"/>
          <w:szCs w:val="24"/>
        </w:rPr>
        <w:t>https://www.mohfw.gov.in/pdf/3ContainmentPlanforLargeOutbreaksofCOVID19Final.pdf</w:t>
      </w:r>
      <w:r>
        <w:rPr>
          <w:rFonts w:ascii="Times New Roman" w:hAnsi="Times New Roman" w:cs="Times New Roman"/>
          <w:sz w:val="24"/>
          <w:szCs w:val="24"/>
        </w:rPr>
        <w:t xml:space="preserve">. </w:t>
      </w:r>
    </w:p>
    <w:p w14:paraId="4655BAF1">
      <w:pPr>
        <w:pStyle w:val="15"/>
        <w:shd w:val="clear" w:color="auto" w:fill="FFFFFF"/>
        <w:spacing w:line="360" w:lineRule="auto"/>
        <w:rPr>
          <w:b/>
        </w:rPr>
      </w:pPr>
      <w:r>
        <w:rPr>
          <w:rFonts w:eastAsiaTheme="minorHAnsi"/>
          <w:b/>
          <w:lang w:eastAsia="en-US"/>
        </w:rPr>
        <w:fldChar w:fldCharType="end"/>
      </w:r>
      <w:r>
        <w:rPr>
          <w:b/>
        </w:rPr>
        <w:t xml:space="preserve"> </w:t>
      </w:r>
    </w:p>
    <w:p w14:paraId="61F199B9">
      <w:pPr>
        <w:pStyle w:val="15"/>
        <w:shd w:val="clear" w:color="auto" w:fill="FFFFFF"/>
        <w:spacing w:before="0" w:beforeAutospacing="0" w:after="0" w:afterAutospacing="0" w:line="360" w:lineRule="auto"/>
        <w:jc w:val="both"/>
        <w:rPr>
          <w:bCs/>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rif Zunaidi" w:date="2025-06-27T19:41:46Z" w:initials="">
    <w:p w14:paraId="5F00F0F0">
      <w:pPr>
        <w:pStyle w:val="8"/>
        <w:numPr>
          <w:ilvl w:val="0"/>
          <w:numId w:val="1"/>
        </w:numPr>
        <w:rPr>
          <w:rFonts w:hint="default"/>
        </w:rPr>
      </w:pPr>
      <w:r>
        <w:rPr>
          <w:rFonts w:hint="default"/>
        </w:rPr>
        <w:t>S</w:t>
      </w:r>
      <w:bookmarkStart w:id="7" w:name="_GoBack"/>
      <w:r>
        <w:rPr>
          <w:rFonts w:hint="default"/>
        </w:rPr>
        <w:t>entences are not coherent, too long, and lack clear flow.</w:t>
      </w:r>
      <w:r>
        <w:rPr>
          <w:rFonts w:hint="default"/>
          <w:lang w:val="en-US"/>
        </w:rPr>
        <w:t xml:space="preserve"> </w:t>
      </w:r>
      <w:r>
        <w:rPr>
          <w:rFonts w:hint="default"/>
        </w:rPr>
        <w:t>Does not follow the IMRaD structure (Introduction, Method, Result, and Discussion) neatly.</w:t>
      </w:r>
    </w:p>
    <w:bookmarkEnd w:id="7"/>
    <w:p w14:paraId="79B1F123">
      <w:pPr>
        <w:pStyle w:val="8"/>
        <w:rPr>
          <w:rFonts w:hint="default"/>
        </w:rPr>
      </w:pPr>
    </w:p>
    <w:p w14:paraId="3DC60FC2">
      <w:pPr>
        <w:pStyle w:val="8"/>
        <w:numPr>
          <w:ilvl w:val="0"/>
          <w:numId w:val="1"/>
        </w:numPr>
        <w:rPr>
          <w:rFonts w:hint="default"/>
        </w:rPr>
      </w:pPr>
      <w:r>
        <w:rPr>
          <w:rFonts w:hint="default"/>
        </w:rPr>
        <w:t>Vagueness of Methodology. Mentioned "conveniently selected" without justification or validity of sampling method. It does not explain the variables measured, the type of questions, or the statistical approach used.</w:t>
      </w:r>
    </w:p>
  </w:comment>
  <w:comment w:id="1" w:author="Arif Zunaidi" w:date="2025-06-27T19:50:31Z" w:initials="">
    <w:p w14:paraId="7E602E2F">
      <w:pPr>
        <w:pStyle w:val="8"/>
      </w:pPr>
      <w:r>
        <w:rPr>
          <w:rFonts w:hint="default"/>
        </w:rPr>
        <w:t>Too much focus on general COVID explanations, less focus on research issues. Almost 80% of paragraphs discuss COVID in general. Whereas for Scopus articles, the background must immediately narrow down to research issues: Impact on the tourism sector, Special conditions in India/Gujarat, Research gap, Urgency of this study</w:t>
      </w:r>
    </w:p>
  </w:comment>
  <w:comment w:id="2" w:author="Arif Zunaidi" w:date="2025-06-27T19:49:59Z" w:initials="">
    <w:p w14:paraId="5252B462">
      <w:pPr>
        <w:pStyle w:val="8"/>
        <w:rPr>
          <w:rFonts w:hint="default"/>
        </w:rPr>
      </w:pPr>
      <w:r>
        <w:rPr>
          <w:rFonts w:hint="default"/>
        </w:rPr>
        <w:t>Inaccurate Dates and Facts</w:t>
      </w:r>
    </w:p>
    <w:p w14:paraId="15F452BF">
      <w:pPr>
        <w:pStyle w:val="8"/>
        <w:rPr>
          <w:rFonts w:hint="default"/>
        </w:rPr>
      </w:pPr>
      <w:r>
        <w:rPr>
          <w:rFonts w:hint="default"/>
        </w:rPr>
        <w:t>“...detected on December 31st, 2020”</w:t>
      </w:r>
    </w:p>
    <w:p w14:paraId="06D56DBB">
      <w:pPr>
        <w:pStyle w:val="8"/>
        <w:rPr>
          <w:rFonts w:hint="default"/>
        </w:rPr>
      </w:pPr>
      <w:r>
        <w:rPr>
          <w:rFonts w:hint="default"/>
        </w:rPr>
        <w:t xml:space="preserve"> It should be December 31, 2019, not 2020.</w:t>
      </w:r>
    </w:p>
    <w:p w14:paraId="5A20AE60">
      <w:pPr>
        <w:pStyle w:val="8"/>
      </w:pPr>
      <w:r>
        <w:rPr>
          <w:rFonts w:hint="default"/>
        </w:rPr>
        <w:t>The virus was discovered in late 2019.</w:t>
      </w:r>
    </w:p>
  </w:comment>
  <w:comment w:id="3" w:author="Arif Zunaidi" w:date="2025-06-27T19:54:48Z" w:initials="">
    <w:p w14:paraId="0D50A3B1">
      <w:pPr>
        <w:pStyle w:val="8"/>
        <w:rPr>
          <w:rFonts w:hint="default"/>
        </w:rPr>
      </w:pPr>
      <w:r>
        <w:rPr>
          <w:rFonts w:hint="default"/>
        </w:rPr>
        <w:t xml:space="preserve">The literature is written in one long section without thematic groupings or subheadings. In </w:t>
      </w:r>
      <w:r>
        <w:rPr>
          <w:rFonts w:hint="default"/>
          <w:lang w:val="en-US"/>
        </w:rPr>
        <w:t xml:space="preserve">reputation </w:t>
      </w:r>
      <w:r>
        <w:rPr>
          <w:rFonts w:hint="default"/>
        </w:rPr>
        <w:t>journal standards, literature reviews should be organized by themes, for example:</w:t>
      </w:r>
    </w:p>
    <w:p w14:paraId="56358192">
      <w:pPr>
        <w:pStyle w:val="8"/>
        <w:numPr>
          <w:ilvl w:val="0"/>
          <w:numId w:val="2"/>
        </w:numPr>
        <w:ind w:left="420" w:leftChars="0" w:hanging="420" w:firstLineChars="0"/>
        <w:rPr>
          <w:rFonts w:hint="default"/>
        </w:rPr>
      </w:pPr>
      <w:r>
        <w:rPr>
          <w:rFonts w:hint="default"/>
        </w:rPr>
        <w:t>The economic impact of COVID-19 on tourism</w:t>
      </w:r>
    </w:p>
    <w:p w14:paraId="6CB5FB17">
      <w:pPr>
        <w:pStyle w:val="8"/>
        <w:numPr>
          <w:ilvl w:val="0"/>
          <w:numId w:val="2"/>
        </w:numPr>
        <w:ind w:left="420" w:leftChars="0" w:hanging="420" w:firstLineChars="0"/>
        <w:rPr>
          <w:rFonts w:hint="default"/>
        </w:rPr>
      </w:pPr>
      <w:r>
        <w:rPr>
          <w:rFonts w:hint="default"/>
        </w:rPr>
        <w:t>Post-crisis tourist behavior</w:t>
      </w:r>
    </w:p>
    <w:p w14:paraId="720B3ED1">
      <w:pPr>
        <w:pStyle w:val="8"/>
        <w:numPr>
          <w:ilvl w:val="0"/>
          <w:numId w:val="2"/>
        </w:numPr>
        <w:ind w:left="420" w:leftChars="0" w:hanging="420" w:firstLineChars="0"/>
        <w:rPr>
          <w:rFonts w:hint="default"/>
        </w:rPr>
      </w:pPr>
      <w:r>
        <w:rPr>
          <w:rFonts w:hint="default"/>
        </w:rPr>
        <w:t>The role of social media in tourism</w:t>
      </w:r>
    </w:p>
    <w:p w14:paraId="2309DAA2">
      <w:pPr>
        <w:pStyle w:val="8"/>
        <w:numPr>
          <w:ilvl w:val="0"/>
          <w:numId w:val="2"/>
        </w:numPr>
        <w:ind w:left="420" w:leftChars="0" w:hanging="420" w:firstLineChars="0"/>
        <w:rPr>
          <w:rFonts w:hint="default"/>
        </w:rPr>
      </w:pPr>
      <w:r>
        <w:rPr>
          <w:rFonts w:hint="default"/>
        </w:rPr>
        <w:t>Self-confidence and travel decision-making</w:t>
      </w:r>
    </w:p>
    <w:p w14:paraId="7EFDE7DF">
      <w:pPr>
        <w:pStyle w:val="8"/>
        <w:numPr>
          <w:ilvl w:val="0"/>
          <w:numId w:val="2"/>
        </w:numPr>
        <w:ind w:left="420" w:leftChars="0" w:hanging="420" w:firstLineChars="0"/>
      </w:pPr>
      <w:r>
        <w:rPr>
          <w:rFonts w:hint="default"/>
        </w:rPr>
        <w:t>Literature related to travel experience</w:t>
      </w:r>
    </w:p>
    <w:p w14:paraId="1702356F">
      <w:pPr>
        <w:pStyle w:val="8"/>
        <w:numPr>
          <w:numId w:val="0"/>
        </w:numPr>
        <w:spacing w:after="200" w:line="276" w:lineRule="auto"/>
        <w:jc w:val="left"/>
        <w:rPr>
          <w:rFonts w:hint="default"/>
        </w:rPr>
      </w:pPr>
    </w:p>
    <w:p w14:paraId="0882529A">
      <w:pPr>
        <w:pStyle w:val="8"/>
        <w:numPr>
          <w:numId w:val="0"/>
        </w:numPr>
        <w:spacing w:after="200" w:line="276" w:lineRule="auto"/>
        <w:jc w:val="left"/>
        <w:rPr>
          <w:rFonts w:hint="default"/>
        </w:rPr>
      </w:pPr>
      <w:r>
        <w:rPr>
          <w:rFonts w:hint="default"/>
        </w:rPr>
        <w:t>Lack of synthesis and argument. The literature review only presents the results of one study at a time, not showing the relationship between studies.</w:t>
      </w:r>
    </w:p>
    <w:p w14:paraId="3CE705B9">
      <w:pPr>
        <w:pStyle w:val="8"/>
        <w:numPr>
          <w:numId w:val="0"/>
        </w:numPr>
        <w:spacing w:after="200" w:line="276" w:lineRule="auto"/>
        <w:jc w:val="left"/>
        <w:rPr>
          <w:rFonts w:hint="default"/>
        </w:rPr>
      </w:pPr>
      <w:r>
        <w:rPr>
          <w:rFonts w:hint="default"/>
        </w:rPr>
        <w:t>The literature cited is not directed at showing research gaps or direct relevance to this study.</w:t>
      </w:r>
    </w:p>
  </w:comment>
  <w:comment w:id="4" w:author="Arif Zunaidi" w:date="2025-06-27T19:58:37Z" w:initials="">
    <w:p w14:paraId="2419691E">
      <w:pPr>
        <w:pStyle w:val="8"/>
        <w:rPr>
          <w:rFonts w:hint="default"/>
        </w:rPr>
      </w:pPr>
      <w:r>
        <w:rPr>
          <w:rFonts w:hint="default"/>
        </w:rPr>
        <w:t>Phrases such as “changes in travelers' preferences and expectations” and “provide strategies” are too broad. It is not clear what types of preferences, expectations of what, and strategies in which aspects of the tourism industry (marketing, services, infrastructure, etc.). Specify the variables studied (e.g. transportation mode, travel destination, travel duration, digital media usage, etc.).</w:t>
      </w:r>
    </w:p>
    <w:p w14:paraId="6E884BEC">
      <w:pPr>
        <w:pStyle w:val="8"/>
        <w:rPr>
          <w:rFonts w:hint="default"/>
        </w:rPr>
      </w:pPr>
    </w:p>
    <w:p w14:paraId="686D28E0">
      <w:pPr>
        <w:pStyle w:val="8"/>
        <w:rPr>
          <w:rFonts w:hint="default"/>
        </w:rPr>
      </w:pPr>
    </w:p>
    <w:p w14:paraId="7E7B14FD">
      <w:pPr>
        <w:pStyle w:val="8"/>
      </w:pPr>
    </w:p>
  </w:comment>
  <w:comment w:id="5" w:author="Arif Zunaidi" w:date="2025-06-27T20:13:58Z" w:initials="">
    <w:p w14:paraId="026B157C">
      <w:pPr>
        <w:pStyle w:val="8"/>
        <w:rPr>
          <w:rFonts w:hint="default"/>
        </w:rPr>
      </w:pPr>
      <w:r>
        <w:rPr>
          <w:rFonts w:hint="default"/>
        </w:rPr>
        <w:t>Sentence: “It was carried out to measure the change in travelers' preference due to the pandemic...”</w:t>
      </w:r>
    </w:p>
    <w:p w14:paraId="5840D6B4">
      <w:pPr>
        <w:pStyle w:val="8"/>
        <w:rPr>
          <w:rFonts w:hint="default"/>
        </w:rPr>
      </w:pPr>
      <w:r>
        <w:rPr>
          <w:rFonts w:hint="default"/>
        </w:rPr>
        <w:t>This is the research objective, not part of the method. It should be put in the Research Objective section.</w:t>
      </w:r>
    </w:p>
    <w:p w14:paraId="479D6380">
      <w:pPr>
        <w:pStyle w:val="8"/>
        <w:rPr>
          <w:rFonts w:hint="default"/>
        </w:rPr>
      </w:pPr>
    </w:p>
    <w:p w14:paraId="6C6D9781">
      <w:pPr>
        <w:pStyle w:val="8"/>
        <w:rPr>
          <w:rFonts w:hint="default"/>
        </w:rPr>
      </w:pPr>
    </w:p>
  </w:comment>
  <w:comment w:id="6" w:author="Arif Zunaidi" w:date="2025-06-27T20:21:46Z" w:initials="">
    <w:p w14:paraId="593EC8FB">
      <w:pPr>
        <w:pStyle w:val="8"/>
        <w:numPr>
          <w:ilvl w:val="0"/>
          <w:numId w:val="2"/>
        </w:numPr>
        <w:ind w:left="420" w:leftChars="0" w:hanging="420" w:firstLineChars="0"/>
        <w:rPr>
          <w:rFonts w:hint="default"/>
        </w:rPr>
      </w:pPr>
      <w:r>
        <w:rPr>
          <w:rFonts w:hint="default"/>
        </w:rPr>
        <w:t>The methodology does not explain the validity and reliability of the questionnaire. Whereas the instrument is used to draw conclusions on behavior change.   As a result, the results shown (e.g. on trip duration, re-allocation of funds, post-COVID persuasion) look convincing, but are methodologically weak because it is not known whether the question items are valid and reliable.</w:t>
      </w:r>
    </w:p>
    <w:p w14:paraId="10D2C345">
      <w:pPr>
        <w:pStyle w:val="8"/>
        <w:rPr>
          <w:rFonts w:hint="default"/>
        </w:rPr>
      </w:pPr>
    </w:p>
    <w:p w14:paraId="10C50CDA">
      <w:pPr>
        <w:pStyle w:val="8"/>
        <w:numPr>
          <w:ilvl w:val="0"/>
          <w:numId w:val="2"/>
        </w:numPr>
        <w:ind w:left="420" w:leftChars="0" w:hanging="420" w:firstLineChars="0"/>
        <w:rPr>
          <w:rFonts w:hint="default"/>
        </w:rPr>
      </w:pPr>
      <w:r>
        <w:rPr>
          <w:rFonts w:hint="default"/>
        </w:rPr>
        <w:t>in the total Chi-square, p-value &gt; 0.05 → the conclusion is correct (“there is not enough evidence”), but the narrative part still highlights the difference between groups as significant. In some sections, the statistical interpretation is too free, not referring to effect size values, confidence intervals, or cross-validation.</w:t>
      </w:r>
    </w:p>
    <w:p w14:paraId="18522302">
      <w:pPr>
        <w:pStyle w:val="8"/>
        <w:rPr>
          <w:rFonts w:hint="default"/>
        </w:rPr>
      </w:pPr>
    </w:p>
    <w:p w14:paraId="2BDC1CA6">
      <w:pPr>
        <w:pStyle w:val="8"/>
        <w:numPr>
          <w:ilvl w:val="0"/>
          <w:numId w:val="2"/>
        </w:numPr>
        <w:ind w:left="420" w:leftChars="0" w:hanging="420" w:firstLineChars="0"/>
        <w:rPr>
          <w:rFonts w:hint="default"/>
        </w:rPr>
      </w:pPr>
      <w:r>
        <w:rPr>
          <w:rFonts w:hint="default"/>
        </w:rPr>
        <w:t>Some strategies (such as VR Tourism or reducing the duration of tours) were referred to as “suggested based on the study”, but did not appear to be strongly supported by the primary data presented. For example, there are no questionnaire items or tables stating “interest in virtual tourism” or “respondents want contactless information”, yet they are directly recommendations.</w:t>
      </w:r>
    </w:p>
    <w:p w14:paraId="77659F85">
      <w:pPr>
        <w:pStyle w:val="8"/>
        <w:rPr>
          <w:rFonts w:hint="default"/>
        </w:rPr>
      </w:pPr>
    </w:p>
    <w:p w14:paraId="3004D5F4">
      <w:pPr>
        <w:pStyle w:val="8"/>
        <w:numPr>
          <w:ilvl w:val="0"/>
          <w:numId w:val="2"/>
        </w:numPr>
        <w:ind w:left="420" w:leftChars="0" w:hanging="420" w:firstLineChars="0"/>
      </w:pPr>
      <w:r>
        <w:rPr>
          <w:rFonts w:hint="default"/>
        </w:rPr>
        <w:t>The explanation is still one-way: presentation of results → direct conclusions → recommendations. There is no critical discussion linking the findings to theory or previous studies (which is important for discussion sections in reputable journals).</w:t>
      </w:r>
    </w:p>
  </w:comment>
  <w:comment w:id="7" w:author="Arif Zunaidi" w:date="2025-06-27T20:29:30Z" w:initials="">
    <w:p w14:paraId="4E274C82">
      <w:pPr>
        <w:pStyle w:val="8"/>
      </w:pPr>
      <w:r>
        <w:rPr>
          <w:rFonts w:hint="default"/>
        </w:rPr>
        <w:t>The research objectives are to:    1. Measure changes in tourist preferences due to COVID-19. 2. Provide recovery strategies for the tourism industry. The conclusion mentions this indirectly and lacks strong links to the concrete strategies mentioned earlier.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C60FC2" w15:done="0"/>
  <w15:commentEx w15:paraId="7E602E2F" w15:done="0"/>
  <w15:commentEx w15:paraId="5A20AE60" w15:done="0"/>
  <w15:commentEx w15:paraId="3CE705B9" w15:done="0"/>
  <w15:commentEx w15:paraId="7E7B14FD" w15:done="0"/>
  <w15:commentEx w15:paraId="6C6D9781" w15:done="0"/>
  <w15:commentEx w15:paraId="3004D5F4" w15:done="0"/>
  <w15:commentEx w15:paraId="4E274C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Teleindicadores 1"/>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Teleindicadores 1">
    <w:panose1 w:val="02000509000000000000"/>
    <w:charset w:val="00"/>
    <w:family w:val="auto"/>
    <w:pitch w:val="default"/>
    <w:sig w:usb0="A00402AF" w:usb1="0200F06A" w:usb2="00000000" w:usb3="00000000" w:csb0="4000000D"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32B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CC6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7E1E">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19F8DBC4">
      <w:pPr>
        <w:pStyle w:val="12"/>
        <w:rPr>
          <w:rFonts w:ascii="Times New Roman" w:hAnsi="Times New Roman" w:cs="Times New Roman"/>
          <w:lang w:val="en-US"/>
        </w:rPr>
      </w:pPr>
      <w:r>
        <w:rPr>
          <w:rStyle w:val="11"/>
          <w:rFonts w:ascii="Times New Roman" w:hAnsi="Times New Roman" w:cs="Times New Roman"/>
        </w:rPr>
        <w:footnoteRef/>
      </w:r>
      <w:r>
        <w:rPr>
          <w:rFonts w:ascii="Times New Roman" w:hAnsi="Times New Roman" w:cs="Times New Roman"/>
        </w:rPr>
        <w:t xml:space="preserve"> Wuhan Municipal Health Commission, China, reported a cluster of cases of pneumonia in Wuhan, Hubei Province. A novel coronavirus was eventually identified.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35D3">
    <w:pPr>
      <w:pStyle w:val="13"/>
    </w:pPr>
    <w:r>
      <w:pict>
        <v:shape id="PowerPlusWaterMarkObject100286877" o:spid="_x0000_s1027"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E70C">
    <w:pPr>
      <w:pStyle w:val="13"/>
    </w:pPr>
    <w:r>
      <w:pict>
        <v:shape id="PowerPlusWaterMarkObject100286876" o:spid="_x0000_s1026"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8EAA">
    <w:pPr>
      <w:pStyle w:val="13"/>
    </w:pPr>
    <w:r>
      <w:pict>
        <v:shape id="PowerPlusWaterMarkObject100286875" o:spid="_x0000_s1025"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3039F"/>
    <w:multiLevelType w:val="singleLevel"/>
    <w:tmpl w:val="16C3039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0B9C00A"/>
    <w:multiLevelType w:val="singleLevel"/>
    <w:tmpl w:val="50B9C00A"/>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f Zunaidi">
    <w15:presenceInfo w15:providerId="WPS Office" w15:userId="143064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hdrShapeDefaults>
    <o:shapelayout v:ext="edit">
      <o:idmap v:ext="edit" data="1"/>
    </o:shapelayout>
  </w:hdrShapeDefaults>
  <w:footnotePr>
    <w:footnote w:id="2"/>
    <w:footnote w:id="3"/>
  </w:footnotePr>
  <w:endnotePr>
    <w:endnote w:id="0"/>
    <w:endnote w:id="1"/>
  </w:endnotePr>
  <w:compat>
    <w:compatSetting w:name="compatibilityMode" w:uri="http://schemas.microsoft.com/office/word" w:val="12"/>
  </w:compat>
  <w:rsids>
    <w:rsidRoot w:val="00E41E21"/>
    <w:rsid w:val="00003CD7"/>
    <w:rsid w:val="0000443D"/>
    <w:rsid w:val="0000642F"/>
    <w:rsid w:val="00025AC3"/>
    <w:rsid w:val="00046529"/>
    <w:rsid w:val="00063D98"/>
    <w:rsid w:val="000660D9"/>
    <w:rsid w:val="0007048D"/>
    <w:rsid w:val="0007176D"/>
    <w:rsid w:val="00071E5E"/>
    <w:rsid w:val="00077FD4"/>
    <w:rsid w:val="0008578B"/>
    <w:rsid w:val="000A155E"/>
    <w:rsid w:val="000A370C"/>
    <w:rsid w:val="000A5705"/>
    <w:rsid w:val="000B2A3A"/>
    <w:rsid w:val="000B758E"/>
    <w:rsid w:val="000C56D3"/>
    <w:rsid w:val="000D139B"/>
    <w:rsid w:val="000D3AF6"/>
    <w:rsid w:val="000D7192"/>
    <w:rsid w:val="000D7278"/>
    <w:rsid w:val="000D7463"/>
    <w:rsid w:val="000E0113"/>
    <w:rsid w:val="000E7638"/>
    <w:rsid w:val="00104DD5"/>
    <w:rsid w:val="00107EDA"/>
    <w:rsid w:val="00113097"/>
    <w:rsid w:val="001321AA"/>
    <w:rsid w:val="00136465"/>
    <w:rsid w:val="00137187"/>
    <w:rsid w:val="001526A9"/>
    <w:rsid w:val="00153F29"/>
    <w:rsid w:val="00162419"/>
    <w:rsid w:val="001630CD"/>
    <w:rsid w:val="001917AD"/>
    <w:rsid w:val="00196E6A"/>
    <w:rsid w:val="001B5D20"/>
    <w:rsid w:val="001B7783"/>
    <w:rsid w:val="001C083A"/>
    <w:rsid w:val="001C63D8"/>
    <w:rsid w:val="001D504E"/>
    <w:rsid w:val="001E0948"/>
    <w:rsid w:val="001E48BC"/>
    <w:rsid w:val="001E4959"/>
    <w:rsid w:val="001E5232"/>
    <w:rsid w:val="001F1656"/>
    <w:rsid w:val="001F1DF0"/>
    <w:rsid w:val="001F5D35"/>
    <w:rsid w:val="001F653D"/>
    <w:rsid w:val="00201D73"/>
    <w:rsid w:val="00207277"/>
    <w:rsid w:val="00207F07"/>
    <w:rsid w:val="0021033F"/>
    <w:rsid w:val="002146F8"/>
    <w:rsid w:val="002172E6"/>
    <w:rsid w:val="002233D8"/>
    <w:rsid w:val="00227331"/>
    <w:rsid w:val="00254768"/>
    <w:rsid w:val="00271EDE"/>
    <w:rsid w:val="002864D4"/>
    <w:rsid w:val="00297552"/>
    <w:rsid w:val="00297651"/>
    <w:rsid w:val="002A648E"/>
    <w:rsid w:val="002B369A"/>
    <w:rsid w:val="002B5980"/>
    <w:rsid w:val="002C027A"/>
    <w:rsid w:val="002D2E3B"/>
    <w:rsid w:val="002D3323"/>
    <w:rsid w:val="002D499F"/>
    <w:rsid w:val="002D6D87"/>
    <w:rsid w:val="002E2DEB"/>
    <w:rsid w:val="002E2DEE"/>
    <w:rsid w:val="002F5155"/>
    <w:rsid w:val="00306C44"/>
    <w:rsid w:val="003131B6"/>
    <w:rsid w:val="00327504"/>
    <w:rsid w:val="00333E90"/>
    <w:rsid w:val="0034168A"/>
    <w:rsid w:val="00344DFE"/>
    <w:rsid w:val="00345DB7"/>
    <w:rsid w:val="00360F74"/>
    <w:rsid w:val="0036162A"/>
    <w:rsid w:val="00363682"/>
    <w:rsid w:val="003638BA"/>
    <w:rsid w:val="00365339"/>
    <w:rsid w:val="00370D1E"/>
    <w:rsid w:val="00375A88"/>
    <w:rsid w:val="00376E25"/>
    <w:rsid w:val="00382DA0"/>
    <w:rsid w:val="003964AD"/>
    <w:rsid w:val="0039786E"/>
    <w:rsid w:val="00397886"/>
    <w:rsid w:val="00397EC2"/>
    <w:rsid w:val="003A031D"/>
    <w:rsid w:val="003A6A38"/>
    <w:rsid w:val="003C5506"/>
    <w:rsid w:val="003E49FE"/>
    <w:rsid w:val="003E6A0F"/>
    <w:rsid w:val="003E6C36"/>
    <w:rsid w:val="003F1000"/>
    <w:rsid w:val="003F7316"/>
    <w:rsid w:val="00400DAB"/>
    <w:rsid w:val="00403C07"/>
    <w:rsid w:val="00403E91"/>
    <w:rsid w:val="00404196"/>
    <w:rsid w:val="00423062"/>
    <w:rsid w:val="00425995"/>
    <w:rsid w:val="00441E2A"/>
    <w:rsid w:val="00447262"/>
    <w:rsid w:val="00470ED2"/>
    <w:rsid w:val="00471FD2"/>
    <w:rsid w:val="0047265A"/>
    <w:rsid w:val="0048347A"/>
    <w:rsid w:val="00484C22"/>
    <w:rsid w:val="004A00E1"/>
    <w:rsid w:val="004A2B0F"/>
    <w:rsid w:val="004A4D1F"/>
    <w:rsid w:val="004A5B1B"/>
    <w:rsid w:val="004B1372"/>
    <w:rsid w:val="004D1851"/>
    <w:rsid w:val="004D2434"/>
    <w:rsid w:val="004D25D0"/>
    <w:rsid w:val="004D3190"/>
    <w:rsid w:val="004D49DD"/>
    <w:rsid w:val="004D4B14"/>
    <w:rsid w:val="004E2B92"/>
    <w:rsid w:val="004E3F11"/>
    <w:rsid w:val="004F05FD"/>
    <w:rsid w:val="004F0F11"/>
    <w:rsid w:val="004F1F84"/>
    <w:rsid w:val="004F6022"/>
    <w:rsid w:val="004F75E1"/>
    <w:rsid w:val="00504B94"/>
    <w:rsid w:val="00516C35"/>
    <w:rsid w:val="005229EE"/>
    <w:rsid w:val="005266D1"/>
    <w:rsid w:val="00526C1B"/>
    <w:rsid w:val="00527C6A"/>
    <w:rsid w:val="0054731A"/>
    <w:rsid w:val="0056482E"/>
    <w:rsid w:val="00566BC0"/>
    <w:rsid w:val="00573BB7"/>
    <w:rsid w:val="0057543A"/>
    <w:rsid w:val="005758C7"/>
    <w:rsid w:val="00576448"/>
    <w:rsid w:val="0058198E"/>
    <w:rsid w:val="0058210F"/>
    <w:rsid w:val="00582E93"/>
    <w:rsid w:val="00587EEB"/>
    <w:rsid w:val="00597122"/>
    <w:rsid w:val="005A695F"/>
    <w:rsid w:val="005B361C"/>
    <w:rsid w:val="005B4DCE"/>
    <w:rsid w:val="005B6FFE"/>
    <w:rsid w:val="005C26BE"/>
    <w:rsid w:val="00612DE6"/>
    <w:rsid w:val="00620BBC"/>
    <w:rsid w:val="006249CA"/>
    <w:rsid w:val="00625F7A"/>
    <w:rsid w:val="00631881"/>
    <w:rsid w:val="00637B6C"/>
    <w:rsid w:val="00653C4B"/>
    <w:rsid w:val="00661673"/>
    <w:rsid w:val="00671B87"/>
    <w:rsid w:val="00673063"/>
    <w:rsid w:val="00673F99"/>
    <w:rsid w:val="00675692"/>
    <w:rsid w:val="00682A2F"/>
    <w:rsid w:val="006A09E3"/>
    <w:rsid w:val="006A226D"/>
    <w:rsid w:val="006C3850"/>
    <w:rsid w:val="006E79B6"/>
    <w:rsid w:val="006F46C7"/>
    <w:rsid w:val="006F5F71"/>
    <w:rsid w:val="006F6020"/>
    <w:rsid w:val="00704878"/>
    <w:rsid w:val="00711127"/>
    <w:rsid w:val="00731C7A"/>
    <w:rsid w:val="00734F26"/>
    <w:rsid w:val="007446E4"/>
    <w:rsid w:val="00753698"/>
    <w:rsid w:val="007720CD"/>
    <w:rsid w:val="00773870"/>
    <w:rsid w:val="0077799F"/>
    <w:rsid w:val="00784C7D"/>
    <w:rsid w:val="007A6F82"/>
    <w:rsid w:val="007B428C"/>
    <w:rsid w:val="007B6754"/>
    <w:rsid w:val="007C6FA4"/>
    <w:rsid w:val="00801488"/>
    <w:rsid w:val="00823EDE"/>
    <w:rsid w:val="0083079B"/>
    <w:rsid w:val="00835901"/>
    <w:rsid w:val="00842D88"/>
    <w:rsid w:val="0087042C"/>
    <w:rsid w:val="0087443B"/>
    <w:rsid w:val="0087796E"/>
    <w:rsid w:val="00891514"/>
    <w:rsid w:val="008A421A"/>
    <w:rsid w:val="008B0EA2"/>
    <w:rsid w:val="008C17B0"/>
    <w:rsid w:val="008C3930"/>
    <w:rsid w:val="008C6018"/>
    <w:rsid w:val="008D15C2"/>
    <w:rsid w:val="008D21AC"/>
    <w:rsid w:val="008D3ABE"/>
    <w:rsid w:val="008D7D91"/>
    <w:rsid w:val="008E37E7"/>
    <w:rsid w:val="008E3BCC"/>
    <w:rsid w:val="008E5A22"/>
    <w:rsid w:val="008F48A0"/>
    <w:rsid w:val="00904E87"/>
    <w:rsid w:val="009106E2"/>
    <w:rsid w:val="00930EAF"/>
    <w:rsid w:val="00943172"/>
    <w:rsid w:val="00943385"/>
    <w:rsid w:val="0094732C"/>
    <w:rsid w:val="009553D2"/>
    <w:rsid w:val="00985760"/>
    <w:rsid w:val="009869AC"/>
    <w:rsid w:val="00987CF2"/>
    <w:rsid w:val="009A52AA"/>
    <w:rsid w:val="009C618D"/>
    <w:rsid w:val="009D47CE"/>
    <w:rsid w:val="009E1644"/>
    <w:rsid w:val="009F0BFB"/>
    <w:rsid w:val="009F4358"/>
    <w:rsid w:val="00A062A1"/>
    <w:rsid w:val="00A30880"/>
    <w:rsid w:val="00A35E47"/>
    <w:rsid w:val="00A41281"/>
    <w:rsid w:val="00A50657"/>
    <w:rsid w:val="00A60CA0"/>
    <w:rsid w:val="00A6152E"/>
    <w:rsid w:val="00A73EDC"/>
    <w:rsid w:val="00A870A0"/>
    <w:rsid w:val="00A92CF1"/>
    <w:rsid w:val="00A95BC8"/>
    <w:rsid w:val="00AA6BD2"/>
    <w:rsid w:val="00AB02B1"/>
    <w:rsid w:val="00AB1426"/>
    <w:rsid w:val="00AB26FA"/>
    <w:rsid w:val="00AC0251"/>
    <w:rsid w:val="00AD3717"/>
    <w:rsid w:val="00AF266C"/>
    <w:rsid w:val="00AF4BC4"/>
    <w:rsid w:val="00B2736C"/>
    <w:rsid w:val="00B2778F"/>
    <w:rsid w:val="00B4291D"/>
    <w:rsid w:val="00B42DC5"/>
    <w:rsid w:val="00B47516"/>
    <w:rsid w:val="00B5184B"/>
    <w:rsid w:val="00B90553"/>
    <w:rsid w:val="00B93DA2"/>
    <w:rsid w:val="00B95D19"/>
    <w:rsid w:val="00BA1A03"/>
    <w:rsid w:val="00BA1B81"/>
    <w:rsid w:val="00BB7DB4"/>
    <w:rsid w:val="00BC06F9"/>
    <w:rsid w:val="00BC094E"/>
    <w:rsid w:val="00BC68EA"/>
    <w:rsid w:val="00BC7369"/>
    <w:rsid w:val="00BE0575"/>
    <w:rsid w:val="00C032A8"/>
    <w:rsid w:val="00C07EC8"/>
    <w:rsid w:val="00C14288"/>
    <w:rsid w:val="00C17EAC"/>
    <w:rsid w:val="00C321B6"/>
    <w:rsid w:val="00C44FD0"/>
    <w:rsid w:val="00C63241"/>
    <w:rsid w:val="00C63367"/>
    <w:rsid w:val="00C80C61"/>
    <w:rsid w:val="00C9788C"/>
    <w:rsid w:val="00CA0ACC"/>
    <w:rsid w:val="00CC61BF"/>
    <w:rsid w:val="00CD6E42"/>
    <w:rsid w:val="00CE070D"/>
    <w:rsid w:val="00CF2F5D"/>
    <w:rsid w:val="00CF3F55"/>
    <w:rsid w:val="00D15B28"/>
    <w:rsid w:val="00D15D46"/>
    <w:rsid w:val="00D165CC"/>
    <w:rsid w:val="00D359F6"/>
    <w:rsid w:val="00D500EB"/>
    <w:rsid w:val="00D524A6"/>
    <w:rsid w:val="00D52E45"/>
    <w:rsid w:val="00D66DB5"/>
    <w:rsid w:val="00D67013"/>
    <w:rsid w:val="00D733E9"/>
    <w:rsid w:val="00D75156"/>
    <w:rsid w:val="00D804D9"/>
    <w:rsid w:val="00D81875"/>
    <w:rsid w:val="00D90310"/>
    <w:rsid w:val="00DA6747"/>
    <w:rsid w:val="00DB1ED0"/>
    <w:rsid w:val="00DB7CD2"/>
    <w:rsid w:val="00DC58FF"/>
    <w:rsid w:val="00DC6CCA"/>
    <w:rsid w:val="00DD3E04"/>
    <w:rsid w:val="00DF7DF8"/>
    <w:rsid w:val="00E057AA"/>
    <w:rsid w:val="00E105DF"/>
    <w:rsid w:val="00E157F9"/>
    <w:rsid w:val="00E15F02"/>
    <w:rsid w:val="00E17739"/>
    <w:rsid w:val="00E26A07"/>
    <w:rsid w:val="00E2774C"/>
    <w:rsid w:val="00E36D03"/>
    <w:rsid w:val="00E41E21"/>
    <w:rsid w:val="00E461B6"/>
    <w:rsid w:val="00E50C27"/>
    <w:rsid w:val="00E556EE"/>
    <w:rsid w:val="00E55DE9"/>
    <w:rsid w:val="00E632C3"/>
    <w:rsid w:val="00E65F8F"/>
    <w:rsid w:val="00E66191"/>
    <w:rsid w:val="00E67A21"/>
    <w:rsid w:val="00E73F74"/>
    <w:rsid w:val="00E86FFF"/>
    <w:rsid w:val="00E94AD7"/>
    <w:rsid w:val="00EA53C7"/>
    <w:rsid w:val="00EC2ABB"/>
    <w:rsid w:val="00EC2D83"/>
    <w:rsid w:val="00ED0376"/>
    <w:rsid w:val="00ED366E"/>
    <w:rsid w:val="00ED556E"/>
    <w:rsid w:val="00EE1D60"/>
    <w:rsid w:val="00EE26D7"/>
    <w:rsid w:val="00EE32A9"/>
    <w:rsid w:val="00EF417C"/>
    <w:rsid w:val="00F01334"/>
    <w:rsid w:val="00F01D0E"/>
    <w:rsid w:val="00F023C2"/>
    <w:rsid w:val="00F0401C"/>
    <w:rsid w:val="00F133AF"/>
    <w:rsid w:val="00F233C1"/>
    <w:rsid w:val="00F447D3"/>
    <w:rsid w:val="00F546C0"/>
    <w:rsid w:val="00F54F0B"/>
    <w:rsid w:val="00F61EEC"/>
    <w:rsid w:val="00F666D2"/>
    <w:rsid w:val="00F80921"/>
    <w:rsid w:val="00F83857"/>
    <w:rsid w:val="00F862AD"/>
    <w:rsid w:val="00F92AA8"/>
    <w:rsid w:val="00F93EF3"/>
    <w:rsid w:val="00F942D3"/>
    <w:rsid w:val="00F9504B"/>
    <w:rsid w:val="00FA3070"/>
    <w:rsid w:val="00FB0A33"/>
    <w:rsid w:val="00FC47D0"/>
    <w:rsid w:val="00FC7BD6"/>
    <w:rsid w:val="00FD2A98"/>
    <w:rsid w:val="00FD53F6"/>
    <w:rsid w:val="00FE443F"/>
    <w:rsid w:val="00FE5F7A"/>
    <w:rsid w:val="00FF741B"/>
    <w:rsid w:val="3F4845E6"/>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link w:val="2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rPr>
  </w:style>
  <w:style w:type="paragraph" w:styleId="3">
    <w:name w:val="heading 2"/>
    <w:basedOn w:val="1"/>
    <w:next w:val="1"/>
    <w:link w:val="3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link w:val="2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6"/>
    <w:semiHidden/>
    <w:unhideWhenUsed/>
    <w:uiPriority w:val="99"/>
    <w:pPr>
      <w:spacing w:after="0" w:line="240" w:lineRule="auto"/>
    </w:pPr>
    <w:rPr>
      <w:rFonts w:ascii="Tahoma" w:hAnsi="Tahoma" w:cs="Tahoma"/>
      <w:sz w:val="16"/>
      <w:szCs w:val="16"/>
    </w:rPr>
  </w:style>
  <w:style w:type="paragraph" w:styleId="8">
    <w:name w:val="annotation text"/>
    <w:basedOn w:val="1"/>
    <w:semiHidden/>
    <w:unhideWhenUsed/>
    <w:uiPriority w:val="99"/>
    <w:pPr>
      <w:jc w:val="left"/>
    </w:pPr>
  </w:style>
  <w:style w:type="character" w:styleId="9">
    <w:name w:val="FollowedHyperlink"/>
    <w:basedOn w:val="5"/>
    <w:semiHidden/>
    <w:unhideWhenUsed/>
    <w:uiPriority w:val="99"/>
    <w:rPr>
      <w:color w:val="800080" w:themeColor="followedHyperlink"/>
      <w:u w:val="single"/>
    </w:rPr>
  </w:style>
  <w:style w:type="paragraph" w:styleId="10">
    <w:name w:val="footer"/>
    <w:basedOn w:val="1"/>
    <w:link w:val="39"/>
    <w:unhideWhenUsed/>
    <w:uiPriority w:val="99"/>
    <w:pPr>
      <w:tabs>
        <w:tab w:val="center" w:pos="4680"/>
        <w:tab w:val="right" w:pos="9360"/>
      </w:tabs>
      <w:spacing w:after="0" w:line="240" w:lineRule="auto"/>
    </w:pPr>
  </w:style>
  <w:style w:type="character" w:styleId="11">
    <w:name w:val="footnote reference"/>
    <w:basedOn w:val="5"/>
    <w:semiHidden/>
    <w:unhideWhenUsed/>
    <w:uiPriority w:val="99"/>
    <w:rPr>
      <w:vertAlign w:val="superscript"/>
    </w:rPr>
  </w:style>
  <w:style w:type="paragraph" w:styleId="12">
    <w:name w:val="footnote text"/>
    <w:basedOn w:val="1"/>
    <w:link w:val="17"/>
    <w:unhideWhenUsed/>
    <w:uiPriority w:val="99"/>
    <w:pPr>
      <w:spacing w:after="0" w:line="240" w:lineRule="auto"/>
    </w:pPr>
    <w:rPr>
      <w:sz w:val="20"/>
      <w:szCs w:val="20"/>
    </w:rPr>
  </w:style>
  <w:style w:type="paragraph" w:styleId="13">
    <w:name w:val="header"/>
    <w:basedOn w:val="1"/>
    <w:link w:val="38"/>
    <w:unhideWhenUsed/>
    <w:uiPriority w:val="99"/>
    <w:pPr>
      <w:tabs>
        <w:tab w:val="center" w:pos="4680"/>
        <w:tab w:val="right" w:pos="9360"/>
      </w:tabs>
      <w:spacing w:after="0" w:line="240" w:lineRule="auto"/>
    </w:pPr>
  </w:style>
  <w:style w:type="character" w:styleId="14">
    <w:name w:val="Hyperlink"/>
    <w:basedOn w:val="5"/>
    <w:unhideWhenUsed/>
    <w:uiPriority w:val="99"/>
    <w:rPr>
      <w:color w:val="0000FF" w:themeColor="hyperlink"/>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6">
    <w:name w:val="Strong"/>
    <w:basedOn w:val="5"/>
    <w:qFormat/>
    <w:uiPriority w:val="22"/>
    <w:rPr>
      <w:b/>
      <w:bCs/>
    </w:rPr>
  </w:style>
  <w:style w:type="character" w:customStyle="1" w:styleId="17">
    <w:name w:val="Footnote Text Char"/>
    <w:basedOn w:val="5"/>
    <w:link w:val="12"/>
    <w:uiPriority w:val="99"/>
    <w:rPr>
      <w:sz w:val="20"/>
      <w:szCs w:val="20"/>
    </w:rPr>
  </w:style>
  <w:style w:type="character" w:customStyle="1" w:styleId="18">
    <w:name w:val="ref-lnk"/>
    <w:basedOn w:val="5"/>
    <w:uiPriority w:val="0"/>
  </w:style>
  <w:style w:type="character" w:customStyle="1" w:styleId="19">
    <w:name w:val="hlfld-contribauthor"/>
    <w:basedOn w:val="5"/>
    <w:uiPriority w:val="0"/>
  </w:style>
  <w:style w:type="character" w:customStyle="1" w:styleId="20">
    <w:name w:val="nlm_given-names"/>
    <w:basedOn w:val="5"/>
    <w:uiPriority w:val="0"/>
  </w:style>
  <w:style w:type="character" w:customStyle="1" w:styleId="21">
    <w:name w:val="nlm_year"/>
    <w:basedOn w:val="5"/>
    <w:uiPriority w:val="0"/>
  </w:style>
  <w:style w:type="character" w:customStyle="1" w:styleId="22">
    <w:name w:val="nlm_publisher-loc"/>
    <w:basedOn w:val="5"/>
    <w:uiPriority w:val="0"/>
  </w:style>
  <w:style w:type="character" w:customStyle="1" w:styleId="23">
    <w:name w:val="nlm_publisher-name"/>
    <w:basedOn w:val="5"/>
    <w:uiPriority w:val="0"/>
  </w:style>
  <w:style w:type="character" w:customStyle="1" w:styleId="24">
    <w:name w:val="Heading 1 Char"/>
    <w:basedOn w:val="5"/>
    <w:link w:val="2"/>
    <w:uiPriority w:val="9"/>
    <w:rPr>
      <w:rFonts w:ascii="Times New Roman" w:hAnsi="Times New Roman" w:eastAsia="Times New Roman" w:cs="Times New Roman"/>
      <w:b/>
      <w:bCs/>
      <w:kern w:val="36"/>
      <w:sz w:val="48"/>
      <w:szCs w:val="48"/>
      <w:lang w:eastAsia="en-IN"/>
    </w:rPr>
  </w:style>
  <w:style w:type="character" w:customStyle="1" w:styleId="25">
    <w:name w:val="Heading 3 Char"/>
    <w:basedOn w:val="5"/>
    <w:link w:val="4"/>
    <w:uiPriority w:val="9"/>
    <w:rPr>
      <w:rFonts w:ascii="Times New Roman" w:hAnsi="Times New Roman" w:eastAsia="Times New Roman" w:cs="Times New Roman"/>
      <w:b/>
      <w:bCs/>
      <w:sz w:val="27"/>
      <w:szCs w:val="27"/>
      <w:lang w:eastAsia="en-IN"/>
    </w:rPr>
  </w:style>
  <w:style w:type="character" w:customStyle="1" w:styleId="26">
    <w:name w:val="rsbtn_text"/>
    <w:basedOn w:val="5"/>
    <w:uiPriority w:val="0"/>
  </w:style>
  <w:style w:type="character" w:customStyle="1" w:styleId="27">
    <w:name w:val="rsbtn_btnlabel"/>
    <w:basedOn w:val="5"/>
    <w:uiPriority w:val="0"/>
  </w:style>
  <w:style w:type="character" w:customStyle="1" w:styleId="28">
    <w:name w:val="nlm_article-title"/>
    <w:basedOn w:val="5"/>
    <w:uiPriority w:val="0"/>
  </w:style>
  <w:style w:type="character" w:customStyle="1" w:styleId="29">
    <w:name w:val="contribdegrees"/>
    <w:basedOn w:val="5"/>
    <w:uiPriority w:val="0"/>
  </w:style>
  <w:style w:type="paragraph" w:styleId="30">
    <w:name w:val="List Paragraph"/>
    <w:basedOn w:val="1"/>
    <w:qFormat/>
    <w:uiPriority w:val="34"/>
    <w:pPr>
      <w:ind w:left="720"/>
      <w:contextualSpacing/>
    </w:pPr>
  </w:style>
  <w:style w:type="character" w:customStyle="1" w:styleId="31">
    <w:name w:val="Heading 2 Char"/>
    <w:basedOn w:val="5"/>
    <w:link w:val="3"/>
    <w:uiPriority w:val="9"/>
    <w:rPr>
      <w:rFonts w:asciiTheme="majorHAnsi" w:hAnsiTheme="majorHAnsi" w:eastAsiaTheme="majorEastAsia" w:cstheme="majorBidi"/>
      <w:b/>
      <w:bCs/>
      <w:color w:val="4F81BD" w:themeColor="accent1"/>
      <w:sz w:val="26"/>
      <w:szCs w:val="26"/>
    </w:rPr>
  </w:style>
  <w:style w:type="character" w:customStyle="1" w:styleId="32">
    <w:name w:val="title-text"/>
    <w:basedOn w:val="5"/>
    <w:uiPriority w:val="0"/>
  </w:style>
  <w:style w:type="character" w:customStyle="1" w:styleId="33">
    <w:name w:val="sr-only"/>
    <w:basedOn w:val="5"/>
    <w:uiPriority w:val="0"/>
  </w:style>
  <w:style w:type="character" w:customStyle="1" w:styleId="34">
    <w:name w:val="text"/>
    <w:basedOn w:val="5"/>
    <w:uiPriority w:val="0"/>
  </w:style>
  <w:style w:type="character" w:customStyle="1" w:styleId="35">
    <w:name w:val="author-ref"/>
    <w:basedOn w:val="5"/>
    <w:uiPriority w:val="0"/>
  </w:style>
  <w:style w:type="character" w:customStyle="1" w:styleId="36">
    <w:name w:val="Balloon Text Char"/>
    <w:basedOn w:val="5"/>
    <w:link w:val="7"/>
    <w:semiHidden/>
    <w:uiPriority w:val="99"/>
    <w:rPr>
      <w:rFonts w:ascii="Tahoma" w:hAnsi="Tahoma" w:cs="Tahoma"/>
      <w:sz w:val="16"/>
      <w:szCs w:val="16"/>
    </w:rPr>
  </w:style>
  <w:style w:type="paragraph" w:styleId="37">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character" w:customStyle="1" w:styleId="38">
    <w:name w:val="Header Char"/>
    <w:basedOn w:val="5"/>
    <w:link w:val="13"/>
    <w:uiPriority w:val="99"/>
  </w:style>
  <w:style w:type="character" w:customStyle="1" w:styleId="39">
    <w:name w:val="Footer Char"/>
    <w:basedOn w:val="5"/>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0.xml"/><Relationship Id="rId22" Type="http://schemas.openxmlformats.org/officeDocument/2006/relationships/chart" Target="charts/chart9.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ha\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rakash\MSU%20Prakash\changes%20in%20travel%20behaviors\economics\Travel%20Behaviors\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63697160342"/>
          <c:y val="0.00664665643496502"/>
          <c:w val="0.509364961068174"/>
          <c:h val="0.770195190185551"/>
        </c:manualLayout>
      </c:layout>
      <c:doughnutChart>
        <c:varyColors val="1"/>
        <c:ser>
          <c:idx val="0"/>
          <c:order val="0"/>
          <c:explosion val="25"/>
          <c:dPt>
            <c:idx val="0"/>
            <c:bubble3D val="0"/>
          </c:dPt>
          <c:dPt>
            <c:idx val="1"/>
            <c:bubble3D val="0"/>
          </c:dPt>
          <c:dLbls>
            <c:dLbl>
              <c:idx val="1"/>
              <c:layout>
                <c:manualLayout>
                  <c:x val="0.131933553755332"/>
                  <c:y val="-0.015964220034719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Sheet1!$A$5:$A$6</c:f>
              <c:strCache>
                <c:ptCount val="2"/>
                <c:pt idx="0">
                  <c:v>Travellers prefer domestic travel </c:v>
                </c:pt>
                <c:pt idx="1">
                  <c:v>Travellers prefer global travel</c:v>
                </c:pt>
              </c:strCache>
            </c:strRef>
          </c:cat>
          <c:val>
            <c:numRef>
              <c:f>Sheet1!$B$5:$B$6</c:f>
              <c:numCache>
                <c:formatCode>0.00%</c:formatCode>
                <c:ptCount val="2"/>
                <c:pt idx="0">
                  <c:v>0.936</c:v>
                </c:pt>
                <c:pt idx="1">
                  <c:v>0.0640000000000003</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0761193052054305"/>
          <c:y val="0.803221426954444"/>
          <c:w val="0.873880751597199"/>
          <c:h val="0.16902762871270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7ce3d86-ebf5-4483-8c15-70901a2ba990}"/>
      </c:ext>
    </c:extLst>
  </c:chart>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Sheet1!$B$86:$B$91</c:f>
              <c:strCache>
                <c:ptCount val="6"/>
                <c:pt idx="0">
                  <c:v>Others</c:v>
                </c:pt>
                <c:pt idx="1">
                  <c:v>Discounts in overall package</c:v>
                </c:pt>
                <c:pt idx="2">
                  <c:v>Safest travel plans offered by the agent</c:v>
                </c:pt>
                <c:pt idx="3">
                  <c:v>If flexibility offered by the agent in terms of the Change in the location and duration after booking </c:v>
                </c:pt>
                <c:pt idx="4">
                  <c:v>If disruption caused by the Corona virus incorporate in travel insurance policy</c:v>
                </c:pt>
                <c:pt idx="5">
                  <c:v>I could not be persuad to book a travel plan during this time</c:v>
                </c:pt>
              </c:strCache>
            </c:strRef>
          </c:cat>
          <c:val>
            <c:numRef>
              <c:f>Sheet1!$C$86:$C$91</c:f>
              <c:numCache>
                <c:formatCode>0.00%</c:formatCode>
                <c:ptCount val="6"/>
                <c:pt idx="0">
                  <c:v>0.136</c:v>
                </c:pt>
                <c:pt idx="1">
                  <c:v>0.056</c:v>
                </c:pt>
                <c:pt idx="2">
                  <c:v>0.184</c:v>
                </c:pt>
                <c:pt idx="3">
                  <c:v>0.032</c:v>
                </c:pt>
                <c:pt idx="4">
                  <c:v>0.048</c:v>
                </c:pt>
                <c:pt idx="5">
                  <c:v>0.544</c:v>
                </c:pt>
              </c:numCache>
            </c:numRef>
          </c:val>
        </c:ser>
        <c:dLbls>
          <c:showLegendKey val="0"/>
          <c:showVal val="0"/>
          <c:showCatName val="0"/>
          <c:showSerName val="0"/>
          <c:showPercent val="0"/>
          <c:showBubbleSize val="0"/>
        </c:dLbls>
        <c:gapWidth val="150"/>
        <c:axId val="19121280"/>
        <c:axId val="19122816"/>
      </c:barChart>
      <c:catAx>
        <c:axId val="19121280"/>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p>
        </c:txPr>
        <c:crossAx val="19122816"/>
        <c:crosses val="autoZero"/>
        <c:auto val="1"/>
        <c:lblAlgn val="ctr"/>
        <c:lblOffset val="100"/>
        <c:noMultiLvlLbl val="0"/>
      </c:catAx>
      <c:valAx>
        <c:axId val="19122816"/>
        <c:scaling>
          <c:orientation val="minMax"/>
        </c:scaling>
        <c:delete val="0"/>
        <c:axPos val="b"/>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9121280"/>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0a730bf7-630b-41f7-9a2c-fe15f1af6473}"/>
      </c:ext>
    </c:extLst>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042187657673"/>
          <c:y val="0.00733755057146148"/>
          <c:w val="0.494289837433998"/>
          <c:h val="0.752745378428496"/>
        </c:manualLayout>
      </c:layout>
      <c:doughnutChart>
        <c:varyColors val="1"/>
        <c:ser>
          <c:idx val="0"/>
          <c:order val="0"/>
          <c:explosion val="25"/>
          <c:dPt>
            <c:idx val="0"/>
            <c:bubble3D val="0"/>
          </c:dPt>
          <c:dPt>
            <c:idx val="1"/>
            <c:bubble3D val="0"/>
          </c:dPt>
          <c:dLbls>
            <c:dLbl>
              <c:idx val="0"/>
              <c:layout/>
              <c:showLegendKey val="0"/>
              <c:showVal val="1"/>
              <c:showCatName val="0"/>
              <c:showSerName val="0"/>
              <c:showPercent val="0"/>
              <c:showBubbleSize val="0"/>
              <c:extLst>
                <c:ext xmlns:c15="http://schemas.microsoft.com/office/drawing/2012/chart" uri="{CE6537A1-D6FC-4f65-9D91-7224C49458BB}"/>
              </c:extLst>
            </c:dLbl>
            <c:dLbl>
              <c:idx val="1"/>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Sheet1!$A$8:$A$9</c:f>
              <c:strCache>
                <c:ptCount val="2"/>
                <c:pt idx="0">
                  <c:v>Travellers have changed their travel plan</c:v>
                </c:pt>
                <c:pt idx="1">
                  <c:v>Travellers are might change their plan </c:v>
                </c:pt>
              </c:strCache>
            </c:strRef>
          </c:cat>
          <c:val>
            <c:numRef>
              <c:f>Sheet1!$B$8:$B$9</c:f>
              <c:numCache>
                <c:formatCode>0%</c:formatCode>
                <c:ptCount val="2"/>
                <c:pt idx="0">
                  <c:v>0.88</c:v>
                </c:pt>
                <c:pt idx="1">
                  <c:v>0.22</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0230888113738052"/>
          <c:y val="0.793866965843118"/>
          <c:w val="0.944482747335865"/>
          <c:h val="0.17359562664447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f817dcdf-59db-42ac-962a-805e800a0408}"/>
      </c:ext>
    </c:extLst>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c:f>
              <c:strCache>
                <c:ptCount val="1"/>
                <c:pt idx="0">
                  <c:v>Percentage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Sheet1!$B$6:$B$10</c:f>
              <c:strCache>
                <c:ptCount val="5"/>
                <c:pt idx="0">
                  <c:v>1-2 Days</c:v>
                </c:pt>
                <c:pt idx="1">
                  <c:v>3-4 Days</c:v>
                </c:pt>
                <c:pt idx="2">
                  <c:v>5-7 Days</c:v>
                </c:pt>
                <c:pt idx="3">
                  <c:v>8-14 Days</c:v>
                </c:pt>
                <c:pt idx="4">
                  <c:v>More than 14 Days</c:v>
                </c:pt>
              </c:strCache>
            </c:strRef>
          </c:cat>
          <c:val>
            <c:numRef>
              <c:f>Sheet1!$C$6:$C$10</c:f>
              <c:numCache>
                <c:formatCode>0.00%</c:formatCode>
                <c:ptCount val="5"/>
                <c:pt idx="0">
                  <c:v>0.104</c:v>
                </c:pt>
                <c:pt idx="1">
                  <c:v>0.288</c:v>
                </c:pt>
                <c:pt idx="2">
                  <c:v>0.416</c:v>
                </c:pt>
                <c:pt idx="3">
                  <c:v>0.112</c:v>
                </c:pt>
                <c:pt idx="4" c:formatCode="0%">
                  <c:v>0.08</c:v>
                </c:pt>
              </c:numCache>
            </c:numRef>
          </c:val>
        </c:ser>
        <c:dLbls>
          <c:showLegendKey val="0"/>
          <c:showVal val="0"/>
          <c:showCatName val="0"/>
          <c:showSerName val="0"/>
          <c:showPercent val="0"/>
          <c:showBubbleSize val="0"/>
        </c:dLbls>
        <c:gapWidth val="150"/>
        <c:axId val="86199680"/>
        <c:axId val="93239936"/>
      </c:barChart>
      <c:catAx>
        <c:axId val="861996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3239936"/>
        <c:crosses val="autoZero"/>
        <c:auto val="1"/>
        <c:lblAlgn val="ctr"/>
        <c:lblOffset val="100"/>
        <c:noMultiLvlLbl val="0"/>
      </c:catAx>
      <c:valAx>
        <c:axId val="93239936"/>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86199680"/>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887a8809-c92c-461e-b9bd-2bace673ff8b}"/>
      </c:ext>
    </c:extLst>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Sheet1!$C$21</c:f>
              <c:strCache>
                <c:ptCount val="1"/>
                <c:pt idx="0">
                  <c:v>Percentage</c:v>
                </c:pt>
              </c:strCache>
            </c:strRef>
          </c:tx>
          <c:invertIfNegative val="0"/>
          <c:dLbls>
            <c:dLbl>
              <c:idx val="0"/>
              <c:layout>
                <c:manualLayout>
                  <c:x val="0.0194444444444445"/>
                  <c:y val="-0.05092592592592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2222222222222"/>
                  <c:y val="-0.041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41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Sheet1!$B$22:$B$24</c:f>
              <c:strCache>
                <c:ptCount val="3"/>
                <c:pt idx="0">
                  <c:v>Yes</c:v>
                </c:pt>
                <c:pt idx="1">
                  <c:v>No</c:v>
                </c:pt>
                <c:pt idx="2">
                  <c:v>Maybe</c:v>
                </c:pt>
              </c:strCache>
            </c:strRef>
          </c:cat>
          <c:val>
            <c:numRef>
              <c:f>Sheet1!$C$22:$C$24</c:f>
              <c:numCache>
                <c:formatCode>0%</c:formatCode>
                <c:ptCount val="3"/>
                <c:pt idx="0">
                  <c:v>0.44</c:v>
                </c:pt>
                <c:pt idx="1" c:formatCode="0.00%">
                  <c:v>0.216</c:v>
                </c:pt>
                <c:pt idx="2" c:formatCode="0.00%">
                  <c:v>0.344</c:v>
                </c:pt>
              </c:numCache>
            </c:numRef>
          </c:val>
        </c:ser>
        <c:dLbls>
          <c:showLegendKey val="0"/>
          <c:showVal val="0"/>
          <c:showCatName val="0"/>
          <c:showSerName val="0"/>
          <c:showPercent val="0"/>
          <c:showBubbleSize val="0"/>
        </c:dLbls>
        <c:gapWidth val="150"/>
        <c:axId val="18899328"/>
        <c:axId val="18900864"/>
      </c:barChart>
      <c:catAx>
        <c:axId val="188993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900864"/>
        <c:crosses val="autoZero"/>
        <c:auto val="1"/>
        <c:lblAlgn val="ctr"/>
        <c:lblOffset val="100"/>
        <c:noMultiLvlLbl val="0"/>
      </c:catAx>
      <c:valAx>
        <c:axId val="1890086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89932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07bacc65-748c-463d-892b-74acba9f40f8}"/>
      </c:ext>
    </c:extLst>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Sheet1!$C$35</c:f>
              <c:strCache>
                <c:ptCount val="1"/>
                <c:pt idx="0">
                  <c:v>Percentage</c:v>
                </c:pt>
              </c:strCache>
            </c:strRef>
          </c:tx>
          <c:invertIfNegative val="0"/>
          <c:dLbls>
            <c:dLbl>
              <c:idx val="0"/>
              <c:layout>
                <c:manualLayout>
                  <c:x val="0.0111111111111111"/>
                  <c:y val="-0.013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6666666666667"/>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8888888888891"/>
                  <c:y val="-0.00925925925925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1111111111111"/>
                  <c:y val="-0.01851851851851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Sheet1!$B$36:$B$39</c:f>
              <c:strCache>
                <c:ptCount val="4"/>
                <c:pt idx="0">
                  <c:v>Bus</c:v>
                </c:pt>
                <c:pt idx="1">
                  <c:v>Car</c:v>
                </c:pt>
                <c:pt idx="2">
                  <c:v>Train</c:v>
                </c:pt>
                <c:pt idx="3">
                  <c:v>Air (Flight)</c:v>
                </c:pt>
              </c:strCache>
            </c:strRef>
          </c:cat>
          <c:val>
            <c:numRef>
              <c:f>Sheet1!$C$36:$C$39</c:f>
              <c:numCache>
                <c:formatCode>0.00%</c:formatCode>
                <c:ptCount val="4"/>
                <c:pt idx="0">
                  <c:v>0.056</c:v>
                </c:pt>
                <c:pt idx="1">
                  <c:v>0.328000000000003</c:v>
                </c:pt>
                <c:pt idx="2">
                  <c:v>0.472</c:v>
                </c:pt>
                <c:pt idx="3">
                  <c:v>0.136</c:v>
                </c:pt>
              </c:numCache>
            </c:numRef>
          </c:val>
        </c:ser>
        <c:dLbls>
          <c:showLegendKey val="0"/>
          <c:showVal val="0"/>
          <c:showCatName val="0"/>
          <c:showSerName val="0"/>
          <c:showPercent val="0"/>
          <c:showBubbleSize val="0"/>
        </c:dLbls>
        <c:gapWidth val="150"/>
        <c:axId val="18937728"/>
        <c:axId val="18939264"/>
      </c:barChart>
      <c:catAx>
        <c:axId val="189377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939264"/>
        <c:crosses val="autoZero"/>
        <c:auto val="1"/>
        <c:lblAlgn val="ctr"/>
        <c:lblOffset val="100"/>
        <c:noMultiLvlLbl val="0"/>
      </c:catAx>
      <c:valAx>
        <c:axId val="18939264"/>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93772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138d5c26-c15a-4378-9678-8cb34a5d1fb0}"/>
      </c:ext>
    </c:extLst>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0.0222222222222223"/>
                  <c:y val="-0.05092592592592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91"/>
                  <c:y val="-0.041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94442257217848"/>
                  <c:y val="-0.03240740740740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Sheet1!$B$44:$B$46</c:f>
              <c:strCache>
                <c:ptCount val="3"/>
                <c:pt idx="0">
                  <c:v>Yes</c:v>
                </c:pt>
                <c:pt idx="1">
                  <c:v>No</c:v>
                </c:pt>
                <c:pt idx="2">
                  <c:v>Maybe</c:v>
                </c:pt>
              </c:strCache>
            </c:strRef>
          </c:cat>
          <c:val>
            <c:numRef>
              <c:f>Sheet1!$C$44:$C$46</c:f>
              <c:numCache>
                <c:formatCode>0.00%</c:formatCode>
                <c:ptCount val="3"/>
                <c:pt idx="0">
                  <c:v>0.304</c:v>
                </c:pt>
                <c:pt idx="1">
                  <c:v>0.416</c:v>
                </c:pt>
                <c:pt idx="2" c:formatCode="0%">
                  <c:v>0.28</c:v>
                </c:pt>
              </c:numCache>
            </c:numRef>
          </c:val>
        </c:ser>
        <c:dLbls>
          <c:showLegendKey val="0"/>
          <c:showVal val="0"/>
          <c:showCatName val="0"/>
          <c:showSerName val="0"/>
          <c:showPercent val="0"/>
          <c:showBubbleSize val="0"/>
        </c:dLbls>
        <c:gapWidth val="150"/>
        <c:axId val="18947072"/>
        <c:axId val="18957056"/>
      </c:barChart>
      <c:catAx>
        <c:axId val="189470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957056"/>
        <c:crosses val="autoZero"/>
        <c:auto val="1"/>
        <c:lblAlgn val="ctr"/>
        <c:lblOffset val="100"/>
        <c:noMultiLvlLbl val="0"/>
      </c:catAx>
      <c:valAx>
        <c:axId val="18957056"/>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947072"/>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a06cbee8-9541-4d21-8411-a414774cde47}"/>
      </c:ext>
    </c:extLst>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Sheet1!$B$52:$B$56</c:f>
              <c:strCache>
                <c:ptCount val="5"/>
                <c:pt idx="0">
                  <c:v>Delay booking a travel plan</c:v>
                </c:pt>
                <c:pt idx="1">
                  <c:v>Mandatory to cancel a travel plan that  I had already booked earlier</c:v>
                </c:pt>
                <c:pt idx="2">
                  <c:v>Willingly cancel a vacation that I had already booked earlier</c:v>
                </c:pt>
                <c:pt idx="3">
                  <c:v>My travel plans have not been affected</c:v>
                </c:pt>
                <c:pt idx="4">
                  <c:v>I wasn’t planning to travel this year at all </c:v>
                </c:pt>
              </c:strCache>
            </c:strRef>
          </c:cat>
          <c:val>
            <c:numRef>
              <c:f>Sheet1!$C$52:$C$56</c:f>
              <c:numCache>
                <c:formatCode>0%</c:formatCode>
                <c:ptCount val="5"/>
                <c:pt idx="0">
                  <c:v>0.16</c:v>
                </c:pt>
                <c:pt idx="1" c:formatCode="0.00%">
                  <c:v>0.192</c:v>
                </c:pt>
                <c:pt idx="2" c:formatCode="0.00%">
                  <c:v>0.152</c:v>
                </c:pt>
                <c:pt idx="3" c:formatCode="0.00%">
                  <c:v>0.072</c:v>
                </c:pt>
                <c:pt idx="4" c:formatCode="0.00%">
                  <c:v>0.424</c:v>
                </c:pt>
              </c:numCache>
            </c:numRef>
          </c:val>
        </c:ser>
        <c:dLbls>
          <c:showLegendKey val="0"/>
          <c:showVal val="0"/>
          <c:showCatName val="0"/>
          <c:showSerName val="0"/>
          <c:showPercent val="0"/>
          <c:showBubbleSize val="0"/>
        </c:dLbls>
        <c:gapWidth val="150"/>
        <c:axId val="18986496"/>
        <c:axId val="18988032"/>
      </c:barChart>
      <c:catAx>
        <c:axId val="18986496"/>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crossAx val="18988032"/>
        <c:crosses val="autoZero"/>
        <c:auto val="1"/>
        <c:lblAlgn val="l"/>
        <c:lblOffset val="100"/>
        <c:noMultiLvlLbl val="0"/>
      </c:catAx>
      <c:valAx>
        <c:axId val="18988032"/>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986496"/>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a809f996-2a38-4a06-8ae8-63eeb6bd1f2d}"/>
      </c:ext>
    </c:extLst>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Sheet1!$B$59:$B$66</c:f>
              <c:strCache>
                <c:ptCount val="8"/>
                <c:pt idx="0">
                  <c:v>In a month</c:v>
                </c:pt>
                <c:pt idx="1">
                  <c:v>In 1 to 3 Months</c:v>
                </c:pt>
                <c:pt idx="2">
                  <c:v>In 4 to 6 Months</c:v>
                </c:pt>
                <c:pt idx="3">
                  <c:v>In 7 to 9 Months</c:v>
                </c:pt>
                <c:pt idx="4">
                  <c:v>In 10 to 12 months</c:v>
                </c:pt>
                <c:pt idx="5">
                  <c:v>More than a Year</c:v>
                </c:pt>
                <c:pt idx="6">
                  <c:v>Will be decided whenever restrictions lifted</c:v>
                </c:pt>
                <c:pt idx="7">
                  <c:v>Don't Know</c:v>
                </c:pt>
              </c:strCache>
            </c:strRef>
          </c:cat>
          <c:val>
            <c:numRef>
              <c:f>Sheet1!$C$59:$C$66</c:f>
              <c:numCache>
                <c:formatCode>0%</c:formatCode>
                <c:ptCount val="8"/>
                <c:pt idx="0">
                  <c:v>0.02</c:v>
                </c:pt>
                <c:pt idx="1">
                  <c:v>0.11</c:v>
                </c:pt>
                <c:pt idx="2">
                  <c:v>0.15</c:v>
                </c:pt>
                <c:pt idx="3">
                  <c:v>0.17</c:v>
                </c:pt>
                <c:pt idx="4">
                  <c:v>0.03</c:v>
                </c:pt>
                <c:pt idx="5">
                  <c:v>0.2</c:v>
                </c:pt>
                <c:pt idx="6">
                  <c:v>0.2</c:v>
                </c:pt>
                <c:pt idx="7">
                  <c:v>0.12</c:v>
                </c:pt>
              </c:numCache>
            </c:numRef>
          </c:val>
        </c:ser>
        <c:dLbls>
          <c:showLegendKey val="0"/>
          <c:showVal val="0"/>
          <c:showCatName val="0"/>
          <c:showSerName val="0"/>
          <c:showPercent val="0"/>
          <c:showBubbleSize val="0"/>
        </c:dLbls>
        <c:gapWidth val="150"/>
        <c:axId val="19008128"/>
        <c:axId val="19038592"/>
      </c:barChart>
      <c:catAx>
        <c:axId val="19008128"/>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crossAx val="19038592"/>
        <c:crosses val="autoZero"/>
        <c:auto val="1"/>
        <c:lblAlgn val="ctr"/>
        <c:lblOffset val="100"/>
        <c:noMultiLvlLbl val="0"/>
      </c:catAx>
      <c:valAx>
        <c:axId val="19038592"/>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900812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48232e24-9498-4001-9bbf-4bbdb8cc77b4}"/>
      </c:ext>
    </c:extLst>
  </c:chart>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Sheet1!$B$72:$B$80</c:f>
              <c:strCache>
                <c:ptCount val="9"/>
                <c:pt idx="0">
                  <c:v>Not Applicable (if Delayed the schedule)</c:v>
                </c:pt>
                <c:pt idx="1">
                  <c:v>Other</c:v>
                </c:pt>
                <c:pt idx="2">
                  <c:v>Not decided yet</c:v>
                </c:pt>
                <c:pt idx="3">
                  <c:v>Donate it</c:v>
                </c:pt>
                <c:pt idx="4">
                  <c:v>Invest it</c:v>
                </c:pt>
                <c:pt idx="5">
                  <c:v>Spent it on Wellness</c:v>
                </c:pt>
                <c:pt idx="6">
                  <c:v>Spent it on other purchases</c:v>
                </c:pt>
                <c:pt idx="7">
                  <c:v>Rebook my travel at later time/in Future</c:v>
                </c:pt>
                <c:pt idx="8">
                  <c:v>Save it</c:v>
                </c:pt>
              </c:strCache>
            </c:strRef>
          </c:cat>
          <c:val>
            <c:numRef>
              <c:f>Sheet1!$C$72:$C$80</c:f>
              <c:numCache>
                <c:formatCode>0%</c:formatCode>
                <c:ptCount val="9"/>
                <c:pt idx="0">
                  <c:v>0.03</c:v>
                </c:pt>
                <c:pt idx="1">
                  <c:v>0.05</c:v>
                </c:pt>
                <c:pt idx="2">
                  <c:v>0.29</c:v>
                </c:pt>
                <c:pt idx="3">
                  <c:v>0.05</c:v>
                </c:pt>
                <c:pt idx="4">
                  <c:v>0.15</c:v>
                </c:pt>
                <c:pt idx="5">
                  <c:v>0.05</c:v>
                </c:pt>
                <c:pt idx="6">
                  <c:v>0.06</c:v>
                </c:pt>
                <c:pt idx="7">
                  <c:v>0.11</c:v>
                </c:pt>
                <c:pt idx="8">
                  <c:v>0.22</c:v>
                </c:pt>
              </c:numCache>
            </c:numRef>
          </c:val>
        </c:ser>
        <c:dLbls>
          <c:showLegendKey val="0"/>
          <c:showVal val="0"/>
          <c:showCatName val="0"/>
          <c:showSerName val="0"/>
          <c:showPercent val="0"/>
          <c:showBubbleSize val="0"/>
        </c:dLbls>
        <c:gapWidth val="150"/>
        <c:axId val="19083264"/>
        <c:axId val="19084800"/>
      </c:barChart>
      <c:catAx>
        <c:axId val="1908326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crossAx val="19084800"/>
        <c:crosses val="autoZero"/>
        <c:auto val="1"/>
        <c:lblAlgn val="ctr"/>
        <c:lblOffset val="100"/>
        <c:noMultiLvlLbl val="0"/>
      </c:catAx>
      <c:valAx>
        <c:axId val="19084800"/>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9083264"/>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9f4a9cca-93f9-4133-bbe5-120759044f53}"/>
      </c:ext>
    </c:extLst>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BAE08-6A45-4161-9C80-83199B932D05}">
  <ds:schemaRefs/>
</ds:datastoreItem>
</file>

<file path=docProps/app.xml><?xml version="1.0" encoding="utf-8"?>
<Properties xmlns="http://schemas.openxmlformats.org/officeDocument/2006/extended-properties" xmlns:vt="http://schemas.openxmlformats.org/officeDocument/2006/docPropsVTypes">
  <Template>Normal</Template>
  <Pages>18</Pages>
  <Words>7545</Words>
  <Characters>43012</Characters>
  <Lines>358</Lines>
  <Paragraphs>100</Paragraphs>
  <TotalTime>1042</TotalTime>
  <ScaleCrop>false</ScaleCrop>
  <LinksUpToDate>false</LinksUpToDate>
  <CharactersWithSpaces>50457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2020-04-29T17:58:00Z</dcterms:created>
  <dc:creator>Isha</dc:creator>
  <cp:lastModifiedBy>Arif Zunaidi</cp:lastModifiedBy>
  <dcterms:modified xsi:type="dcterms:W3CDTF">2025-06-27T13:41:05Z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6d3f0c63-869e-3002-8ea4-815ab39cd4ec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79f85544-85c5-4c50-8889-35ef8f568bde</vt:lpwstr>
  </property>
  <property fmtid="{D5CDD505-2E9C-101B-9397-08002B2CF9AE}" pid="26" name="KSOProductBuildVer">
    <vt:lpwstr>1033-12.2.0.21546</vt:lpwstr>
  </property>
  <property fmtid="{D5CDD505-2E9C-101B-9397-08002B2CF9AE}" pid="27" name="ICV">
    <vt:lpwstr>8195F3D9E0A74A44BE223615C0B7545F_12</vt:lpwstr>
  </property>
</Properties>
</file>