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Author"/>
        <w:spacing w:line="276" w:lineRule="auto"/>
        <w:rPr>
          <w:rFonts w:ascii="Arial" w:hAnsi="Arial" w:cs="Arial"/>
          <w:bCs/>
          <w:iCs/>
          <w:kern w:val="28"/>
          <w:sz w:val="36"/>
          <w:lang w:val="id-ID"/>
        </w:rPr>
      </w:pPr>
      <w:r>
        <w:rPr>
          <w:rFonts w:ascii="Arial" w:hAnsi="Arial" w:cs="Arial"/>
          <w:bCs/>
          <w:iCs/>
          <w:kern w:val="28"/>
          <w:sz w:val="36"/>
          <w:lang w:val="id-ID"/>
        </w:rPr>
        <w:t>Original Research Article</w:t>
      </w:r>
    </w:p>
    <w:p>
      <w:pPr>
        <w:pStyle w:val="Author"/>
        <w:spacing w:line="276" w:lineRule="auto"/>
        <w:rPr>
          <w:rFonts w:ascii="Arial" w:hAnsi="Arial" w:cs="Arial"/>
          <w:bCs/>
          <w:iCs/>
          <w:kern w:val="28"/>
          <w:sz w:val="36"/>
          <w:lang w:val="id-ID"/>
        </w:rPr>
      </w:pPr>
    </w:p>
    <w:p>
      <w:pPr>
        <w:pStyle w:val="Author"/>
        <w:spacing w:line="276" w:lineRule="auto"/>
        <w:rPr>
          <w:rFonts w:ascii="Arial" w:hAnsi="Arial" w:cs="Arial"/>
          <w:bCs/>
          <w:iCs/>
          <w:kern w:val="28"/>
          <w:sz w:val="36"/>
          <w:lang w:val="id-ID"/>
        </w:rPr>
      </w:pPr>
      <w:r>
        <w:rPr>
          <w:rFonts w:ascii="Arial" w:hAnsi="Arial" w:cs="Arial"/>
          <w:bCs/>
          <w:iCs/>
          <w:kern w:val="28"/>
          <w:sz w:val="36"/>
          <w:lang w:val="id-ID"/>
        </w:rPr>
        <w:t>THE EFFECT OF COMPETENCE AND INTEGRITY ON THE ABILITY TO DETECT FRAUD WITH PROFESSIONAL SKEPTICISM AS AN INTERVENING VARIABLE</w:t>
      </w:r>
    </w:p>
    <w:p>
      <w:pPr>
        <w:pStyle w:val="Author"/>
        <w:spacing w:line="276" w:lineRule="auto"/>
        <w:rPr>
          <w:rFonts w:ascii="Arial" w:hAnsi="Arial" w:cs="Arial"/>
          <w:sz w:val="36"/>
        </w:rPr>
      </w:pPr>
    </w:p>
    <w:p>
      <w:pPr>
        <w:pStyle w:val="AbstHead"/>
        <w:spacing w:after="0"/>
        <w:jc w:val="both"/>
        <w:rPr>
          <w:rFonts w:ascii="Arial" w:hAnsi="Arial" w:cs="Arial"/>
        </w:rPr>
      </w:pPr>
      <w:r>
        <w:rPr>
          <w:rFonts w:ascii="Arial" w:hAnsi="Arial" w:cs="Arial"/>
        </w:rPr>
        <w:t>ABSTRACT</w:t>
      </w:r>
    </w:p>
    <w:p>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tc>
          <w:tcPr>
            <w:tcW w:w="9576" w:type="dxa"/>
            <w:shd w:val="clear" w:color="auto" w:fill="F2F2F2"/>
          </w:tcPr>
          <w:p>
            <w:pPr>
              <w:pStyle w:val="Body"/>
              <w:rPr>
                <w:rFonts w:ascii="Arial" w:eastAsia="Calibri" w:hAnsi="Arial" w:cs="Arial"/>
                <w:szCs w:val="22"/>
              </w:rPr>
            </w:pPr>
            <w:r>
              <w:rPr>
                <w:rFonts w:ascii="Arial" w:eastAsia="Calibri" w:hAnsi="Arial" w:cs="Arial"/>
                <w:szCs w:val="22"/>
                <w:lang w:val="id-ID"/>
              </w:rPr>
              <w:t>Auditors play a vital role in ensuring that financial reports comply with established standards and are free from significant misstatements, whether due to errors or fraudulent activities. As business operations become more complex in the era of globalization, financial fraud has evolved into more sophisticated schemes, making detection increasingly challenging. Consequently, auditors must demonstrate a high level of competence and integrity to effectively identify and prevent fraud. Howev</w:t>
            </w:r>
            <w:bookmarkStart w:id="0" w:name="_GoBack"/>
            <w:bookmarkEnd w:id="0"/>
            <w:r>
              <w:rPr>
                <w:rFonts w:ascii="Arial" w:eastAsia="Calibri" w:hAnsi="Arial" w:cs="Arial"/>
                <w:szCs w:val="22"/>
                <w:lang w:val="id-ID"/>
              </w:rPr>
              <w:t>er, the extent to which competence and integrity contribute to fraud detection is also influenced by professional skepticism, which serves as an intermediary in the audit process.This study aims to explore and analyze the impact of auditor competence and integrity on fraud detection ability, with professional skepticism acting as a mediating factor. A quantitative research method was applied, involving 58 auditors from public accounting firms in Jakarta. Data were analyzed using Structural Equation Modeling (SEM). The findings indicate that competence does not significantly influence fraud detection ability, whereas integrity has a positive effect. Additionally, competence positively correlates with professional skepticism, as does integrity. However, professional skepticism itself does not have a significant impact on fraud detection. The results further reveal that neither competence nor integrity enhances fraud detection through the mediation of professional skepticism.</w:t>
            </w:r>
          </w:p>
        </w:tc>
      </w:tr>
    </w:tbl>
    <w:p>
      <w:pPr>
        <w:pStyle w:val="Body"/>
        <w:spacing w:after="0"/>
        <w:rPr>
          <w:rFonts w:ascii="Arial" w:hAnsi="Arial" w:cs="Arial"/>
          <w:i/>
        </w:rPr>
      </w:pPr>
    </w:p>
    <w:p>
      <w:pPr>
        <w:pStyle w:val="Body"/>
        <w:rPr>
          <w:rFonts w:ascii="Arial" w:hAnsi="Arial" w:cs="Arial"/>
          <w:i/>
          <w:lang w:val="id-ID"/>
        </w:rPr>
      </w:pPr>
      <w:r>
        <w:rPr>
          <w:rFonts w:ascii="Arial" w:hAnsi="Arial" w:cs="Arial"/>
          <w:i/>
        </w:rPr>
        <w:t xml:space="preserve">Keywords: </w:t>
      </w:r>
      <w:r>
        <w:rPr>
          <w:rFonts w:ascii="Arial" w:hAnsi="Arial" w:cs="Arial"/>
          <w:i/>
          <w:lang w:val="id-ID"/>
        </w:rPr>
        <w:t>Competence, Integrity, Professional Skepticism, Ability to Detect Fraud, Public Accounting Firm.</w:t>
      </w:r>
    </w:p>
    <w:p>
      <w:pPr>
        <w:pStyle w:val="AbstHead"/>
        <w:spacing w:after="0"/>
        <w:jc w:val="both"/>
        <w:rPr>
          <w:rFonts w:ascii="Arial" w:hAnsi="Arial" w:cs="Arial"/>
        </w:rPr>
      </w:pPr>
      <w:r>
        <w:rPr>
          <w:rFonts w:ascii="Arial" w:hAnsi="Arial" w:cs="Arial"/>
        </w:rPr>
        <w:t>1. INTRODUCTION</w:t>
      </w:r>
    </w:p>
    <w:p>
      <w:pPr>
        <w:pStyle w:val="AbstHead"/>
        <w:spacing w:after="0"/>
        <w:jc w:val="both"/>
        <w:rPr>
          <w:rFonts w:ascii="Arial" w:hAnsi="Arial" w:cs="Arial"/>
        </w:rPr>
      </w:pPr>
    </w:p>
    <w:p>
      <w:pPr>
        <w:pStyle w:val="Body"/>
        <w:rPr>
          <w:rFonts w:ascii="Arial" w:hAnsi="Arial" w:cs="Arial"/>
          <w:lang w:val="id-ID"/>
        </w:rPr>
      </w:pPr>
      <w:r>
        <w:rPr>
          <w:rFonts w:ascii="Arial" w:hAnsi="Arial" w:cs="Arial"/>
          <w:lang w:val="id-ID"/>
        </w:rPr>
        <w:t xml:space="preserve">Economic growth is a crucial indicator in assessing economic performance, particularly in analyzing the results of development carried out by a country or region. Economic growth happens when the output of goods and services is higher than it was in the previous year.. Rapid economic development also drives the growth of investment institutions. In modern society, capital market investment institutions have become a preferred means of investment. Investors buy shares through public offerings in the secondary market, such as the Indonesia Stock Exchange (IDX). Companies that can conduct public offerings are those that have gone public (Budiantoro et al., 2022). The performance of publicly traded companies can be evaluated from their financial statements. Therefore, these companies are required to prepare periodic financial statements submitted to the Financial Services Authority (OJK). These financial statements reflect the financial performance of a company, including information on asset management efficiency and profitability (Putra et al., 2024). </w:t>
      </w:r>
      <w:r>
        <w:rPr>
          <w:rFonts w:ascii="Arial" w:hAnsi="Arial" w:cs="Arial"/>
          <w:lang w:val="id-ID"/>
        </w:rPr>
        <w:lastRenderedPageBreak/>
        <w:t>The financial statements must be prepared in accordance with Generally Accepted Accounting Standards and be free from material misstatements. To ensure the accuracy of financial statements, they must be audited by auditors with high competence and integrity (Payapo et al., 2021).</w:t>
      </w:r>
    </w:p>
    <w:p>
      <w:pPr>
        <w:pStyle w:val="Body"/>
        <w:rPr>
          <w:rFonts w:ascii="Arial" w:hAnsi="Arial" w:cs="Arial"/>
          <w:lang w:val="id-ID"/>
        </w:rPr>
      </w:pPr>
      <w:r>
        <w:rPr>
          <w:rFonts w:ascii="Arial" w:hAnsi="Arial" w:cs="Arial"/>
          <w:lang w:val="id-ID"/>
        </w:rPr>
        <w:t>Auditors play a crucial role in ensuring that financial statements comply with applicable standards and are free from material misstatements, whether caused by errors or fraud (Sinaga et al., 2024). As business complexity increases in the globalization era, fraudulent practices in financial statements have become more sophisticated and harder to detect. Therefore, auditors are required to possess high levels of competence and integrity in detecting and preventing fraud. However, the effectiveness of auditor competence and integrity in detecting fraud heavily relies on professional skepticism, which serves as a mediating variable in the audit process (Caesarany, 2022).</w:t>
      </w:r>
    </w:p>
    <w:p>
      <w:pPr>
        <w:pStyle w:val="Body"/>
        <w:rPr>
          <w:rFonts w:ascii="Arial" w:hAnsi="Arial" w:cs="Arial"/>
          <w:lang w:val="id-ID"/>
        </w:rPr>
      </w:pPr>
      <w:r>
        <w:rPr>
          <w:rFonts w:ascii="Arial" w:hAnsi="Arial" w:cs="Arial"/>
          <w:lang w:val="id-ID"/>
        </w:rPr>
        <w:t>Auditor competence, including deep understanding of accounting standards, advanced auditing techniques, and the use of information technology, enables auditors to effectively identify fraud risks (Judijanto, 2024). Competent auditors can apply stricter and more thorough auditing procedures to detect intentional or unintentional misstatements in financial statements. Previous research provides varying perspectives on whether competence influences the ability to detect fraud. Wicaksana et al. (2024) and Natasya et al. (2024) found that competence positively affects the ability to detect fraud. However, a study by Adisaputri (2024) showed opposing results, indicating that competence does not influence fraud detection ability.</w:t>
      </w:r>
    </w:p>
    <w:p>
      <w:pPr>
        <w:pStyle w:val="Body"/>
        <w:rPr>
          <w:rFonts w:ascii="Arial" w:hAnsi="Arial" w:cs="Arial"/>
          <w:lang w:val="id-ID"/>
        </w:rPr>
      </w:pPr>
      <w:r>
        <w:rPr>
          <w:rFonts w:ascii="Arial" w:hAnsi="Arial" w:cs="Arial"/>
          <w:lang w:val="id-ID"/>
        </w:rPr>
        <w:t>One of the key factors influencing fraud detection ability is auditor integrity, which includes honesty, independence, and adherence to professional ethics. Integrity ensures objectivity in the audit process. Auditors with high integrity are not easily influenced by external pressures and are committed to uncovering fraud if it exists in financial statements (Ndruru et al., 2024). Piserah et al. (2022) found that integrity positively influences fraud detection ability. However, a study by Islamiati et al. (2024) showed the opposite result, indicating that integrity does not impact fraud detection ability.</w:t>
      </w:r>
    </w:p>
    <w:p>
      <w:pPr>
        <w:pStyle w:val="Body"/>
        <w:rPr>
          <w:rFonts w:ascii="Arial" w:hAnsi="Arial" w:cs="Arial"/>
          <w:lang w:val="id-ID"/>
        </w:rPr>
      </w:pPr>
      <w:r>
        <w:rPr>
          <w:rFonts w:ascii="Arial" w:hAnsi="Arial" w:cs="Arial"/>
          <w:lang w:val="id-ID"/>
        </w:rPr>
        <w:t>However, competence and integrity alone are not sufficient for fraud detection. Professional skepticism serves as a mediating variable that strengthens the relationship between competence, integrity, and an auditor's ability to detect fraud. Professional skepticism reflects an auditor's attitude of always questioning audit evidence, not readily accepting information at face value, and considering the possibility of financial statement manipulation. Auditors with high skepticism tend to be more thorough and critical in analyzing information, increasing their chances of detecting fraud that might otherwise go unnoticed.</w:t>
      </w:r>
    </w:p>
    <w:p>
      <w:pPr>
        <w:pStyle w:val="Body"/>
        <w:rPr>
          <w:rFonts w:ascii="Arial" w:hAnsi="Arial" w:cs="Arial"/>
          <w:lang w:val="id-ID"/>
        </w:rPr>
      </w:pPr>
      <w:r>
        <w:rPr>
          <w:rFonts w:ascii="Arial" w:hAnsi="Arial" w:cs="Arial"/>
          <w:lang w:val="id-ID"/>
        </w:rPr>
        <w:t>Recent research indicates that auditors who combine high levels of competence, integrity, and professional skepticism are more effective in identifying fraud indicators and improving financial statement transparency. Thus, professional skepticism can be a crucial factor that enhances the impact of competence and integrity on audit quality. Given the increasing challenges in the globalization era, auditors must continuously develop their competencies, uphold integrity, and apply professional skepticism at every stage of the audit process to ensure greater reliability in financial statements.</w:t>
      </w:r>
    </w:p>
    <w:p>
      <w:pPr>
        <w:pStyle w:val="AbstHead"/>
        <w:spacing w:after="0"/>
        <w:jc w:val="both"/>
        <w:rPr>
          <w:rFonts w:ascii="Arial" w:hAnsi="Arial" w:cs="Arial"/>
        </w:rPr>
      </w:pPr>
      <w:r>
        <w:rPr>
          <w:rFonts w:ascii="Arial" w:hAnsi="Arial" w:cs="Arial"/>
        </w:rPr>
        <w:t>2. THEORETICAL REVIEW</w:t>
      </w:r>
    </w:p>
    <w:p>
      <w:pPr>
        <w:pStyle w:val="Body"/>
        <w:spacing w:after="0"/>
        <w:rPr>
          <w:rFonts w:ascii="Arial" w:hAnsi="Arial" w:cs="Arial"/>
          <w:b/>
          <w:bCs/>
          <w:sz w:val="22"/>
          <w:szCs w:val="22"/>
        </w:rPr>
      </w:pPr>
      <w:r>
        <w:rPr>
          <w:rFonts w:ascii="Arial" w:hAnsi="Arial" w:cs="Arial"/>
          <w:b/>
          <w:bCs/>
          <w:sz w:val="22"/>
          <w:szCs w:val="22"/>
        </w:rPr>
        <w:t>2.1 Attribution Theory</w:t>
      </w:r>
    </w:p>
    <w:p>
      <w:pPr>
        <w:pStyle w:val="Body"/>
        <w:rPr>
          <w:rFonts w:ascii="Arial" w:hAnsi="Arial" w:cs="Arial"/>
          <w:lang w:val="id-ID"/>
        </w:rPr>
      </w:pPr>
      <w:r>
        <w:rPr>
          <w:rFonts w:ascii="Arial" w:hAnsi="Arial" w:cs="Arial"/>
          <w:lang w:val="id-ID"/>
        </w:rPr>
        <w:t xml:space="preserve">Attribution theory, originally proposed by Heider (1958), offers a framework for understanding how individuals explain their own and others' behaviors by considering both internal factors, like competence, integrity, and professional skepticism, and external </w:t>
      </w:r>
      <w:r>
        <w:rPr>
          <w:rFonts w:ascii="Arial" w:hAnsi="Arial" w:cs="Arial"/>
          <w:lang w:val="id-ID"/>
        </w:rPr>
        <w:lastRenderedPageBreak/>
        <w:t>influences such as the work environment and external pressures. In auditing, this theory helps to clarify how auditors assess their own fraud detection capabilities (Kemarayanthi &amp; Ramantha, 2023). According to attribution theory, auditors who are successful in detecting fraud tend to attribute their success to internal factors such as high levels of competence, strong skepticism, and integrity in maintaining independence. Conversely, auditors who fail to detect fraud may attribute their failure to external factors, such as limited access to information or pressure from clients (Soerono &amp; Ismawati, 2020).</w:t>
      </w:r>
    </w:p>
    <w:p>
      <w:pPr>
        <w:pStyle w:val="Body"/>
        <w:rPr>
          <w:rFonts w:ascii="Arial" w:hAnsi="Arial" w:cs="Arial"/>
          <w:lang w:val="id-ID"/>
        </w:rPr>
      </w:pPr>
      <w:r>
        <w:rPr>
          <w:rFonts w:ascii="Arial" w:hAnsi="Arial" w:cs="Arial"/>
          <w:lang w:val="id-ID"/>
        </w:rPr>
        <w:t>Dispositional attribution in this theory is closely related to auditor competence, which includes the knowledge, technical skills, and professional abilities needed to conduct an effective audit. Auditors with high competence tend to attribute their success in detecting fraud to internal factors such as a good understanding of audit procedures, financial statement analysis, and the use of data-driven audit techniques. In contrast, auditors with low competence may blame external factors, such as lack of support from colleagues or time pressure in the audit process.</w:t>
      </w:r>
    </w:p>
    <w:p>
      <w:pPr>
        <w:pStyle w:val="Body"/>
        <w:rPr>
          <w:rFonts w:ascii="Arial" w:hAnsi="Arial" w:cs="Arial"/>
          <w:lang w:val="id-ID"/>
        </w:rPr>
      </w:pPr>
      <w:r>
        <w:rPr>
          <w:rFonts w:ascii="Arial" w:hAnsi="Arial" w:cs="Arial"/>
          <w:lang w:val="id-ID"/>
        </w:rPr>
        <w:t>Integrity as a dispositional factor plays a role in how auditors perceive and assess their actions. Auditors who have a high level of integrity tend to link their decision to report fraud to personal values and professional ethics. Auditors tend to be more objective in concluding that honest audit results are their moral responsibility. In contrast, auditors with low integrity may attribute ethical compromises to situational factors such as pressure from management or a dominant client.</w:t>
      </w:r>
    </w:p>
    <w:p>
      <w:pPr>
        <w:pStyle w:val="Body"/>
        <w:rPr>
          <w:rFonts w:ascii="Arial" w:hAnsi="Arial" w:cs="Arial"/>
          <w:lang w:val="id-ID"/>
        </w:rPr>
      </w:pPr>
      <w:r>
        <w:rPr>
          <w:rFonts w:ascii="Arial" w:hAnsi="Arial" w:cs="Arial"/>
          <w:lang w:val="id-ID"/>
        </w:rPr>
        <w:t>Professional skepticism is an important element in detecting fraud, which can also be explained through attribution theory. Auditors who have high skepticism tend to attribute their thoroughness and caution in conducting audits as part of their professional responsibility. They will always question the information received, carefully evaluate the risk of misstatement, and are not easily influenced by external factors that can interfere with their objectivity. In contrast, auditors with low levels of skepticism may consider that limited information or pressure from other parties are the main reasons why auditors fail to detect fraud.</w:t>
      </w:r>
    </w:p>
    <w:p>
      <w:pPr>
        <w:pStyle w:val="Body"/>
        <w:rPr>
          <w:rFonts w:ascii="Arial" w:hAnsi="Arial" w:cs="Arial"/>
          <w:b/>
          <w:bCs/>
          <w:sz w:val="22"/>
          <w:szCs w:val="22"/>
          <w:lang w:val="id-ID"/>
        </w:rPr>
      </w:pPr>
      <w:r>
        <w:rPr>
          <w:rFonts w:ascii="Arial" w:hAnsi="Arial" w:cs="Arial"/>
          <w:b/>
          <w:bCs/>
          <w:sz w:val="22"/>
          <w:szCs w:val="22"/>
          <w:lang w:val="id-ID"/>
        </w:rPr>
        <w:t>2.2 Ability To Detect Fraud</w:t>
      </w:r>
    </w:p>
    <w:p>
      <w:pPr>
        <w:pStyle w:val="Body"/>
        <w:rPr>
          <w:rFonts w:ascii="Arial" w:hAnsi="Arial" w:cs="Arial"/>
          <w:lang w:val="id-ID"/>
        </w:rPr>
      </w:pPr>
      <w:r>
        <w:rPr>
          <w:rFonts w:ascii="Arial" w:hAnsi="Arial" w:cs="Arial"/>
          <w:lang w:val="id-ID"/>
        </w:rPr>
        <w:t>Auditors are tasked with planning and executing the audit process to secure reasonable assurance that the financial statements are free from material misstatements, whether due to error or fraud. However, this level of assurance does not equate to a full guarantee of the statements' accuracy. There are several reasons why auditors are only expected to provide reasonable, rather than absolute, assurance, including: 1. Most audit evidence is obtained through testing a sample of the population, such as accounts receivable and inventory. 2. Financial statements are based on complex and uncertain estimates, which can be affected by future events. 3. Auditors face challenges in detecting fraud in financial statements, especially if there is collusion between the audited management parties (Amlayasa &amp; Riasning, 2022).</w:t>
      </w:r>
    </w:p>
    <w:p>
      <w:pPr>
        <w:pStyle w:val="Body"/>
        <w:rPr>
          <w:rFonts w:ascii="Arial" w:hAnsi="Arial" w:cs="Arial"/>
        </w:rPr>
      </w:pPr>
      <w:r>
        <w:rPr>
          <w:rFonts w:ascii="Arial" w:hAnsi="Arial" w:cs="Arial"/>
          <w:lang w:val="id-ID"/>
        </w:rPr>
        <w:t>Auditing Standard 240 emphasizes that performing an audit in accordance with applicable standards does not necessarily guarantee the detection of material misstatements or significant inaccuracies, whether caused by error, fraud, illegal acts, or other rule violations. While this standard requires auditors to apply professional expertise carefully and thoroughly, it does not mean that their responsibilities have no limits, nor does it mean that auditors cannot make mistakes in the audit process.</w:t>
      </w:r>
    </w:p>
    <w:p>
      <w:pPr>
        <w:pStyle w:val="Body"/>
        <w:rPr>
          <w:rFonts w:ascii="Arial" w:hAnsi="Arial" w:cs="Arial"/>
          <w:b/>
          <w:bCs/>
          <w:sz w:val="22"/>
          <w:szCs w:val="22"/>
        </w:rPr>
      </w:pPr>
      <w:r>
        <w:rPr>
          <w:rFonts w:ascii="Arial" w:hAnsi="Arial" w:cs="Arial"/>
          <w:b/>
          <w:bCs/>
          <w:sz w:val="22"/>
          <w:szCs w:val="22"/>
        </w:rPr>
        <w:t>2.3 Integrity</w:t>
      </w:r>
    </w:p>
    <w:p>
      <w:pPr>
        <w:pStyle w:val="Body"/>
        <w:rPr>
          <w:rFonts w:ascii="Arial" w:hAnsi="Arial" w:cs="Arial"/>
        </w:rPr>
      </w:pPr>
      <w:r>
        <w:rPr>
          <w:rFonts w:ascii="Arial" w:hAnsi="Arial" w:cs="Arial"/>
          <w:lang w:val="id-ID"/>
        </w:rPr>
        <w:lastRenderedPageBreak/>
        <w:t>Auditors who demonstrate integrity highly value honesty and are committed to presenting the true situation. In essence, auditor integrity refers to an individual’s capacity to remain honest, diligent, and compliant with legal and regulatory standards. This quality is vital for preserving the auditor’s objectivity and ensuring that their judgments are not swayed by external influences. As noted by Evia et al. (2022), integrity can be assessed through indicators such as honesty, balance, and a commitment to fulfilling one’s mandate.</w:t>
      </w:r>
    </w:p>
    <w:p>
      <w:pPr>
        <w:pStyle w:val="Body"/>
        <w:rPr>
          <w:rFonts w:ascii="Arial" w:hAnsi="Arial" w:cs="Arial"/>
        </w:rPr>
      </w:pPr>
      <w:r>
        <w:rPr>
          <w:rFonts w:ascii="Arial" w:hAnsi="Arial" w:cs="Arial"/>
          <w:lang w:val="id-ID"/>
        </w:rPr>
        <w:t>Integrity serves as the foundation of public trust and acts as a benchmark for decisionmaking. It is an internal attribute that significantly influences an auditor’s performance, making it essential for auditors to uphold this quality throughout their work (Hasibuan &amp; Pangaribuan, 2023). Halim (2018) explains that auditors at KAP must maintain both their integrity and objectivity, remain free from conflicts of interest, and avoid allowing material misstatements or external pressures to affect their judgments. This requires auditors to be honest and transparent when examining financial statements and providing their opinions.</w:t>
      </w:r>
    </w:p>
    <w:p>
      <w:pPr>
        <w:pStyle w:val="Body"/>
        <w:spacing w:after="0"/>
        <w:rPr>
          <w:rFonts w:ascii="Arial" w:hAnsi="Arial" w:cs="Arial"/>
          <w:lang w:val="id-ID"/>
        </w:rPr>
      </w:pPr>
      <w:r>
        <w:rPr>
          <w:rFonts w:ascii="Arial" w:hAnsi="Arial" w:cs="Arial"/>
          <w:lang w:val="id-ID"/>
        </w:rPr>
        <w:t>According to Mulyadi (2016), the indicators for measuring auditor integrity include:</w:t>
      </w:r>
    </w:p>
    <w:p>
      <w:pPr>
        <w:pStyle w:val="Body"/>
        <w:numPr>
          <w:ilvl w:val="0"/>
          <w:numId w:val="31"/>
        </w:numPr>
        <w:spacing w:after="0"/>
        <w:rPr>
          <w:rFonts w:ascii="Arial" w:hAnsi="Arial" w:cs="Arial"/>
        </w:rPr>
      </w:pPr>
      <w:r>
        <w:rPr>
          <w:rFonts w:ascii="Arial" w:hAnsi="Arial" w:cs="Arial"/>
          <w:lang w:val="id-ID"/>
        </w:rPr>
        <w:t>Auditor Honesty and Transparency</w:t>
      </w:r>
    </w:p>
    <w:p>
      <w:pPr>
        <w:pStyle w:val="Body"/>
        <w:spacing w:after="0"/>
        <w:ind w:left="720"/>
        <w:rPr>
          <w:rFonts w:ascii="Arial" w:hAnsi="Arial" w:cs="Arial"/>
          <w:lang w:val="id-ID"/>
        </w:rPr>
      </w:pPr>
      <w:r>
        <w:rPr>
          <w:rFonts w:ascii="Arial" w:hAnsi="Arial" w:cs="Arial"/>
          <w:lang w:val="id-ID"/>
        </w:rPr>
        <w:t>Honesty here means the auditor’s commitment to reporting facts accurately without any</w:t>
      </w:r>
      <w:r>
        <w:rPr>
          <w:rFonts w:ascii="Arial" w:hAnsi="Arial" w:cs="Arial"/>
        </w:rPr>
        <w:t xml:space="preserve"> </w:t>
      </w:r>
      <w:r>
        <w:rPr>
          <w:rFonts w:ascii="Arial" w:hAnsi="Arial" w:cs="Arial"/>
          <w:lang w:val="id-ID"/>
        </w:rPr>
        <w:t>alteration.</w:t>
      </w:r>
    </w:p>
    <w:p>
      <w:pPr>
        <w:pStyle w:val="Body"/>
        <w:numPr>
          <w:ilvl w:val="0"/>
          <w:numId w:val="31"/>
        </w:numPr>
        <w:spacing w:after="0"/>
        <w:rPr>
          <w:rFonts w:ascii="Arial" w:hAnsi="Arial" w:cs="Arial"/>
        </w:rPr>
      </w:pPr>
      <w:r>
        <w:rPr>
          <w:rFonts w:ascii="Arial" w:hAnsi="Arial" w:cs="Arial"/>
          <w:lang w:val="id-ID"/>
        </w:rPr>
        <w:t>Auditor Courage</w:t>
      </w:r>
    </w:p>
    <w:p>
      <w:pPr>
        <w:pStyle w:val="ListParagraph"/>
        <w:autoSpaceDE w:val="0"/>
        <w:autoSpaceDN w:val="0"/>
        <w:adjustRightInd w:val="0"/>
        <w:rPr>
          <w:rFonts w:ascii="Arial" w:hAnsi="Arial" w:cs="Arial"/>
          <w:lang w:val="id-ID"/>
        </w:rPr>
      </w:pPr>
      <w:r>
        <w:rPr>
          <w:rFonts w:ascii="Arial" w:hAnsi="Arial" w:cs="Arial"/>
          <w:lang w:val="id-ID"/>
        </w:rPr>
        <w:t>Courage is reflected in an auditor’s strength of character, fearlessness, and high level of self-confidence in facing challenges.</w:t>
      </w:r>
    </w:p>
    <w:p>
      <w:pPr>
        <w:pStyle w:val="ListParagraph"/>
        <w:numPr>
          <w:ilvl w:val="0"/>
          <w:numId w:val="31"/>
        </w:numPr>
        <w:autoSpaceDE w:val="0"/>
        <w:autoSpaceDN w:val="0"/>
        <w:adjustRightInd w:val="0"/>
        <w:rPr>
          <w:rFonts w:ascii="CIDFont+F1" w:hAnsi="CIDFont+F1" w:cs="CIDFont+F1"/>
          <w:sz w:val="23"/>
          <w:szCs w:val="23"/>
          <w:lang w:val="id-ID"/>
        </w:rPr>
      </w:pPr>
      <w:r>
        <w:rPr>
          <w:rFonts w:ascii="Arial" w:hAnsi="Arial" w:cs="Arial"/>
          <w:lang w:val="id-ID"/>
        </w:rPr>
        <w:t>Auditor Discretion</w:t>
      </w:r>
    </w:p>
    <w:p>
      <w:pPr>
        <w:pStyle w:val="ListParagraph"/>
        <w:autoSpaceDE w:val="0"/>
        <w:autoSpaceDN w:val="0"/>
        <w:adjustRightInd w:val="0"/>
        <w:rPr>
          <w:rFonts w:ascii="Arial" w:hAnsi="Arial" w:cs="Arial"/>
          <w:lang w:val="id-ID"/>
        </w:rPr>
      </w:pPr>
      <w:r>
        <w:rPr>
          <w:rFonts w:ascii="Arial" w:hAnsi="Arial" w:cs="Arial"/>
          <w:lang w:val="id-ID"/>
        </w:rPr>
        <w:t>Discretion involves the ability to exercise wise judgment in thoughts, words, and actions without imposing one’s will on others.</w:t>
      </w:r>
    </w:p>
    <w:p>
      <w:pPr>
        <w:pStyle w:val="ListParagraph"/>
        <w:numPr>
          <w:ilvl w:val="0"/>
          <w:numId w:val="31"/>
        </w:numPr>
        <w:autoSpaceDE w:val="0"/>
        <w:autoSpaceDN w:val="0"/>
        <w:adjustRightInd w:val="0"/>
        <w:rPr>
          <w:rFonts w:ascii="Arial" w:hAnsi="Arial" w:cs="Arial"/>
          <w:lang w:val="id-ID"/>
        </w:rPr>
      </w:pPr>
      <w:r>
        <w:rPr>
          <w:rFonts w:ascii="Arial" w:hAnsi="Arial" w:cs="Arial"/>
          <w:lang w:val="id-ID"/>
        </w:rPr>
        <w:t>Auditor Responsibilities</w:t>
      </w:r>
    </w:p>
    <w:p>
      <w:pPr>
        <w:pStyle w:val="ListParagraph"/>
        <w:autoSpaceDE w:val="0"/>
        <w:autoSpaceDN w:val="0"/>
        <w:adjustRightInd w:val="0"/>
        <w:rPr>
          <w:rFonts w:ascii="Arial" w:hAnsi="Arial" w:cs="Arial"/>
          <w:lang w:val="id-ID"/>
        </w:rPr>
      </w:pPr>
      <w:r>
        <w:rPr>
          <w:rFonts w:ascii="Arial" w:hAnsi="Arial" w:cs="Arial"/>
          <w:lang w:val="id-ID"/>
        </w:rPr>
        <w:t>Responsibility means that the auditor is obligated to take full ownership of the audit process and bear accountability for the audit report produced.</w:t>
      </w:r>
    </w:p>
    <w:p>
      <w:pPr>
        <w:pStyle w:val="ListParagraph"/>
        <w:autoSpaceDE w:val="0"/>
        <w:autoSpaceDN w:val="0"/>
        <w:adjustRightInd w:val="0"/>
        <w:rPr>
          <w:rFonts w:ascii="Arial" w:hAnsi="Arial" w:cs="Arial"/>
          <w:lang w:val="id-ID"/>
        </w:rPr>
      </w:pPr>
    </w:p>
    <w:p>
      <w:pPr>
        <w:pStyle w:val="Body"/>
        <w:spacing w:after="0"/>
        <w:rPr>
          <w:rFonts w:ascii="Arial" w:hAnsi="Arial" w:cs="Arial"/>
          <w:b/>
          <w:bCs/>
          <w:sz w:val="22"/>
          <w:szCs w:val="22"/>
        </w:rPr>
      </w:pPr>
      <w:r>
        <w:rPr>
          <w:rFonts w:ascii="Arial" w:hAnsi="Arial" w:cs="Arial"/>
          <w:b/>
          <w:bCs/>
          <w:sz w:val="22"/>
          <w:szCs w:val="22"/>
        </w:rPr>
        <w:t>2.4 Professional Skepticism</w:t>
      </w:r>
    </w:p>
    <w:p>
      <w:pPr>
        <w:pStyle w:val="Body"/>
        <w:spacing w:after="0"/>
        <w:rPr>
          <w:rFonts w:ascii="Arial" w:hAnsi="Arial" w:cs="Arial"/>
        </w:rPr>
      </w:pPr>
    </w:p>
    <w:p>
      <w:pPr>
        <w:pStyle w:val="Body"/>
        <w:rPr>
          <w:rFonts w:ascii="Arial" w:hAnsi="Arial" w:cs="Arial"/>
          <w:lang w:val="id-ID"/>
        </w:rPr>
      </w:pPr>
      <w:r>
        <w:rPr>
          <w:rFonts w:ascii="Arial" w:hAnsi="Arial" w:cs="Arial"/>
          <w:lang w:val="id-ID"/>
        </w:rPr>
        <w:t>Professional skepticism can also be utilized in an effort to detect fraud. Arens et al. (2017) explain that professional skepticism is a fundamental element in auditing standards, but its application in real audit practice often faces challenges. Auditors as humans have a natural bias that makes it easier for to trust individuals they know or with whom they frequently interact, auditors often face difficulties in accepting the possibility that their clients may not have sufficient competence or even engage in fraudulent acts during the audit process (Rahmawati et al., 2021).</w:t>
      </w:r>
    </w:p>
    <w:p>
      <w:pPr>
        <w:pStyle w:val="Body"/>
        <w:rPr>
          <w:rFonts w:ascii="Arial" w:hAnsi="Arial" w:cs="Arial"/>
        </w:rPr>
      </w:pPr>
      <w:r>
        <w:rPr>
          <w:rFonts w:ascii="Arial" w:hAnsi="Arial" w:cs="Arial"/>
        </w:rPr>
        <w:t xml:space="preserve">By carefully analyzing audit evidence through a method known as professional skepticism, auditors are able to detect potential misstatements in financial reports. A lack of sufficient professional skepticism often contributes to their failure to identify fraud. </w:t>
      </w:r>
      <w:proofErr w:type="spellStart"/>
      <w:r>
        <w:rPr>
          <w:rFonts w:ascii="Arial" w:hAnsi="Arial" w:cs="Arial"/>
        </w:rPr>
        <w:t>Aryotama</w:t>
      </w:r>
      <w:proofErr w:type="spellEnd"/>
      <w:r>
        <w:rPr>
          <w:rFonts w:ascii="Arial" w:hAnsi="Arial" w:cs="Arial"/>
        </w:rPr>
        <w:t xml:space="preserve"> (2024) notes that the more frequently auditors review financial statements, the higher their level of professional skepticism becomes. Thus, it is evident that professional skepticism is essential in enhancing an auditor's ability to detect fraud.</w:t>
      </w:r>
    </w:p>
    <w:p>
      <w:pPr>
        <w:pStyle w:val="Body"/>
        <w:spacing w:after="0"/>
        <w:rPr>
          <w:rFonts w:ascii="Arial" w:hAnsi="Arial" w:cs="Arial"/>
          <w:b/>
          <w:bCs/>
          <w:sz w:val="22"/>
          <w:szCs w:val="22"/>
        </w:rPr>
      </w:pPr>
      <w:r>
        <w:rPr>
          <w:rFonts w:ascii="Arial" w:hAnsi="Arial" w:cs="Arial"/>
          <w:b/>
          <w:bCs/>
          <w:sz w:val="22"/>
          <w:szCs w:val="22"/>
        </w:rPr>
        <w:t>2.5 The Effect of Competence on the Ability to Detect Fraud</w:t>
      </w:r>
    </w:p>
    <w:p>
      <w:pPr>
        <w:pStyle w:val="Body"/>
        <w:rPr>
          <w:rFonts w:ascii="Arial" w:hAnsi="Arial" w:cs="Arial"/>
          <w:lang w:val="id-ID"/>
        </w:rPr>
      </w:pPr>
      <w:r>
        <w:rPr>
          <w:rFonts w:ascii="Arial" w:hAnsi="Arial" w:cs="Arial"/>
          <w:lang w:val="id-ID"/>
        </w:rPr>
        <w:t xml:space="preserve">Efficiency plays a crucial role in enhancing an auditor’s ability to detect fraud. An auditor’s effectiveness in uncovering fraudulent activities improves in proportion to their level of competence and expertise. Auditors who are confident in their abilities tend to identify signs of fraud more easily during the audit process. The findings suggest that greater efficiency </w:t>
      </w:r>
      <w:r>
        <w:rPr>
          <w:rFonts w:ascii="Arial" w:hAnsi="Arial" w:cs="Arial"/>
          <w:lang w:val="id-ID"/>
        </w:rPr>
        <w:lastRenderedPageBreak/>
        <w:t>allows auditors to perform their duties more effectively, particularly in conducting audits and monitoring financial activities.</w:t>
      </w:r>
    </w:p>
    <w:p>
      <w:pPr>
        <w:pStyle w:val="Body"/>
        <w:rPr>
          <w:rFonts w:ascii="Arial" w:hAnsi="Arial" w:cs="Arial"/>
          <w:lang w:val="id-ID"/>
        </w:rPr>
      </w:pPr>
      <w:r>
        <w:rPr>
          <w:rFonts w:ascii="Arial" w:hAnsi="Arial" w:cs="Arial"/>
          <w:lang w:val="id-ID"/>
        </w:rPr>
        <w:t>By improving work efficiency, auditors can refine their analytical skills in examining financial reports and applying various fraud prevention strategies. This enables them to detect potential fraudulent activities within the audit process (Wulandhari &amp; Kuntadi, 2022). A study by Prihantoro and Kuntadi (2022) found that enhancing an auditor’s competence significantly improves their ability to recognize different forms of fraud. On the other hand, audit procedures may become less effective if auditors lack the necessary competence to identify and uncover fraudulent activities.</w:t>
      </w:r>
    </w:p>
    <w:p>
      <w:pPr>
        <w:pStyle w:val="Body"/>
        <w:rPr>
          <w:rFonts w:ascii="Arial" w:hAnsi="Arial" w:cs="Arial"/>
          <w:lang w:val="id-ID"/>
        </w:rPr>
      </w:pPr>
      <w:r>
        <w:rPr>
          <w:rFonts w:ascii="Arial" w:hAnsi="Arial" w:cs="Arial"/>
          <w:lang w:val="id-ID"/>
        </w:rPr>
        <w:t>Research by Firmansyah et al. (2024) examined how competence influences auditors’ responsibilities in detecting financial misstatements caused by fraud. Their findings indicate that while auditor competence plays a substantial role in ensuring successful fraud detection, other supporting factors also contribute to the process. Similarly, a study by Salsabila et al. (2023) revealed that competence, independence, and professional skepticism collectively shape an auditor’s ability to uncover fraudulent activities. In this regard, competence serves as a fundamental element that enhances an auditor’s effectiveness in performing their duties. The relationship between competence and fraud detection is evident in several aspects, including a deep understanding of regulations and standards, strong analytical capabilities, proficiency in auditing technology, and expertise in evaluating internal control systems.</w:t>
      </w:r>
    </w:p>
    <w:p>
      <w:pPr>
        <w:pStyle w:val="Body"/>
        <w:rPr>
          <w:rFonts w:ascii="Arial" w:hAnsi="Arial" w:cs="Arial"/>
          <w:lang w:val="id-ID"/>
        </w:rPr>
      </w:pPr>
      <w:r>
        <w:rPr>
          <w:rFonts w:ascii="Arial" w:hAnsi="Arial" w:cs="Arial"/>
          <w:i/>
          <w:iCs/>
          <w:lang w:val="id-ID"/>
        </w:rPr>
        <w:t>H1: Competence has a positive effect on the ability to detect fraud</w:t>
      </w:r>
    </w:p>
    <w:p>
      <w:pPr>
        <w:pStyle w:val="Body"/>
        <w:spacing w:after="0"/>
        <w:rPr>
          <w:rFonts w:ascii="Arial" w:hAnsi="Arial" w:cs="Arial"/>
          <w:b/>
          <w:bCs/>
          <w:sz w:val="22"/>
          <w:szCs w:val="22"/>
        </w:rPr>
      </w:pPr>
      <w:r>
        <w:rPr>
          <w:rFonts w:ascii="Arial" w:hAnsi="Arial" w:cs="Arial"/>
          <w:b/>
          <w:bCs/>
          <w:sz w:val="22"/>
          <w:szCs w:val="22"/>
        </w:rPr>
        <w:t>2.6 The Effect of Competence on the Ability to Detect Fraud</w:t>
      </w:r>
    </w:p>
    <w:p>
      <w:pPr>
        <w:pStyle w:val="Body"/>
        <w:spacing w:after="0"/>
        <w:rPr>
          <w:rFonts w:ascii="Arial" w:hAnsi="Arial" w:cs="Arial"/>
          <w:b/>
          <w:bCs/>
        </w:rPr>
      </w:pPr>
    </w:p>
    <w:p>
      <w:pPr>
        <w:pStyle w:val="Body"/>
        <w:rPr>
          <w:rFonts w:ascii="Arial" w:hAnsi="Arial" w:cs="Arial"/>
          <w:lang w:val="id-ID"/>
        </w:rPr>
      </w:pPr>
      <w:r>
        <w:rPr>
          <w:rFonts w:ascii="Arial" w:hAnsi="Arial" w:cs="Arial"/>
          <w:lang w:val="id-ID"/>
        </w:rPr>
        <w:t>Detecting fraud, particularly in the government sector, is a critical responsibility of auditors (Groot &amp; Hernandez, 2007). Integrity is regarded as a key factor influencing the performance quality of government internal auditors. Auditors are expected to actively participate in fraud detection by maintaining integrity, adhering to ethical standards, and complying with relevant regulations. By demonstrating integrity, auditors can perform their duties with objectivity and accountability.</w:t>
      </w:r>
    </w:p>
    <w:p>
      <w:pPr>
        <w:pStyle w:val="Body"/>
        <w:rPr>
          <w:rFonts w:ascii="Arial" w:hAnsi="Arial" w:cs="Arial"/>
          <w:lang w:val="id-ID"/>
        </w:rPr>
      </w:pPr>
      <w:r>
        <w:rPr>
          <w:rFonts w:ascii="Arial" w:hAnsi="Arial" w:cs="Arial"/>
          <w:lang w:val="id-ID"/>
        </w:rPr>
        <w:t>According to AAIPI (2014), integrity is an essential trait for government internal auditors, as it is closely linked to honesty, transparency, and the ability to provide accurate and unbiased reports. Integrity also strengthens public confidence in auditors and serves as a fundamental aspect of professional decision-making. This perspective aligns with attribution theory, which suggests that integrity is an internal characteristic that shapes an individual’s workplace behavior. Auditors with high integrity are more likely to conduct their work with fairness, honesty, and a strong sense of responsibility.</w:t>
      </w:r>
    </w:p>
    <w:p>
      <w:pPr>
        <w:pStyle w:val="Body"/>
        <w:rPr>
          <w:rFonts w:ascii="Arial" w:hAnsi="Arial" w:cs="Arial"/>
          <w:lang w:val="id-ID"/>
        </w:rPr>
      </w:pPr>
      <w:r>
        <w:rPr>
          <w:rFonts w:ascii="Arial" w:hAnsi="Arial" w:cs="Arial"/>
          <w:lang w:val="id-ID"/>
        </w:rPr>
        <w:t>Research has consistently emphasized the significance of integrity in fraud detection. Studies conducted by Rahmawati et al. (2020) at the Seluwu Raya Inspectorate, as well as research by Eka Putri (2021), Dewi (2017), Amalia (2019), and Ramadhani Hayati (2014), indicate that government auditors with strong integrity significantly enhance fraud detection effectiveness. These findings highlight that auditors who uphold high integrity levels are more capable of conducting examinations with honesty, accountability, and sound judgment, while remaining resistant to external pressures that may compromise the audit process.</w:t>
      </w:r>
    </w:p>
    <w:p>
      <w:pPr>
        <w:pStyle w:val="Body"/>
        <w:rPr>
          <w:rFonts w:ascii="Arial" w:hAnsi="Arial" w:cs="Arial"/>
          <w:i/>
          <w:iCs/>
          <w:lang w:val="id-ID"/>
        </w:rPr>
      </w:pPr>
      <w:r>
        <w:rPr>
          <w:rFonts w:ascii="Arial" w:hAnsi="Arial" w:cs="Arial"/>
          <w:i/>
          <w:iCs/>
          <w:lang w:val="id-ID"/>
        </w:rPr>
        <w:t>H2: Integrity has a positive effect on the ability to detect fraud</w:t>
      </w:r>
    </w:p>
    <w:p>
      <w:pPr>
        <w:pStyle w:val="Body"/>
        <w:spacing w:after="0"/>
        <w:rPr>
          <w:rFonts w:ascii="Arial" w:hAnsi="Arial" w:cs="Arial"/>
          <w:b/>
          <w:bCs/>
          <w:sz w:val="22"/>
          <w:szCs w:val="22"/>
        </w:rPr>
      </w:pPr>
      <w:r>
        <w:rPr>
          <w:rFonts w:ascii="Arial" w:hAnsi="Arial" w:cs="Arial"/>
          <w:b/>
          <w:bCs/>
          <w:sz w:val="22"/>
          <w:szCs w:val="22"/>
        </w:rPr>
        <w:t>2.7 The Effect of Competence on Professional Skepticism</w:t>
      </w:r>
    </w:p>
    <w:p>
      <w:pPr>
        <w:pStyle w:val="Body"/>
        <w:spacing w:after="0"/>
        <w:rPr>
          <w:rFonts w:ascii="Arial" w:hAnsi="Arial" w:cs="Arial"/>
          <w:b/>
          <w:bCs/>
          <w:sz w:val="22"/>
          <w:szCs w:val="22"/>
        </w:rPr>
      </w:pPr>
    </w:p>
    <w:p>
      <w:pPr>
        <w:pStyle w:val="Body"/>
        <w:rPr>
          <w:rFonts w:ascii="Arial" w:hAnsi="Arial" w:cs="Arial"/>
          <w:lang w:val="id-ID"/>
        </w:rPr>
      </w:pPr>
      <w:r>
        <w:rPr>
          <w:rFonts w:ascii="Arial" w:hAnsi="Arial" w:cs="Arial"/>
          <w:lang w:val="id-ID"/>
        </w:rPr>
        <w:t>Professional skepticism is an auditor's attitude that always questions and critically evaluates evidence (BPK, 2017). According to Eagly &amp; Chaiken (2005), understanding attitudes is the first step in understanding human behavior, where attitudes cannot be observed directly but can be inferred through beliefs (cognition) and feelings (affect). This attitude plays a role in predicting and explaining auditor behavior. Attributus theory explains about a person's internal strength, namely competence. The Institute Internal Auditors states that competence consists of three main dimensions, namely knowledge, skills and attitudes. Based on this theory, auditors' professional skepticism is driven by beliefs that come from the competence that auditors have.</w:t>
      </w:r>
    </w:p>
    <w:p>
      <w:pPr>
        <w:pStyle w:val="Body"/>
        <w:rPr>
          <w:rFonts w:ascii="Arial" w:hAnsi="Arial" w:cs="Arial"/>
          <w:lang w:val="id-ID"/>
        </w:rPr>
      </w:pPr>
      <w:r>
        <w:rPr>
          <w:rFonts w:ascii="Arial" w:hAnsi="Arial" w:cs="Arial"/>
          <w:lang w:val="id-ID"/>
        </w:rPr>
        <w:t>Auditors' beliefs and feelings form attitudes that ultimately affect their intentions and behavior in detecting fraud. Research by Fullerton &amp; Durtschi (2004) and Charron &amp; Lowe (2008) shows that auditors with certified expertise and experience have a higher level of skepticism than non-certified ones. Nelson (2009) also confirms that auditors' understanding of fraud can increase professional skepticism. The professional skepticism model from Hurtt et al. (2013) places competence as a factor that supports the development of professional skepticism. Various other studies from Ziah &amp; Kuntadi (2023), Prasetya et al. (2023) and Soewandy &amp; Kuntadi (2023) also proves that competence affects the professional skepticism of auditors. Thus, professional skepticism is influenced by auditor competence, which includes knowledge and skills, and has an important role in increasing the auditor's ability to detect fraud.</w:t>
      </w:r>
    </w:p>
    <w:p>
      <w:pPr>
        <w:pStyle w:val="Body"/>
        <w:rPr>
          <w:rFonts w:ascii="Arial" w:hAnsi="Arial" w:cs="Arial"/>
          <w:i/>
          <w:iCs/>
          <w:lang w:val="id-ID"/>
        </w:rPr>
      </w:pPr>
      <w:r>
        <w:rPr>
          <w:rFonts w:ascii="Arial" w:hAnsi="Arial" w:cs="Arial"/>
          <w:i/>
          <w:iCs/>
          <w:lang w:val="id-ID"/>
        </w:rPr>
        <w:t>H3: Competence has a positive effect on professional skepticism</w:t>
      </w:r>
    </w:p>
    <w:p>
      <w:pPr>
        <w:pStyle w:val="Body"/>
        <w:spacing w:after="0"/>
        <w:rPr>
          <w:rFonts w:ascii="Arial" w:hAnsi="Arial" w:cs="Arial"/>
          <w:b/>
          <w:bCs/>
          <w:sz w:val="22"/>
          <w:szCs w:val="22"/>
        </w:rPr>
      </w:pPr>
      <w:r>
        <w:rPr>
          <w:rFonts w:ascii="Arial" w:hAnsi="Arial" w:cs="Arial"/>
          <w:b/>
          <w:bCs/>
          <w:sz w:val="22"/>
          <w:szCs w:val="22"/>
        </w:rPr>
        <w:t>2.8 The Effect of Integrity on Professional Skepticism</w:t>
      </w:r>
    </w:p>
    <w:p>
      <w:pPr>
        <w:pStyle w:val="Body"/>
        <w:spacing w:after="0"/>
        <w:rPr>
          <w:rFonts w:ascii="Arial" w:hAnsi="Arial" w:cs="Arial"/>
        </w:rPr>
      </w:pPr>
    </w:p>
    <w:p>
      <w:pPr>
        <w:pStyle w:val="Body"/>
        <w:rPr>
          <w:rFonts w:ascii="Arial" w:hAnsi="Arial" w:cs="Arial"/>
          <w:lang w:val="id-ID"/>
        </w:rPr>
      </w:pPr>
      <w:r>
        <w:rPr>
          <w:rFonts w:ascii="Arial" w:hAnsi="Arial" w:cs="Arial"/>
          <w:lang w:val="id-ID"/>
        </w:rPr>
        <w:t>Attribution theory is again the basis of the hypothesis because this theory is related to the observation of individual behavior. This behavior is caused by internal and external factors. Auditor integrity and professional skepticism have a close relationship in the audit process, especially in detecting fraud. Integrity is an ethical foundation that encourages auditors to act honestly, objectively, and consistently in accordance with professional standards. Meanwhile, professional skepticism is the auditor's attitude that always questions and critically evaluates evidence to detect possible misstatements or fraud in the financial statements. Both play an important role in improving audit effectiveness and ensuring accountability and transparency in organizations. Integrity as a driver of professional skepticism. Auditors with a high level of integrity tend to be more skeptical in evaluating audit evidence. Auditors will remain objective, not easily influenced by external pressure, and able to deal with complex ethical dilemmas. Research by Rahmawati et al. (2020), Eka Putri (2021), and Dewi (2017) show that auditors with high integrity have a tendency to be skeptical and are able to conduct audits more thoroughly in detecting fraud.</w:t>
      </w:r>
    </w:p>
    <w:p>
      <w:pPr>
        <w:pStyle w:val="Body"/>
        <w:rPr>
          <w:rFonts w:ascii="Arial" w:hAnsi="Arial" w:cs="Arial"/>
          <w:lang w:val="id-ID"/>
        </w:rPr>
      </w:pPr>
      <w:r>
        <w:rPr>
          <w:rFonts w:ascii="Arial" w:hAnsi="Arial" w:cs="Arial"/>
          <w:lang w:val="id-ID"/>
        </w:rPr>
        <w:t>Professional skepticism as a form of integrity implementation. Professional skepticism allows auditors to carry out their duties with a higher level of integrity. According to Nelson (2009), auditors who have a good understanding of fraud patterns and audit risks are more likely to act skeptically and maintain objectivity in decision making. Research that supports the link between integrity and professional skepticism, namely research by Amalia (2019) and Ramadhani Hayati (2014) found that auditor integrity has a significant effect on their ability to detect fraud, where auditors with high integrity tend to have strong professional skepticism. Suraida (2005), Kusumawati &amp; Syamsuddin (2018), and Putra (2017) show that professional integrity plays an important role in shaping auditor skepticism. Hurtt et al. (2013) developed a professional skepticism model which states that internal factors such as integrity and competence are the main drivers of auditor skepticism.</w:t>
      </w:r>
    </w:p>
    <w:p>
      <w:pPr>
        <w:pStyle w:val="Body"/>
        <w:rPr>
          <w:rFonts w:ascii="Arial" w:hAnsi="Arial" w:cs="Arial"/>
          <w:lang w:val="id-ID"/>
        </w:rPr>
      </w:pPr>
      <w:r>
        <w:rPr>
          <w:rFonts w:ascii="Arial" w:hAnsi="Arial" w:cs="Arial"/>
          <w:lang w:val="id-ID"/>
        </w:rPr>
        <w:lastRenderedPageBreak/>
        <w:t>High integrity encourages auditors to maintain a stronger skeptical attitude in the face of potential fraud, thereby increasing audit effectiveness. Auditors with integrity will be more careful in evaluating evidence, not easily influenced by relationships with clients, and always seek the truth. High professional skepticism, in turn, allows auditors to be more critical in assessing the reliability of financial statements, thus increasing the chances of detecting hidden fraud.</w:t>
      </w:r>
    </w:p>
    <w:p>
      <w:pPr>
        <w:pStyle w:val="Body"/>
        <w:rPr>
          <w:rFonts w:ascii="Arial" w:hAnsi="Arial" w:cs="Arial"/>
          <w:i/>
          <w:iCs/>
          <w:lang w:val="id-ID"/>
        </w:rPr>
      </w:pPr>
      <w:r>
        <w:rPr>
          <w:rFonts w:ascii="Arial" w:hAnsi="Arial" w:cs="Arial"/>
          <w:i/>
          <w:iCs/>
          <w:lang w:val="id-ID"/>
        </w:rPr>
        <w:t>H4: Integrity has a positive effect on professional skepticism</w:t>
      </w:r>
    </w:p>
    <w:p>
      <w:pPr>
        <w:pStyle w:val="Body"/>
        <w:spacing w:after="0"/>
        <w:rPr>
          <w:rFonts w:ascii="Arial" w:hAnsi="Arial" w:cs="Arial"/>
        </w:rPr>
      </w:pPr>
      <w:r>
        <w:rPr>
          <w:rFonts w:ascii="Arial" w:hAnsi="Arial" w:cs="Arial"/>
          <w:b/>
          <w:bCs/>
          <w:sz w:val="22"/>
          <w:szCs w:val="22"/>
        </w:rPr>
        <w:t xml:space="preserve">2.9 </w:t>
      </w:r>
      <w:r>
        <w:rPr>
          <w:rFonts w:ascii="Arial" w:hAnsi="Arial" w:cs="Arial"/>
          <w:b/>
          <w:bCs/>
          <w:sz w:val="22"/>
          <w:szCs w:val="22"/>
          <w:lang w:val="id-ID"/>
        </w:rPr>
        <w:t>The Effect of Professional Skepticism on the Ability to Detect Fraud</w:t>
      </w:r>
    </w:p>
    <w:p>
      <w:pPr>
        <w:pStyle w:val="Body"/>
        <w:spacing w:after="0"/>
        <w:rPr>
          <w:rFonts w:ascii="Arial" w:hAnsi="Arial" w:cs="Arial"/>
        </w:rPr>
      </w:pPr>
    </w:p>
    <w:p>
      <w:pPr>
        <w:pStyle w:val="Body"/>
        <w:rPr>
          <w:rFonts w:ascii="Arial" w:hAnsi="Arial" w:cs="Arial"/>
          <w:lang w:val="id-ID"/>
        </w:rPr>
      </w:pPr>
      <w:r>
        <w:rPr>
          <w:rFonts w:ascii="Arial" w:hAnsi="Arial" w:cs="Arial"/>
          <w:lang w:val="id-ID"/>
        </w:rPr>
        <w:t>Attribution theory developed by Heider (1958) and later refined by Kelley (1973) explains that individuals tend to look for the causes of others' behavior by attributing it to internal (dispositional) or external (situational) factors. In the context of auditing, this theory can be used to understand how auditors evaluate information and evidence obtained in the examination process and how they develop professional skepticism in detecting fraud. Auditors who have high professional skepticism tend to attribute financial anomalies to internal factors, such as management's intention to commit fraud, rather than external factors such as system errors.</w:t>
      </w:r>
    </w:p>
    <w:p>
      <w:pPr>
        <w:pStyle w:val="Body"/>
        <w:rPr>
          <w:rFonts w:ascii="Arial" w:hAnsi="Arial" w:cs="Arial"/>
          <w:lang w:val="id-ID"/>
        </w:rPr>
      </w:pPr>
      <w:r>
        <w:rPr>
          <w:rFonts w:ascii="Arial" w:hAnsi="Arial" w:cs="Arial"/>
          <w:lang w:val="id-ID"/>
        </w:rPr>
        <w:t>In this study, attribution theory is applied to explain how professional skepticism influences an auditor’s fraud detection capabilities. Professional skepticism involves an attitude of questioning and critically evaluating evidence. According to attribution theory, auditors who exhibit high levels of skepticism are more likely to interpret irregularities in financial statements as potentially intentional actions by the audited entity, leading them to conduct a more rigorous process of gathering and analyzing evidence.</w:t>
      </w:r>
    </w:p>
    <w:p>
      <w:pPr>
        <w:pStyle w:val="Body"/>
        <w:rPr>
          <w:rFonts w:ascii="Arial" w:hAnsi="Arial" w:cs="Arial"/>
          <w:lang w:val="id-ID"/>
        </w:rPr>
      </w:pPr>
      <w:r>
        <w:rPr>
          <w:rFonts w:ascii="Arial" w:hAnsi="Arial" w:cs="Arial"/>
          <w:lang w:val="id-ID"/>
        </w:rPr>
        <w:t>Moreover, several previous studies, including those by Arief et al. (2024), have demonstrated that professional skepticism is crucial for detecting fraud. These findings support the attribution theory perspective, suggesting that auditors with strong knowledge and experience are better equipped to attribute signs of fraud to internal factors, thereby enhancing their effectiveness in identifying irregularities or manipulations in financial statements.</w:t>
      </w:r>
    </w:p>
    <w:p>
      <w:pPr>
        <w:pStyle w:val="Body"/>
        <w:rPr>
          <w:rFonts w:ascii="Arial" w:hAnsi="Arial" w:cs="Arial"/>
          <w:i/>
          <w:iCs/>
          <w:lang w:val="id-ID"/>
        </w:rPr>
      </w:pPr>
      <w:r>
        <w:rPr>
          <w:rFonts w:ascii="Arial" w:hAnsi="Arial" w:cs="Arial"/>
          <w:i/>
          <w:iCs/>
          <w:lang w:val="id-ID"/>
        </w:rPr>
        <w:t>H5: Professional Skepticism on the Ability to Detect Fraud</w:t>
      </w:r>
    </w:p>
    <w:p>
      <w:pPr>
        <w:pStyle w:val="Body"/>
        <w:rPr>
          <w:rFonts w:ascii="Arial" w:hAnsi="Arial" w:cs="Arial"/>
          <w:lang w:val="id-ID"/>
        </w:rPr>
      </w:pPr>
      <w:r>
        <w:rPr>
          <w:rFonts w:ascii="Arial" w:hAnsi="Arial" w:cs="Arial"/>
          <w:lang w:val="id-ID"/>
        </w:rPr>
        <w:t>Based on the literature review and previous research, the conceptual framework is depicted as in Figure 1</w:t>
      </w:r>
    </w:p>
    <w:p>
      <w:pPr>
        <w:pStyle w:val="Body"/>
        <w:rPr>
          <w:rFonts w:ascii="Arial" w:hAnsi="Arial" w:cs="Arial"/>
          <w:lang w:val="id-ID"/>
        </w:rPr>
      </w:pPr>
      <w:r>
        <w:rPr>
          <w:rFonts w:ascii="Arial" w:hAnsi="Arial" w:cs="Arial"/>
          <w:noProof/>
          <w:lang w:val="id-ID"/>
        </w:rPr>
        <w:drawing>
          <wp:inline distT="0" distB="0" distL="0" distR="0">
            <wp:extent cx="5212080" cy="1828800"/>
            <wp:effectExtent l="0" t="0" r="0" b="0"/>
            <wp:docPr id="243952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52001" name=""/>
                    <pic:cNvPicPr/>
                  </pic:nvPicPr>
                  <pic:blipFill rotWithShape="1">
                    <a:blip r:embed="rId8"/>
                    <a:srcRect b="9205"/>
                    <a:stretch/>
                  </pic:blipFill>
                  <pic:spPr bwMode="auto">
                    <a:xfrm>
                      <a:off x="0" y="0"/>
                      <a:ext cx="5212080" cy="1828800"/>
                    </a:xfrm>
                    <a:prstGeom prst="rect">
                      <a:avLst/>
                    </a:prstGeom>
                    <a:ln>
                      <a:noFill/>
                    </a:ln>
                    <a:extLst>
                      <a:ext uri="{53640926-AAD7-44D8-BBD7-CCE9431645EC}">
                        <a14:shadowObscured xmlns:a14="http://schemas.microsoft.com/office/drawing/2010/main"/>
                      </a:ext>
                    </a:extLst>
                  </pic:spPr>
                </pic:pic>
              </a:graphicData>
            </a:graphic>
          </wp:inline>
        </w:drawing>
      </w:r>
    </w:p>
    <w:p>
      <w:pPr>
        <w:pStyle w:val="Body"/>
        <w:jc w:val="center"/>
        <w:rPr>
          <w:rFonts w:ascii="Arial" w:hAnsi="Arial" w:cs="Arial"/>
          <w:lang w:val="id-ID"/>
        </w:rPr>
      </w:pPr>
      <w:r>
        <w:rPr>
          <w:rFonts w:ascii="Arial" w:hAnsi="Arial" w:cs="Arial"/>
          <w:lang w:val="id-ID"/>
        </w:rPr>
        <w:lastRenderedPageBreak/>
        <w:t>Figure 1. Research Model</w:t>
      </w:r>
    </w:p>
    <w:p>
      <w:pPr>
        <w:pStyle w:val="Head1"/>
        <w:spacing w:after="0"/>
        <w:jc w:val="both"/>
        <w:rPr>
          <w:rFonts w:ascii="Arial" w:hAnsi="Arial" w:cs="Arial"/>
        </w:rPr>
      </w:pPr>
      <w:r>
        <w:rPr>
          <w:rFonts w:ascii="Arial" w:hAnsi="Arial" w:cs="Arial"/>
        </w:rPr>
        <w:t xml:space="preserve">3. </w:t>
      </w:r>
      <w:r>
        <w:rPr>
          <w:rFonts w:ascii="Arial" w:hAnsi="Arial" w:cs="Arial"/>
          <w:lang w:val="id-ID"/>
        </w:rPr>
        <w:t>RESEARCH METHODS RESEARCH METHODS</w:t>
      </w:r>
    </w:p>
    <w:p>
      <w:pPr>
        <w:pStyle w:val="Head1"/>
        <w:spacing w:after="0"/>
        <w:jc w:val="both"/>
        <w:rPr>
          <w:rFonts w:ascii="Arial" w:hAnsi="Arial" w:cs="Arial"/>
        </w:rPr>
      </w:pPr>
    </w:p>
    <w:p>
      <w:pPr>
        <w:pStyle w:val="Body"/>
        <w:rPr>
          <w:rFonts w:ascii="Arial" w:hAnsi="Arial" w:cs="Arial"/>
          <w:lang w:val="id-ID"/>
        </w:rPr>
      </w:pPr>
      <w:r>
        <w:rPr>
          <w:rFonts w:ascii="Arial" w:hAnsi="Arial" w:cs="Arial"/>
          <w:lang w:val="id-ID"/>
        </w:rPr>
        <w:t>This study employs a quantitative approach, utilizing descriptive, causal, and explanatory analyses. Data was gathered using questionnaires and analyzed with Partial Least Square Structural Equation Modeling (SEM-PLS), which allows for simultaneous testing of both the model and its structural components. Primary data was obtained by distributing questionnaires via Google Form to auditors working in public accounting firms in DKI Jakarta Province. The sample consisted of public accountants who met specific research criteria and were located across various regions in the province. A simple random sampling method was applied, ensuring that each individual had an equal chance of being selected. Variables were measured using a Likert scale, and the questionnaire was distributed through WhatsApp to 58 respondents, achieving a 75% response rate due to direct personal contact by the researcher.</w:t>
      </w:r>
    </w:p>
    <w:p>
      <w:pPr>
        <w:pStyle w:val="Body"/>
        <w:spacing w:after="0"/>
        <w:jc w:val="center"/>
        <w:rPr>
          <w:rFonts w:ascii="Arial" w:hAnsi="Arial" w:cs="Arial"/>
          <w:lang w:val="id-ID"/>
        </w:rPr>
      </w:pPr>
      <w:r>
        <w:rPr>
          <w:rFonts w:ascii="Arial" w:hAnsi="Arial" w:cs="Arial"/>
          <w:lang w:val="id-ID"/>
        </w:rPr>
        <w:t>Table 1. Respondent Demographic Data</w:t>
      </w:r>
    </w:p>
    <w:tbl>
      <w:tblPr>
        <w:tblStyle w:val="TableGrid"/>
        <w:tblW w:w="0" w:type="auto"/>
        <w:tblLook w:val="04A0" w:firstRow="1" w:lastRow="0" w:firstColumn="1" w:lastColumn="0" w:noHBand="0" w:noVBand="1"/>
      </w:tblPr>
      <w:tblGrid>
        <w:gridCol w:w="2106"/>
        <w:gridCol w:w="2106"/>
        <w:gridCol w:w="2106"/>
        <w:gridCol w:w="2106"/>
      </w:tblGrid>
      <w:tr>
        <w:trPr>
          <w:trHeight w:val="544"/>
        </w:trPr>
        <w:tc>
          <w:tcPr>
            <w:tcW w:w="2106" w:type="dxa"/>
            <w:vAlign w:val="center"/>
          </w:tcPr>
          <w:p>
            <w:pPr>
              <w:pStyle w:val="Body"/>
              <w:spacing w:after="0"/>
              <w:jc w:val="center"/>
              <w:rPr>
                <w:rFonts w:ascii="Arial" w:hAnsi="Arial" w:cs="Arial"/>
                <w:lang w:val="id-ID"/>
              </w:rPr>
            </w:pPr>
            <w:r>
              <w:rPr>
                <w:rFonts w:ascii="Arial" w:hAnsi="Arial" w:cs="Arial"/>
                <w:lang w:val="id-ID"/>
              </w:rPr>
              <w:t>Description</w:t>
            </w:r>
          </w:p>
        </w:tc>
        <w:tc>
          <w:tcPr>
            <w:tcW w:w="2106" w:type="dxa"/>
            <w:vAlign w:val="center"/>
          </w:tcPr>
          <w:p>
            <w:pPr>
              <w:pStyle w:val="Body"/>
              <w:spacing w:after="0"/>
              <w:jc w:val="center"/>
              <w:rPr>
                <w:rFonts w:ascii="Arial" w:hAnsi="Arial" w:cs="Arial"/>
                <w:lang w:val="id-ID"/>
              </w:rPr>
            </w:pPr>
            <w:r>
              <w:rPr>
                <w:rFonts w:ascii="Arial" w:hAnsi="Arial" w:cs="Arial"/>
                <w:lang w:val="id-ID"/>
              </w:rPr>
              <w:t>Criteria</w:t>
            </w:r>
          </w:p>
        </w:tc>
        <w:tc>
          <w:tcPr>
            <w:tcW w:w="2106" w:type="dxa"/>
            <w:vAlign w:val="center"/>
          </w:tcPr>
          <w:p>
            <w:pPr>
              <w:pStyle w:val="Body"/>
              <w:spacing w:after="0"/>
              <w:jc w:val="center"/>
              <w:rPr>
                <w:rFonts w:ascii="Arial" w:hAnsi="Arial" w:cs="Arial"/>
                <w:lang w:val="id-ID"/>
              </w:rPr>
            </w:pPr>
            <w:r>
              <w:rPr>
                <w:rFonts w:ascii="Arial" w:hAnsi="Arial" w:cs="Arial"/>
                <w:lang w:val="id-ID"/>
              </w:rPr>
              <w:t>Frequency</w:t>
            </w:r>
          </w:p>
        </w:tc>
        <w:tc>
          <w:tcPr>
            <w:tcW w:w="2106" w:type="dxa"/>
            <w:vAlign w:val="center"/>
          </w:tcPr>
          <w:p>
            <w:pPr>
              <w:pStyle w:val="Body"/>
              <w:spacing w:after="0"/>
              <w:jc w:val="center"/>
              <w:rPr>
                <w:rFonts w:ascii="Arial" w:hAnsi="Arial" w:cs="Arial"/>
                <w:lang w:val="id-ID"/>
              </w:rPr>
            </w:pPr>
            <w:r>
              <w:rPr>
                <w:rFonts w:ascii="Arial" w:hAnsi="Arial" w:cs="Arial"/>
                <w:lang w:val="id-ID"/>
              </w:rPr>
              <w:t>Total</w:t>
            </w:r>
          </w:p>
        </w:tc>
      </w:tr>
      <w:tr>
        <w:tc>
          <w:tcPr>
            <w:tcW w:w="2106" w:type="dxa"/>
            <w:vMerge w:val="restart"/>
            <w:vAlign w:val="center"/>
          </w:tcPr>
          <w:p>
            <w:pPr>
              <w:pStyle w:val="Body"/>
              <w:spacing w:after="0"/>
              <w:jc w:val="center"/>
              <w:rPr>
                <w:rFonts w:ascii="Arial" w:hAnsi="Arial" w:cs="Arial"/>
                <w:lang w:val="id-ID"/>
              </w:rPr>
            </w:pPr>
            <w:r>
              <w:rPr>
                <w:rFonts w:ascii="Arial" w:hAnsi="Arial" w:cs="Arial"/>
                <w:lang w:val="id-ID"/>
              </w:rPr>
              <w:t>Gender</w:t>
            </w:r>
          </w:p>
        </w:tc>
        <w:tc>
          <w:tcPr>
            <w:tcW w:w="2106" w:type="dxa"/>
          </w:tcPr>
          <w:p>
            <w:pPr>
              <w:pStyle w:val="Body"/>
              <w:spacing w:after="0"/>
              <w:jc w:val="center"/>
              <w:rPr>
                <w:rFonts w:ascii="Arial" w:hAnsi="Arial" w:cs="Arial"/>
                <w:lang w:val="id-ID"/>
              </w:rPr>
            </w:pPr>
            <w:r>
              <w:rPr>
                <w:rFonts w:ascii="Arial" w:hAnsi="Arial" w:cs="Arial"/>
                <w:lang w:val="id-ID"/>
              </w:rPr>
              <w:t>Male</w:t>
            </w:r>
          </w:p>
        </w:tc>
        <w:tc>
          <w:tcPr>
            <w:tcW w:w="2106" w:type="dxa"/>
          </w:tcPr>
          <w:p>
            <w:pPr>
              <w:pStyle w:val="Body"/>
              <w:spacing w:after="0"/>
              <w:jc w:val="center"/>
              <w:rPr>
                <w:rFonts w:ascii="Arial" w:hAnsi="Arial" w:cs="Arial"/>
                <w:lang w:val="id-ID"/>
              </w:rPr>
            </w:pPr>
            <w:r>
              <w:rPr>
                <w:rFonts w:ascii="Arial" w:hAnsi="Arial" w:cs="Arial"/>
                <w:lang w:val="id-ID"/>
              </w:rPr>
              <w:t>31</w:t>
            </w:r>
          </w:p>
        </w:tc>
        <w:tc>
          <w:tcPr>
            <w:tcW w:w="2106" w:type="dxa"/>
            <w:vMerge w:val="restart"/>
            <w:vAlign w:val="center"/>
          </w:tcPr>
          <w:p>
            <w:pPr>
              <w:pStyle w:val="Body"/>
              <w:spacing w:after="0"/>
              <w:jc w:val="center"/>
              <w:rPr>
                <w:rFonts w:ascii="Arial" w:hAnsi="Arial" w:cs="Arial"/>
                <w:lang w:val="id-ID"/>
              </w:rPr>
            </w:pPr>
            <w:r>
              <w:rPr>
                <w:rFonts w:ascii="Arial" w:hAnsi="Arial" w:cs="Arial"/>
                <w:lang w:val="id-ID"/>
              </w:rPr>
              <w:t>58</w:t>
            </w:r>
          </w:p>
        </w:tc>
      </w:tr>
      <w:tr>
        <w:tc>
          <w:tcPr>
            <w:tcW w:w="2106" w:type="dxa"/>
            <w:vMerge/>
          </w:tcPr>
          <w:p>
            <w:pPr>
              <w:pStyle w:val="Body"/>
              <w:spacing w:after="0"/>
              <w:jc w:val="center"/>
              <w:rPr>
                <w:rFonts w:ascii="Arial" w:hAnsi="Arial" w:cs="Arial"/>
                <w:lang w:val="id-ID"/>
              </w:rPr>
            </w:pPr>
          </w:p>
        </w:tc>
        <w:tc>
          <w:tcPr>
            <w:tcW w:w="2106" w:type="dxa"/>
          </w:tcPr>
          <w:p>
            <w:pPr>
              <w:pStyle w:val="Body"/>
              <w:spacing w:after="0"/>
              <w:jc w:val="center"/>
              <w:rPr>
                <w:rFonts w:ascii="Arial" w:hAnsi="Arial" w:cs="Arial"/>
                <w:lang w:val="id-ID"/>
              </w:rPr>
            </w:pPr>
            <w:r>
              <w:rPr>
                <w:rFonts w:ascii="Arial" w:hAnsi="Arial" w:cs="Arial"/>
                <w:lang w:val="id-ID"/>
              </w:rPr>
              <w:t>Women</w:t>
            </w:r>
          </w:p>
        </w:tc>
        <w:tc>
          <w:tcPr>
            <w:tcW w:w="2106" w:type="dxa"/>
          </w:tcPr>
          <w:p>
            <w:pPr>
              <w:pStyle w:val="Body"/>
              <w:spacing w:after="0"/>
              <w:jc w:val="center"/>
              <w:rPr>
                <w:rFonts w:ascii="Arial" w:hAnsi="Arial" w:cs="Arial"/>
                <w:lang w:val="id-ID"/>
              </w:rPr>
            </w:pPr>
            <w:r>
              <w:rPr>
                <w:rFonts w:ascii="Arial" w:hAnsi="Arial" w:cs="Arial"/>
                <w:lang w:val="id-ID"/>
              </w:rPr>
              <w:t>27</w:t>
            </w:r>
          </w:p>
        </w:tc>
        <w:tc>
          <w:tcPr>
            <w:tcW w:w="2106" w:type="dxa"/>
            <w:vMerge/>
          </w:tcPr>
          <w:p>
            <w:pPr>
              <w:pStyle w:val="Body"/>
              <w:spacing w:after="0"/>
              <w:jc w:val="center"/>
              <w:rPr>
                <w:rFonts w:ascii="Arial" w:hAnsi="Arial" w:cs="Arial"/>
                <w:lang w:val="id-ID"/>
              </w:rPr>
            </w:pPr>
          </w:p>
        </w:tc>
      </w:tr>
      <w:tr>
        <w:tc>
          <w:tcPr>
            <w:tcW w:w="2106" w:type="dxa"/>
            <w:vMerge w:val="restart"/>
            <w:vAlign w:val="center"/>
          </w:tcPr>
          <w:p>
            <w:pPr>
              <w:pStyle w:val="Body"/>
              <w:spacing w:after="0"/>
              <w:jc w:val="center"/>
              <w:rPr>
                <w:rFonts w:ascii="Arial" w:hAnsi="Arial" w:cs="Arial"/>
                <w:lang w:val="id-ID"/>
              </w:rPr>
            </w:pPr>
            <w:r>
              <w:rPr>
                <w:rFonts w:ascii="Arial" w:hAnsi="Arial" w:cs="Arial"/>
                <w:lang w:val="id-ID"/>
              </w:rPr>
              <w:t>Age</w:t>
            </w:r>
          </w:p>
        </w:tc>
        <w:tc>
          <w:tcPr>
            <w:tcW w:w="2106" w:type="dxa"/>
          </w:tcPr>
          <w:p>
            <w:pPr>
              <w:pStyle w:val="Body"/>
              <w:spacing w:after="0"/>
              <w:jc w:val="center"/>
              <w:rPr>
                <w:rFonts w:ascii="Arial" w:hAnsi="Arial" w:cs="Arial"/>
                <w:lang w:val="id-ID"/>
              </w:rPr>
            </w:pPr>
            <w:r>
              <w:rPr>
                <w:rFonts w:ascii="Arial" w:hAnsi="Arial" w:cs="Arial"/>
                <w:lang w:val="id-ID"/>
              </w:rPr>
              <w:t>&lt;30</w:t>
            </w:r>
          </w:p>
        </w:tc>
        <w:tc>
          <w:tcPr>
            <w:tcW w:w="2106" w:type="dxa"/>
          </w:tcPr>
          <w:p>
            <w:pPr>
              <w:pStyle w:val="Body"/>
              <w:spacing w:after="0"/>
              <w:jc w:val="center"/>
              <w:rPr>
                <w:rFonts w:ascii="Arial" w:hAnsi="Arial" w:cs="Arial"/>
                <w:lang w:val="id-ID"/>
              </w:rPr>
            </w:pPr>
            <w:r>
              <w:rPr>
                <w:rFonts w:ascii="Arial" w:hAnsi="Arial" w:cs="Arial"/>
                <w:lang w:val="id-ID"/>
              </w:rPr>
              <w:t>13</w:t>
            </w:r>
          </w:p>
        </w:tc>
        <w:tc>
          <w:tcPr>
            <w:tcW w:w="2106" w:type="dxa"/>
            <w:vMerge w:val="restart"/>
            <w:vAlign w:val="center"/>
          </w:tcPr>
          <w:p>
            <w:pPr>
              <w:pStyle w:val="Body"/>
              <w:spacing w:after="0"/>
              <w:jc w:val="center"/>
              <w:rPr>
                <w:rFonts w:ascii="Arial" w:hAnsi="Arial" w:cs="Arial"/>
                <w:lang w:val="id-ID"/>
              </w:rPr>
            </w:pPr>
            <w:r>
              <w:rPr>
                <w:rFonts w:ascii="Arial" w:hAnsi="Arial" w:cs="Arial"/>
                <w:lang w:val="id-ID"/>
              </w:rPr>
              <w:t>58</w:t>
            </w:r>
          </w:p>
        </w:tc>
      </w:tr>
      <w:tr>
        <w:tc>
          <w:tcPr>
            <w:tcW w:w="2106" w:type="dxa"/>
            <w:vMerge/>
            <w:vAlign w:val="center"/>
          </w:tcPr>
          <w:p>
            <w:pPr>
              <w:pStyle w:val="Body"/>
              <w:spacing w:after="0"/>
              <w:jc w:val="center"/>
              <w:rPr>
                <w:rFonts w:ascii="Arial" w:hAnsi="Arial" w:cs="Arial"/>
                <w:lang w:val="id-ID"/>
              </w:rPr>
            </w:pPr>
          </w:p>
        </w:tc>
        <w:tc>
          <w:tcPr>
            <w:tcW w:w="2106" w:type="dxa"/>
          </w:tcPr>
          <w:p>
            <w:pPr>
              <w:pStyle w:val="Body"/>
              <w:spacing w:after="0"/>
              <w:jc w:val="center"/>
              <w:rPr>
                <w:rFonts w:ascii="Arial" w:hAnsi="Arial" w:cs="Arial"/>
                <w:lang w:val="id-ID"/>
              </w:rPr>
            </w:pPr>
            <w:r>
              <w:rPr>
                <w:rFonts w:ascii="Arial" w:hAnsi="Arial" w:cs="Arial"/>
                <w:lang w:val="id-ID"/>
              </w:rPr>
              <w:t>30-35</w:t>
            </w:r>
          </w:p>
        </w:tc>
        <w:tc>
          <w:tcPr>
            <w:tcW w:w="2106" w:type="dxa"/>
          </w:tcPr>
          <w:p>
            <w:pPr>
              <w:pStyle w:val="Body"/>
              <w:spacing w:after="0"/>
              <w:jc w:val="center"/>
              <w:rPr>
                <w:rFonts w:ascii="Arial" w:hAnsi="Arial" w:cs="Arial"/>
                <w:lang w:val="id-ID"/>
              </w:rPr>
            </w:pPr>
            <w:r>
              <w:rPr>
                <w:rFonts w:ascii="Arial" w:hAnsi="Arial" w:cs="Arial"/>
                <w:lang w:val="id-ID"/>
              </w:rPr>
              <w:t>8</w:t>
            </w:r>
          </w:p>
        </w:tc>
        <w:tc>
          <w:tcPr>
            <w:tcW w:w="2106" w:type="dxa"/>
            <w:vMerge/>
          </w:tcPr>
          <w:p>
            <w:pPr>
              <w:pStyle w:val="Body"/>
              <w:spacing w:after="0"/>
              <w:jc w:val="center"/>
              <w:rPr>
                <w:rFonts w:ascii="Arial" w:hAnsi="Arial" w:cs="Arial"/>
                <w:lang w:val="id-ID"/>
              </w:rPr>
            </w:pPr>
          </w:p>
        </w:tc>
      </w:tr>
      <w:tr>
        <w:tc>
          <w:tcPr>
            <w:tcW w:w="2106" w:type="dxa"/>
            <w:vMerge/>
            <w:vAlign w:val="center"/>
          </w:tcPr>
          <w:p>
            <w:pPr>
              <w:pStyle w:val="Body"/>
              <w:spacing w:after="0"/>
              <w:jc w:val="center"/>
              <w:rPr>
                <w:rFonts w:ascii="Arial" w:hAnsi="Arial" w:cs="Arial"/>
                <w:lang w:val="id-ID"/>
              </w:rPr>
            </w:pPr>
          </w:p>
        </w:tc>
        <w:tc>
          <w:tcPr>
            <w:tcW w:w="2106" w:type="dxa"/>
          </w:tcPr>
          <w:p>
            <w:pPr>
              <w:pStyle w:val="Body"/>
              <w:spacing w:after="0"/>
              <w:jc w:val="center"/>
              <w:rPr>
                <w:rFonts w:ascii="Arial" w:hAnsi="Arial" w:cs="Arial"/>
                <w:lang w:val="id-ID"/>
              </w:rPr>
            </w:pPr>
            <w:r>
              <w:rPr>
                <w:rFonts w:ascii="Arial" w:hAnsi="Arial" w:cs="Arial"/>
                <w:lang w:val="id-ID"/>
              </w:rPr>
              <w:t>36-40</w:t>
            </w:r>
          </w:p>
        </w:tc>
        <w:tc>
          <w:tcPr>
            <w:tcW w:w="2106" w:type="dxa"/>
          </w:tcPr>
          <w:p>
            <w:pPr>
              <w:pStyle w:val="Body"/>
              <w:spacing w:after="0"/>
              <w:jc w:val="center"/>
              <w:rPr>
                <w:rFonts w:ascii="Arial" w:hAnsi="Arial" w:cs="Arial"/>
                <w:lang w:val="id-ID"/>
              </w:rPr>
            </w:pPr>
            <w:r>
              <w:rPr>
                <w:rFonts w:ascii="Arial" w:hAnsi="Arial" w:cs="Arial"/>
                <w:lang w:val="id-ID"/>
              </w:rPr>
              <w:t>10</w:t>
            </w:r>
          </w:p>
        </w:tc>
        <w:tc>
          <w:tcPr>
            <w:tcW w:w="2106" w:type="dxa"/>
            <w:vMerge/>
          </w:tcPr>
          <w:p>
            <w:pPr>
              <w:pStyle w:val="Body"/>
              <w:spacing w:after="0"/>
              <w:jc w:val="center"/>
              <w:rPr>
                <w:rFonts w:ascii="Arial" w:hAnsi="Arial" w:cs="Arial"/>
                <w:lang w:val="id-ID"/>
              </w:rPr>
            </w:pPr>
          </w:p>
        </w:tc>
      </w:tr>
      <w:tr>
        <w:tc>
          <w:tcPr>
            <w:tcW w:w="2106" w:type="dxa"/>
            <w:vMerge/>
            <w:vAlign w:val="center"/>
          </w:tcPr>
          <w:p>
            <w:pPr>
              <w:pStyle w:val="Body"/>
              <w:spacing w:after="0"/>
              <w:jc w:val="center"/>
              <w:rPr>
                <w:rFonts w:ascii="Arial" w:hAnsi="Arial" w:cs="Arial"/>
                <w:lang w:val="id-ID"/>
              </w:rPr>
            </w:pPr>
          </w:p>
        </w:tc>
        <w:tc>
          <w:tcPr>
            <w:tcW w:w="2106" w:type="dxa"/>
          </w:tcPr>
          <w:p>
            <w:pPr>
              <w:pStyle w:val="Body"/>
              <w:spacing w:after="0"/>
              <w:jc w:val="center"/>
              <w:rPr>
                <w:rFonts w:ascii="Arial" w:hAnsi="Arial" w:cs="Arial"/>
                <w:lang w:val="id-ID"/>
              </w:rPr>
            </w:pPr>
            <w:r>
              <w:rPr>
                <w:rFonts w:ascii="Arial" w:hAnsi="Arial" w:cs="Arial"/>
                <w:lang w:val="id-ID"/>
              </w:rPr>
              <w:t>&gt;40</w:t>
            </w:r>
          </w:p>
        </w:tc>
        <w:tc>
          <w:tcPr>
            <w:tcW w:w="2106" w:type="dxa"/>
          </w:tcPr>
          <w:p>
            <w:pPr>
              <w:pStyle w:val="Body"/>
              <w:spacing w:after="0"/>
              <w:jc w:val="center"/>
              <w:rPr>
                <w:rFonts w:ascii="Arial" w:hAnsi="Arial" w:cs="Arial"/>
                <w:lang w:val="id-ID"/>
              </w:rPr>
            </w:pPr>
            <w:r>
              <w:rPr>
                <w:rFonts w:ascii="Arial" w:hAnsi="Arial" w:cs="Arial"/>
                <w:lang w:val="id-ID"/>
              </w:rPr>
              <w:t>27</w:t>
            </w:r>
          </w:p>
        </w:tc>
        <w:tc>
          <w:tcPr>
            <w:tcW w:w="2106" w:type="dxa"/>
            <w:vMerge/>
          </w:tcPr>
          <w:p>
            <w:pPr>
              <w:pStyle w:val="Body"/>
              <w:spacing w:after="0"/>
              <w:jc w:val="center"/>
              <w:rPr>
                <w:rFonts w:ascii="Arial" w:hAnsi="Arial" w:cs="Arial"/>
                <w:lang w:val="id-ID"/>
              </w:rPr>
            </w:pPr>
          </w:p>
        </w:tc>
      </w:tr>
      <w:tr>
        <w:tc>
          <w:tcPr>
            <w:tcW w:w="2106" w:type="dxa"/>
            <w:vMerge w:val="restart"/>
            <w:vAlign w:val="center"/>
          </w:tcPr>
          <w:p>
            <w:pPr>
              <w:pStyle w:val="Body"/>
              <w:spacing w:after="0"/>
              <w:jc w:val="center"/>
              <w:rPr>
                <w:rFonts w:ascii="Arial" w:hAnsi="Arial" w:cs="Arial"/>
                <w:lang w:val="id-ID"/>
              </w:rPr>
            </w:pPr>
            <w:r>
              <w:rPr>
                <w:rFonts w:ascii="Arial" w:hAnsi="Arial" w:cs="Arial"/>
                <w:lang w:val="id-ID"/>
              </w:rPr>
              <w:t>Last Education</w:t>
            </w:r>
          </w:p>
        </w:tc>
        <w:tc>
          <w:tcPr>
            <w:tcW w:w="2106" w:type="dxa"/>
          </w:tcPr>
          <w:p>
            <w:pPr>
              <w:pStyle w:val="Body"/>
              <w:spacing w:after="0"/>
              <w:jc w:val="center"/>
              <w:rPr>
                <w:rFonts w:ascii="Arial" w:hAnsi="Arial" w:cs="Arial"/>
                <w:lang w:val="id-ID"/>
              </w:rPr>
            </w:pPr>
            <w:r>
              <w:rPr>
                <w:rFonts w:ascii="Arial" w:hAnsi="Arial" w:cs="Arial"/>
                <w:lang w:val="id-ID"/>
              </w:rPr>
              <w:t>D3</w:t>
            </w:r>
          </w:p>
        </w:tc>
        <w:tc>
          <w:tcPr>
            <w:tcW w:w="2106" w:type="dxa"/>
          </w:tcPr>
          <w:p>
            <w:pPr>
              <w:pStyle w:val="Body"/>
              <w:spacing w:after="0"/>
              <w:jc w:val="center"/>
              <w:rPr>
                <w:rFonts w:ascii="Arial" w:hAnsi="Arial" w:cs="Arial"/>
                <w:lang w:val="id-ID"/>
              </w:rPr>
            </w:pPr>
            <w:r>
              <w:rPr>
                <w:rFonts w:ascii="Arial" w:hAnsi="Arial" w:cs="Arial"/>
                <w:lang w:val="id-ID"/>
              </w:rPr>
              <w:t>4</w:t>
            </w:r>
          </w:p>
        </w:tc>
        <w:tc>
          <w:tcPr>
            <w:tcW w:w="2106" w:type="dxa"/>
            <w:vMerge w:val="restart"/>
            <w:vAlign w:val="center"/>
          </w:tcPr>
          <w:p>
            <w:pPr>
              <w:pStyle w:val="Body"/>
              <w:spacing w:after="0"/>
              <w:jc w:val="center"/>
              <w:rPr>
                <w:rFonts w:ascii="Arial" w:hAnsi="Arial" w:cs="Arial"/>
                <w:lang w:val="id-ID"/>
              </w:rPr>
            </w:pPr>
            <w:r>
              <w:rPr>
                <w:rFonts w:ascii="Arial" w:hAnsi="Arial" w:cs="Arial"/>
                <w:lang w:val="id-ID"/>
              </w:rPr>
              <w:t>58</w:t>
            </w:r>
          </w:p>
        </w:tc>
      </w:tr>
      <w:tr>
        <w:tc>
          <w:tcPr>
            <w:tcW w:w="2106" w:type="dxa"/>
            <w:vMerge/>
          </w:tcPr>
          <w:p>
            <w:pPr>
              <w:pStyle w:val="Body"/>
              <w:spacing w:after="0"/>
              <w:jc w:val="center"/>
              <w:rPr>
                <w:rFonts w:ascii="Arial" w:hAnsi="Arial" w:cs="Arial"/>
                <w:lang w:val="id-ID"/>
              </w:rPr>
            </w:pPr>
          </w:p>
        </w:tc>
        <w:tc>
          <w:tcPr>
            <w:tcW w:w="2106" w:type="dxa"/>
          </w:tcPr>
          <w:p>
            <w:pPr>
              <w:pStyle w:val="Body"/>
              <w:spacing w:after="0"/>
              <w:jc w:val="center"/>
              <w:rPr>
                <w:rFonts w:ascii="Arial" w:hAnsi="Arial" w:cs="Arial"/>
                <w:lang w:val="id-ID"/>
              </w:rPr>
            </w:pPr>
            <w:r>
              <w:rPr>
                <w:rFonts w:ascii="Arial" w:hAnsi="Arial" w:cs="Arial"/>
                <w:lang w:val="id-ID"/>
              </w:rPr>
              <w:t>S1</w:t>
            </w:r>
          </w:p>
        </w:tc>
        <w:tc>
          <w:tcPr>
            <w:tcW w:w="2106" w:type="dxa"/>
          </w:tcPr>
          <w:p>
            <w:pPr>
              <w:pStyle w:val="Body"/>
              <w:spacing w:after="0"/>
              <w:jc w:val="center"/>
              <w:rPr>
                <w:rFonts w:ascii="Arial" w:hAnsi="Arial" w:cs="Arial"/>
                <w:lang w:val="id-ID"/>
              </w:rPr>
            </w:pPr>
            <w:r>
              <w:rPr>
                <w:rFonts w:ascii="Arial" w:hAnsi="Arial" w:cs="Arial"/>
                <w:lang w:val="id-ID"/>
              </w:rPr>
              <w:t>46</w:t>
            </w:r>
          </w:p>
        </w:tc>
        <w:tc>
          <w:tcPr>
            <w:tcW w:w="2106" w:type="dxa"/>
            <w:vMerge/>
          </w:tcPr>
          <w:p>
            <w:pPr>
              <w:pStyle w:val="Body"/>
              <w:spacing w:after="0"/>
              <w:jc w:val="center"/>
              <w:rPr>
                <w:rFonts w:ascii="Arial" w:hAnsi="Arial" w:cs="Arial"/>
                <w:lang w:val="id-ID"/>
              </w:rPr>
            </w:pPr>
          </w:p>
        </w:tc>
      </w:tr>
      <w:tr>
        <w:tc>
          <w:tcPr>
            <w:tcW w:w="2106" w:type="dxa"/>
            <w:vMerge/>
          </w:tcPr>
          <w:p>
            <w:pPr>
              <w:pStyle w:val="Body"/>
              <w:spacing w:after="0"/>
              <w:jc w:val="center"/>
              <w:rPr>
                <w:rFonts w:ascii="Arial" w:hAnsi="Arial" w:cs="Arial"/>
                <w:lang w:val="id-ID"/>
              </w:rPr>
            </w:pPr>
          </w:p>
        </w:tc>
        <w:tc>
          <w:tcPr>
            <w:tcW w:w="2106" w:type="dxa"/>
          </w:tcPr>
          <w:p>
            <w:pPr>
              <w:pStyle w:val="Body"/>
              <w:spacing w:after="0"/>
              <w:jc w:val="center"/>
              <w:rPr>
                <w:rFonts w:ascii="Arial" w:hAnsi="Arial" w:cs="Arial"/>
                <w:lang w:val="id-ID"/>
              </w:rPr>
            </w:pPr>
            <w:r>
              <w:rPr>
                <w:rFonts w:ascii="Arial" w:hAnsi="Arial" w:cs="Arial"/>
                <w:lang w:val="id-ID"/>
              </w:rPr>
              <w:t>S2</w:t>
            </w:r>
          </w:p>
        </w:tc>
        <w:tc>
          <w:tcPr>
            <w:tcW w:w="2106" w:type="dxa"/>
          </w:tcPr>
          <w:p>
            <w:pPr>
              <w:pStyle w:val="Body"/>
              <w:spacing w:after="0"/>
              <w:jc w:val="center"/>
              <w:rPr>
                <w:rFonts w:ascii="Arial" w:hAnsi="Arial" w:cs="Arial"/>
                <w:lang w:val="id-ID"/>
              </w:rPr>
            </w:pPr>
            <w:r>
              <w:rPr>
                <w:rFonts w:ascii="Arial" w:hAnsi="Arial" w:cs="Arial"/>
                <w:lang w:val="id-ID"/>
              </w:rPr>
              <w:t>8</w:t>
            </w:r>
          </w:p>
        </w:tc>
        <w:tc>
          <w:tcPr>
            <w:tcW w:w="2106" w:type="dxa"/>
            <w:vMerge/>
          </w:tcPr>
          <w:p>
            <w:pPr>
              <w:pStyle w:val="Body"/>
              <w:spacing w:after="0"/>
              <w:jc w:val="center"/>
              <w:rPr>
                <w:rFonts w:ascii="Arial" w:hAnsi="Arial" w:cs="Arial"/>
                <w:lang w:val="id-ID"/>
              </w:rPr>
            </w:pPr>
          </w:p>
        </w:tc>
      </w:tr>
      <w:tr>
        <w:tc>
          <w:tcPr>
            <w:tcW w:w="2106" w:type="dxa"/>
            <w:vMerge w:val="restart"/>
            <w:vAlign w:val="center"/>
          </w:tcPr>
          <w:p>
            <w:pPr>
              <w:pStyle w:val="Body"/>
              <w:spacing w:after="0"/>
              <w:jc w:val="center"/>
              <w:rPr>
                <w:rFonts w:ascii="Arial" w:hAnsi="Arial" w:cs="Arial"/>
                <w:lang w:val="id-ID"/>
              </w:rPr>
            </w:pPr>
            <w:r>
              <w:rPr>
                <w:rFonts w:ascii="Arial" w:hAnsi="Arial" w:cs="Arial"/>
                <w:lang w:val="id-ID"/>
              </w:rPr>
              <w:t>Length of Service</w:t>
            </w:r>
          </w:p>
        </w:tc>
        <w:tc>
          <w:tcPr>
            <w:tcW w:w="2106" w:type="dxa"/>
          </w:tcPr>
          <w:p>
            <w:pPr>
              <w:pStyle w:val="Body"/>
              <w:spacing w:after="0"/>
              <w:jc w:val="center"/>
              <w:rPr>
                <w:rFonts w:ascii="Arial" w:hAnsi="Arial" w:cs="Arial"/>
                <w:lang w:val="id-ID"/>
              </w:rPr>
            </w:pPr>
            <w:r>
              <w:rPr>
                <w:rFonts w:ascii="Arial" w:hAnsi="Arial" w:cs="Arial"/>
                <w:lang w:val="id-ID"/>
              </w:rPr>
              <w:t>1-5 Years</w:t>
            </w:r>
          </w:p>
        </w:tc>
        <w:tc>
          <w:tcPr>
            <w:tcW w:w="2106" w:type="dxa"/>
          </w:tcPr>
          <w:p>
            <w:pPr>
              <w:pStyle w:val="Body"/>
              <w:spacing w:after="0"/>
              <w:jc w:val="center"/>
              <w:rPr>
                <w:rFonts w:ascii="Arial" w:hAnsi="Arial" w:cs="Arial"/>
                <w:lang w:val="id-ID"/>
              </w:rPr>
            </w:pPr>
            <w:r>
              <w:rPr>
                <w:rFonts w:ascii="Arial" w:hAnsi="Arial" w:cs="Arial"/>
                <w:lang w:val="id-ID"/>
              </w:rPr>
              <w:t>25</w:t>
            </w:r>
          </w:p>
        </w:tc>
        <w:tc>
          <w:tcPr>
            <w:tcW w:w="2106" w:type="dxa"/>
            <w:vMerge w:val="restart"/>
            <w:vAlign w:val="center"/>
          </w:tcPr>
          <w:p>
            <w:pPr>
              <w:pStyle w:val="Body"/>
              <w:spacing w:after="0"/>
              <w:jc w:val="center"/>
              <w:rPr>
                <w:rFonts w:ascii="Arial" w:hAnsi="Arial" w:cs="Arial"/>
                <w:lang w:val="id-ID"/>
              </w:rPr>
            </w:pPr>
            <w:r>
              <w:rPr>
                <w:rFonts w:ascii="Arial" w:hAnsi="Arial" w:cs="Arial"/>
                <w:lang w:val="id-ID"/>
              </w:rPr>
              <w:t>58</w:t>
            </w:r>
          </w:p>
        </w:tc>
      </w:tr>
      <w:tr>
        <w:tc>
          <w:tcPr>
            <w:tcW w:w="2106" w:type="dxa"/>
            <w:vMerge/>
          </w:tcPr>
          <w:p>
            <w:pPr>
              <w:pStyle w:val="Body"/>
              <w:spacing w:after="0"/>
              <w:jc w:val="center"/>
              <w:rPr>
                <w:rFonts w:ascii="Arial" w:hAnsi="Arial" w:cs="Arial"/>
                <w:lang w:val="id-ID"/>
              </w:rPr>
            </w:pPr>
          </w:p>
        </w:tc>
        <w:tc>
          <w:tcPr>
            <w:tcW w:w="2106" w:type="dxa"/>
          </w:tcPr>
          <w:p>
            <w:pPr>
              <w:pStyle w:val="Body"/>
              <w:spacing w:after="0"/>
              <w:jc w:val="center"/>
              <w:rPr>
                <w:rFonts w:ascii="Arial" w:hAnsi="Arial" w:cs="Arial"/>
                <w:lang w:val="id-ID"/>
              </w:rPr>
            </w:pPr>
            <w:r>
              <w:rPr>
                <w:rFonts w:ascii="Arial" w:hAnsi="Arial" w:cs="Arial"/>
                <w:lang w:val="id-ID"/>
              </w:rPr>
              <w:t>6-10 Years</w:t>
            </w:r>
          </w:p>
        </w:tc>
        <w:tc>
          <w:tcPr>
            <w:tcW w:w="2106" w:type="dxa"/>
          </w:tcPr>
          <w:p>
            <w:pPr>
              <w:pStyle w:val="Body"/>
              <w:spacing w:after="0"/>
              <w:jc w:val="center"/>
              <w:rPr>
                <w:rFonts w:ascii="Arial" w:hAnsi="Arial" w:cs="Arial"/>
                <w:lang w:val="id-ID"/>
              </w:rPr>
            </w:pPr>
            <w:r>
              <w:rPr>
                <w:rFonts w:ascii="Arial" w:hAnsi="Arial" w:cs="Arial"/>
                <w:lang w:val="id-ID"/>
              </w:rPr>
              <w:t>5</w:t>
            </w:r>
          </w:p>
        </w:tc>
        <w:tc>
          <w:tcPr>
            <w:tcW w:w="2106" w:type="dxa"/>
            <w:vMerge/>
          </w:tcPr>
          <w:p>
            <w:pPr>
              <w:pStyle w:val="Body"/>
              <w:spacing w:after="0"/>
              <w:jc w:val="center"/>
              <w:rPr>
                <w:rFonts w:ascii="Arial" w:hAnsi="Arial" w:cs="Arial"/>
                <w:lang w:val="id-ID"/>
              </w:rPr>
            </w:pPr>
          </w:p>
        </w:tc>
      </w:tr>
      <w:tr>
        <w:tc>
          <w:tcPr>
            <w:tcW w:w="2106" w:type="dxa"/>
            <w:vMerge/>
          </w:tcPr>
          <w:p>
            <w:pPr>
              <w:pStyle w:val="Body"/>
              <w:spacing w:after="0"/>
              <w:jc w:val="center"/>
              <w:rPr>
                <w:rFonts w:ascii="Arial" w:hAnsi="Arial" w:cs="Arial"/>
                <w:lang w:val="id-ID"/>
              </w:rPr>
            </w:pPr>
          </w:p>
        </w:tc>
        <w:tc>
          <w:tcPr>
            <w:tcW w:w="2106" w:type="dxa"/>
          </w:tcPr>
          <w:p>
            <w:pPr>
              <w:pStyle w:val="Body"/>
              <w:spacing w:after="0"/>
              <w:jc w:val="center"/>
              <w:rPr>
                <w:rFonts w:ascii="Arial" w:hAnsi="Arial" w:cs="Arial"/>
                <w:lang w:val="id-ID"/>
              </w:rPr>
            </w:pPr>
            <w:r>
              <w:rPr>
                <w:rFonts w:ascii="Arial" w:hAnsi="Arial" w:cs="Arial"/>
                <w:lang w:val="id-ID"/>
              </w:rPr>
              <w:t>11-15 Years</w:t>
            </w:r>
          </w:p>
        </w:tc>
        <w:tc>
          <w:tcPr>
            <w:tcW w:w="2106" w:type="dxa"/>
          </w:tcPr>
          <w:p>
            <w:pPr>
              <w:pStyle w:val="Body"/>
              <w:spacing w:after="0"/>
              <w:jc w:val="center"/>
              <w:rPr>
                <w:rFonts w:ascii="Arial" w:hAnsi="Arial" w:cs="Arial"/>
                <w:lang w:val="id-ID"/>
              </w:rPr>
            </w:pPr>
            <w:r>
              <w:rPr>
                <w:rFonts w:ascii="Arial" w:hAnsi="Arial" w:cs="Arial"/>
                <w:lang w:val="id-ID"/>
              </w:rPr>
              <w:t>8</w:t>
            </w:r>
          </w:p>
        </w:tc>
        <w:tc>
          <w:tcPr>
            <w:tcW w:w="2106" w:type="dxa"/>
            <w:vMerge/>
          </w:tcPr>
          <w:p>
            <w:pPr>
              <w:pStyle w:val="Body"/>
              <w:spacing w:after="0"/>
              <w:jc w:val="center"/>
              <w:rPr>
                <w:rFonts w:ascii="Arial" w:hAnsi="Arial" w:cs="Arial"/>
                <w:lang w:val="id-ID"/>
              </w:rPr>
            </w:pPr>
          </w:p>
        </w:tc>
      </w:tr>
      <w:tr>
        <w:tc>
          <w:tcPr>
            <w:tcW w:w="2106" w:type="dxa"/>
            <w:vMerge/>
          </w:tcPr>
          <w:p>
            <w:pPr>
              <w:pStyle w:val="Body"/>
              <w:spacing w:after="0"/>
              <w:jc w:val="center"/>
              <w:rPr>
                <w:rFonts w:ascii="Arial" w:hAnsi="Arial" w:cs="Arial"/>
                <w:lang w:val="id-ID"/>
              </w:rPr>
            </w:pPr>
          </w:p>
        </w:tc>
        <w:tc>
          <w:tcPr>
            <w:tcW w:w="2106" w:type="dxa"/>
          </w:tcPr>
          <w:p>
            <w:pPr>
              <w:pStyle w:val="Body"/>
              <w:spacing w:after="0"/>
              <w:jc w:val="center"/>
              <w:rPr>
                <w:rFonts w:ascii="Arial" w:hAnsi="Arial" w:cs="Arial"/>
                <w:lang w:val="id-ID"/>
              </w:rPr>
            </w:pPr>
            <w:r>
              <w:rPr>
                <w:rFonts w:ascii="Arial" w:hAnsi="Arial" w:cs="Arial"/>
                <w:lang w:val="id-ID"/>
              </w:rPr>
              <w:t>&gt;15</w:t>
            </w:r>
          </w:p>
        </w:tc>
        <w:tc>
          <w:tcPr>
            <w:tcW w:w="2106" w:type="dxa"/>
          </w:tcPr>
          <w:p>
            <w:pPr>
              <w:pStyle w:val="Body"/>
              <w:spacing w:after="0"/>
              <w:jc w:val="center"/>
              <w:rPr>
                <w:rFonts w:ascii="Arial" w:hAnsi="Arial" w:cs="Arial"/>
                <w:lang w:val="id-ID"/>
              </w:rPr>
            </w:pPr>
            <w:r>
              <w:rPr>
                <w:rFonts w:ascii="Arial" w:hAnsi="Arial" w:cs="Arial"/>
                <w:lang w:val="id-ID"/>
              </w:rPr>
              <w:t>20</w:t>
            </w:r>
          </w:p>
        </w:tc>
        <w:tc>
          <w:tcPr>
            <w:tcW w:w="2106" w:type="dxa"/>
            <w:vMerge/>
          </w:tcPr>
          <w:p>
            <w:pPr>
              <w:pStyle w:val="Body"/>
              <w:spacing w:after="0"/>
              <w:jc w:val="center"/>
              <w:rPr>
                <w:rFonts w:ascii="Arial" w:hAnsi="Arial" w:cs="Arial"/>
                <w:lang w:val="id-ID"/>
              </w:rPr>
            </w:pPr>
          </w:p>
        </w:tc>
      </w:tr>
    </w:tbl>
    <w:p>
      <w:pPr>
        <w:pStyle w:val="Body"/>
        <w:spacing w:after="0"/>
        <w:jc w:val="center"/>
        <w:rPr>
          <w:rFonts w:ascii="Arial" w:hAnsi="Arial" w:cs="Arial"/>
          <w:lang w:val="id-ID"/>
        </w:rPr>
      </w:pPr>
    </w:p>
    <w:p>
      <w:pPr>
        <w:pStyle w:val="Body"/>
        <w:spacing w:after="0"/>
        <w:rPr>
          <w:rFonts w:ascii="Arial" w:hAnsi="Arial" w:cs="Arial"/>
          <w:lang w:val="id-ID"/>
        </w:rPr>
      </w:pPr>
      <w:r>
        <w:rPr>
          <w:rFonts w:ascii="Arial" w:hAnsi="Arial" w:cs="Arial"/>
          <w:lang w:val="id-ID"/>
        </w:rPr>
        <w:t>Operational definition of variables:</w:t>
      </w:r>
    </w:p>
    <w:p>
      <w:pPr>
        <w:pStyle w:val="Body"/>
        <w:spacing w:after="0"/>
        <w:rPr>
          <w:rFonts w:ascii="Arial" w:hAnsi="Arial" w:cs="Arial"/>
          <w:lang w:val="id-ID"/>
        </w:rPr>
      </w:pPr>
      <w:r>
        <w:rPr>
          <w:rFonts w:ascii="Arial" w:hAnsi="Arial" w:cs="Arial"/>
          <w:lang w:val="id-ID"/>
        </w:rPr>
        <w:t>The research variables and operational definitions are presented as follows:</w:t>
      </w:r>
    </w:p>
    <w:p>
      <w:pPr>
        <w:pStyle w:val="Body"/>
        <w:spacing w:after="0"/>
        <w:rPr>
          <w:rFonts w:ascii="Arial" w:hAnsi="Arial" w:cs="Arial"/>
          <w:lang w:val="id-ID"/>
        </w:rPr>
      </w:pPr>
      <w:r>
        <w:rPr>
          <w:rFonts w:ascii="Arial" w:hAnsi="Arial" w:cs="Arial"/>
          <w:lang w:val="id-ID"/>
        </w:rPr>
        <w:t>Competence</w:t>
      </w:r>
    </w:p>
    <w:p>
      <w:pPr>
        <w:pStyle w:val="Body"/>
        <w:rPr>
          <w:rFonts w:ascii="Arial" w:hAnsi="Arial" w:cs="Arial"/>
          <w:lang w:val="id-ID"/>
        </w:rPr>
      </w:pPr>
      <w:r>
        <w:rPr>
          <w:rFonts w:ascii="Arial" w:hAnsi="Arial" w:cs="Arial"/>
          <w:lang w:val="id-ID"/>
        </w:rPr>
        <w:t>According to Bailey et al. (2010), competence is a skill that auditors must have order to carry out their duties professionally in accordance with applicable standards. In this study, competence is measured based on the standard framework for the competency of government internal auditors (Government Internal Audit Competency Framework), as well as competency indicators that have been developed by Alias et al. (2019) and Gramling &amp; Ramamoorti (2003).</w:t>
      </w:r>
    </w:p>
    <w:p>
      <w:pPr>
        <w:pStyle w:val="Body"/>
        <w:spacing w:after="0"/>
        <w:rPr>
          <w:rFonts w:ascii="Arial" w:hAnsi="Arial" w:cs="Arial"/>
          <w:lang w:val="id-ID"/>
        </w:rPr>
      </w:pPr>
      <w:r>
        <w:rPr>
          <w:rFonts w:ascii="Arial" w:hAnsi="Arial" w:cs="Arial"/>
          <w:lang w:val="id-ID"/>
        </w:rPr>
        <w:t>Integrity</w:t>
      </w:r>
    </w:p>
    <w:p>
      <w:pPr>
        <w:pStyle w:val="Body"/>
        <w:rPr>
          <w:rFonts w:ascii="Arial" w:hAnsi="Arial" w:cs="Arial"/>
          <w:lang w:val="id-ID"/>
        </w:rPr>
      </w:pPr>
      <w:r>
        <w:rPr>
          <w:rFonts w:ascii="Arial" w:hAnsi="Arial" w:cs="Arial"/>
          <w:lang w:val="id-ID"/>
        </w:rPr>
        <w:t xml:space="preserve">Integrity is the quality that underlies public trust and becomes a benchmark in decision making. Integrity is an internal factor that affects auditor performance, namely understanding the characteristics of pressure, audit information, unusual transactions, management supervision and information and accounting systems (Prakosa, 2019). Auditor integrity can be measured by indicators such as honesty, balance, mandate giving (Evia et al., 2022).Professional Skepticism Professional skepticism is a trait when someone always questions and then evaluates the findings during auditing. variable measure uses the HPSS </w:t>
      </w:r>
      <w:r>
        <w:rPr>
          <w:rFonts w:ascii="Arial" w:hAnsi="Arial" w:cs="Arial"/>
          <w:lang w:val="id-ID"/>
        </w:rPr>
        <w:lastRenderedPageBreak/>
        <w:t>(Hurtt professional skepticism scale) developed by Hurtt (Kamal, 2023). HPSS is used to measure the nature of skepticism with a scale consisting of six characteristics, namely questioning thoughts, delaying judgment, seeking knowledge, interpersonal understanding and self-esteem.</w:t>
      </w:r>
    </w:p>
    <w:p>
      <w:pPr>
        <w:pStyle w:val="Body"/>
        <w:spacing w:after="0"/>
        <w:rPr>
          <w:rFonts w:ascii="Arial" w:hAnsi="Arial" w:cs="Arial"/>
        </w:rPr>
      </w:pPr>
      <w:r>
        <w:rPr>
          <w:rFonts w:ascii="Arial" w:hAnsi="Arial" w:cs="Arial"/>
          <w:lang w:val="id-ID"/>
        </w:rPr>
        <w:t>Ability to detect fraud</w:t>
      </w:r>
    </w:p>
    <w:p>
      <w:pPr>
        <w:pStyle w:val="Body"/>
        <w:spacing w:after="0"/>
        <w:rPr>
          <w:rFonts w:ascii="Arial" w:hAnsi="Arial" w:cs="Arial"/>
          <w:lang w:val="id-ID"/>
        </w:rPr>
      </w:pPr>
      <w:r>
        <w:rPr>
          <w:rFonts w:ascii="Arial" w:hAnsi="Arial" w:cs="Arial"/>
          <w:lang w:val="id-ID"/>
        </w:rPr>
        <w:t>The auditor's ability to expand the examination to obtain information is marked by the sensitivity of an auditor when recognizing symptoms of fraud. The fraud detection measure uses the concept of Fullerton and Durtschi in 2004 (Kamal, 2023). The ability of an auditor to recognize and identify all symptoms of fraud both from the company environment, accounting practices and financial records and extensive information searches (Fullerton &amp; Durtschi, 2004). Fraud symptoms are divided into three categories, namely:</w:t>
      </w:r>
    </w:p>
    <w:p>
      <w:pPr>
        <w:pStyle w:val="Body"/>
        <w:numPr>
          <w:ilvl w:val="0"/>
          <w:numId w:val="33"/>
        </w:numPr>
        <w:autoSpaceDE w:val="0"/>
        <w:autoSpaceDN w:val="0"/>
        <w:adjustRightInd w:val="0"/>
        <w:spacing w:after="0"/>
        <w:rPr>
          <w:rFonts w:ascii="CIDFont+F1" w:hAnsi="CIDFont+F1" w:cs="CIDFont+F1"/>
          <w:sz w:val="23"/>
          <w:szCs w:val="23"/>
          <w:lang w:val="id-ID"/>
        </w:rPr>
      </w:pPr>
      <w:r>
        <w:rPr>
          <w:rFonts w:ascii="Arial" w:hAnsi="Arial" w:cs="Arial"/>
          <w:lang w:val="id-ID"/>
        </w:rPr>
        <w:t>Symptoms related to a particular organizational environment that make an organization more vulnerable to fraud.</w:t>
      </w:r>
    </w:p>
    <w:p>
      <w:pPr>
        <w:pStyle w:val="Body"/>
        <w:numPr>
          <w:ilvl w:val="0"/>
          <w:numId w:val="33"/>
        </w:numPr>
        <w:autoSpaceDE w:val="0"/>
        <w:autoSpaceDN w:val="0"/>
        <w:adjustRightInd w:val="0"/>
        <w:spacing w:after="0"/>
        <w:rPr>
          <w:rFonts w:ascii="Arial" w:hAnsi="Arial" w:cs="Arial"/>
          <w:lang w:val="id-ID"/>
        </w:rPr>
      </w:pPr>
      <w:r>
        <w:rPr>
          <w:rFonts w:ascii="Arial" w:hAnsi="Arial" w:cs="Arial"/>
          <w:lang w:val="id-ID"/>
        </w:rPr>
        <w:t>Symptoms related to the perpetrator are usually related to the fraud triangle, namely pressure, opportunity and rationalization.</w:t>
      </w:r>
    </w:p>
    <w:p>
      <w:pPr>
        <w:pStyle w:val="Body"/>
        <w:numPr>
          <w:ilvl w:val="0"/>
          <w:numId w:val="33"/>
        </w:numPr>
        <w:autoSpaceDE w:val="0"/>
        <w:autoSpaceDN w:val="0"/>
        <w:adjustRightInd w:val="0"/>
        <w:spacing w:after="0"/>
        <w:rPr>
          <w:rFonts w:ascii="Arial" w:hAnsi="Arial" w:cs="Arial"/>
          <w:lang w:val="id-ID"/>
        </w:rPr>
      </w:pPr>
      <w:r>
        <w:rPr>
          <w:rFonts w:ascii="Arial" w:hAnsi="Arial" w:cs="Arial"/>
          <w:lang w:val="id-ID"/>
        </w:rPr>
        <w:t>Symptoms related to accounting practices and financial records such as irregularly recorded transactions, multiple vendor payments, weak internal control systems and many missing records.</w:t>
      </w:r>
    </w:p>
    <w:p>
      <w:pPr>
        <w:pStyle w:val="Body"/>
        <w:autoSpaceDE w:val="0"/>
        <w:autoSpaceDN w:val="0"/>
        <w:adjustRightInd w:val="0"/>
        <w:spacing w:after="0"/>
        <w:rPr>
          <w:rFonts w:ascii="Arial" w:hAnsi="Arial" w:cs="Arial"/>
          <w:lang w:val="id-ID"/>
        </w:rPr>
      </w:pPr>
    </w:p>
    <w:p>
      <w:pPr>
        <w:pStyle w:val="Body"/>
        <w:autoSpaceDE w:val="0"/>
        <w:autoSpaceDN w:val="0"/>
        <w:adjustRightInd w:val="0"/>
        <w:spacing w:after="0"/>
        <w:rPr>
          <w:rFonts w:ascii="Arial" w:hAnsi="Arial" w:cs="Arial"/>
          <w:b/>
          <w:bCs/>
          <w:sz w:val="22"/>
          <w:szCs w:val="22"/>
          <w:u w:val="single"/>
          <w:lang w:val="en-GB"/>
        </w:rPr>
      </w:pPr>
      <w:r>
        <w:rPr>
          <w:rFonts w:ascii="Arial" w:hAnsi="Arial" w:cs="Arial"/>
          <w:b/>
          <w:bCs/>
          <w:sz w:val="22"/>
          <w:szCs w:val="22"/>
        </w:rPr>
        <w:t xml:space="preserve">4. </w:t>
      </w:r>
      <w:r>
        <w:rPr>
          <w:rFonts w:ascii="Arial" w:hAnsi="Arial" w:cs="Arial"/>
          <w:b/>
          <w:bCs/>
          <w:sz w:val="22"/>
          <w:szCs w:val="22"/>
          <w:lang w:val="id-ID"/>
        </w:rPr>
        <w:t>RESULTS AND DISCUSSION</w:t>
      </w:r>
    </w:p>
    <w:p>
      <w:pPr>
        <w:pStyle w:val="Body"/>
        <w:autoSpaceDE w:val="0"/>
        <w:autoSpaceDN w:val="0"/>
        <w:adjustRightInd w:val="0"/>
        <w:spacing w:after="0"/>
        <w:rPr>
          <w:rFonts w:ascii="Arial" w:hAnsi="Arial" w:cs="Arial"/>
          <w:b/>
          <w:bCs/>
          <w:sz w:val="22"/>
          <w:szCs w:val="22"/>
          <w:u w:val="single"/>
          <w:lang w:val="en-GB"/>
        </w:rPr>
      </w:pPr>
    </w:p>
    <w:p>
      <w:pPr>
        <w:rPr>
          <w:rFonts w:ascii="Arial" w:hAnsi="Arial" w:cs="Arial"/>
          <w:lang w:val="en-GB" w:eastAsia="en-GB"/>
        </w:rPr>
      </w:pPr>
      <w:r>
        <w:rPr>
          <w:rFonts w:ascii="Arial" w:hAnsi="Arial" w:cs="Arial"/>
          <w:lang w:val="id-ID" w:eastAsia="en-GB"/>
        </w:rPr>
        <w:t>Convergent Validity Test</w:t>
      </w:r>
    </w:p>
    <w:p>
      <w:pPr>
        <w:pStyle w:val="Body"/>
        <w:rPr>
          <w:rFonts w:ascii="Arial" w:hAnsi="Arial" w:cs="Arial"/>
          <w:lang w:val="id-ID"/>
        </w:rPr>
      </w:pPr>
      <w:r>
        <w:rPr>
          <w:rFonts w:ascii="Arial" w:hAnsi="Arial" w:cs="Arial"/>
          <w:lang w:val="id-ID"/>
        </w:rPr>
        <w:t>When checking validity, it can be categorized into two, namely convergent validity and discriminant validity. In research, the outer loading value &gt; 0.7 variables explain more than 50% and outer loading 0.5 - 0.6 (Dedi rianto rahadi, 2023). The outer loading results in table 1 reveal the strength of the association between each observed variable, namely Independence, Red flags, Professional Skepticism and the latent construct, namely Fraud Detection Skills. The values in table 1 represent the outer loading of a fundamental component of structural equation modeling.</w:t>
      </w:r>
    </w:p>
    <w:p>
      <w:pPr>
        <w:pStyle w:val="Body"/>
        <w:rPr>
          <w:rFonts w:ascii="Arial" w:hAnsi="Arial" w:cs="Arial"/>
          <w:lang w:val="id-ID"/>
        </w:rPr>
      </w:pPr>
      <w:r>
        <w:rPr>
          <w:rFonts w:ascii="Arial" w:hAnsi="Arial" w:cs="Arial"/>
          <w:noProof/>
          <w:lang w:val="id-ID"/>
        </w:rPr>
        <w:drawing>
          <wp:inline distT="0" distB="0" distL="0" distR="0">
            <wp:extent cx="5212080" cy="2784475"/>
            <wp:effectExtent l="0" t="0" r="0" b="0"/>
            <wp:docPr id="1038152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2080" cy="2784475"/>
                    </a:xfrm>
                    <a:prstGeom prst="rect">
                      <a:avLst/>
                    </a:prstGeom>
                    <a:noFill/>
                    <a:ln>
                      <a:noFill/>
                    </a:ln>
                  </pic:spPr>
                </pic:pic>
              </a:graphicData>
            </a:graphic>
          </wp:inline>
        </w:drawing>
      </w:r>
    </w:p>
    <w:p>
      <w:pPr>
        <w:pStyle w:val="Body"/>
        <w:spacing w:after="0"/>
        <w:jc w:val="center"/>
        <w:rPr>
          <w:rFonts w:ascii="Arial" w:hAnsi="Arial" w:cs="Arial"/>
          <w:lang w:val="id-ID"/>
        </w:rPr>
      </w:pPr>
      <w:r>
        <w:rPr>
          <w:rFonts w:ascii="Arial" w:hAnsi="Arial" w:cs="Arial"/>
          <w:lang w:val="id-ID"/>
        </w:rPr>
        <w:t>Fig 2-Discriminant Validity Test</w:t>
      </w:r>
    </w:p>
    <w:p>
      <w:pPr>
        <w:pStyle w:val="Body"/>
        <w:rPr>
          <w:rFonts w:ascii="Arial" w:hAnsi="Arial" w:cs="Arial"/>
          <w:lang w:val="id-ID"/>
        </w:rPr>
      </w:pPr>
      <w:r>
        <w:rPr>
          <w:rFonts w:ascii="Arial" w:hAnsi="Arial" w:cs="Arial"/>
          <w:lang w:val="id-ID"/>
        </w:rPr>
        <w:lastRenderedPageBreak/>
        <w:t>Discriminant validity is used to ensure the distinctiveness of the constructs in the study and is not overly correlated with other constructs. Discriminant validity uses two techniques, namely: (Dedi rianto rahadi, 2023). Fornell and Larcker criteria: Discriminant validity if the AVE Root for a particular construct is greater than its correlation with other constructs. Referring to table 2, the value of the indicator having the largest FLC value on its own latent construct means that the indicator has good discriminant validity (Dedi rianto rahadi, 2023).</w:t>
      </w:r>
    </w:p>
    <w:p>
      <w:pPr>
        <w:pStyle w:val="Body"/>
        <w:spacing w:after="0"/>
        <w:jc w:val="center"/>
        <w:rPr>
          <w:rFonts w:ascii="Arial" w:hAnsi="Arial" w:cs="Arial"/>
          <w:lang w:val="id-ID"/>
        </w:rPr>
      </w:pPr>
      <w:r>
        <w:rPr>
          <w:rFonts w:ascii="Arial" w:hAnsi="Arial" w:cs="Arial"/>
          <w:lang w:val="id-ID"/>
        </w:rPr>
        <w:t>Table 2 Discriminant Validity Value (Fornel&amp;Larcker)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1685"/>
        <w:gridCol w:w="1685"/>
        <w:gridCol w:w="1685"/>
        <w:gridCol w:w="1685"/>
      </w:tblGrid>
      <w:tr>
        <w:tc>
          <w:tcPr>
            <w:tcW w:w="1684" w:type="dxa"/>
            <w:tcBorders>
              <w:bottom w:val="single" w:sz="4" w:space="0" w:color="auto"/>
            </w:tcBorders>
          </w:tcPr>
          <w:p>
            <w:pPr>
              <w:pStyle w:val="Body"/>
              <w:spacing w:after="0"/>
              <w:jc w:val="center"/>
              <w:rPr>
                <w:rFonts w:ascii="Arial" w:hAnsi="Arial" w:cs="Arial"/>
                <w:sz w:val="20"/>
                <w:szCs w:val="20"/>
              </w:rPr>
            </w:pPr>
          </w:p>
        </w:tc>
        <w:tc>
          <w:tcPr>
            <w:tcW w:w="1685" w:type="dxa"/>
            <w:tcBorders>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Integrity</w:t>
            </w:r>
          </w:p>
        </w:tc>
        <w:tc>
          <w:tcPr>
            <w:tcW w:w="1685" w:type="dxa"/>
            <w:tcBorders>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KMK</w:t>
            </w:r>
          </w:p>
        </w:tc>
        <w:tc>
          <w:tcPr>
            <w:tcW w:w="1685" w:type="dxa"/>
            <w:tcBorders>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Competence</w:t>
            </w:r>
          </w:p>
        </w:tc>
        <w:tc>
          <w:tcPr>
            <w:tcW w:w="1685" w:type="dxa"/>
            <w:tcBorders>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Skepticism</w:t>
            </w:r>
          </w:p>
        </w:tc>
      </w:tr>
      <w:tr>
        <w:tc>
          <w:tcPr>
            <w:tcW w:w="1684" w:type="dxa"/>
            <w:tcBorders>
              <w:top w:val="single" w:sz="4" w:space="0" w:color="auto"/>
              <w:bottom w:val="single" w:sz="4" w:space="0" w:color="auto"/>
            </w:tcBorders>
          </w:tcPr>
          <w:p>
            <w:pPr>
              <w:pStyle w:val="Body"/>
              <w:spacing w:after="0"/>
              <w:rPr>
                <w:rFonts w:ascii="Arial" w:hAnsi="Arial" w:cs="Arial"/>
                <w:sz w:val="20"/>
                <w:szCs w:val="20"/>
              </w:rPr>
            </w:pPr>
            <w:r>
              <w:rPr>
                <w:rFonts w:ascii="Arial" w:hAnsi="Arial" w:cs="Arial"/>
                <w:sz w:val="20"/>
                <w:szCs w:val="20"/>
                <w:lang w:val="id-ID"/>
              </w:rPr>
              <w:t>Integrity</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0.749</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p>
        </w:tc>
      </w:tr>
      <w:tr>
        <w:tc>
          <w:tcPr>
            <w:tcW w:w="1684" w:type="dxa"/>
            <w:tcBorders>
              <w:top w:val="single" w:sz="4" w:space="0" w:color="auto"/>
              <w:bottom w:val="single" w:sz="4" w:space="0" w:color="auto"/>
            </w:tcBorders>
          </w:tcPr>
          <w:p>
            <w:pPr>
              <w:pStyle w:val="Body"/>
              <w:spacing w:after="0"/>
              <w:rPr>
                <w:rFonts w:ascii="Arial" w:hAnsi="Arial" w:cs="Arial"/>
                <w:sz w:val="20"/>
                <w:szCs w:val="20"/>
              </w:rPr>
            </w:pPr>
            <w:r>
              <w:rPr>
                <w:rFonts w:ascii="Arial" w:hAnsi="Arial" w:cs="Arial"/>
                <w:sz w:val="20"/>
                <w:szCs w:val="20"/>
                <w:lang w:val="id-ID"/>
              </w:rPr>
              <w:t>KMK</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0.411</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0.797</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p>
        </w:tc>
      </w:tr>
      <w:tr>
        <w:tc>
          <w:tcPr>
            <w:tcW w:w="1684" w:type="dxa"/>
            <w:tcBorders>
              <w:top w:val="single" w:sz="4" w:space="0" w:color="auto"/>
              <w:bottom w:val="single" w:sz="4" w:space="0" w:color="auto"/>
            </w:tcBorders>
          </w:tcPr>
          <w:p>
            <w:pPr>
              <w:pStyle w:val="Body"/>
              <w:spacing w:after="0"/>
              <w:rPr>
                <w:rFonts w:ascii="Arial" w:hAnsi="Arial" w:cs="Arial"/>
                <w:sz w:val="20"/>
                <w:szCs w:val="20"/>
              </w:rPr>
            </w:pPr>
            <w:r>
              <w:rPr>
                <w:rFonts w:ascii="Arial" w:hAnsi="Arial" w:cs="Arial"/>
                <w:sz w:val="20"/>
                <w:szCs w:val="20"/>
                <w:lang w:val="id-ID"/>
              </w:rPr>
              <w:t>Competence</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0.132</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0.410</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0.724</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p>
        </w:tc>
      </w:tr>
      <w:tr>
        <w:tc>
          <w:tcPr>
            <w:tcW w:w="1684" w:type="dxa"/>
            <w:tcBorders>
              <w:top w:val="single" w:sz="4" w:space="0" w:color="auto"/>
              <w:bottom w:val="single" w:sz="4" w:space="0" w:color="auto"/>
            </w:tcBorders>
          </w:tcPr>
          <w:p>
            <w:pPr>
              <w:pStyle w:val="Body"/>
              <w:spacing w:after="0"/>
              <w:rPr>
                <w:rFonts w:ascii="Arial" w:hAnsi="Arial" w:cs="Arial"/>
                <w:sz w:val="20"/>
                <w:szCs w:val="20"/>
              </w:rPr>
            </w:pPr>
            <w:r>
              <w:rPr>
                <w:rFonts w:ascii="Arial" w:hAnsi="Arial" w:cs="Arial"/>
                <w:sz w:val="20"/>
                <w:szCs w:val="20"/>
                <w:lang w:val="id-ID"/>
              </w:rPr>
              <w:t>Skepticism</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0.357</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0.467</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0.694</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0.785</w:t>
            </w:r>
          </w:p>
        </w:tc>
      </w:tr>
    </w:tbl>
    <w:p>
      <w:pPr>
        <w:pStyle w:val="Body"/>
        <w:spacing w:after="0"/>
        <w:jc w:val="center"/>
        <w:rPr>
          <w:rFonts w:ascii="Arial" w:hAnsi="Arial" w:cs="Arial"/>
        </w:rPr>
      </w:pPr>
    </w:p>
    <w:p>
      <w:pPr>
        <w:pStyle w:val="Body"/>
        <w:rPr>
          <w:rFonts w:ascii="Arial" w:hAnsi="Arial" w:cs="Arial"/>
          <w:lang w:val="id-ID"/>
        </w:rPr>
      </w:pPr>
      <w:r>
        <w:rPr>
          <w:rFonts w:ascii="Arial" w:hAnsi="Arial" w:cs="Arial"/>
          <w:lang w:val="id-ID"/>
        </w:rPr>
        <w:t>Discriminant validity tests can also be obtained from the Average Variant Extracted (AVE) value where the latent construct value is greater than 0.5 (AVE&gt;0). The results of this study are in table 3 and show that all latent construct values are above 0.5 (Dedi rianto rahadi, 2023).</w:t>
      </w:r>
    </w:p>
    <w:p>
      <w:pPr>
        <w:pStyle w:val="Body"/>
        <w:spacing w:after="0"/>
        <w:jc w:val="center"/>
        <w:rPr>
          <w:rFonts w:ascii="Arial" w:hAnsi="Arial" w:cs="Arial"/>
          <w:lang w:val="id-ID"/>
        </w:rPr>
      </w:pPr>
      <w:r>
        <w:rPr>
          <w:rFonts w:ascii="Arial" w:hAnsi="Arial" w:cs="Arial"/>
          <w:lang w:val="id-ID"/>
        </w:rPr>
        <w:t>Table 3. Average Variant Extracted (AVE) Value</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2133"/>
      </w:tblGrid>
      <w:tr>
        <w:tc>
          <w:tcPr>
            <w:tcW w:w="2119" w:type="dxa"/>
            <w:tcBorders>
              <w:top w:val="single" w:sz="4" w:space="0" w:color="auto"/>
              <w:bottom w:val="single" w:sz="4" w:space="0" w:color="auto"/>
            </w:tcBorders>
          </w:tcPr>
          <w:p>
            <w:pPr>
              <w:pStyle w:val="Body"/>
              <w:spacing w:after="0"/>
              <w:jc w:val="center"/>
              <w:rPr>
                <w:rFonts w:ascii="Arial" w:hAnsi="Arial" w:cs="Arial"/>
                <w:sz w:val="20"/>
                <w:szCs w:val="20"/>
                <w:lang w:val="id-ID"/>
              </w:rPr>
            </w:pPr>
          </w:p>
        </w:tc>
        <w:tc>
          <w:tcPr>
            <w:tcW w:w="2133"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AVE</w:t>
            </w:r>
          </w:p>
        </w:tc>
      </w:tr>
      <w:tr>
        <w:trPr>
          <w:trHeight w:val="235"/>
        </w:trPr>
        <w:tc>
          <w:tcPr>
            <w:tcW w:w="2119"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KMK</w:t>
            </w:r>
          </w:p>
        </w:tc>
        <w:tc>
          <w:tcPr>
            <w:tcW w:w="2133"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0.635</w:t>
            </w:r>
          </w:p>
        </w:tc>
      </w:tr>
      <w:tr>
        <w:tc>
          <w:tcPr>
            <w:tcW w:w="2119"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Competence</w:t>
            </w:r>
          </w:p>
        </w:tc>
        <w:tc>
          <w:tcPr>
            <w:tcW w:w="2133"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0.524</w:t>
            </w:r>
          </w:p>
        </w:tc>
      </w:tr>
      <w:tr>
        <w:tc>
          <w:tcPr>
            <w:tcW w:w="2119"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Integrity</w:t>
            </w:r>
          </w:p>
        </w:tc>
        <w:tc>
          <w:tcPr>
            <w:tcW w:w="2133"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0.562</w:t>
            </w:r>
          </w:p>
        </w:tc>
      </w:tr>
    </w:tbl>
    <w:p>
      <w:pPr>
        <w:pStyle w:val="Body"/>
        <w:spacing w:after="0"/>
        <w:jc w:val="center"/>
        <w:rPr>
          <w:rFonts w:ascii="Arial" w:hAnsi="Arial" w:cs="Arial"/>
          <w:lang w:val="id-ID"/>
        </w:rPr>
      </w:pPr>
    </w:p>
    <w:p>
      <w:pPr>
        <w:pStyle w:val="Body"/>
        <w:spacing w:after="0"/>
        <w:rPr>
          <w:rFonts w:ascii="Arial" w:hAnsi="Arial" w:cs="Arial"/>
          <w:lang w:val="id-ID"/>
        </w:rPr>
      </w:pPr>
      <w:r>
        <w:rPr>
          <w:rFonts w:ascii="Arial" w:hAnsi="Arial" w:cs="Arial"/>
          <w:lang w:val="id-ID"/>
        </w:rPr>
        <w:t>Reliability Test</w:t>
      </w:r>
    </w:p>
    <w:p>
      <w:pPr>
        <w:pStyle w:val="Body"/>
        <w:rPr>
          <w:rFonts w:ascii="Arial" w:hAnsi="Arial" w:cs="Arial"/>
          <w:lang w:val="id-ID"/>
        </w:rPr>
      </w:pPr>
      <w:r>
        <w:rPr>
          <w:rFonts w:ascii="Arial" w:hAnsi="Arial" w:cs="Arial"/>
          <w:lang w:val="id-ID"/>
        </w:rPr>
        <w:t>Composite reliability (CR &gt; 0.7) means that the construct is reliable and can measure how well the variables underlying the construct are presented in structural equation modeling. The Cronbach's Alpha value is greater than 0.7 as well as the Rho A value. From table 3 the results show that all constructs have CR, Rho A and Cronbach's Alpha values above 0.7, meaning that the questionnaire has a good level of reliability (Dedi rianto rahadi, 2023).</w:t>
      </w:r>
    </w:p>
    <w:p>
      <w:pPr>
        <w:pStyle w:val="Body"/>
        <w:jc w:val="center"/>
        <w:rPr>
          <w:rFonts w:ascii="Arial" w:hAnsi="Arial" w:cs="Arial"/>
          <w:lang w:val="id-ID"/>
        </w:rPr>
      </w:pPr>
      <w:r>
        <w:rPr>
          <w:rFonts w:ascii="Arial" w:hAnsi="Arial" w:cs="Arial"/>
          <w:lang w:val="id-ID"/>
        </w:rPr>
        <w:t>Table 4. Value of Composite Reliability, Rho A and Crobach's Alpha</w:t>
      </w:r>
    </w:p>
    <w:tbl>
      <w:tblPr>
        <w:tblStyle w:val="TableGrid"/>
        <w:tblW w:w="0" w:type="auto"/>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1685"/>
        <w:gridCol w:w="1685"/>
        <w:gridCol w:w="1685"/>
      </w:tblGrid>
      <w:tr>
        <w:tc>
          <w:tcPr>
            <w:tcW w:w="1684" w:type="dxa"/>
            <w:tcBorders>
              <w:bottom w:val="single" w:sz="4" w:space="0" w:color="auto"/>
            </w:tcBorders>
          </w:tcPr>
          <w:p>
            <w:pPr>
              <w:pStyle w:val="Body"/>
              <w:spacing w:after="0"/>
              <w:jc w:val="center"/>
              <w:rPr>
                <w:rFonts w:ascii="Arial" w:hAnsi="Arial" w:cs="Arial"/>
                <w:sz w:val="20"/>
                <w:szCs w:val="20"/>
              </w:rPr>
            </w:pPr>
          </w:p>
        </w:tc>
        <w:tc>
          <w:tcPr>
            <w:tcW w:w="1685" w:type="dxa"/>
            <w:tcBorders>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Cronbach's Alpha</w:t>
            </w:r>
          </w:p>
        </w:tc>
        <w:tc>
          <w:tcPr>
            <w:tcW w:w="1685" w:type="dxa"/>
            <w:tcBorders>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Rho_A</w:t>
            </w:r>
          </w:p>
        </w:tc>
        <w:tc>
          <w:tcPr>
            <w:tcW w:w="1685" w:type="dxa"/>
            <w:tcBorders>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Composite Reliability</w:t>
            </w:r>
          </w:p>
        </w:tc>
      </w:tr>
      <w:tr>
        <w:tc>
          <w:tcPr>
            <w:tcW w:w="1684" w:type="dxa"/>
            <w:tcBorders>
              <w:top w:val="single" w:sz="4" w:space="0" w:color="auto"/>
              <w:bottom w:val="single" w:sz="4" w:space="0" w:color="auto"/>
            </w:tcBorders>
          </w:tcPr>
          <w:p>
            <w:pPr>
              <w:pStyle w:val="Body"/>
              <w:spacing w:after="0"/>
              <w:rPr>
                <w:rFonts w:ascii="Arial" w:hAnsi="Arial" w:cs="Arial"/>
                <w:sz w:val="20"/>
                <w:szCs w:val="20"/>
              </w:rPr>
            </w:pPr>
            <w:r>
              <w:rPr>
                <w:rFonts w:ascii="Arial" w:hAnsi="Arial" w:cs="Arial"/>
                <w:sz w:val="20"/>
                <w:szCs w:val="20"/>
              </w:rPr>
              <w:t>KMK</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0.917</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0.925</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0.933</w:t>
            </w:r>
          </w:p>
        </w:tc>
      </w:tr>
      <w:tr>
        <w:tc>
          <w:tcPr>
            <w:tcW w:w="1684" w:type="dxa"/>
            <w:tcBorders>
              <w:top w:val="single" w:sz="4" w:space="0" w:color="auto"/>
              <w:bottom w:val="single" w:sz="4" w:space="0" w:color="auto"/>
            </w:tcBorders>
          </w:tcPr>
          <w:p>
            <w:pPr>
              <w:pStyle w:val="Body"/>
              <w:spacing w:after="0"/>
              <w:rPr>
                <w:rFonts w:ascii="Arial" w:hAnsi="Arial" w:cs="Arial"/>
                <w:sz w:val="20"/>
                <w:szCs w:val="20"/>
              </w:rPr>
            </w:pPr>
            <w:r>
              <w:rPr>
                <w:rFonts w:ascii="Arial" w:hAnsi="Arial" w:cs="Arial"/>
                <w:sz w:val="20"/>
                <w:szCs w:val="20"/>
                <w:lang w:val="id-ID"/>
              </w:rPr>
              <w:t>Competence</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0.789</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0.816</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0.864</w:t>
            </w:r>
          </w:p>
        </w:tc>
      </w:tr>
      <w:tr>
        <w:tc>
          <w:tcPr>
            <w:tcW w:w="1684" w:type="dxa"/>
            <w:tcBorders>
              <w:top w:val="single" w:sz="4" w:space="0" w:color="auto"/>
              <w:bottom w:val="single" w:sz="4" w:space="0" w:color="auto"/>
            </w:tcBorders>
          </w:tcPr>
          <w:p>
            <w:pPr>
              <w:pStyle w:val="Body"/>
              <w:spacing w:after="0"/>
              <w:rPr>
                <w:rFonts w:ascii="Arial" w:hAnsi="Arial" w:cs="Arial"/>
                <w:sz w:val="20"/>
                <w:szCs w:val="20"/>
              </w:rPr>
            </w:pPr>
            <w:r>
              <w:rPr>
                <w:rFonts w:ascii="Arial" w:hAnsi="Arial" w:cs="Arial"/>
                <w:sz w:val="20"/>
                <w:szCs w:val="20"/>
                <w:lang w:val="id-ID"/>
              </w:rPr>
              <w:t>Integrity</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0.796</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0.805</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0.863</w:t>
            </w:r>
          </w:p>
        </w:tc>
      </w:tr>
      <w:tr>
        <w:tc>
          <w:tcPr>
            <w:tcW w:w="1684" w:type="dxa"/>
            <w:tcBorders>
              <w:top w:val="single" w:sz="4" w:space="0" w:color="auto"/>
              <w:bottom w:val="single" w:sz="4" w:space="0" w:color="auto"/>
            </w:tcBorders>
          </w:tcPr>
          <w:p>
            <w:pPr>
              <w:pStyle w:val="Body"/>
              <w:spacing w:after="0"/>
              <w:rPr>
                <w:rFonts w:ascii="Arial" w:hAnsi="Arial" w:cs="Arial"/>
                <w:sz w:val="20"/>
                <w:szCs w:val="20"/>
              </w:rPr>
            </w:pPr>
            <w:r>
              <w:rPr>
                <w:rFonts w:ascii="Arial" w:hAnsi="Arial" w:cs="Arial"/>
                <w:sz w:val="20"/>
                <w:szCs w:val="20"/>
                <w:lang w:val="id-ID"/>
              </w:rPr>
              <w:t>Skepticism</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0.818</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0.820</w:t>
            </w:r>
          </w:p>
        </w:tc>
        <w:tc>
          <w:tcPr>
            <w:tcW w:w="1685" w:type="dxa"/>
            <w:tcBorders>
              <w:top w:val="single" w:sz="4" w:space="0" w:color="auto"/>
              <w:bottom w:val="single" w:sz="4" w:space="0" w:color="auto"/>
            </w:tcBorders>
          </w:tcPr>
          <w:p>
            <w:pPr>
              <w:pStyle w:val="Body"/>
              <w:spacing w:after="0"/>
              <w:jc w:val="center"/>
              <w:rPr>
                <w:rFonts w:ascii="Arial" w:hAnsi="Arial" w:cs="Arial"/>
                <w:sz w:val="20"/>
                <w:szCs w:val="20"/>
              </w:rPr>
            </w:pPr>
            <w:r>
              <w:rPr>
                <w:rFonts w:ascii="Arial" w:hAnsi="Arial" w:cs="Arial"/>
                <w:sz w:val="20"/>
                <w:szCs w:val="20"/>
                <w:lang w:val="id-ID"/>
              </w:rPr>
              <w:t>0.868</w:t>
            </w:r>
          </w:p>
        </w:tc>
      </w:tr>
    </w:tbl>
    <w:p>
      <w:pPr>
        <w:pStyle w:val="Body"/>
        <w:spacing w:after="0"/>
        <w:rPr>
          <w:rFonts w:ascii="Arial" w:hAnsi="Arial" w:cs="Arial"/>
          <w:lang w:val="id-ID"/>
        </w:rPr>
      </w:pPr>
    </w:p>
    <w:p>
      <w:pPr>
        <w:pStyle w:val="Body"/>
        <w:spacing w:after="0"/>
        <w:rPr>
          <w:rFonts w:ascii="Arial" w:hAnsi="Arial" w:cs="Arial"/>
          <w:lang w:val="id-ID"/>
        </w:rPr>
      </w:pPr>
      <w:r>
        <w:rPr>
          <w:rFonts w:ascii="Arial" w:hAnsi="Arial" w:cs="Arial"/>
          <w:lang w:val="id-ID"/>
        </w:rPr>
        <w:t>Inner Model or Structural Model Evaluation</w:t>
      </w:r>
    </w:p>
    <w:p>
      <w:pPr>
        <w:pStyle w:val="Body"/>
        <w:rPr>
          <w:rFonts w:ascii="Arial" w:hAnsi="Arial" w:cs="Arial"/>
          <w:lang w:val="id-ID"/>
        </w:rPr>
      </w:pPr>
      <w:r>
        <w:rPr>
          <w:rFonts w:ascii="Arial" w:hAnsi="Arial" w:cs="Arial"/>
          <w:lang w:val="id-ID"/>
        </w:rPr>
        <w:t>This assessment can be carried out by examining the R-Square value, which indicates the significance of the relationship between exogenous and endogenous variables. The strength of the inner model can be evaluated through bootstrapping results, where an R-Square value of 0.67 is categorized as strong, 0.33 as moderate, and 0.19 as weak. The inner model path diagram is shown in Figure 3.</w:t>
      </w:r>
    </w:p>
    <w:p>
      <w:pPr>
        <w:pStyle w:val="Body"/>
        <w:rPr>
          <w:rFonts w:ascii="Arial" w:hAnsi="Arial" w:cs="Arial"/>
          <w:lang w:val="id-ID"/>
        </w:rPr>
      </w:pPr>
      <w:r>
        <w:rPr>
          <w:rFonts w:ascii="Arial" w:hAnsi="Arial" w:cs="Arial"/>
          <w:noProof/>
          <w:lang w:val="id-ID"/>
        </w:rPr>
        <w:lastRenderedPageBreak/>
        <w:drawing>
          <wp:inline distT="0" distB="0" distL="0" distR="0">
            <wp:extent cx="5212080" cy="2826385"/>
            <wp:effectExtent l="0" t="0" r="0" b="0"/>
            <wp:docPr id="57064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2080" cy="2826385"/>
                    </a:xfrm>
                    <a:prstGeom prst="rect">
                      <a:avLst/>
                    </a:prstGeom>
                    <a:noFill/>
                    <a:ln>
                      <a:noFill/>
                    </a:ln>
                  </pic:spPr>
                </pic:pic>
              </a:graphicData>
            </a:graphic>
          </wp:inline>
        </w:drawing>
      </w:r>
    </w:p>
    <w:p>
      <w:pPr>
        <w:pStyle w:val="Body"/>
        <w:jc w:val="center"/>
        <w:rPr>
          <w:rFonts w:ascii="Arial" w:hAnsi="Arial" w:cs="Arial"/>
          <w:lang w:val="id-ID"/>
        </w:rPr>
      </w:pPr>
      <w:r>
        <w:rPr>
          <w:rFonts w:ascii="Arial" w:hAnsi="Arial" w:cs="Arial"/>
          <w:lang w:val="id-ID"/>
        </w:rPr>
        <w:t>Figure3. Bootstrapping Results</w:t>
      </w:r>
    </w:p>
    <w:p>
      <w:pPr>
        <w:tabs>
          <w:tab w:val="left" w:pos="1080"/>
        </w:tabs>
        <w:jc w:val="center"/>
        <w:rPr>
          <w:rFonts w:ascii="Arial" w:hAnsi="Arial" w:cs="Arial"/>
          <w:lang w:val="id-ID"/>
        </w:rPr>
      </w:pPr>
      <w:r>
        <w:rPr>
          <w:rFonts w:ascii="Arial" w:hAnsi="Arial" w:cs="Arial"/>
          <w:lang w:val="id-ID"/>
        </w:rPr>
        <w:t>Table 5. R-Square</w:t>
      </w:r>
    </w:p>
    <w:tbl>
      <w:tblPr>
        <w:tblStyle w:val="TableGrid"/>
        <w:tblW w:w="0" w:type="auto"/>
        <w:tblInd w:w="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9"/>
        <w:gridCol w:w="2108"/>
        <w:gridCol w:w="2114"/>
      </w:tblGrid>
      <w:tr>
        <w:tc>
          <w:tcPr>
            <w:tcW w:w="2109" w:type="dxa"/>
            <w:tcBorders>
              <w:top w:val="single" w:sz="4" w:space="0" w:color="auto"/>
              <w:bottom w:val="single" w:sz="4" w:space="0" w:color="auto"/>
            </w:tcBorders>
          </w:tcPr>
          <w:p>
            <w:pPr>
              <w:pStyle w:val="Body"/>
              <w:spacing w:after="0"/>
              <w:jc w:val="center"/>
              <w:rPr>
                <w:rFonts w:ascii="Arial" w:hAnsi="Arial" w:cs="Arial"/>
                <w:sz w:val="20"/>
                <w:szCs w:val="20"/>
                <w:lang w:val="id-ID"/>
              </w:rPr>
            </w:pPr>
          </w:p>
        </w:tc>
        <w:tc>
          <w:tcPr>
            <w:tcW w:w="2108" w:type="dxa"/>
            <w:tcBorders>
              <w:top w:val="single" w:sz="4" w:space="0" w:color="auto"/>
              <w:bottom w:val="single" w:sz="4" w:space="0" w:color="auto"/>
            </w:tcBorders>
          </w:tcPr>
          <w:p>
            <w:pPr>
              <w:pStyle w:val="Body"/>
              <w:spacing w:after="0"/>
              <w:jc w:val="center"/>
              <w:rPr>
                <w:rFonts w:ascii="Arial" w:hAnsi="Arial" w:cs="Arial"/>
                <w:lang w:val="id-ID"/>
              </w:rPr>
            </w:pPr>
            <w:r>
              <w:rPr>
                <w:rFonts w:ascii="Arial" w:hAnsi="Arial" w:cs="Arial"/>
                <w:lang w:val="id-ID"/>
              </w:rPr>
              <w:t>R Square</w:t>
            </w:r>
          </w:p>
        </w:tc>
        <w:tc>
          <w:tcPr>
            <w:tcW w:w="2114"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R Square Adjusted</w:t>
            </w:r>
          </w:p>
        </w:tc>
      </w:tr>
      <w:tr>
        <w:trPr>
          <w:trHeight w:val="235"/>
        </w:trPr>
        <w:tc>
          <w:tcPr>
            <w:tcW w:w="2109" w:type="dxa"/>
            <w:tcBorders>
              <w:top w:val="single" w:sz="4" w:space="0" w:color="auto"/>
              <w:bottom w:val="single" w:sz="4" w:space="0" w:color="auto"/>
            </w:tcBorders>
          </w:tcPr>
          <w:p>
            <w:pPr>
              <w:pStyle w:val="Body"/>
              <w:spacing w:after="0"/>
              <w:rPr>
                <w:rFonts w:ascii="Arial" w:hAnsi="Arial" w:cs="Arial"/>
                <w:sz w:val="20"/>
                <w:szCs w:val="20"/>
                <w:lang w:val="id-ID"/>
              </w:rPr>
            </w:pPr>
            <w:r>
              <w:rPr>
                <w:rFonts w:ascii="Arial" w:hAnsi="Arial" w:cs="Arial"/>
                <w:sz w:val="20"/>
                <w:szCs w:val="20"/>
                <w:lang w:val="id-ID"/>
              </w:rPr>
              <w:t>Fraud Detection</w:t>
            </w:r>
          </w:p>
        </w:tc>
        <w:tc>
          <w:tcPr>
            <w:tcW w:w="2108" w:type="dxa"/>
            <w:tcBorders>
              <w:top w:val="single" w:sz="4" w:space="0" w:color="auto"/>
              <w:bottom w:val="single" w:sz="4" w:space="0" w:color="auto"/>
            </w:tcBorders>
          </w:tcPr>
          <w:p>
            <w:pPr>
              <w:pStyle w:val="Body"/>
              <w:spacing w:after="0"/>
              <w:jc w:val="center"/>
              <w:rPr>
                <w:rFonts w:ascii="Arial" w:hAnsi="Arial" w:cs="Arial"/>
                <w:lang w:val="id-ID"/>
              </w:rPr>
            </w:pPr>
            <w:r>
              <w:rPr>
                <w:rFonts w:ascii="Arial" w:hAnsi="Arial" w:cs="Arial"/>
                <w:lang w:val="id-ID"/>
              </w:rPr>
              <w:t>0.326</w:t>
            </w:r>
          </w:p>
        </w:tc>
        <w:tc>
          <w:tcPr>
            <w:tcW w:w="2114"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0.290</w:t>
            </w:r>
          </w:p>
        </w:tc>
      </w:tr>
      <w:tr>
        <w:tc>
          <w:tcPr>
            <w:tcW w:w="2109" w:type="dxa"/>
            <w:tcBorders>
              <w:top w:val="single" w:sz="4" w:space="0" w:color="auto"/>
              <w:bottom w:val="single" w:sz="4" w:space="0" w:color="auto"/>
            </w:tcBorders>
          </w:tcPr>
          <w:p>
            <w:pPr>
              <w:pStyle w:val="Body"/>
              <w:spacing w:after="0"/>
              <w:rPr>
                <w:rFonts w:ascii="Arial" w:hAnsi="Arial" w:cs="Arial"/>
                <w:sz w:val="20"/>
                <w:szCs w:val="20"/>
                <w:lang w:val="id-ID"/>
              </w:rPr>
            </w:pPr>
            <w:r>
              <w:rPr>
                <w:rFonts w:ascii="Arial" w:hAnsi="Arial" w:cs="Arial"/>
                <w:sz w:val="20"/>
                <w:szCs w:val="20"/>
                <w:lang w:val="id-ID"/>
              </w:rPr>
              <w:t>Skepticism</w:t>
            </w:r>
          </w:p>
        </w:tc>
        <w:tc>
          <w:tcPr>
            <w:tcW w:w="2108" w:type="dxa"/>
            <w:tcBorders>
              <w:top w:val="single" w:sz="4" w:space="0" w:color="auto"/>
              <w:bottom w:val="single" w:sz="4" w:space="0" w:color="auto"/>
            </w:tcBorders>
          </w:tcPr>
          <w:p>
            <w:pPr>
              <w:pStyle w:val="Body"/>
              <w:spacing w:after="0"/>
              <w:jc w:val="center"/>
              <w:rPr>
                <w:rFonts w:ascii="Arial" w:hAnsi="Arial" w:cs="Arial"/>
                <w:lang w:val="id-ID"/>
              </w:rPr>
            </w:pPr>
            <w:r>
              <w:rPr>
                <w:rFonts w:ascii="Arial" w:hAnsi="Arial" w:cs="Arial"/>
                <w:lang w:val="id-ID"/>
              </w:rPr>
              <w:t>0.226</w:t>
            </w:r>
          </w:p>
        </w:tc>
        <w:tc>
          <w:tcPr>
            <w:tcW w:w="2114"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0.198</w:t>
            </w:r>
          </w:p>
        </w:tc>
      </w:tr>
    </w:tbl>
    <w:p>
      <w:pPr>
        <w:tabs>
          <w:tab w:val="left" w:pos="1080"/>
        </w:tabs>
        <w:jc w:val="center"/>
        <w:rPr>
          <w:rFonts w:ascii="Arial" w:hAnsi="Arial" w:cs="Arial"/>
          <w:lang w:val="id-ID"/>
        </w:rPr>
      </w:pPr>
    </w:p>
    <w:p>
      <w:pPr>
        <w:tabs>
          <w:tab w:val="left" w:pos="1080"/>
        </w:tabs>
        <w:jc w:val="both"/>
        <w:rPr>
          <w:rFonts w:ascii="Arial" w:hAnsi="Arial" w:cs="Arial"/>
          <w:lang w:val="id-ID"/>
        </w:rPr>
      </w:pPr>
      <w:r>
        <w:rPr>
          <w:rFonts w:ascii="Arial" w:hAnsi="Arial" w:cs="Arial"/>
          <w:lang w:val="id-ID"/>
        </w:rPr>
        <w:t>Based on table 4, it can be seen that the R-Square value of Professional Skepticism is 0.226 or 26%, meaning that the Professional Skepticism variable can be explained by the independence and red flags variables by 26% and the remaining 74% is explained by other factors, this value is classified as weak because it is below 0.333. Then the R-Square value of Fraud Detection Skills is 0.326 or 0.33, meaning that the variable fraud detection skills can be explained by independence, red flags and professional skepticism by 33% and the remaining 67% is explained by other factors, this value is considered moderate because it is 0.33.</w:t>
      </w:r>
    </w:p>
    <w:p>
      <w:pPr>
        <w:tabs>
          <w:tab w:val="left" w:pos="1080"/>
        </w:tabs>
        <w:jc w:val="both"/>
        <w:rPr>
          <w:rFonts w:ascii="Arial" w:hAnsi="Arial" w:cs="Arial"/>
          <w:lang w:val="id-ID"/>
        </w:rPr>
      </w:pPr>
    </w:p>
    <w:p>
      <w:pPr>
        <w:tabs>
          <w:tab w:val="left" w:pos="1080"/>
        </w:tabs>
        <w:jc w:val="both"/>
        <w:rPr>
          <w:rFonts w:ascii="Arial" w:hAnsi="Arial" w:cs="Arial"/>
          <w:lang w:val="id-ID"/>
        </w:rPr>
      </w:pPr>
      <w:r>
        <w:rPr>
          <w:rFonts w:ascii="Arial" w:hAnsi="Arial" w:cs="Arial"/>
          <w:lang w:val="id-ID"/>
        </w:rPr>
        <w:t>Path Coefficient Hypothesis Test.</w:t>
      </w:r>
    </w:p>
    <w:p>
      <w:pPr>
        <w:tabs>
          <w:tab w:val="left" w:pos="1080"/>
        </w:tabs>
        <w:jc w:val="both"/>
        <w:rPr>
          <w:rFonts w:ascii="Arial" w:hAnsi="Arial" w:cs="Arial"/>
          <w:lang w:val="id-ID"/>
        </w:rPr>
      </w:pPr>
      <w:r>
        <w:rPr>
          <w:rFonts w:ascii="Arial" w:hAnsi="Arial" w:cs="Arial"/>
          <w:lang w:val="id-ID"/>
        </w:rPr>
        <w:t>Hypothesis testing is based on available information and the researcher's beliefs about population parameters. The hypothesis testing process involves setting two hypotheses, namely the null hypothesis and the alternative hypothesis (Dedi rianto rahadi, 2023). The results of hypothesis testing can be seen from direct effects and indirect effects:</w:t>
      </w:r>
    </w:p>
    <w:p>
      <w:pPr>
        <w:tabs>
          <w:tab w:val="left" w:pos="1080"/>
        </w:tabs>
        <w:jc w:val="both"/>
        <w:rPr>
          <w:rFonts w:ascii="Arial" w:hAnsi="Arial" w:cs="Arial"/>
          <w:lang w:val="id-ID"/>
        </w:rPr>
      </w:pPr>
    </w:p>
    <w:p>
      <w:pPr>
        <w:tabs>
          <w:tab w:val="left" w:pos="1080"/>
        </w:tabs>
        <w:jc w:val="both"/>
        <w:rPr>
          <w:rFonts w:ascii="Arial" w:hAnsi="Arial" w:cs="Arial"/>
          <w:lang w:val="id-ID"/>
        </w:rPr>
      </w:pPr>
      <w:r>
        <w:rPr>
          <w:rFonts w:ascii="Arial" w:hAnsi="Arial" w:cs="Arial"/>
          <w:lang w:val="id-ID"/>
        </w:rPr>
        <w:t>Direct Effects</w:t>
      </w:r>
    </w:p>
    <w:p>
      <w:pPr>
        <w:tabs>
          <w:tab w:val="left" w:pos="1080"/>
        </w:tabs>
        <w:jc w:val="both"/>
        <w:rPr>
          <w:rFonts w:ascii="Arial" w:hAnsi="Arial" w:cs="Arial"/>
          <w:lang w:val="id-ID"/>
        </w:rPr>
      </w:pPr>
      <w:r>
        <w:rPr>
          <w:rFonts w:ascii="Arial" w:hAnsi="Arial" w:cs="Arial"/>
          <w:lang w:val="id-ID"/>
        </w:rPr>
        <w:t>The variables that affect the dependent variable or the predicted variable directly and are</w:t>
      </w:r>
    </w:p>
    <w:p>
      <w:pPr>
        <w:tabs>
          <w:tab w:val="left" w:pos="1080"/>
        </w:tabs>
        <w:jc w:val="both"/>
        <w:rPr>
          <w:rFonts w:ascii="Arial" w:hAnsi="Arial" w:cs="Arial"/>
          <w:lang w:val="id-ID"/>
        </w:rPr>
      </w:pPr>
      <w:r>
        <w:rPr>
          <w:rFonts w:ascii="Arial" w:hAnsi="Arial" w:cs="Arial"/>
          <w:lang w:val="id-ID"/>
        </w:rPr>
        <w:t>statistically significant are five relationships in table 6.</w:t>
      </w:r>
    </w:p>
    <w:p>
      <w:pPr>
        <w:tabs>
          <w:tab w:val="left" w:pos="1080"/>
        </w:tabs>
        <w:jc w:val="both"/>
        <w:rPr>
          <w:rFonts w:ascii="Arial" w:hAnsi="Arial" w:cs="Arial"/>
          <w:lang w:val="id-ID"/>
        </w:rPr>
      </w:pPr>
    </w:p>
    <w:p>
      <w:pPr>
        <w:tabs>
          <w:tab w:val="left" w:pos="1080"/>
        </w:tabs>
        <w:jc w:val="center"/>
        <w:rPr>
          <w:rFonts w:ascii="Arial" w:hAnsi="Arial" w:cs="Arial"/>
          <w:lang w:val="id-ID"/>
        </w:rPr>
      </w:pPr>
      <w:r>
        <w:rPr>
          <w:rFonts w:ascii="Arial" w:hAnsi="Arial" w:cs="Arial"/>
          <w:lang w:val="id-ID"/>
        </w:rPr>
        <w:t>Table 6. Path Coefficients</w:t>
      </w:r>
    </w:p>
    <w:tbl>
      <w:tblPr>
        <w:tblStyle w:val="TableGrid"/>
        <w:tblW w:w="0" w:type="auto"/>
        <w:tblInd w:w="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2250"/>
        <w:gridCol w:w="1886"/>
        <w:gridCol w:w="1904"/>
      </w:tblGrid>
      <w:tr>
        <w:tc>
          <w:tcPr>
            <w:tcW w:w="583" w:type="dxa"/>
            <w:tcBorders>
              <w:top w:val="single" w:sz="4" w:space="0" w:color="auto"/>
              <w:bottom w:val="single" w:sz="4" w:space="0" w:color="auto"/>
            </w:tcBorders>
          </w:tcPr>
          <w:p>
            <w:pPr>
              <w:pStyle w:val="Body"/>
              <w:spacing w:after="0"/>
              <w:jc w:val="center"/>
              <w:rPr>
                <w:rFonts w:ascii="Arial" w:hAnsi="Arial" w:cs="Arial"/>
                <w:sz w:val="20"/>
                <w:szCs w:val="20"/>
                <w:lang w:val="id-ID"/>
              </w:rPr>
            </w:pPr>
          </w:p>
        </w:tc>
        <w:tc>
          <w:tcPr>
            <w:tcW w:w="2250"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Path</w:t>
            </w:r>
          </w:p>
        </w:tc>
        <w:tc>
          <w:tcPr>
            <w:tcW w:w="1886"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TV Value</w:t>
            </w:r>
          </w:p>
        </w:tc>
        <w:tc>
          <w:tcPr>
            <w:tcW w:w="1904"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Pvalues</w:t>
            </w:r>
          </w:p>
        </w:tc>
      </w:tr>
      <w:tr>
        <w:trPr>
          <w:trHeight w:val="235"/>
        </w:trPr>
        <w:tc>
          <w:tcPr>
            <w:tcW w:w="583" w:type="dxa"/>
            <w:tcBorders>
              <w:top w:val="single" w:sz="4" w:space="0" w:color="auto"/>
              <w:bottom w:val="single" w:sz="4" w:space="0" w:color="auto"/>
            </w:tcBorders>
          </w:tcPr>
          <w:p>
            <w:pPr>
              <w:pStyle w:val="Body"/>
              <w:spacing w:after="0"/>
              <w:rPr>
                <w:rFonts w:ascii="Arial" w:hAnsi="Arial" w:cs="Arial"/>
                <w:sz w:val="20"/>
                <w:szCs w:val="20"/>
                <w:lang w:val="id-ID"/>
              </w:rPr>
            </w:pPr>
            <w:r>
              <w:rPr>
                <w:rFonts w:ascii="Arial" w:hAnsi="Arial" w:cs="Arial"/>
                <w:sz w:val="20"/>
                <w:szCs w:val="20"/>
                <w:lang w:val="id-ID"/>
              </w:rPr>
              <w:t>H1</w:t>
            </w:r>
          </w:p>
        </w:tc>
        <w:tc>
          <w:tcPr>
            <w:tcW w:w="2250" w:type="dxa"/>
            <w:tcBorders>
              <w:top w:val="single" w:sz="4" w:space="0" w:color="auto"/>
              <w:bottom w:val="single" w:sz="4" w:space="0" w:color="auto"/>
            </w:tcBorders>
          </w:tcPr>
          <w:p>
            <w:pPr>
              <w:pStyle w:val="Body"/>
              <w:spacing w:after="0"/>
              <w:rPr>
                <w:rFonts w:ascii="Arial" w:hAnsi="Arial" w:cs="Arial"/>
                <w:sz w:val="20"/>
                <w:szCs w:val="20"/>
                <w:lang w:val="id-ID"/>
              </w:rPr>
            </w:pPr>
            <w:r>
              <w:rPr>
                <w:rFonts w:ascii="Arial" w:hAnsi="Arial" w:cs="Arial"/>
                <w:sz w:val="20"/>
                <w:szCs w:val="20"/>
                <w:lang w:val="id-ID"/>
              </w:rPr>
              <w:t>Competency -&gt; KMK</w:t>
            </w:r>
          </w:p>
        </w:tc>
        <w:tc>
          <w:tcPr>
            <w:tcW w:w="1886"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0.235</w:t>
            </w:r>
          </w:p>
        </w:tc>
        <w:tc>
          <w:tcPr>
            <w:tcW w:w="1904"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0.201</w:t>
            </w:r>
          </w:p>
        </w:tc>
      </w:tr>
      <w:tr>
        <w:tc>
          <w:tcPr>
            <w:tcW w:w="583" w:type="dxa"/>
            <w:tcBorders>
              <w:top w:val="single" w:sz="4" w:space="0" w:color="auto"/>
              <w:bottom w:val="single" w:sz="4" w:space="0" w:color="auto"/>
            </w:tcBorders>
          </w:tcPr>
          <w:p>
            <w:pPr>
              <w:pStyle w:val="Body"/>
              <w:spacing w:after="0"/>
              <w:rPr>
                <w:rFonts w:ascii="Arial" w:hAnsi="Arial" w:cs="Arial"/>
                <w:sz w:val="20"/>
                <w:szCs w:val="20"/>
                <w:lang w:val="id-ID"/>
              </w:rPr>
            </w:pPr>
            <w:r>
              <w:rPr>
                <w:rFonts w:ascii="Arial" w:hAnsi="Arial" w:cs="Arial"/>
                <w:sz w:val="20"/>
                <w:szCs w:val="20"/>
                <w:lang w:val="id-ID"/>
              </w:rPr>
              <w:t>H2</w:t>
            </w:r>
          </w:p>
        </w:tc>
        <w:tc>
          <w:tcPr>
            <w:tcW w:w="2250" w:type="dxa"/>
            <w:tcBorders>
              <w:top w:val="single" w:sz="4" w:space="0" w:color="auto"/>
              <w:bottom w:val="single" w:sz="4" w:space="0" w:color="auto"/>
            </w:tcBorders>
          </w:tcPr>
          <w:p>
            <w:pPr>
              <w:pStyle w:val="Body"/>
              <w:spacing w:after="0"/>
              <w:rPr>
                <w:rFonts w:ascii="Arial" w:hAnsi="Arial" w:cs="Arial"/>
                <w:sz w:val="20"/>
                <w:szCs w:val="20"/>
                <w:lang w:val="id-ID"/>
              </w:rPr>
            </w:pPr>
            <w:r>
              <w:rPr>
                <w:rFonts w:ascii="Arial" w:hAnsi="Arial" w:cs="Arial"/>
                <w:sz w:val="20"/>
                <w:szCs w:val="20"/>
                <w:lang w:val="id-ID"/>
              </w:rPr>
              <w:t>Integrity -&gt; KMK</w:t>
            </w:r>
          </w:p>
        </w:tc>
        <w:tc>
          <w:tcPr>
            <w:tcW w:w="1886"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0.311</w:t>
            </w:r>
          </w:p>
        </w:tc>
        <w:tc>
          <w:tcPr>
            <w:tcW w:w="1904"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0.022</w:t>
            </w:r>
          </w:p>
        </w:tc>
      </w:tr>
      <w:tr>
        <w:tc>
          <w:tcPr>
            <w:tcW w:w="583" w:type="dxa"/>
            <w:tcBorders>
              <w:top w:val="single" w:sz="4" w:space="0" w:color="auto"/>
              <w:bottom w:val="single" w:sz="4" w:space="0" w:color="auto"/>
            </w:tcBorders>
          </w:tcPr>
          <w:p>
            <w:pPr>
              <w:pStyle w:val="Body"/>
              <w:spacing w:after="0"/>
              <w:rPr>
                <w:rFonts w:ascii="Arial" w:hAnsi="Arial" w:cs="Arial"/>
                <w:sz w:val="20"/>
                <w:szCs w:val="20"/>
                <w:lang w:val="id-ID"/>
              </w:rPr>
            </w:pPr>
            <w:r>
              <w:rPr>
                <w:rFonts w:ascii="Arial" w:hAnsi="Arial" w:cs="Arial"/>
                <w:sz w:val="20"/>
                <w:szCs w:val="20"/>
                <w:lang w:val="id-ID"/>
              </w:rPr>
              <w:t>H3</w:t>
            </w:r>
          </w:p>
        </w:tc>
        <w:tc>
          <w:tcPr>
            <w:tcW w:w="2250" w:type="dxa"/>
            <w:tcBorders>
              <w:top w:val="single" w:sz="4" w:space="0" w:color="auto"/>
              <w:bottom w:val="single" w:sz="4" w:space="0" w:color="auto"/>
            </w:tcBorders>
          </w:tcPr>
          <w:p>
            <w:pPr>
              <w:pStyle w:val="Body"/>
              <w:spacing w:after="0"/>
              <w:rPr>
                <w:rFonts w:ascii="Arial" w:hAnsi="Arial" w:cs="Arial"/>
                <w:sz w:val="20"/>
                <w:szCs w:val="20"/>
                <w:lang w:val="id-ID"/>
              </w:rPr>
            </w:pPr>
            <w:r>
              <w:rPr>
                <w:rFonts w:ascii="Arial" w:hAnsi="Arial" w:cs="Arial"/>
                <w:sz w:val="20"/>
                <w:szCs w:val="20"/>
                <w:lang w:val="id-ID"/>
              </w:rPr>
              <w:t>Competence-&gt; Skepticism</w:t>
            </w:r>
          </w:p>
        </w:tc>
        <w:tc>
          <w:tcPr>
            <w:tcW w:w="1886"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0.658</w:t>
            </w:r>
          </w:p>
        </w:tc>
        <w:tc>
          <w:tcPr>
            <w:tcW w:w="1904"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0.000</w:t>
            </w:r>
          </w:p>
        </w:tc>
      </w:tr>
      <w:tr>
        <w:tc>
          <w:tcPr>
            <w:tcW w:w="583" w:type="dxa"/>
            <w:tcBorders>
              <w:top w:val="single" w:sz="4" w:space="0" w:color="auto"/>
              <w:bottom w:val="single" w:sz="4" w:space="0" w:color="auto"/>
            </w:tcBorders>
          </w:tcPr>
          <w:p>
            <w:pPr>
              <w:pStyle w:val="Body"/>
              <w:spacing w:after="0"/>
              <w:rPr>
                <w:rFonts w:ascii="Arial" w:hAnsi="Arial" w:cs="Arial"/>
                <w:sz w:val="20"/>
                <w:szCs w:val="20"/>
                <w:lang w:val="id-ID"/>
              </w:rPr>
            </w:pPr>
            <w:r>
              <w:rPr>
                <w:rFonts w:ascii="Arial" w:hAnsi="Arial" w:cs="Arial"/>
                <w:sz w:val="20"/>
                <w:szCs w:val="20"/>
                <w:lang w:val="id-ID"/>
              </w:rPr>
              <w:lastRenderedPageBreak/>
              <w:t>H4</w:t>
            </w:r>
          </w:p>
        </w:tc>
        <w:tc>
          <w:tcPr>
            <w:tcW w:w="2250" w:type="dxa"/>
            <w:tcBorders>
              <w:top w:val="single" w:sz="4" w:space="0" w:color="auto"/>
              <w:bottom w:val="single" w:sz="4" w:space="0" w:color="auto"/>
            </w:tcBorders>
          </w:tcPr>
          <w:p>
            <w:pPr>
              <w:pStyle w:val="Body"/>
              <w:spacing w:after="0"/>
              <w:rPr>
                <w:rFonts w:ascii="Arial" w:hAnsi="Arial" w:cs="Arial"/>
                <w:sz w:val="20"/>
                <w:szCs w:val="20"/>
                <w:lang w:val="id-ID"/>
              </w:rPr>
            </w:pPr>
            <w:r>
              <w:rPr>
                <w:rFonts w:ascii="Arial" w:hAnsi="Arial" w:cs="Arial"/>
                <w:sz w:val="20"/>
                <w:szCs w:val="20"/>
                <w:lang w:val="id-ID"/>
              </w:rPr>
              <w:t>Integrity -&gt; Skepticism</w:t>
            </w:r>
          </w:p>
        </w:tc>
        <w:tc>
          <w:tcPr>
            <w:tcW w:w="1886"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0.270</w:t>
            </w:r>
          </w:p>
        </w:tc>
        <w:tc>
          <w:tcPr>
            <w:tcW w:w="1904"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0.025</w:t>
            </w:r>
          </w:p>
        </w:tc>
      </w:tr>
      <w:tr>
        <w:tc>
          <w:tcPr>
            <w:tcW w:w="583" w:type="dxa"/>
            <w:tcBorders>
              <w:top w:val="single" w:sz="4" w:space="0" w:color="auto"/>
              <w:bottom w:val="single" w:sz="4" w:space="0" w:color="auto"/>
            </w:tcBorders>
          </w:tcPr>
          <w:p>
            <w:pPr>
              <w:pStyle w:val="Body"/>
              <w:spacing w:after="0"/>
              <w:rPr>
                <w:rFonts w:ascii="Arial" w:hAnsi="Arial" w:cs="Arial"/>
                <w:sz w:val="20"/>
                <w:szCs w:val="20"/>
                <w:lang w:val="id-ID"/>
              </w:rPr>
            </w:pPr>
            <w:r>
              <w:rPr>
                <w:rFonts w:ascii="Arial" w:hAnsi="Arial" w:cs="Arial"/>
                <w:sz w:val="20"/>
                <w:szCs w:val="20"/>
                <w:lang w:val="id-ID"/>
              </w:rPr>
              <w:t>H5</w:t>
            </w:r>
          </w:p>
        </w:tc>
        <w:tc>
          <w:tcPr>
            <w:tcW w:w="2250" w:type="dxa"/>
            <w:tcBorders>
              <w:top w:val="single" w:sz="4" w:space="0" w:color="auto"/>
              <w:bottom w:val="single" w:sz="4" w:space="0" w:color="auto"/>
            </w:tcBorders>
          </w:tcPr>
          <w:p>
            <w:pPr>
              <w:pStyle w:val="Body"/>
              <w:spacing w:after="0"/>
              <w:rPr>
                <w:rFonts w:ascii="Arial" w:hAnsi="Arial" w:cs="Arial"/>
                <w:sz w:val="20"/>
                <w:szCs w:val="20"/>
                <w:lang w:val="id-ID"/>
              </w:rPr>
            </w:pPr>
            <w:r>
              <w:rPr>
                <w:rFonts w:ascii="Arial" w:hAnsi="Arial" w:cs="Arial"/>
                <w:sz w:val="20"/>
                <w:szCs w:val="20"/>
                <w:lang w:val="id-ID"/>
              </w:rPr>
              <w:t>Skepticism -&gt; KMK</w:t>
            </w:r>
          </w:p>
        </w:tc>
        <w:tc>
          <w:tcPr>
            <w:tcW w:w="1886"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0.193</w:t>
            </w:r>
          </w:p>
        </w:tc>
        <w:tc>
          <w:tcPr>
            <w:tcW w:w="1904"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0.364</w:t>
            </w:r>
          </w:p>
        </w:tc>
      </w:tr>
    </w:tbl>
    <w:p>
      <w:pPr>
        <w:tabs>
          <w:tab w:val="left" w:pos="1080"/>
        </w:tabs>
        <w:jc w:val="both"/>
        <w:rPr>
          <w:rFonts w:ascii="Arial" w:hAnsi="Arial" w:cs="Arial"/>
          <w:lang w:val="id-ID"/>
        </w:rPr>
      </w:pPr>
    </w:p>
    <w:p>
      <w:pPr>
        <w:tabs>
          <w:tab w:val="left" w:pos="1080"/>
        </w:tabs>
        <w:jc w:val="both"/>
        <w:rPr>
          <w:rFonts w:ascii="Arial" w:hAnsi="Arial" w:cs="Arial"/>
          <w:b/>
          <w:bCs/>
          <w:sz w:val="22"/>
          <w:szCs w:val="22"/>
          <w:lang w:val="id-ID"/>
        </w:rPr>
      </w:pPr>
      <w:r>
        <w:rPr>
          <w:rFonts w:ascii="Arial" w:hAnsi="Arial" w:cs="Arial"/>
          <w:b/>
          <w:bCs/>
          <w:sz w:val="22"/>
          <w:szCs w:val="22"/>
          <w:lang w:val="id-ID"/>
        </w:rPr>
        <w:t>4.1 The Effect of Competence on the Ability to Detect Fraud (H1)</w:t>
      </w:r>
    </w:p>
    <w:p>
      <w:pPr>
        <w:tabs>
          <w:tab w:val="left" w:pos="1080"/>
        </w:tabs>
        <w:jc w:val="both"/>
        <w:rPr>
          <w:rFonts w:ascii="Arial" w:hAnsi="Arial" w:cs="Arial"/>
          <w:lang w:val="id-ID"/>
        </w:rPr>
      </w:pPr>
    </w:p>
    <w:p>
      <w:pPr>
        <w:tabs>
          <w:tab w:val="left" w:pos="1080"/>
        </w:tabs>
        <w:jc w:val="both"/>
        <w:rPr>
          <w:rFonts w:ascii="Arial" w:hAnsi="Arial" w:cs="Arial"/>
          <w:lang w:val="id-ID"/>
        </w:rPr>
      </w:pPr>
      <w:r>
        <w:rPr>
          <w:rFonts w:ascii="Arial" w:hAnsi="Arial" w:cs="Arial"/>
          <w:lang w:val="id-ID"/>
        </w:rPr>
        <w:t>Based on table 6, H1 is rejected, namely competence has no effect on the ability to detect fraud. In the results of the loading factor value, both competencies are considered good, but the loading factor value of the ability to detect fraud is low with many values below 0.7. The findings of this study are in line with Adisaputri's research (2024) with the results of the t test showing that the competency variable has no significant effect on the ability to detect fraud.</w:t>
      </w:r>
    </w:p>
    <w:p>
      <w:pPr>
        <w:tabs>
          <w:tab w:val="left" w:pos="1080"/>
        </w:tabs>
        <w:jc w:val="both"/>
        <w:rPr>
          <w:rFonts w:ascii="Arial" w:hAnsi="Arial" w:cs="Arial"/>
          <w:lang w:val="id-ID"/>
        </w:rPr>
      </w:pPr>
    </w:p>
    <w:p>
      <w:pPr>
        <w:tabs>
          <w:tab w:val="left" w:pos="1080"/>
        </w:tabs>
        <w:jc w:val="both"/>
        <w:rPr>
          <w:rFonts w:ascii="Arial" w:hAnsi="Arial" w:cs="Arial"/>
          <w:b/>
          <w:bCs/>
          <w:sz w:val="22"/>
          <w:szCs w:val="22"/>
          <w:lang w:val="id-ID"/>
        </w:rPr>
      </w:pPr>
      <w:r>
        <w:rPr>
          <w:rFonts w:ascii="Arial" w:hAnsi="Arial" w:cs="Arial"/>
          <w:b/>
          <w:bCs/>
          <w:sz w:val="22"/>
          <w:szCs w:val="22"/>
          <w:lang w:val="id-ID"/>
        </w:rPr>
        <w:t>4.2 The Effect of Integrity on the Ability to Detect Fraud (H2)</w:t>
      </w:r>
    </w:p>
    <w:p>
      <w:pPr>
        <w:tabs>
          <w:tab w:val="left" w:pos="1080"/>
        </w:tabs>
        <w:jc w:val="both"/>
        <w:rPr>
          <w:rFonts w:ascii="Arial" w:hAnsi="Arial" w:cs="Arial"/>
          <w:lang w:val="id-ID"/>
        </w:rPr>
      </w:pPr>
    </w:p>
    <w:p>
      <w:pPr>
        <w:tabs>
          <w:tab w:val="left" w:pos="1080"/>
        </w:tabs>
        <w:jc w:val="both"/>
        <w:rPr>
          <w:rFonts w:ascii="Arial" w:hAnsi="Arial"/>
          <w:bCs/>
          <w:lang w:val="id-ID"/>
        </w:rPr>
      </w:pPr>
      <w:r>
        <w:rPr>
          <w:rFonts w:ascii="Arial" w:hAnsi="Arial"/>
          <w:bCs/>
          <w:lang w:val="id-ID"/>
        </w:rPr>
        <w:t>Based on table 6, H2 is accepted, namely integrity has a positive effect on the ability to Based on Table 6, hypothesis H2 is confirmed, indicating that integrity positively influences an auditor’s ability to detect fraud. According to the attribution theory introduced by Heider (1958) and expanded by Kelley (1973), an auditor’s integrity plays a crucial role in fraud detection within financial audits. This theory suggests that an individual’s behavior is shaped by both internal characteristics (personal disposition) and external circumstances (situational factors). In this case, integrity functions as an internal characteristic that significantly contributes to an auditor’s effectiveness in uncovering fraudulent activities. Auditors with strong integrity tend to perceive their success in fraud detection as a result of their commitment to ethical principles, including honesty, objectivity, and professional responsibility.</w:t>
      </w:r>
    </w:p>
    <w:p>
      <w:pPr>
        <w:tabs>
          <w:tab w:val="left" w:pos="1080"/>
        </w:tabs>
        <w:jc w:val="both"/>
        <w:rPr>
          <w:rFonts w:ascii="Arial" w:hAnsi="Arial"/>
          <w:bCs/>
          <w:lang w:val="id-ID"/>
        </w:rPr>
      </w:pPr>
    </w:p>
    <w:p>
      <w:pPr>
        <w:tabs>
          <w:tab w:val="left" w:pos="1080"/>
        </w:tabs>
        <w:jc w:val="both"/>
        <w:rPr>
          <w:rFonts w:ascii="Arial" w:hAnsi="Arial"/>
          <w:bCs/>
          <w:lang w:val="id-ID"/>
        </w:rPr>
      </w:pPr>
      <w:r>
        <w:rPr>
          <w:rFonts w:ascii="Arial" w:hAnsi="Arial"/>
          <w:bCs/>
          <w:lang w:val="id-ID"/>
        </w:rPr>
        <w:t>The findings of this study support the assertion that integrity has a positive impact on fraud detection ability, aligning with the principles of attribution theory. Auditors who exhibit high integrity are more likely to maintain ethical standards throughout the audit process, which enhances their vigilance in identifying potential fraud and allows them to remain independent when evaluating audit evidence. Their approach is driven by a deep-rooted belief that their effectiveness in detecting fraud stems from their moral values and dedication to upholding transparency and ethical conduct.</w:t>
      </w:r>
    </w:p>
    <w:p>
      <w:pPr>
        <w:tabs>
          <w:tab w:val="left" w:pos="1080"/>
        </w:tabs>
        <w:jc w:val="both"/>
        <w:rPr>
          <w:rFonts w:ascii="Arial" w:hAnsi="Arial"/>
          <w:b/>
        </w:rPr>
      </w:pPr>
    </w:p>
    <w:p>
      <w:pPr>
        <w:tabs>
          <w:tab w:val="left" w:pos="1080"/>
        </w:tabs>
        <w:jc w:val="both"/>
        <w:rPr>
          <w:rFonts w:ascii="Arial" w:hAnsi="Arial"/>
          <w:bCs/>
          <w:lang w:val="id-ID"/>
        </w:rPr>
      </w:pPr>
      <w:r>
        <w:rPr>
          <w:rFonts w:ascii="Arial" w:hAnsi="Arial"/>
          <w:bCs/>
          <w:lang w:val="id-ID"/>
        </w:rPr>
        <w:t>This conclusion is further substantiated by prior studies, including research conducted by Rahmawati et al. (2020) at the Seluwu Raya Inspectorate, as well as studies by Eka Putri (2021), Dewi (2017), Amalia (2019), and Ramadhani Hayati (2014). These studies consistently demonstrate that auditors with high integrity are more adept at detecting fraud due to their resistance to external pressures and their commitment to impartiality when assessing financial reports. Attribution theory helps explain why auditors with strong ethical principles tend to attribute their effectiveness in detecting fraud to internal aspects such as professionalism and ethical commitment. Consequently, the greater an auditor’s integrity, the more capable they are of performing their duties with diligence and accountability, ultimately reinforcing public confidence in audit results.</w:t>
      </w:r>
    </w:p>
    <w:p>
      <w:pPr>
        <w:tabs>
          <w:tab w:val="left" w:pos="1080"/>
        </w:tabs>
        <w:jc w:val="both"/>
        <w:rPr>
          <w:rFonts w:ascii="Arial" w:hAnsi="Arial"/>
          <w:bCs/>
          <w:lang w:val="id-ID"/>
        </w:rPr>
      </w:pPr>
    </w:p>
    <w:p>
      <w:pPr>
        <w:tabs>
          <w:tab w:val="left" w:pos="1080"/>
        </w:tabs>
        <w:jc w:val="both"/>
        <w:rPr>
          <w:rFonts w:ascii="Arial" w:hAnsi="Arial" w:cs="Arial"/>
          <w:b/>
          <w:bCs/>
          <w:sz w:val="22"/>
          <w:szCs w:val="22"/>
          <w:lang w:val="id-ID"/>
        </w:rPr>
      </w:pPr>
      <w:r>
        <w:rPr>
          <w:rFonts w:ascii="Arial" w:hAnsi="Arial" w:cs="Arial"/>
          <w:b/>
          <w:bCs/>
          <w:sz w:val="22"/>
          <w:szCs w:val="22"/>
          <w:lang w:val="id-ID"/>
        </w:rPr>
        <w:t>4.3 The Effect of Competence on Professional Skepticism (H3)</w:t>
      </w:r>
    </w:p>
    <w:p>
      <w:pPr>
        <w:tabs>
          <w:tab w:val="left" w:pos="1080"/>
        </w:tabs>
        <w:jc w:val="both"/>
        <w:rPr>
          <w:rFonts w:ascii="Arial" w:hAnsi="Arial" w:cs="Arial"/>
          <w:lang w:val="id-ID"/>
        </w:rPr>
      </w:pPr>
    </w:p>
    <w:p>
      <w:pPr>
        <w:tabs>
          <w:tab w:val="left" w:pos="1080"/>
        </w:tabs>
        <w:jc w:val="both"/>
        <w:rPr>
          <w:rFonts w:ascii="Arial" w:hAnsi="Arial"/>
          <w:lang w:val="id-ID"/>
        </w:rPr>
      </w:pPr>
      <w:r>
        <w:rPr>
          <w:rFonts w:ascii="Arial" w:hAnsi="Arial"/>
          <w:lang w:val="id-ID"/>
        </w:rPr>
        <w:t>According to Table 6, hypothesis H3 is supported, indicating that competence positively influences professional skepticism. Drawing on attribution theory as developed by Heider (1958) and further refined by Kelley (1973), auditor competence is closely linked to professional skepticism, especially in the context of fraud detection. Attribution theory posits that individual behavior is shaped by both internal factors (disposition) and external factors (situation); in this case, competence—as an internal factor—serves as the foundation for an auditor's skeptical approach when evaluating audit evidence and identifying fraud.</w:t>
      </w:r>
    </w:p>
    <w:p>
      <w:pPr>
        <w:tabs>
          <w:tab w:val="left" w:pos="1080"/>
        </w:tabs>
        <w:jc w:val="both"/>
        <w:rPr>
          <w:rFonts w:ascii="Arial" w:hAnsi="Arial"/>
          <w:lang w:val="id-ID"/>
        </w:rPr>
      </w:pPr>
    </w:p>
    <w:p>
      <w:pPr>
        <w:tabs>
          <w:tab w:val="left" w:pos="1080"/>
        </w:tabs>
        <w:jc w:val="both"/>
        <w:rPr>
          <w:rFonts w:ascii="Arial" w:hAnsi="Arial"/>
          <w:lang w:val="id-ID"/>
        </w:rPr>
      </w:pPr>
      <w:r>
        <w:rPr>
          <w:rFonts w:ascii="Arial" w:hAnsi="Arial"/>
          <w:lang w:val="id-ID"/>
        </w:rPr>
        <w:t>The study's findings that competence has a positive impact on professional skepticism reinforce the principles of attribution theory. They suggest that auditors who possess high levels of knowledge, skills, and experience are more inclined to exhibit a skeptical attitude in their work. Competent auditors tend to credit their ability to detect fraud to their professional skepticism, making them more critical and thorough in assessing audit evidence. These results are consistent with previous research by Ziah &amp; Kuntadi (2023), Prasetya et al. (2023), and Soewandy &amp; Kuntadi (2023), which also found that internal auditor factors such as competence significantly affect professional skepticism. In essence, auditors with higher competence demonstrate better professional skepticism, as their deep understanding of audit techniques and fraud risks ultimately enhances their effectiveness in detecting and preventing fraud.</w:t>
      </w:r>
    </w:p>
    <w:p>
      <w:pPr>
        <w:tabs>
          <w:tab w:val="left" w:pos="1080"/>
        </w:tabs>
        <w:jc w:val="both"/>
        <w:rPr>
          <w:rFonts w:ascii="Arial" w:hAnsi="Arial"/>
          <w:b/>
          <w:lang w:val="id-ID"/>
        </w:rPr>
      </w:pPr>
    </w:p>
    <w:p>
      <w:pPr>
        <w:tabs>
          <w:tab w:val="left" w:pos="1080"/>
        </w:tabs>
        <w:jc w:val="both"/>
        <w:rPr>
          <w:rFonts w:ascii="Arial" w:hAnsi="Arial" w:cs="Arial"/>
          <w:b/>
          <w:bCs/>
          <w:sz w:val="22"/>
          <w:szCs w:val="22"/>
          <w:lang w:val="id-ID"/>
        </w:rPr>
      </w:pPr>
      <w:r>
        <w:rPr>
          <w:rFonts w:ascii="Arial" w:hAnsi="Arial" w:cs="Arial"/>
          <w:b/>
          <w:bCs/>
          <w:sz w:val="22"/>
          <w:szCs w:val="22"/>
          <w:lang w:val="id-ID"/>
        </w:rPr>
        <w:t>4.4 The Effect of Integrity on Professional Skepticism (H4)</w:t>
      </w:r>
    </w:p>
    <w:p>
      <w:pPr>
        <w:tabs>
          <w:tab w:val="left" w:pos="1080"/>
        </w:tabs>
        <w:jc w:val="both"/>
        <w:rPr>
          <w:rFonts w:ascii="Arial" w:hAnsi="Arial"/>
          <w:bCs/>
          <w:lang w:val="id-ID"/>
        </w:rPr>
      </w:pPr>
    </w:p>
    <w:p>
      <w:pPr>
        <w:tabs>
          <w:tab w:val="left" w:pos="1080"/>
        </w:tabs>
        <w:jc w:val="both"/>
        <w:rPr>
          <w:rFonts w:ascii="Arial" w:hAnsi="Arial"/>
          <w:bCs/>
          <w:lang w:val="id-ID"/>
        </w:rPr>
      </w:pPr>
      <w:r>
        <w:rPr>
          <w:rFonts w:ascii="Arial" w:hAnsi="Arial"/>
          <w:bCs/>
          <w:lang w:val="id-ID"/>
        </w:rPr>
        <w:t>Based on table 6, H4 is accepted, n amely integrity has a positive effect on professional skepticism. Based on the attribution theory proposed by Heider (1958) and further developed by Kelley (1973), integrity as an internal factor can be related to the professional skepticism of auditors in the fraud detection process. Attribution theory explains that individual behavior is influenced by internal factors (disposition) and external factors (situation). In this case, integrity as a dispositional factor is an important element that shapes the auditor's skepticism in assessing audit evidence critically and objectively.</w:t>
      </w:r>
    </w:p>
    <w:p>
      <w:pPr>
        <w:tabs>
          <w:tab w:val="left" w:pos="1080"/>
        </w:tabs>
        <w:jc w:val="both"/>
        <w:rPr>
          <w:rFonts w:ascii="Arial" w:hAnsi="Arial"/>
          <w:bCs/>
          <w:lang w:val="id-ID"/>
        </w:rPr>
      </w:pPr>
    </w:p>
    <w:p>
      <w:pPr>
        <w:tabs>
          <w:tab w:val="left" w:pos="1080"/>
        </w:tabs>
        <w:jc w:val="both"/>
        <w:rPr>
          <w:rFonts w:ascii="Arial" w:hAnsi="Arial"/>
          <w:bCs/>
          <w:lang w:val="id-ID"/>
        </w:rPr>
      </w:pPr>
      <w:r>
        <w:rPr>
          <w:rFonts w:ascii="Arial" w:hAnsi="Arial"/>
          <w:bCs/>
          <w:lang w:val="id-ID"/>
        </w:rPr>
        <w:t>The results of this study which show that integrity has a positive effect on professional skepticism support the view of attribution theory, where auditors who have a high level of integrity-with ethical values such as honesty, responsibility, and objectivity-will be more likely to be skeptical during the audit process. Auditors with high integrity believe that the moral and ethical principles they hold are the main drivers in making careful evaluations and are not easily influenced by external pressures.</w:t>
      </w:r>
    </w:p>
    <w:p>
      <w:pPr>
        <w:tabs>
          <w:tab w:val="left" w:pos="1080"/>
        </w:tabs>
        <w:jc w:val="both"/>
        <w:rPr>
          <w:rFonts w:ascii="Arial" w:hAnsi="Arial"/>
          <w:b/>
        </w:rPr>
      </w:pPr>
    </w:p>
    <w:p>
      <w:pPr>
        <w:tabs>
          <w:tab w:val="left" w:pos="1080"/>
        </w:tabs>
        <w:jc w:val="both"/>
        <w:rPr>
          <w:rFonts w:ascii="Arial" w:hAnsi="Arial"/>
          <w:bCs/>
          <w:lang w:val="id-ID"/>
        </w:rPr>
      </w:pPr>
      <w:r>
        <w:rPr>
          <w:rFonts w:ascii="Arial" w:hAnsi="Arial"/>
          <w:bCs/>
          <w:lang w:val="id-ID"/>
        </w:rPr>
        <w:t>Furthermore, auditors who have strong integrity tend to attribute their professional skepticism as a result of personal commitment to ethical standards and professional responsibility. This is in line with attribution theory which states that individuals tend to attribute their behavior to internal factors that come within themselves, such as moral beliefs and a strongly held code of ethics.</w:t>
      </w:r>
    </w:p>
    <w:p>
      <w:pPr>
        <w:tabs>
          <w:tab w:val="left" w:pos="1080"/>
        </w:tabs>
        <w:jc w:val="both"/>
        <w:rPr>
          <w:rFonts w:ascii="Arial" w:hAnsi="Arial"/>
          <w:b/>
        </w:rPr>
      </w:pPr>
    </w:p>
    <w:p>
      <w:pPr>
        <w:tabs>
          <w:tab w:val="left" w:pos="1080"/>
        </w:tabs>
        <w:jc w:val="both"/>
        <w:rPr>
          <w:rFonts w:ascii="Arial" w:hAnsi="Arial"/>
          <w:bCs/>
          <w:lang w:val="id-ID"/>
        </w:rPr>
      </w:pPr>
      <w:r>
        <w:rPr>
          <w:rFonts w:ascii="Arial" w:hAnsi="Arial"/>
          <w:bCs/>
          <w:lang w:val="id-ID"/>
        </w:rPr>
        <w:t>This research is also consistent with previous studies, such as those conducted by Suraida (2005), Kusumawati &amp; Syamsuddin (2018), and Putra (2017) which show that auditors with a high level of integrity are more careful and critical in assessing indications of fraud. Auditors with integrity tend to have a higher sensitivity to signs of fraud because they are committed to ensuring that the financial statements are presented fairly and in accordance with applicable regulations. Attribution theory helps explain how auditors with a high level of integrity tend to show a skeptical attitude in carrying out their duties, which ultimately increases their effectiveness in detecting fraud. A skeptical attitude born from strong integrity allows auditors to remain critical and not easily influenced by external factors, thus creating more accurate and reliable audit results.</w:t>
      </w:r>
    </w:p>
    <w:p>
      <w:pPr>
        <w:tabs>
          <w:tab w:val="left" w:pos="1080"/>
        </w:tabs>
        <w:jc w:val="both"/>
        <w:rPr>
          <w:rFonts w:ascii="Arial" w:hAnsi="Arial"/>
          <w:b/>
        </w:rPr>
      </w:pPr>
    </w:p>
    <w:p>
      <w:pPr>
        <w:tabs>
          <w:tab w:val="left" w:pos="1080"/>
        </w:tabs>
        <w:jc w:val="both"/>
        <w:rPr>
          <w:rFonts w:ascii="Arial" w:hAnsi="Arial" w:cs="Arial"/>
          <w:b/>
          <w:bCs/>
          <w:sz w:val="22"/>
          <w:szCs w:val="22"/>
          <w:lang w:val="id-ID"/>
        </w:rPr>
      </w:pPr>
      <w:r>
        <w:rPr>
          <w:rFonts w:ascii="Arial" w:hAnsi="Arial" w:cs="Arial"/>
          <w:b/>
          <w:bCs/>
          <w:sz w:val="22"/>
          <w:szCs w:val="22"/>
          <w:lang w:val="id-ID"/>
        </w:rPr>
        <w:t>4.5 The Effect of Professional Skepticism on the Ability to Detect Fraud (H5)</w:t>
      </w:r>
    </w:p>
    <w:p>
      <w:pPr>
        <w:tabs>
          <w:tab w:val="left" w:pos="1080"/>
        </w:tabs>
        <w:jc w:val="both"/>
        <w:rPr>
          <w:rFonts w:ascii="Arial" w:hAnsi="Arial" w:cs="Arial"/>
          <w:lang w:val="id-ID"/>
        </w:rPr>
      </w:pPr>
    </w:p>
    <w:p>
      <w:pPr>
        <w:tabs>
          <w:tab w:val="left" w:pos="1080"/>
        </w:tabs>
        <w:jc w:val="both"/>
        <w:rPr>
          <w:rFonts w:ascii="Arial" w:hAnsi="Arial"/>
          <w:lang w:val="id-ID"/>
        </w:rPr>
      </w:pPr>
      <w:r>
        <w:rPr>
          <w:rFonts w:ascii="Arial" w:hAnsi="Arial"/>
          <w:lang w:val="id-ID"/>
        </w:rPr>
        <w:t xml:space="preserve">Based on Table 6, hypothesis H5 is not supported, indicating that professional skepticism does not have a significant positive impact on the ability to detect fraud. Although the loading factor for professional skepticism is strong, the loading factor for fraud detection is low, with many values falling below 0.7. These results are consistent with the study by Kurniawan &amp; </w:t>
      </w:r>
      <w:r>
        <w:rPr>
          <w:rFonts w:ascii="Arial" w:hAnsi="Arial"/>
          <w:lang w:val="id-ID"/>
        </w:rPr>
        <w:lastRenderedPageBreak/>
        <w:t>Kurniawati (2024), whose t-test analysis also found that professional skepticism does not significantly influence fraud detection ability.</w:t>
      </w:r>
    </w:p>
    <w:p>
      <w:pPr>
        <w:tabs>
          <w:tab w:val="left" w:pos="1080"/>
        </w:tabs>
        <w:jc w:val="both"/>
        <w:rPr>
          <w:rFonts w:ascii="Arial" w:hAnsi="Arial"/>
          <w:bCs/>
        </w:rPr>
      </w:pPr>
    </w:p>
    <w:p>
      <w:pPr>
        <w:tabs>
          <w:tab w:val="left" w:pos="1080"/>
        </w:tabs>
        <w:jc w:val="both"/>
        <w:rPr>
          <w:rFonts w:ascii="Arial" w:hAnsi="Arial" w:cs="Arial"/>
          <w:b/>
          <w:bCs/>
          <w:sz w:val="22"/>
          <w:szCs w:val="22"/>
          <w:lang w:val="id-ID"/>
        </w:rPr>
      </w:pPr>
      <w:r>
        <w:rPr>
          <w:rFonts w:ascii="Arial" w:hAnsi="Arial" w:cs="Arial"/>
          <w:b/>
          <w:bCs/>
          <w:sz w:val="22"/>
          <w:szCs w:val="22"/>
          <w:lang w:val="id-ID"/>
        </w:rPr>
        <w:t>4.6 Indirect Effects</w:t>
      </w:r>
    </w:p>
    <w:p>
      <w:pPr>
        <w:tabs>
          <w:tab w:val="left" w:pos="1080"/>
        </w:tabs>
        <w:jc w:val="both"/>
        <w:rPr>
          <w:rFonts w:ascii="Arial" w:hAnsi="Arial" w:cs="Arial"/>
          <w:lang w:val="id-ID"/>
        </w:rPr>
      </w:pPr>
    </w:p>
    <w:p>
      <w:pPr>
        <w:tabs>
          <w:tab w:val="left" w:pos="1080"/>
        </w:tabs>
        <w:jc w:val="both"/>
        <w:rPr>
          <w:rFonts w:ascii="Arial" w:hAnsi="Arial"/>
          <w:bCs/>
          <w:lang w:val="id-ID"/>
        </w:rPr>
      </w:pPr>
      <w:r>
        <w:rPr>
          <w:rFonts w:ascii="Arial" w:hAnsi="Arial"/>
          <w:bCs/>
          <w:lang w:val="id-ID"/>
        </w:rPr>
        <w:t>The indirect effect refers to the degree to which variable X influences variable Y through a mediator (Dedi Rianto Rahadi, 2023).</w:t>
      </w:r>
    </w:p>
    <w:p>
      <w:pPr>
        <w:tabs>
          <w:tab w:val="left" w:pos="1080"/>
        </w:tabs>
        <w:jc w:val="both"/>
        <w:rPr>
          <w:rFonts w:ascii="Arial" w:hAnsi="Arial"/>
          <w:b/>
        </w:rPr>
      </w:pPr>
    </w:p>
    <w:p>
      <w:pPr>
        <w:tabs>
          <w:tab w:val="left" w:pos="1080"/>
        </w:tabs>
        <w:jc w:val="center"/>
        <w:rPr>
          <w:rFonts w:ascii="Arial" w:hAnsi="Arial"/>
          <w:bCs/>
        </w:rPr>
      </w:pPr>
      <w:r>
        <w:rPr>
          <w:rFonts w:ascii="Arial" w:hAnsi="Arial"/>
          <w:bCs/>
          <w:lang w:val="id-ID"/>
        </w:rPr>
        <w:t>Table 7. Value of Indirect Relationship Between Variables (Indirect Effects)</w:t>
      </w:r>
    </w:p>
    <w:tbl>
      <w:tblPr>
        <w:tblStyle w:val="TableGrid"/>
        <w:tblW w:w="0" w:type="auto"/>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1886"/>
        <w:gridCol w:w="1904"/>
      </w:tblGrid>
      <w:tr>
        <w:tc>
          <w:tcPr>
            <w:tcW w:w="3542"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Path</w:t>
            </w:r>
          </w:p>
        </w:tc>
        <w:tc>
          <w:tcPr>
            <w:tcW w:w="1886"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TV Value</w:t>
            </w:r>
          </w:p>
        </w:tc>
        <w:tc>
          <w:tcPr>
            <w:tcW w:w="1904"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Pvalues</w:t>
            </w:r>
          </w:p>
        </w:tc>
      </w:tr>
      <w:tr>
        <w:trPr>
          <w:trHeight w:val="235"/>
        </w:trPr>
        <w:tc>
          <w:tcPr>
            <w:tcW w:w="3542" w:type="dxa"/>
            <w:tcBorders>
              <w:top w:val="single" w:sz="4" w:space="0" w:color="auto"/>
              <w:bottom w:val="single" w:sz="4" w:space="0" w:color="auto"/>
            </w:tcBorders>
          </w:tcPr>
          <w:p>
            <w:pPr>
              <w:pStyle w:val="Body"/>
              <w:spacing w:after="0"/>
              <w:rPr>
                <w:rFonts w:ascii="Arial" w:hAnsi="Arial" w:cs="Arial"/>
                <w:sz w:val="20"/>
                <w:szCs w:val="20"/>
                <w:lang w:val="id-ID"/>
              </w:rPr>
            </w:pPr>
            <w:r>
              <w:rPr>
                <w:rFonts w:ascii="Arial" w:hAnsi="Arial" w:cs="Arial"/>
                <w:sz w:val="20"/>
                <w:szCs w:val="20"/>
                <w:lang w:val="id-ID"/>
              </w:rPr>
              <w:t>Competence -&gt; Skepticism -&gt; KMK</w:t>
            </w:r>
          </w:p>
        </w:tc>
        <w:tc>
          <w:tcPr>
            <w:tcW w:w="1886"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0.052</w:t>
            </w:r>
          </w:p>
        </w:tc>
        <w:tc>
          <w:tcPr>
            <w:tcW w:w="1904"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0.451</w:t>
            </w:r>
          </w:p>
        </w:tc>
      </w:tr>
      <w:tr>
        <w:tc>
          <w:tcPr>
            <w:tcW w:w="3542" w:type="dxa"/>
            <w:tcBorders>
              <w:top w:val="single" w:sz="4" w:space="0" w:color="auto"/>
              <w:bottom w:val="single" w:sz="4" w:space="0" w:color="auto"/>
            </w:tcBorders>
          </w:tcPr>
          <w:p>
            <w:pPr>
              <w:pStyle w:val="Body"/>
              <w:spacing w:after="0"/>
              <w:rPr>
                <w:rFonts w:ascii="Arial" w:hAnsi="Arial" w:cs="Arial"/>
                <w:sz w:val="20"/>
                <w:szCs w:val="20"/>
                <w:lang w:val="id-ID"/>
              </w:rPr>
            </w:pPr>
            <w:r>
              <w:rPr>
                <w:rFonts w:ascii="Arial" w:hAnsi="Arial" w:cs="Arial"/>
                <w:sz w:val="20"/>
                <w:szCs w:val="20"/>
                <w:lang w:val="id-ID"/>
              </w:rPr>
              <w:t>Integrity -&gt; Skepticism -&gt; KMK</w:t>
            </w:r>
          </w:p>
        </w:tc>
        <w:tc>
          <w:tcPr>
            <w:tcW w:w="1886"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0.127</w:t>
            </w:r>
          </w:p>
        </w:tc>
        <w:tc>
          <w:tcPr>
            <w:tcW w:w="1904" w:type="dxa"/>
            <w:tcBorders>
              <w:top w:val="single" w:sz="4" w:space="0" w:color="auto"/>
              <w:bottom w:val="single" w:sz="4" w:space="0" w:color="auto"/>
            </w:tcBorders>
          </w:tcPr>
          <w:p>
            <w:pPr>
              <w:pStyle w:val="Body"/>
              <w:spacing w:after="0"/>
              <w:jc w:val="center"/>
              <w:rPr>
                <w:rFonts w:ascii="Arial" w:hAnsi="Arial" w:cs="Arial"/>
                <w:sz w:val="20"/>
                <w:szCs w:val="20"/>
                <w:lang w:val="id-ID"/>
              </w:rPr>
            </w:pPr>
            <w:r>
              <w:rPr>
                <w:rFonts w:ascii="Arial" w:hAnsi="Arial" w:cs="Arial"/>
                <w:sz w:val="20"/>
                <w:szCs w:val="20"/>
                <w:lang w:val="id-ID"/>
              </w:rPr>
              <w:t>0.387</w:t>
            </w:r>
          </w:p>
        </w:tc>
      </w:tr>
    </w:tbl>
    <w:p>
      <w:pPr>
        <w:tabs>
          <w:tab w:val="left" w:pos="1080"/>
        </w:tabs>
        <w:jc w:val="both"/>
        <w:rPr>
          <w:rFonts w:ascii="Arial" w:hAnsi="Arial"/>
          <w:b/>
        </w:rPr>
      </w:pPr>
    </w:p>
    <w:p>
      <w:pPr>
        <w:tabs>
          <w:tab w:val="left" w:pos="1080"/>
        </w:tabs>
        <w:jc w:val="both"/>
        <w:rPr>
          <w:rFonts w:ascii="Arial" w:hAnsi="Arial"/>
          <w:bCs/>
          <w:lang w:val="id-ID"/>
        </w:rPr>
      </w:pPr>
      <w:r>
        <w:rPr>
          <w:rFonts w:ascii="Arial" w:hAnsi="Arial"/>
          <w:bCs/>
          <w:lang w:val="id-ID"/>
        </w:rPr>
        <w:t>Auditor competence positively influences fraud detection ability, with professional skepticism as a mediating factor. However, the hypothesis that professional skepticism significantly mediates the relationship between competence and fraud detection ability is not supported. This implies that while competence enhances an auditor's capability to uncover fraud, professional skepticism does not play a crucial mediating role.</w:t>
      </w:r>
    </w:p>
    <w:p>
      <w:pPr>
        <w:tabs>
          <w:tab w:val="left" w:pos="1080"/>
        </w:tabs>
        <w:jc w:val="both"/>
        <w:rPr>
          <w:rFonts w:ascii="Arial" w:hAnsi="Arial"/>
          <w:bCs/>
        </w:rPr>
      </w:pPr>
    </w:p>
    <w:p>
      <w:pPr>
        <w:tabs>
          <w:tab w:val="left" w:pos="1080"/>
        </w:tabs>
        <w:jc w:val="both"/>
        <w:rPr>
          <w:rFonts w:ascii="Arial" w:hAnsi="Arial"/>
          <w:bCs/>
          <w:lang w:val="id-ID"/>
        </w:rPr>
      </w:pPr>
      <w:r>
        <w:rPr>
          <w:rFonts w:ascii="Arial" w:hAnsi="Arial"/>
          <w:bCs/>
          <w:lang w:val="id-ID"/>
        </w:rPr>
        <w:t>This can be understood through Heider’s (1958) and Kelley’s (1973) attribution theory, which highlights that individual behavior results from both internal (personal traits) and external (situational) influences. Competence, as an internal factor, encompasses auditors’ expertise, experience, and analytical skills, enabling them to perform their duties effectively. However, professional skepticism, which involves critically assessing audit evidence, appears insufficient in strengthening the link between competence and fraud detection ability.</w:t>
      </w:r>
    </w:p>
    <w:p>
      <w:pPr>
        <w:tabs>
          <w:tab w:val="left" w:pos="1080"/>
        </w:tabs>
        <w:jc w:val="both"/>
        <w:rPr>
          <w:rFonts w:ascii="Arial" w:hAnsi="Arial"/>
          <w:bCs/>
        </w:rPr>
      </w:pPr>
    </w:p>
    <w:p>
      <w:pPr>
        <w:tabs>
          <w:tab w:val="left" w:pos="1080"/>
        </w:tabs>
        <w:jc w:val="both"/>
        <w:rPr>
          <w:rFonts w:ascii="Arial" w:hAnsi="Arial"/>
          <w:bCs/>
          <w:lang w:val="id-ID"/>
        </w:rPr>
      </w:pPr>
      <w:r>
        <w:rPr>
          <w:rFonts w:ascii="Arial" w:hAnsi="Arial"/>
          <w:bCs/>
          <w:lang w:val="id-ID"/>
        </w:rPr>
        <w:t>The rejection of this hypothesis aligns with findings from Putri (2024), who reported that professional skepticism does not mediate the relationship between competence and fraud detection ability. This suggests that although auditors possess adequate knowledge and skills, external pressures such as managerial influence or constraints in practice may hinder their ability to exercise skepticism effectively.</w:t>
      </w:r>
    </w:p>
    <w:p>
      <w:pPr>
        <w:tabs>
          <w:tab w:val="left" w:pos="1080"/>
        </w:tabs>
        <w:jc w:val="both"/>
        <w:rPr>
          <w:rFonts w:ascii="Arial" w:hAnsi="Arial"/>
          <w:bCs/>
        </w:rPr>
      </w:pPr>
    </w:p>
    <w:p>
      <w:pPr>
        <w:tabs>
          <w:tab w:val="left" w:pos="1080"/>
        </w:tabs>
        <w:jc w:val="both"/>
        <w:rPr>
          <w:rFonts w:ascii="Arial" w:hAnsi="Arial"/>
          <w:bCs/>
          <w:lang w:val="id-ID"/>
        </w:rPr>
      </w:pPr>
      <w:r>
        <w:rPr>
          <w:rFonts w:ascii="Arial" w:hAnsi="Arial"/>
          <w:bCs/>
          <w:lang w:val="id-ID"/>
        </w:rPr>
        <w:t>Therefore, while competence positively impacts an auditor’s ability to detect fraud, professional skepticism does not significantly reinforce this relationship. This underscores the necessity of enhancing auditor independence and mitigating external constraints to ensure that professional skepticism can be effectively applied in fraud detection.</w:t>
      </w:r>
    </w:p>
    <w:p>
      <w:pPr>
        <w:tabs>
          <w:tab w:val="left" w:pos="1080"/>
        </w:tabs>
        <w:jc w:val="both"/>
        <w:rPr>
          <w:rFonts w:ascii="Arial" w:hAnsi="Arial"/>
          <w:bCs/>
          <w:lang w:val="id-ID"/>
        </w:rPr>
      </w:pPr>
      <w:r>
        <w:rPr>
          <w:rFonts w:ascii="Arial" w:hAnsi="Arial"/>
          <w:bCs/>
          <w:lang w:val="id-ID"/>
        </w:rPr>
        <w:t>Similarly, integrity positively affects fraud detection ability, but professional skepticism does not serve as a meaningful mediator in this relationship. The hypothesis proposing skepticism as a link between integrity and fraud detection ability is unsupported, indicating that although integrity contributes to detecting fraud, skepticism does not significantly strengthen this effect. According to attribution theory (Heider, 1958; Kelley, 1973), behavior is shaped by both internal characteristics and external circumstances. Integrity, as an internal factor, reflects auditors' ethical principles, honesty, and commitment to professional standards, which are crucial for fraud detection. However, professional skepticism—an essential trait for evaluating audit evidence—fails to reinforce the connection between integrity and fraud detection.</w:t>
      </w:r>
    </w:p>
    <w:p>
      <w:pPr>
        <w:tabs>
          <w:tab w:val="left" w:pos="1080"/>
        </w:tabs>
        <w:jc w:val="both"/>
        <w:rPr>
          <w:rFonts w:ascii="Arial" w:hAnsi="Arial"/>
          <w:bCs/>
          <w:lang w:val="id-ID"/>
        </w:rPr>
      </w:pPr>
    </w:p>
    <w:p>
      <w:pPr>
        <w:tabs>
          <w:tab w:val="left" w:pos="1080"/>
        </w:tabs>
        <w:jc w:val="both"/>
        <w:rPr>
          <w:rFonts w:ascii="Arial" w:hAnsi="Arial"/>
          <w:bCs/>
          <w:lang w:val="id-ID"/>
        </w:rPr>
      </w:pPr>
      <w:r>
        <w:rPr>
          <w:rFonts w:ascii="Arial" w:hAnsi="Arial"/>
          <w:bCs/>
          <w:lang w:val="id-ID"/>
        </w:rPr>
        <w:t>This conclusion aligns with Brazel et al. (2022), who found that auditors often suppress their skepticism due to workplace pressures or incentives. Their research indicates that auditors may deliberately limit their skepticism to reduce risks associated with challenging findings. This suggests that despite possessing strong ethical values, external influences such as organizational demands or restrictions on skepticism may impede its effective application.</w:t>
      </w:r>
    </w:p>
    <w:p>
      <w:pPr>
        <w:tabs>
          <w:tab w:val="left" w:pos="1080"/>
        </w:tabs>
        <w:jc w:val="both"/>
        <w:rPr>
          <w:rFonts w:ascii="Arial" w:hAnsi="Arial"/>
          <w:bCs/>
        </w:rPr>
      </w:pPr>
    </w:p>
    <w:p>
      <w:pPr>
        <w:tabs>
          <w:tab w:val="left" w:pos="1080"/>
        </w:tabs>
        <w:jc w:val="both"/>
        <w:rPr>
          <w:rFonts w:ascii="Arial" w:hAnsi="Arial"/>
          <w:bCs/>
          <w:lang w:val="id-ID"/>
        </w:rPr>
      </w:pPr>
      <w:r>
        <w:rPr>
          <w:rFonts w:ascii="Arial" w:hAnsi="Arial"/>
          <w:bCs/>
          <w:lang w:val="id-ID"/>
        </w:rPr>
        <w:lastRenderedPageBreak/>
        <w:t>Thus, while integrity supports fraud detection, professional skepticism does not significantly enhance this effect. Strengthening an environment that encourages auditors to apply skepticism freely—by minimizing external pressures and reinforcing their autonomy—could be crucial in optimizing fraud detection effectiveness.</w:t>
      </w:r>
    </w:p>
    <w:p>
      <w:pPr>
        <w:pStyle w:val="Body"/>
        <w:spacing w:after="0"/>
        <w:rPr>
          <w:rFonts w:ascii="Arial" w:hAnsi="Arial" w:cs="Arial"/>
        </w:rPr>
      </w:pPr>
    </w:p>
    <w:p>
      <w:pPr>
        <w:pStyle w:val="ConcHead"/>
        <w:spacing w:after="0"/>
        <w:jc w:val="both"/>
        <w:rPr>
          <w:rFonts w:ascii="Arial" w:hAnsi="Arial" w:cs="Arial"/>
        </w:rPr>
      </w:pPr>
      <w:r>
        <w:rPr>
          <w:rFonts w:ascii="Arial" w:hAnsi="Arial" w:cs="Arial"/>
        </w:rPr>
        <w:t>5. Conclusion</w:t>
      </w:r>
    </w:p>
    <w:p>
      <w:pPr>
        <w:pStyle w:val="ConcHead"/>
        <w:spacing w:after="0"/>
        <w:jc w:val="both"/>
        <w:rPr>
          <w:rFonts w:ascii="Arial" w:hAnsi="Arial" w:cs="Arial"/>
        </w:rPr>
      </w:pPr>
    </w:p>
    <w:p>
      <w:pPr>
        <w:pStyle w:val="Body"/>
        <w:spacing w:after="0"/>
        <w:rPr>
          <w:rFonts w:ascii="Arial" w:hAnsi="Arial" w:cs="Arial"/>
          <w:lang w:val="id-ID"/>
        </w:rPr>
      </w:pPr>
      <w:r>
        <w:rPr>
          <w:rFonts w:ascii="Arial" w:hAnsi="Arial" w:cs="Arial"/>
          <w:lang w:val="id-ID"/>
        </w:rPr>
        <w:t>This study examines the ability to detect fraud, with professional skepticism acting as an intervening variable. Based on the research findings, the following conclusions can be drawn:</w:t>
      </w:r>
    </w:p>
    <w:p>
      <w:pPr>
        <w:pStyle w:val="Body"/>
        <w:numPr>
          <w:ilvl w:val="0"/>
          <w:numId w:val="36"/>
        </w:numPr>
        <w:spacing w:after="0"/>
        <w:rPr>
          <w:rFonts w:ascii="Arial" w:hAnsi="Arial" w:cs="Arial"/>
          <w:lang w:val="id-ID"/>
        </w:rPr>
      </w:pPr>
      <w:r>
        <w:rPr>
          <w:rFonts w:ascii="Arial" w:hAnsi="Arial" w:cs="Arial"/>
          <w:lang w:val="id-ID"/>
        </w:rPr>
        <w:t>Auditor competence does not influence fraud detection ability.</w:t>
      </w:r>
    </w:p>
    <w:p>
      <w:pPr>
        <w:pStyle w:val="Body"/>
        <w:numPr>
          <w:ilvl w:val="0"/>
          <w:numId w:val="36"/>
        </w:numPr>
        <w:spacing w:after="0"/>
        <w:rPr>
          <w:rFonts w:ascii="Arial" w:hAnsi="Arial" w:cs="Arial"/>
          <w:lang w:val="id-ID"/>
        </w:rPr>
      </w:pPr>
      <w:r>
        <w:rPr>
          <w:rFonts w:ascii="Arial" w:hAnsi="Arial" w:cs="Arial"/>
          <w:lang w:val="id-ID"/>
        </w:rPr>
        <w:t>Auditor integrity has a positive impact on fraud detection ability.</w:t>
      </w:r>
    </w:p>
    <w:p>
      <w:pPr>
        <w:pStyle w:val="Body"/>
        <w:numPr>
          <w:ilvl w:val="0"/>
          <w:numId w:val="36"/>
        </w:numPr>
        <w:spacing w:after="0"/>
        <w:rPr>
          <w:rFonts w:ascii="Arial" w:hAnsi="Arial" w:cs="Arial"/>
          <w:lang w:val="id-ID"/>
        </w:rPr>
      </w:pPr>
      <w:r>
        <w:rPr>
          <w:rFonts w:ascii="Arial" w:hAnsi="Arial" w:cs="Arial"/>
          <w:lang w:val="id-ID"/>
        </w:rPr>
        <w:t>Competence positively influences professional skepticism.</w:t>
      </w:r>
    </w:p>
    <w:p>
      <w:pPr>
        <w:pStyle w:val="Body"/>
        <w:numPr>
          <w:ilvl w:val="0"/>
          <w:numId w:val="36"/>
        </w:numPr>
        <w:spacing w:after="0"/>
        <w:rPr>
          <w:rFonts w:ascii="Arial" w:hAnsi="Arial" w:cs="Arial"/>
          <w:lang w:val="id-ID"/>
        </w:rPr>
      </w:pPr>
      <w:r>
        <w:rPr>
          <w:rFonts w:ascii="Arial" w:hAnsi="Arial" w:cs="Arial"/>
          <w:lang w:val="id-ID"/>
        </w:rPr>
        <w:t>Integrity has a positive relationship with professional skepticism.</w:t>
      </w:r>
    </w:p>
    <w:p>
      <w:pPr>
        <w:pStyle w:val="Body"/>
        <w:numPr>
          <w:ilvl w:val="0"/>
          <w:numId w:val="36"/>
        </w:numPr>
        <w:spacing w:after="0"/>
        <w:rPr>
          <w:rFonts w:ascii="Arial" w:hAnsi="Arial" w:cs="Arial"/>
          <w:lang w:val="id-ID"/>
        </w:rPr>
      </w:pPr>
      <w:r>
        <w:rPr>
          <w:rFonts w:ascii="Arial" w:hAnsi="Arial" w:cs="Arial"/>
          <w:lang w:val="id-ID"/>
        </w:rPr>
        <w:t>Professional skepticism does not significantly affect the ability to detect fraud.</w:t>
      </w:r>
    </w:p>
    <w:p>
      <w:pPr>
        <w:pStyle w:val="Body"/>
        <w:numPr>
          <w:ilvl w:val="0"/>
          <w:numId w:val="36"/>
        </w:numPr>
        <w:spacing w:after="0"/>
        <w:rPr>
          <w:rFonts w:ascii="Arial" w:hAnsi="Arial" w:cs="Arial"/>
          <w:lang w:val="id-ID"/>
        </w:rPr>
      </w:pPr>
      <w:r>
        <w:rPr>
          <w:rFonts w:ascii="Arial" w:hAnsi="Arial" w:cs="Arial"/>
          <w:lang w:val="id-ID"/>
        </w:rPr>
        <w:t>Competence does not impact fraud detection ability when mediated by professional skepticism.</w:t>
      </w:r>
    </w:p>
    <w:p>
      <w:pPr>
        <w:pStyle w:val="Body"/>
        <w:numPr>
          <w:ilvl w:val="0"/>
          <w:numId w:val="36"/>
        </w:numPr>
        <w:spacing w:after="0"/>
        <w:rPr>
          <w:rFonts w:ascii="Arial" w:hAnsi="Arial" w:cs="Arial"/>
          <w:lang w:val="id-ID"/>
        </w:rPr>
      </w:pPr>
      <w:r>
        <w:rPr>
          <w:rFonts w:ascii="Arial" w:hAnsi="Arial" w:cs="Arial"/>
          <w:lang w:val="id-ID"/>
        </w:rPr>
        <w:t>Integrity does not influence fraud detection ability through professional skepticism as a mediator.</w:t>
      </w:r>
    </w:p>
    <w:p>
      <w:pPr>
        <w:autoSpaceDE w:val="0"/>
        <w:autoSpaceDN w:val="0"/>
        <w:adjustRightInd w:val="0"/>
        <w:jc w:val="both"/>
        <w:rPr>
          <w:rFonts w:ascii="Arial" w:hAnsi="Arial" w:cs="Arial"/>
          <w:lang w:val="id-ID"/>
        </w:rPr>
      </w:pPr>
      <w:r>
        <w:rPr>
          <w:rFonts w:ascii="Arial" w:hAnsi="Arial" w:cs="Arial"/>
          <w:lang w:val="id-ID"/>
        </w:rPr>
        <w:t>This study has several limitations, including a restricted number of research subjects and a relatively small sample size. Furthermore, the research primarily focuses on competence, integrity, and professional skepticism, whereas other factors may also contribute to an auditor’s ability to detect fraud. Variables such as independence, workload, specialized expertise, and auditing experience could provide additional insights into fraud detection effectiveness. Future studies are encouraged to explore these aspects to gain a more comprehensive understanding of the various elements influencing fraud detection.</w:t>
      </w:r>
    </w:p>
    <w:p>
      <w:pPr>
        <w:pStyle w:val="ReferHead"/>
        <w:spacing w:after="0"/>
        <w:jc w:val="both"/>
        <w:rPr>
          <w:rFonts w:ascii="Arial" w:hAnsi="Arial" w:cs="Arial"/>
        </w:rPr>
      </w:pPr>
    </w:p>
    <w:p>
      <w:pPr>
        <w:pStyle w:val="ReferHead"/>
        <w:spacing w:after="0"/>
        <w:jc w:val="both"/>
        <w:rPr>
          <w:rFonts w:ascii="Arial" w:hAnsi="Arial" w:cs="Arial"/>
        </w:rPr>
      </w:pPr>
      <w:r>
        <w:rPr>
          <w:rFonts w:ascii="Arial" w:hAnsi="Arial" w:cs="Arial"/>
        </w:rPr>
        <w:t>References</w:t>
      </w:r>
    </w:p>
    <w:p>
      <w:pPr>
        <w:pStyle w:val="ReferHead"/>
        <w:spacing w:after="0"/>
        <w:jc w:val="both"/>
        <w:rPr>
          <w:rFonts w:ascii="Arial" w:hAnsi="Arial" w:cs="Arial"/>
        </w:rPr>
      </w:pPr>
    </w:p>
    <w:p>
      <w:pPr>
        <w:pStyle w:val="Body"/>
        <w:ind w:left="426" w:hanging="426"/>
        <w:rPr>
          <w:lang w:val="id-ID"/>
        </w:rPr>
      </w:pPr>
      <w:r>
        <w:rPr>
          <w:lang w:val="id-ID"/>
        </w:rPr>
        <w:t>Adisaputri, A. F. (2024). Auditor's Ability To Detect Fraud Through Experience, Competence, And Professional Skepticism With Commitment To Ethics As A Moderating Factors. Costing: Journal of Economics, Business and Accounting, 7(5).</w:t>
      </w:r>
    </w:p>
    <w:p>
      <w:pPr>
        <w:pStyle w:val="Body"/>
        <w:ind w:left="426" w:hanging="426"/>
        <w:rPr>
          <w:lang w:val="id-ID"/>
        </w:rPr>
      </w:pPr>
      <w:r>
        <w:rPr>
          <w:lang w:val="id-ID"/>
        </w:rPr>
        <w:t>Amlayasa, A. A. B., &amp; Riasning, N. P. (2022). The Role of Emotional Intelligence in Moderating the Relationship of Self Efficacy and Professional Skepticism towards the Auditor's Responsibility in Detecting Fraud. International Journal of Scientific and Management Research, 05(11), 01–04. https://doi.org/10.37502/ijsmr.2022.51101</w:t>
      </w:r>
    </w:p>
    <w:p>
      <w:pPr>
        <w:pStyle w:val="Body"/>
        <w:ind w:left="426" w:hanging="426"/>
        <w:rPr>
          <w:lang w:val="id-ID"/>
        </w:rPr>
      </w:pPr>
      <w:r>
        <w:rPr>
          <w:lang w:val="id-ID"/>
        </w:rPr>
        <w:t>Arief, R., Martin, M., &amp; Pakpahan, A. (2024). The Influence of Independence, Skepticism, Work Experience, and Audit Fees on Fraud Detection: An Empirical Study in Central Jakarta Introduction. Trends in Applied Sciences, Social Sciences and Education, 2(1), 15–24.</w:t>
      </w:r>
    </w:p>
    <w:p>
      <w:pPr>
        <w:pStyle w:val="Body"/>
        <w:ind w:left="426" w:hanging="426"/>
        <w:rPr>
          <w:lang w:val="id-ID"/>
        </w:rPr>
      </w:pPr>
      <w:r>
        <w:rPr>
          <w:lang w:val="id-ID"/>
        </w:rPr>
        <w:t>Aryotama, H. (2024). The Influence of Professional Skepticism, Auditor Experience, and Independence on Auditors' Ability to Detect Fraud (Empirical Study of Public Accounting Firms in Jakarta). Journal of Economic, Business and Accounting COSTING), 7(4), 9126–9135. https://doi.org/10.31539/costing.v7i4.10531</w:t>
      </w:r>
    </w:p>
    <w:p>
      <w:pPr>
        <w:pStyle w:val="Body"/>
        <w:ind w:left="426" w:hanging="426"/>
        <w:rPr>
          <w:lang w:val="id-ID"/>
        </w:rPr>
      </w:pPr>
      <w:r>
        <w:rPr>
          <w:lang w:val="id-ID"/>
        </w:rPr>
        <w:t>Brazel, J. F., Leiby, J., Schaefer, T. J., Andiola, L., Bauer, T., Beck, A., Blum, E., Buchheit, S., Carlson, A., Choi, W., Clor-Proell, S., Cloyd, B., Commerford, B., Curtis, M., DeAngelis, M., Doxey, M., Echternach, E., Erickson, M., Eustler, J., … Rockefeller, S. 2022). Do Rewards Encourage Professional Skepticism? It Depends. The Accounting Reviews, 4, 131–154. https://doi.org/https://doi.org/10.2308/TAR-2019-0361</w:t>
      </w:r>
    </w:p>
    <w:p>
      <w:pPr>
        <w:pStyle w:val="Body"/>
        <w:ind w:left="426" w:hanging="426"/>
        <w:rPr>
          <w:lang w:val="id-ID"/>
        </w:rPr>
      </w:pPr>
      <w:r>
        <w:rPr>
          <w:lang w:val="id-ID"/>
        </w:rPr>
        <w:lastRenderedPageBreak/>
        <w:t>Budiantoro, H., Fajriyah, N., &amp; Lapae, K. (2022). The Effect of Forensic Expertise, Professional Skepticism, and Time Budget Pressure on Auditor's Ability to Detect Fraud. Fair Value: Scientific Journal of Accounting and Finance, 4(11), 5313–5322. https://doi.org/10.32670/fairvalue.v4i11.1835</w:t>
      </w:r>
    </w:p>
    <w:p>
      <w:pPr>
        <w:pStyle w:val="Body"/>
        <w:ind w:left="426" w:hanging="426"/>
        <w:rPr>
          <w:lang w:val="id-ID"/>
        </w:rPr>
      </w:pPr>
      <w:r>
        <w:rPr>
          <w:lang w:val="id-ID"/>
        </w:rPr>
        <w:t>Caesarany, T. A. (2022). The Effect of Integrity, Competence, Confidentiality and Objectivity of Government Internal Auditors in Detecting Fraud. In Universitas Islam Indonesia.</w:t>
      </w:r>
    </w:p>
    <w:p>
      <w:pPr>
        <w:pStyle w:val="Body"/>
        <w:ind w:left="426" w:hanging="426"/>
        <w:rPr>
          <w:lang w:val="id-ID"/>
        </w:rPr>
      </w:pPr>
      <w:r>
        <w:rPr>
          <w:lang w:val="id-ID"/>
        </w:rPr>
        <w:t>Digdowiseiso, K., Subiyanto, B., &amp; Indra Priadi, J. (2022). Factors Affecting Auditor's Ability to Detect Fraud. Fair Value: Scientific Journal of Accounting and Finance, 4(6), 2621–2627. https://doi.org/10.32670/fairvalue.v4i6.874</w:t>
      </w:r>
    </w:p>
    <w:p>
      <w:pPr>
        <w:pStyle w:val="Body"/>
        <w:ind w:left="426" w:hanging="426"/>
        <w:rPr>
          <w:lang w:val="id-ID"/>
        </w:rPr>
      </w:pPr>
      <w:r>
        <w:rPr>
          <w:lang w:val="id-ID"/>
        </w:rPr>
        <w:t>Endaryono, B. T., Prasetyo, A., &amp; Baliarto, S. (2024). The Important Role of Audit Objectives and Management Assertions in Companies. In GICI Journal of Finance and Business Journal (Vol. 16, Issue 1).</w:t>
      </w:r>
    </w:p>
    <w:p>
      <w:pPr>
        <w:pStyle w:val="Body"/>
        <w:ind w:left="426" w:hanging="426"/>
        <w:rPr>
          <w:lang w:val="id-ID"/>
        </w:rPr>
      </w:pPr>
      <w:r>
        <w:rPr>
          <w:lang w:val="id-ID"/>
        </w:rPr>
        <w:t>Evia, Z., Santoso, R. E. Wi., &amp; Nurcahyono, N. (2022). Work Experience, Independence, Integrity, Competence and Their Influence on Audit Quality. Journal of Accounting and Governance, 2(2), 141. https://doi.org/10.24853/jago.2.2.141-149</w:t>
      </w:r>
    </w:p>
    <w:p>
      <w:pPr>
        <w:pStyle w:val="Body"/>
        <w:ind w:left="426" w:hanging="426"/>
        <w:rPr>
          <w:lang w:val="id-ID"/>
        </w:rPr>
      </w:pPr>
      <w:r>
        <w:rPr>
          <w:lang w:val="id-ID"/>
        </w:rPr>
        <w:t>Firmansyah, I., Ginoga, L., &amp; Saleh, R. (2024). The influence of competence, audit experience, time pressure, professional skepticism on auditors' ability to detect financial statement fraud. Applied Business Journal, 08, 180–193.</w:t>
      </w:r>
    </w:p>
    <w:p>
      <w:pPr>
        <w:pStyle w:val="Body"/>
        <w:ind w:left="426" w:hanging="426"/>
        <w:rPr>
          <w:lang w:val="id-ID"/>
        </w:rPr>
      </w:pPr>
      <w:r>
        <w:rPr>
          <w:lang w:val="id-ID"/>
        </w:rPr>
        <w:t>Fullerton, R., &amp; Durtschi, C. (2004). The Effect of Professional Skepticism on the Fraud Detection Skills of Internal Auditors. SSRN Electronic Journal. https://doi.org/10.2139/ssrn.617062</w:t>
      </w:r>
    </w:p>
    <w:p>
      <w:pPr>
        <w:pStyle w:val="Body"/>
        <w:ind w:left="426" w:hanging="426"/>
        <w:rPr>
          <w:lang w:val="id-ID"/>
        </w:rPr>
      </w:pPr>
      <w:r>
        <w:rPr>
          <w:lang w:val="id-ID"/>
        </w:rPr>
        <w:t>Hasibuan, R. E., &amp; Pangaribuan, H. (2023). The Influence Of Independence, Integrity On Fraud Detection In Jakarta Public Accounting Firm. Management Studies and Entrepreneurship Journal, 4(6), 8599–8615.</w:t>
      </w:r>
    </w:p>
    <w:p>
      <w:pPr>
        <w:pStyle w:val="Body"/>
        <w:ind w:left="426" w:hanging="426"/>
        <w:rPr>
          <w:lang w:val="id-ID"/>
        </w:rPr>
      </w:pPr>
      <w:r>
        <w:rPr>
          <w:lang w:val="id-ID"/>
        </w:rPr>
        <w:t>Heider, F. (1958). The physcology of interpersonal relations. In Social Forces, 37(3). Hurtt, R. Kathy, Brown-Liburd, H., Earley, C. E., &amp; Krishnamoorthy, G. (2013). Research on auditor professional skepticism: Literature synthesis and opportunities for future research. Auditing, 32(SUPPL.1), 45–97. https://doi.org/10.2308/ajpt-50361</w:t>
      </w:r>
    </w:p>
    <w:p>
      <w:pPr>
        <w:pStyle w:val="Body"/>
        <w:ind w:left="426" w:hanging="426"/>
        <w:rPr>
          <w:lang w:val="id-ID"/>
        </w:rPr>
      </w:pPr>
      <w:r>
        <w:rPr>
          <w:lang w:val="id-ID"/>
        </w:rPr>
        <w:t>Islamiati, M., Komalasari, A., &amp; Azhar, R. (2024). The Effect of Independence, Integrity, Accountability, Auditor Training and Professional Skepticism on Auditor's Ability to Detect Fraud. Journal on Education, 6(4), 21035–21049. https://doi.org/10.31004/joe.v6i4.6255</w:t>
      </w:r>
    </w:p>
    <w:p>
      <w:pPr>
        <w:pStyle w:val="Body"/>
        <w:ind w:left="426" w:hanging="426"/>
        <w:rPr>
          <w:lang w:val="id-ID"/>
        </w:rPr>
      </w:pPr>
      <w:r>
        <w:rPr>
          <w:lang w:val="id-ID"/>
        </w:rPr>
        <w:t>Judijanto, L. (2024). The Impact of Auditor Qualification and Use of Audit Technology on the Effectiveness of the Audit Process in Manufacturing Companies in Indonesia. Sanskara Accounting and Finance, 3(01), 25–32. https://doi.org/10.58812/sak.v3.i01</w:t>
      </w:r>
    </w:p>
    <w:p>
      <w:pPr>
        <w:pStyle w:val="Body"/>
        <w:ind w:left="426" w:hanging="426"/>
        <w:rPr>
          <w:lang w:val="id-ID"/>
        </w:rPr>
      </w:pPr>
      <w:r>
        <w:rPr>
          <w:lang w:val="id-ID"/>
        </w:rPr>
        <w:t>Kamal, A. (2023). THE EFFECT OF COMPETENCY, ETHICAL REASONING, INFORMATION TECHNOLOGY ON FRAUD DETECTION THROUGH PROFESSIONAL SKEPTICISMS OF GOVERNMENT INTERNAL AUDITORS THE. Hasanuddin University.</w:t>
      </w:r>
    </w:p>
    <w:p>
      <w:pPr>
        <w:pStyle w:val="Body"/>
        <w:ind w:left="426" w:hanging="426"/>
        <w:rPr>
          <w:lang w:val="id-ID"/>
        </w:rPr>
      </w:pPr>
      <w:r>
        <w:rPr>
          <w:lang w:val="id-ID"/>
        </w:rPr>
        <w:lastRenderedPageBreak/>
        <w:t>Kemarayanthi, D. M., &amp; Ramantha, I. W. (2023). Independence, Professional Ethics, Integrity and Auditor Performance of Public Accounting Firms in Bali. E-Journal of Accounting, 33(2), 440. https://doi.org/10.24843/eja.2023.v33.i02.p11</w:t>
      </w:r>
    </w:p>
    <w:p>
      <w:pPr>
        <w:pStyle w:val="Body"/>
        <w:ind w:left="426" w:hanging="426"/>
        <w:rPr>
          <w:lang w:val="id-ID"/>
        </w:rPr>
      </w:pPr>
      <w:r>
        <w:rPr>
          <w:lang w:val="id-ID"/>
        </w:rPr>
        <w:t>Kurniawan, S., &amp; Kurniawati, K. (2024). The Influence of Professional Skepticism, Big Data Analysis, Auditor Experience on Fraud Detection. Monex - Journal of Accounting Research, 5321(July).</w:t>
      </w:r>
    </w:p>
    <w:p>
      <w:pPr>
        <w:pStyle w:val="Body"/>
        <w:ind w:left="426" w:hanging="426"/>
        <w:rPr>
          <w:lang w:val="id-ID"/>
        </w:rPr>
      </w:pPr>
      <w:r>
        <w:rPr>
          <w:lang w:val="id-ID"/>
        </w:rPr>
        <w:t>Natasya, N., Karya, M., Azhar, S., Nurmadi, R., Bisnis, F. E., &amp; Medan, U. H. (2024). The Influence of Independence and Competence on Fraud Detection Ability with Professional Skepticism as a Variable</w:t>
      </w:r>
      <w:r>
        <w:t xml:space="preserve"> </w:t>
      </w:r>
      <w:r>
        <w:rPr>
          <w:lang w:val="id-ID"/>
        </w:rPr>
        <w:t>moderation. Journal of Accounting, Management, Economics and Entrepreneurship, 04(03), 398–404.</w:t>
      </w:r>
    </w:p>
    <w:p>
      <w:pPr>
        <w:pStyle w:val="Body"/>
        <w:ind w:left="426" w:hanging="426"/>
        <w:rPr>
          <w:lang w:val="id-ID"/>
        </w:rPr>
      </w:pPr>
      <w:r>
        <w:rPr>
          <w:lang w:val="id-ID"/>
        </w:rPr>
        <w:t>Ndruru, F., Simanjuntak, H. E., Purba, H. C., Ginting, J. T., Aruan, P. A. R. J., Panjaitan, joy N., &amp; Herliani, R. (2024). Analysis of Auditor Objectives and Responsibilities in Detecting Fraud in Financial Statements. JIIC: Jurnal Interlek Insan Cendikia, I(8), 3164–3176.</w:t>
      </w:r>
    </w:p>
    <w:p>
      <w:pPr>
        <w:pStyle w:val="Body"/>
        <w:ind w:left="426" w:hanging="426"/>
        <w:rPr>
          <w:lang w:val="id-ID"/>
        </w:rPr>
      </w:pPr>
      <w:r>
        <w:rPr>
          <w:lang w:val="id-ID"/>
        </w:rPr>
        <w:t>Payapo, D. C. S., Sari, R., Ibrahim, F. N., &amp; Nurfadila. (2021). The Influence of Competence, Independence, Integrity and Ethics on Auditors' Ability to Detect Fraud at the Ambon City Inspectorate Office. Center of Economic Students Journal, 4(4), 323–343. https://doi.org/10.56750/csej.v4i4.460</w:t>
      </w:r>
    </w:p>
    <w:p>
      <w:pPr>
        <w:pStyle w:val="Body"/>
        <w:ind w:left="426" w:hanging="426"/>
        <w:rPr>
          <w:lang w:val="id-ID"/>
        </w:rPr>
      </w:pPr>
      <w:r>
        <w:rPr>
          <w:lang w:val="id-ID"/>
        </w:rPr>
        <w:t>Piserah, M., Sutjipto, V. F., Firmansyah, A., &amp; Trisnawati, E. (2022). Fraud Detection Behavior in Auditors: Professional Skepticism, Whistleblowing, Integrity, Time Pressure. Scientific Journal of Accounting Unity, 10(1), 17–28. https://doi.org/10.37641/jiakes.v10i1.1185</w:t>
      </w:r>
    </w:p>
    <w:p>
      <w:pPr>
        <w:pStyle w:val="Body"/>
        <w:ind w:left="426" w:hanging="426"/>
        <w:rPr>
          <w:lang w:val="id-ID"/>
        </w:rPr>
      </w:pPr>
      <w:r>
        <w:rPr>
          <w:lang w:val="id-ID"/>
        </w:rPr>
        <w:t>Prasetya, A., Afrizal, A., &amp; Putra, W. E. (2023). Professional Skepticism as an Intervening Variable in the Relationship between Auditor Competence, Time Pressure and Forensic Expertise on Auditor's Ability to Detect Fraud. Trisakti Accounting Journal, 10(2), 249–272. https://doi.org/10.25105/jat.v10i2.16913</w:t>
      </w:r>
    </w:p>
    <w:p>
      <w:pPr>
        <w:pStyle w:val="Body"/>
        <w:ind w:left="426" w:hanging="426"/>
        <w:rPr>
          <w:lang w:val="id-ID"/>
        </w:rPr>
      </w:pPr>
      <w:r>
        <w:rPr>
          <w:lang w:val="id-ID"/>
        </w:rPr>
        <w:t>Putra, A. F., Achmad, A., &amp; Riantika, R. L. (2024). The Effect of Profitability, Solvency, Company Size, and Auditor Opinion on Audit Delay in Property and Real Estate Companies. Innovative Accounting Journal, 2(2), 71–80. https://doi.org/10.59330/jai.v2i2.41</w:t>
      </w:r>
    </w:p>
    <w:p>
      <w:pPr>
        <w:pStyle w:val="Body"/>
        <w:ind w:left="426" w:hanging="426"/>
        <w:rPr>
          <w:lang w:val="id-ID"/>
        </w:rPr>
      </w:pPr>
      <w:r>
        <w:rPr>
          <w:lang w:val="id-ID"/>
        </w:rPr>
        <w:t>Putri, N. H. (2024). The Effect of Big Data Analytics, Self Efficacy, Auditor Competence, and Audit Training on Fraud Detection with Professional Skepticism as an Intervening Variable. In Syarif Hidayatullah State Islamic University (Vol. 15, Issue 1).</w:t>
      </w:r>
    </w:p>
    <w:p>
      <w:pPr>
        <w:pStyle w:val="Body"/>
        <w:ind w:left="426" w:hanging="426"/>
        <w:rPr>
          <w:lang w:val="id-ID"/>
        </w:rPr>
      </w:pPr>
      <w:r>
        <w:rPr>
          <w:lang w:val="id-ID"/>
        </w:rPr>
        <w:t>Rahmawati, A., Simorangkir, P., &amp; Ginting, R. (2021). The Influence of Forensic Accounting, Professional Skepticism and Audit Experience on Fraud Detection. Jurnal Akunida, 7(2).</w:t>
      </w:r>
    </w:p>
    <w:p>
      <w:pPr>
        <w:pStyle w:val="Body"/>
        <w:ind w:left="426" w:hanging="426"/>
        <w:rPr>
          <w:lang w:val="id-ID"/>
        </w:rPr>
      </w:pPr>
      <w:r>
        <w:rPr>
          <w:lang w:val="id-ID"/>
        </w:rPr>
        <w:t>Salsabila, A., Afriyenti, M., &amp; Honesty, H. N. (2023). The Influence of Independence, Competence and Professional Skepticism on the Ability of Government Internal Auditors to Detect Fraud. Jurnal Nuansa Karya Akuntansi, 1(1), 27–35.</w:t>
      </w:r>
    </w:p>
    <w:p>
      <w:pPr>
        <w:pStyle w:val="Body"/>
        <w:ind w:left="426" w:hanging="426"/>
        <w:rPr>
          <w:lang w:val="id-ID"/>
        </w:rPr>
      </w:pPr>
      <w:r>
        <w:rPr>
          <w:lang w:val="id-ID"/>
        </w:rPr>
        <w:t xml:space="preserve">Sinaga, L. V., Purba, M. R., &amp; Purba, N. F. (2024). Audit Objectives and Auditor Responsibilities in Audit Reports. JIIC, 1(8). Soerono, A. N., &amp; Ismawati, I. (2020). Professionalism, Competence, Motivation and Their Influence on Auditor Performance. </w:t>
      </w:r>
      <w:r>
        <w:rPr>
          <w:lang w:val="id-ID"/>
        </w:rPr>
        <w:lastRenderedPageBreak/>
        <w:t>Integrated Accounting Research Journal, 13(1), 113. https://doi.org/10.35448/jrat.v13i1.7808</w:t>
      </w:r>
    </w:p>
    <w:p>
      <w:pPr>
        <w:pStyle w:val="Body"/>
        <w:ind w:left="426" w:hanging="426"/>
        <w:rPr>
          <w:lang w:val="id-ID"/>
        </w:rPr>
      </w:pPr>
      <w:r>
        <w:rPr>
          <w:lang w:val="id-ID"/>
        </w:rPr>
        <w:t>Soewandy, S., &amp; Kuntadi, C. (2023). Factors Affecting Auditor Professional Skepticism: Experience, Competence and Audit Situation (Audit Literature Review). Journal of Information Systems Management Economics, Vol 4(e-ISSN: 2686-5238), 555 560. https://creativecommons.org/licenses/by/4.0/</w:t>
      </w:r>
    </w:p>
    <w:p>
      <w:pPr>
        <w:pStyle w:val="Body"/>
        <w:ind w:left="426" w:hanging="426"/>
        <w:rPr>
          <w:lang w:val="id-ID"/>
        </w:rPr>
      </w:pPr>
      <w:r>
        <w:rPr>
          <w:lang w:val="id-ID"/>
        </w:rPr>
        <w:t>Wicaksana, F., Hilda, H., &amp; Rachmania, R. (2024). The Influence of Internal Auditor Professionalism and Competence on the Ability to Detect Fraud at Bank Muamalat in Palembang. Rimba Journal: Research in Business Management and Accounting, 2(2), 274–283. https://doi.org/10.61132/rimba.v2i2.741</w:t>
      </w:r>
    </w:p>
    <w:p>
      <w:pPr>
        <w:pStyle w:val="Body"/>
        <w:ind w:left="426" w:hanging="426"/>
        <w:rPr>
          <w:lang w:val="id-ID"/>
        </w:rPr>
      </w:pPr>
      <w:r>
        <w:rPr>
          <w:lang w:val="id-ID"/>
        </w:rPr>
        <w:t>Wulandhari, D. ayu, &amp; Kuntadi, C. (2022). The Influence of Red Flags, Competence, and Auditor Professional Skepticism on Auditor's Ability to Detect Fraud. Journal of Comprehensive Science, 1(8.5.2017), 2003–2005.</w:t>
      </w:r>
    </w:p>
    <w:p>
      <w:pPr>
        <w:pStyle w:val="Body"/>
        <w:spacing w:after="0"/>
        <w:ind w:left="426" w:hanging="426"/>
        <w:rPr>
          <w:rFonts w:ascii="Arial" w:hAnsi="Arial" w:cs="Arial"/>
          <w:b/>
        </w:rPr>
        <w:sectPr>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2016" w:bottom="2016" w:left="2016" w:header="720" w:footer="1123" w:gutter="0"/>
          <w:cols w:space="720"/>
          <w:docGrid w:linePitch="272"/>
        </w:sectPr>
      </w:pPr>
      <w:r>
        <w:rPr>
          <w:lang w:val="id-ID"/>
        </w:rPr>
        <w:t>Ziah, S. U., &amp; Kuntadi, C. (2023). The Influence of Ethics, Competence and Risk Audit on Auditor Professional Skepticism. Jurnal Economina, 2(9), 2336–2345. https://doi.org/10.55681/economina.v2i9.814</w:t>
      </w:r>
    </w:p>
    <w:p>
      <w:pPr>
        <w:pStyle w:val="Appendix"/>
        <w:spacing w:after="0"/>
        <w:jc w:val="both"/>
        <w:rPr>
          <w:rFonts w:ascii="Arial" w:hAnsi="Arial" w:cs="Arial"/>
          <w:b w:val="0"/>
        </w:rPr>
      </w:pPr>
    </w:p>
    <w:sectPr>
      <w:type w:val="continuous"/>
      <w:pgSz w:w="12240" w:h="15840"/>
      <w:pgMar w:top="720" w:right="720" w:bottom="720"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1">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13628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13628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136281"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4175C7"/>
    <w:multiLevelType w:val="hybridMultilevel"/>
    <w:tmpl w:val="D4DEE4A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1765C1"/>
    <w:multiLevelType w:val="hybridMultilevel"/>
    <w:tmpl w:val="D3DE99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74379E"/>
    <w:multiLevelType w:val="hybridMultilevel"/>
    <w:tmpl w:val="D4DEE4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46C8C"/>
    <w:multiLevelType w:val="hybridMultilevel"/>
    <w:tmpl w:val="556A40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2D3029"/>
    <w:multiLevelType w:val="hybridMultilevel"/>
    <w:tmpl w:val="556A40F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A521C0D"/>
    <w:multiLevelType w:val="hybridMultilevel"/>
    <w:tmpl w:val="D3DE99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4907790"/>
    <w:multiLevelType w:val="hybridMultilevel"/>
    <w:tmpl w:val="556A40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89A7AB7"/>
    <w:multiLevelType w:val="hybridMultilevel"/>
    <w:tmpl w:val="D3DE99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6"/>
  </w:num>
  <w:num w:numId="9">
    <w:abstractNumId w:val="32"/>
  </w:num>
  <w:num w:numId="10">
    <w:abstractNumId w:val="2"/>
  </w:num>
  <w:num w:numId="11">
    <w:abstractNumId w:val="23"/>
  </w:num>
  <w:num w:numId="12">
    <w:abstractNumId w:val="3"/>
  </w:num>
  <w:num w:numId="13">
    <w:abstractNumId w:val="22"/>
  </w:num>
  <w:num w:numId="14">
    <w:abstractNumId w:val="10"/>
  </w:num>
  <w:num w:numId="15">
    <w:abstractNumId w:val="27"/>
  </w:num>
  <w:num w:numId="16">
    <w:abstractNumId w:val="5"/>
  </w:num>
  <w:num w:numId="17">
    <w:abstractNumId w:val="28"/>
  </w:num>
  <w:num w:numId="18">
    <w:abstractNumId w:val="18"/>
  </w:num>
  <w:num w:numId="19">
    <w:abstractNumId w:val="36"/>
  </w:num>
  <w:num w:numId="20">
    <w:abstractNumId w:val="14"/>
  </w:num>
  <w:num w:numId="21">
    <w:abstractNumId w:val="11"/>
  </w:num>
  <w:num w:numId="22">
    <w:abstractNumId w:val="17"/>
  </w:num>
  <w:num w:numId="23">
    <w:abstractNumId w:val="25"/>
  </w:num>
  <w:num w:numId="24">
    <w:abstractNumId w:val="34"/>
  </w:num>
  <w:num w:numId="25">
    <w:abstractNumId w:val="4"/>
  </w:num>
  <w:num w:numId="26">
    <w:abstractNumId w:val="20"/>
  </w:num>
  <w:num w:numId="27">
    <w:abstractNumId w:val="26"/>
  </w:num>
  <w:num w:numId="28">
    <w:abstractNumId w:val="35"/>
  </w:num>
  <w:num w:numId="29">
    <w:abstractNumId w:val="31"/>
  </w:num>
  <w:num w:numId="30">
    <w:abstractNumId w:val="12"/>
  </w:num>
  <w:num w:numId="31">
    <w:abstractNumId w:val="13"/>
  </w:num>
  <w:num w:numId="32">
    <w:abstractNumId w:val="6"/>
  </w:num>
  <w:num w:numId="33">
    <w:abstractNumId w:val="8"/>
  </w:num>
  <w:num w:numId="34">
    <w:abstractNumId w:val="24"/>
  </w:num>
  <w:num w:numId="35">
    <w:abstractNumId w:val="33"/>
  </w:num>
  <w:num w:numId="36">
    <w:abstractNumId w:val="21"/>
  </w:num>
  <w:num w:numId="37">
    <w:abstractNumId w:val="3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qFormat/>
    <w:pPr>
      <w:spacing w:after="360"/>
      <w:jc w:val="right"/>
    </w:pPr>
    <w:rPr>
      <w:b/>
      <w:kern w:val="28"/>
      <w:sz w:val="36"/>
    </w:rPr>
  </w:style>
  <w:style w:type="paragraph" w:customStyle="1" w:styleId="Reference">
    <w:name w:val="Reference"/>
    <w:basedOn w:val="Body"/>
    <w:pPr>
      <w:numPr>
        <w:numId w:val="2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B0E02-046C-4898-999E-CBE374175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138</TotalTime>
  <Pages>18</Pages>
  <Words>7957</Words>
  <Characters>45355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53206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1170</cp:lastModifiedBy>
  <cp:revision>25</cp:revision>
  <cp:lastPrinted>1999-07-06T11:00:00Z</cp:lastPrinted>
  <dcterms:created xsi:type="dcterms:W3CDTF">2014-10-25T14:34:00Z</dcterms:created>
  <dcterms:modified xsi:type="dcterms:W3CDTF">2025-07-02T11:34:00Z</dcterms:modified>
</cp:coreProperties>
</file>