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B6502" w14:textId="12164F81" w:rsidR="00752E8C" w:rsidRPr="00F72416" w:rsidRDefault="00752E8C" w:rsidP="00F72416">
      <w:pPr>
        <w:spacing w:after="0" w:line="240" w:lineRule="auto"/>
        <w:jc w:val="center"/>
        <w:rPr>
          <w:rFonts w:ascii="Arial" w:hAnsi="Arial" w:cs="Arial"/>
          <w:b/>
          <w:bCs/>
          <w:sz w:val="22"/>
          <w:szCs w:val="22"/>
        </w:rPr>
      </w:pPr>
      <w:bookmarkStart w:id="0" w:name="_GoBack"/>
      <w:bookmarkEnd w:id="0"/>
      <w:r w:rsidRPr="00F72416">
        <w:rPr>
          <w:rFonts w:ascii="Arial" w:hAnsi="Arial" w:cs="Arial"/>
          <w:b/>
          <w:bCs/>
          <w:sz w:val="22"/>
          <w:szCs w:val="22"/>
        </w:rPr>
        <w:t xml:space="preserve">Optimizing Water Distribution Efficiency Through Sustainable District Meter Area (DMA) Planning in </w:t>
      </w:r>
      <w:proofErr w:type="spellStart"/>
      <w:r w:rsidRPr="00F72416">
        <w:rPr>
          <w:rFonts w:ascii="Arial" w:hAnsi="Arial" w:cs="Arial"/>
          <w:b/>
          <w:bCs/>
          <w:sz w:val="22"/>
          <w:szCs w:val="22"/>
        </w:rPr>
        <w:t>Doloksanggul</w:t>
      </w:r>
      <w:proofErr w:type="spellEnd"/>
      <w:r w:rsidRPr="00F72416">
        <w:rPr>
          <w:rFonts w:ascii="Arial" w:hAnsi="Arial" w:cs="Arial"/>
          <w:b/>
          <w:bCs/>
          <w:sz w:val="22"/>
          <w:szCs w:val="22"/>
        </w:rPr>
        <w:t>, Indonesia</w:t>
      </w:r>
    </w:p>
    <w:p w14:paraId="244B5723" w14:textId="77777777" w:rsidR="00F72416" w:rsidRDefault="00F72416" w:rsidP="00F72416">
      <w:pPr>
        <w:spacing w:after="0" w:line="240" w:lineRule="auto"/>
        <w:jc w:val="center"/>
        <w:rPr>
          <w:rFonts w:ascii="Arial" w:hAnsi="Arial" w:cs="Arial"/>
          <w:b/>
          <w:bCs/>
          <w:color w:val="000000" w:themeColor="text1"/>
          <w:sz w:val="20"/>
          <w:szCs w:val="20"/>
          <w:lang w:val="fi-FI"/>
        </w:rPr>
      </w:pPr>
    </w:p>
    <w:p w14:paraId="75F25BE8" w14:textId="77777777" w:rsidR="00752E8C" w:rsidRPr="00F72416" w:rsidRDefault="00752E8C" w:rsidP="00F72416">
      <w:pPr>
        <w:spacing w:after="0" w:line="240" w:lineRule="auto"/>
        <w:rPr>
          <w:rFonts w:ascii="Arial" w:hAnsi="Arial" w:cs="Arial"/>
          <w:sz w:val="20"/>
          <w:szCs w:val="20"/>
        </w:rPr>
      </w:pPr>
    </w:p>
    <w:p w14:paraId="235D9FEC" w14:textId="39E214B9" w:rsidR="00752E8C" w:rsidRPr="00F72416" w:rsidRDefault="00752E8C" w:rsidP="00F72416">
      <w:pPr>
        <w:spacing w:after="0" w:line="240" w:lineRule="auto"/>
        <w:jc w:val="center"/>
        <w:rPr>
          <w:rFonts w:ascii="Arial" w:hAnsi="Arial" w:cs="Arial"/>
          <w:b/>
          <w:bCs/>
          <w:sz w:val="20"/>
          <w:szCs w:val="20"/>
        </w:rPr>
      </w:pPr>
      <w:r w:rsidRPr="00F72416">
        <w:rPr>
          <w:rFonts w:ascii="Arial" w:hAnsi="Arial" w:cs="Arial"/>
          <w:b/>
          <w:bCs/>
          <w:sz w:val="20"/>
          <w:szCs w:val="20"/>
        </w:rPr>
        <w:t>Abstract</w:t>
      </w:r>
    </w:p>
    <w:p w14:paraId="5F00EB13" w14:textId="69F873FA" w:rsidR="00752E8C" w:rsidRPr="00752E8C" w:rsidRDefault="00752E8C" w:rsidP="00F72416">
      <w:pPr>
        <w:spacing w:after="0" w:line="240" w:lineRule="auto"/>
        <w:jc w:val="both"/>
        <w:rPr>
          <w:rFonts w:ascii="Arial" w:hAnsi="Arial" w:cs="Arial"/>
          <w:sz w:val="20"/>
          <w:szCs w:val="20"/>
        </w:rPr>
      </w:pPr>
      <w:r w:rsidRPr="00752E8C">
        <w:rPr>
          <w:rFonts w:ascii="Arial" w:hAnsi="Arial" w:cs="Arial"/>
          <w:sz w:val="20"/>
          <w:szCs w:val="20"/>
        </w:rPr>
        <w:t xml:space="preserve">Water loss in urban distribution systems is a persistent challenge, particularly in developing regions where infrastructure and management are often inadequate. This study investigates the performance of the piped water distribution system in </w:t>
      </w:r>
      <w:proofErr w:type="spellStart"/>
      <w:r w:rsidRPr="00752E8C">
        <w:rPr>
          <w:rFonts w:ascii="Arial" w:hAnsi="Arial" w:cs="Arial"/>
          <w:sz w:val="20"/>
          <w:szCs w:val="20"/>
        </w:rPr>
        <w:t>Kecamatan</w:t>
      </w:r>
      <w:proofErr w:type="spellEnd"/>
      <w:r w:rsidRPr="00752E8C">
        <w:rPr>
          <w:rFonts w:ascii="Arial" w:hAnsi="Arial" w:cs="Arial"/>
          <w:sz w:val="20"/>
          <w:szCs w:val="20"/>
        </w:rPr>
        <w:t xml:space="preserve"> </w:t>
      </w:r>
      <w:proofErr w:type="spellStart"/>
      <w:r w:rsidRPr="00752E8C">
        <w:rPr>
          <w:rFonts w:ascii="Arial" w:hAnsi="Arial" w:cs="Arial"/>
          <w:sz w:val="20"/>
          <w:szCs w:val="20"/>
        </w:rPr>
        <w:t>Doloksanggul</w:t>
      </w:r>
      <w:proofErr w:type="spellEnd"/>
      <w:r w:rsidRPr="00752E8C">
        <w:rPr>
          <w:rFonts w:ascii="Arial" w:hAnsi="Arial" w:cs="Arial"/>
          <w:sz w:val="20"/>
          <w:szCs w:val="20"/>
        </w:rPr>
        <w:t xml:space="preserve">, </w:t>
      </w:r>
      <w:proofErr w:type="spellStart"/>
      <w:r w:rsidRPr="00752E8C">
        <w:rPr>
          <w:rFonts w:ascii="Arial" w:hAnsi="Arial" w:cs="Arial"/>
          <w:sz w:val="20"/>
          <w:szCs w:val="20"/>
        </w:rPr>
        <w:t>Kabupaten</w:t>
      </w:r>
      <w:proofErr w:type="spellEnd"/>
      <w:r w:rsidRPr="00752E8C">
        <w:rPr>
          <w:rFonts w:ascii="Arial" w:hAnsi="Arial" w:cs="Arial"/>
          <w:sz w:val="20"/>
          <w:szCs w:val="20"/>
        </w:rPr>
        <w:t xml:space="preserve"> </w:t>
      </w:r>
      <w:proofErr w:type="spellStart"/>
      <w:r w:rsidRPr="00752E8C">
        <w:rPr>
          <w:rFonts w:ascii="Arial" w:hAnsi="Arial" w:cs="Arial"/>
          <w:sz w:val="20"/>
          <w:szCs w:val="20"/>
        </w:rPr>
        <w:t>Humbang</w:t>
      </w:r>
      <w:proofErr w:type="spellEnd"/>
      <w:r w:rsidRPr="00752E8C">
        <w:rPr>
          <w:rFonts w:ascii="Arial" w:hAnsi="Arial" w:cs="Arial"/>
          <w:sz w:val="20"/>
          <w:szCs w:val="20"/>
        </w:rPr>
        <w:t xml:space="preserve"> </w:t>
      </w:r>
      <w:proofErr w:type="spellStart"/>
      <w:r w:rsidRPr="00752E8C">
        <w:rPr>
          <w:rFonts w:ascii="Arial" w:hAnsi="Arial" w:cs="Arial"/>
          <w:sz w:val="20"/>
          <w:szCs w:val="20"/>
        </w:rPr>
        <w:t>Hasundutan</w:t>
      </w:r>
      <w:proofErr w:type="spellEnd"/>
      <w:r w:rsidRPr="00752E8C">
        <w:rPr>
          <w:rFonts w:ascii="Arial" w:hAnsi="Arial" w:cs="Arial"/>
          <w:sz w:val="20"/>
          <w:szCs w:val="20"/>
        </w:rPr>
        <w:t>, Indonesia, where non-revenue water (NRW) levels reach 32%, significantly exceeding the national tolerance threshold of 20%. The current piped water service coverage is limited to just 29.28%, leaving a substantial portion of the population dependent on decentralized sources such as deep wells, which can threaten long-term groundwater sustainability.</w:t>
      </w:r>
      <w:r w:rsidRPr="00F72416">
        <w:rPr>
          <w:rFonts w:ascii="Arial" w:hAnsi="Arial" w:cs="Arial"/>
          <w:sz w:val="20"/>
          <w:szCs w:val="20"/>
        </w:rPr>
        <w:t xml:space="preserve"> </w:t>
      </w:r>
      <w:r w:rsidRPr="00752E8C">
        <w:rPr>
          <w:rFonts w:ascii="Arial" w:hAnsi="Arial" w:cs="Arial"/>
          <w:sz w:val="20"/>
          <w:szCs w:val="20"/>
        </w:rPr>
        <w:t>To address this, we propose a phased implementation of District Meter Areas (DMAs) as a sustainable intervention to optimize the existing water distribution network. Spatial and temporal analysis of water demand, population projections, and hydraulic zoning were conducted for the years 2024 through 2044. Findings show a transition from water supply surplus to deficit beginning in 2039 if current infrastructure remains static. Estimated annual water losses total approximately 494,000 cubic meters. The gradual development of DMA zones—from 12 in 2024 to 20 in 2044—demonstrates potential to reduce pressure variations, enhance monitoring of leakage, and improve overall system resilience.</w:t>
      </w:r>
      <w:r w:rsidRPr="00F72416">
        <w:rPr>
          <w:rFonts w:ascii="Arial" w:hAnsi="Arial" w:cs="Arial"/>
          <w:sz w:val="20"/>
          <w:szCs w:val="20"/>
        </w:rPr>
        <w:t xml:space="preserve"> </w:t>
      </w:r>
      <w:r w:rsidRPr="00752E8C">
        <w:rPr>
          <w:rFonts w:ascii="Arial" w:hAnsi="Arial" w:cs="Arial"/>
          <w:sz w:val="20"/>
          <w:szCs w:val="20"/>
        </w:rPr>
        <w:t>The study highlights the need for integrated spatial planning, inter-agency collaboration, and proactive infrastructure scaling to achieve water service sustainability. These insights contribute to the growing discourse on efficient water resource management in small urban centers across Southeast Asia</w:t>
      </w:r>
      <w:r w:rsidRPr="00F72416">
        <w:rPr>
          <w:rFonts w:ascii="Arial" w:hAnsi="Arial" w:cs="Arial"/>
          <w:sz w:val="20"/>
          <w:szCs w:val="20"/>
        </w:rPr>
        <w:t>.</w:t>
      </w:r>
    </w:p>
    <w:p w14:paraId="58E54F60" w14:textId="77777777" w:rsidR="00F72416" w:rsidRPr="00F72416" w:rsidRDefault="00F72416" w:rsidP="00F72416">
      <w:pPr>
        <w:spacing w:after="0" w:line="240" w:lineRule="auto"/>
        <w:rPr>
          <w:rFonts w:ascii="Arial" w:hAnsi="Arial" w:cs="Arial"/>
          <w:b/>
          <w:bCs/>
          <w:sz w:val="20"/>
          <w:szCs w:val="20"/>
        </w:rPr>
      </w:pPr>
    </w:p>
    <w:p w14:paraId="53D80E6B" w14:textId="4CA1090E" w:rsidR="00752E8C" w:rsidRPr="00F72416" w:rsidRDefault="00752E8C" w:rsidP="00F72416">
      <w:pPr>
        <w:spacing w:after="0" w:line="240" w:lineRule="auto"/>
        <w:rPr>
          <w:rFonts w:ascii="Arial" w:hAnsi="Arial" w:cs="Arial"/>
          <w:sz w:val="20"/>
          <w:szCs w:val="20"/>
        </w:rPr>
      </w:pPr>
      <w:r w:rsidRPr="00F72416">
        <w:rPr>
          <w:rFonts w:ascii="Arial" w:hAnsi="Arial" w:cs="Arial"/>
          <w:b/>
          <w:bCs/>
          <w:sz w:val="20"/>
          <w:szCs w:val="20"/>
        </w:rPr>
        <w:t xml:space="preserve">Keywords: </w:t>
      </w:r>
      <w:r w:rsidRPr="00F72416">
        <w:rPr>
          <w:rFonts w:ascii="Arial" w:hAnsi="Arial" w:cs="Arial"/>
          <w:sz w:val="20"/>
          <w:szCs w:val="20"/>
        </w:rPr>
        <w:t xml:space="preserve">District Meter Area (DMA), </w:t>
      </w:r>
      <w:r w:rsidRPr="00752E8C">
        <w:rPr>
          <w:rFonts w:ascii="Arial" w:hAnsi="Arial" w:cs="Arial"/>
          <w:sz w:val="20"/>
          <w:szCs w:val="20"/>
        </w:rPr>
        <w:t>Non-Revenue Water (NRW)</w:t>
      </w:r>
      <w:r w:rsidRPr="00F72416">
        <w:rPr>
          <w:rFonts w:ascii="Arial" w:hAnsi="Arial" w:cs="Arial"/>
          <w:sz w:val="20"/>
          <w:szCs w:val="20"/>
        </w:rPr>
        <w:t xml:space="preserve">, </w:t>
      </w:r>
      <w:r w:rsidRPr="00752E8C">
        <w:rPr>
          <w:rFonts w:ascii="Arial" w:hAnsi="Arial" w:cs="Arial"/>
          <w:sz w:val="20"/>
          <w:szCs w:val="20"/>
        </w:rPr>
        <w:t>Water Distribution System</w:t>
      </w:r>
      <w:r w:rsidRPr="00F72416">
        <w:rPr>
          <w:rFonts w:ascii="Arial" w:hAnsi="Arial" w:cs="Arial"/>
          <w:sz w:val="20"/>
          <w:szCs w:val="20"/>
        </w:rPr>
        <w:t xml:space="preserve">, </w:t>
      </w:r>
      <w:r w:rsidRPr="00752E8C">
        <w:rPr>
          <w:rFonts w:ascii="Arial" w:hAnsi="Arial" w:cs="Arial"/>
          <w:sz w:val="20"/>
          <w:szCs w:val="20"/>
        </w:rPr>
        <w:t>Urban Water Management</w:t>
      </w:r>
      <w:r w:rsidRPr="00F72416">
        <w:rPr>
          <w:rFonts w:ascii="Arial" w:hAnsi="Arial" w:cs="Arial"/>
          <w:sz w:val="20"/>
          <w:szCs w:val="20"/>
        </w:rPr>
        <w:t xml:space="preserve">, </w:t>
      </w:r>
      <w:r w:rsidRPr="00752E8C">
        <w:rPr>
          <w:rFonts w:ascii="Arial" w:hAnsi="Arial" w:cs="Arial"/>
          <w:sz w:val="20"/>
          <w:szCs w:val="20"/>
        </w:rPr>
        <w:t>Hydraulic Zoning</w:t>
      </w:r>
    </w:p>
    <w:p w14:paraId="0B01E6BD" w14:textId="77777777" w:rsidR="00F72416" w:rsidRPr="00752E8C" w:rsidRDefault="00F72416" w:rsidP="00F72416">
      <w:pPr>
        <w:spacing w:after="0" w:line="240" w:lineRule="auto"/>
        <w:rPr>
          <w:rFonts w:ascii="Arial" w:hAnsi="Arial" w:cs="Arial"/>
          <w:b/>
          <w:bCs/>
          <w:sz w:val="20"/>
          <w:szCs w:val="20"/>
        </w:rPr>
      </w:pPr>
    </w:p>
    <w:p w14:paraId="239F5A27" w14:textId="6FA645D0" w:rsidR="00752E8C" w:rsidRPr="00F72416" w:rsidRDefault="00752E8C"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INTRODUCTION</w:t>
      </w:r>
    </w:p>
    <w:p w14:paraId="2681ED73" w14:textId="77777777" w:rsidR="00F72416" w:rsidRDefault="00F72416" w:rsidP="00F72416">
      <w:pPr>
        <w:spacing w:after="0" w:line="240" w:lineRule="auto"/>
        <w:jc w:val="both"/>
        <w:rPr>
          <w:rFonts w:ascii="Arial" w:hAnsi="Arial" w:cs="Arial"/>
          <w:sz w:val="20"/>
          <w:szCs w:val="20"/>
        </w:rPr>
      </w:pPr>
    </w:p>
    <w:p w14:paraId="60453E55" w14:textId="5AD40669" w:rsidR="002261F7" w:rsidRPr="00F72416" w:rsidRDefault="002261F7" w:rsidP="00F72416">
      <w:pPr>
        <w:spacing w:after="0" w:line="240" w:lineRule="auto"/>
        <w:jc w:val="both"/>
        <w:rPr>
          <w:rFonts w:ascii="Arial" w:hAnsi="Arial" w:cs="Arial"/>
          <w:sz w:val="20"/>
          <w:szCs w:val="20"/>
          <w:lang w:eastAsia="ja-JP"/>
        </w:rPr>
      </w:pPr>
      <w:r w:rsidRPr="00F72416">
        <w:rPr>
          <w:rFonts w:ascii="Arial" w:hAnsi="Arial" w:cs="Arial"/>
          <w:sz w:val="20"/>
          <w:szCs w:val="20"/>
        </w:rPr>
        <w:t>Urban water utilities in developing nations frequently face systemic inefficiencies, with non-revenue water (NRW) representing one of the most critical operational and financial burdens. NRW includes physical losses from leaks, commercial losses due to theft or meter inaccuracies, and unbilled authorized consumption, collectively amounting to over 32 billion m³ annually worldwide. In Southeast Asia, average NRW rates consistently surpass 30%, undermining financial sustainability and jeopardizing equitable water access, particularly in semi-urban and peri-urban settlements (</w:t>
      </w:r>
      <w:r w:rsidR="007F404A">
        <w:rPr>
          <w:rFonts w:ascii="Arial" w:hAnsi="Arial" w:cs="Arial" w:hint="eastAsia"/>
          <w:sz w:val="20"/>
          <w:szCs w:val="20"/>
          <w:lang w:eastAsia="ja-JP"/>
        </w:rPr>
        <w:t xml:space="preserve">Dos Santos, 2017; </w:t>
      </w:r>
      <w:proofErr w:type="spellStart"/>
      <w:r w:rsidR="007F404A" w:rsidRPr="007F404A">
        <w:rPr>
          <w:rFonts w:ascii="Arial" w:hAnsi="Arial" w:cs="Arial"/>
          <w:sz w:val="20"/>
          <w:szCs w:val="20"/>
        </w:rPr>
        <w:t>Grönwall</w:t>
      </w:r>
      <w:proofErr w:type="spellEnd"/>
      <w:r w:rsidR="007F404A" w:rsidRPr="007F404A">
        <w:rPr>
          <w:rFonts w:ascii="Arial" w:hAnsi="Arial" w:cs="Arial"/>
          <w:sz w:val="20"/>
          <w:szCs w:val="20"/>
        </w:rPr>
        <w:t>, J</w:t>
      </w:r>
      <w:r w:rsidR="007F404A" w:rsidRPr="007F404A">
        <w:rPr>
          <w:rFonts w:ascii="Arial" w:hAnsi="Arial" w:cs="Arial" w:hint="eastAsia"/>
          <w:sz w:val="20"/>
          <w:szCs w:val="20"/>
          <w:lang w:eastAsia="ja-JP"/>
        </w:rPr>
        <w:t xml:space="preserve"> 2020</w:t>
      </w:r>
      <w:r w:rsidR="007F404A">
        <w:rPr>
          <w:rFonts w:ascii="Arial" w:hAnsi="Arial" w:cs="Arial" w:hint="eastAsia"/>
          <w:lang w:eastAsia="ja-JP"/>
        </w:rPr>
        <w:t>)</w:t>
      </w:r>
    </w:p>
    <w:p w14:paraId="376FB89F" w14:textId="77777777" w:rsidR="00F72416" w:rsidRDefault="00F72416" w:rsidP="00F72416">
      <w:pPr>
        <w:spacing w:after="0" w:line="240" w:lineRule="auto"/>
        <w:jc w:val="both"/>
        <w:rPr>
          <w:rFonts w:ascii="Arial" w:hAnsi="Arial" w:cs="Arial"/>
          <w:sz w:val="20"/>
          <w:szCs w:val="20"/>
        </w:rPr>
      </w:pPr>
    </w:p>
    <w:p w14:paraId="5B752CAD" w14:textId="539D16D8"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 xml:space="preserve">In Indonesia, the issue is pronounced. Perusahaan Daerah Air </w:t>
      </w:r>
      <w:proofErr w:type="spellStart"/>
      <w:r w:rsidRPr="002261F7">
        <w:rPr>
          <w:rFonts w:ascii="Arial" w:hAnsi="Arial" w:cs="Arial"/>
          <w:sz w:val="20"/>
          <w:szCs w:val="20"/>
        </w:rPr>
        <w:t>Minum</w:t>
      </w:r>
      <w:proofErr w:type="spellEnd"/>
      <w:r w:rsidRPr="002261F7">
        <w:rPr>
          <w:rFonts w:ascii="Arial" w:hAnsi="Arial" w:cs="Arial"/>
          <w:sz w:val="20"/>
          <w:szCs w:val="20"/>
        </w:rPr>
        <w:t xml:space="preserve"> (PDAM) often report NRW values above the 20% national threshold, with some regions such as Balikpapan experiencing extreme losses up to 59%. Contributing factors include aging infrastructure, poor zoning, and fragmented governance mechanisms. Despite notable investments in water infrastructure under national programs like </w:t>
      </w:r>
      <w:proofErr w:type="spellStart"/>
      <w:r w:rsidRPr="002261F7">
        <w:rPr>
          <w:rFonts w:ascii="Arial" w:hAnsi="Arial" w:cs="Arial"/>
          <w:sz w:val="20"/>
          <w:szCs w:val="20"/>
        </w:rPr>
        <w:t>Pamsimas</w:t>
      </w:r>
      <w:proofErr w:type="spellEnd"/>
      <w:r w:rsidRPr="002261F7">
        <w:rPr>
          <w:rFonts w:ascii="Arial" w:hAnsi="Arial" w:cs="Arial"/>
          <w:sz w:val="20"/>
          <w:szCs w:val="20"/>
        </w:rPr>
        <w:t xml:space="preserve"> and SPAM Regional, the decline in NRW has been marginal, highlighting the need for more integrated and data-driven interventions (</w:t>
      </w:r>
      <w:r w:rsidR="007F404A" w:rsidRPr="007F404A">
        <w:rPr>
          <w:rFonts w:ascii="Arial" w:hAnsi="Arial" w:cs="Arial"/>
          <w:sz w:val="20"/>
          <w:szCs w:val="20"/>
        </w:rPr>
        <w:t>de Sousa,</w:t>
      </w:r>
      <w:r w:rsidR="007F404A">
        <w:rPr>
          <w:rFonts w:ascii="Arial" w:hAnsi="Arial" w:cs="Arial" w:hint="eastAsia"/>
          <w:sz w:val="20"/>
          <w:szCs w:val="20"/>
          <w:lang w:eastAsia="ja-JP"/>
        </w:rPr>
        <w:t xml:space="preserve"> 2025; </w:t>
      </w:r>
      <w:proofErr w:type="spellStart"/>
      <w:r w:rsidR="00C41385" w:rsidRPr="00C41385">
        <w:rPr>
          <w:rFonts w:ascii="Arial" w:hAnsi="Arial" w:cs="Arial"/>
          <w:sz w:val="20"/>
          <w:szCs w:val="20"/>
        </w:rPr>
        <w:t>Mwitirehe</w:t>
      </w:r>
      <w:proofErr w:type="spellEnd"/>
      <w:r w:rsidR="00C41385" w:rsidRPr="00C41385">
        <w:rPr>
          <w:rFonts w:ascii="Arial" w:hAnsi="Arial" w:cs="Arial"/>
          <w:sz w:val="20"/>
          <w:szCs w:val="20"/>
        </w:rPr>
        <w:t>, J</w:t>
      </w:r>
      <w:r w:rsidR="00C41385">
        <w:rPr>
          <w:rFonts w:ascii="Arial" w:hAnsi="Arial" w:cs="Arial" w:hint="eastAsia"/>
          <w:sz w:val="20"/>
          <w:szCs w:val="20"/>
          <w:lang w:eastAsia="ja-JP"/>
        </w:rPr>
        <w:t xml:space="preserve"> 2024</w:t>
      </w:r>
      <w:r w:rsidRPr="002261F7">
        <w:rPr>
          <w:rFonts w:ascii="Arial" w:hAnsi="Arial" w:cs="Arial"/>
          <w:sz w:val="20"/>
          <w:szCs w:val="20"/>
        </w:rPr>
        <w:t>).</w:t>
      </w:r>
    </w:p>
    <w:p w14:paraId="2F27DF7C" w14:textId="77777777" w:rsidR="00F72416" w:rsidRDefault="00F72416" w:rsidP="00F72416">
      <w:pPr>
        <w:spacing w:after="0" w:line="240" w:lineRule="auto"/>
        <w:jc w:val="both"/>
        <w:rPr>
          <w:rFonts w:ascii="Arial" w:hAnsi="Arial" w:cs="Arial"/>
          <w:sz w:val="20"/>
          <w:szCs w:val="20"/>
        </w:rPr>
      </w:pPr>
    </w:p>
    <w:p w14:paraId="393FD4F8" w14:textId="1DCC1C6A"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A promising operational model for addressing NRW is the implementation of District Meter Areas (DMAs). A DMA partitions the distribution network into hydraulically discrete zones, enabling real-time inflow-outflow monitoring, targeted pressure regulation, and faster leak localization. International case studies show DMA adoption can cut water losses by up to 40% within 5 years when supported by smart metering and GIS analytics</w:t>
      </w:r>
      <w:r w:rsidR="00C41385">
        <w:rPr>
          <w:rFonts w:ascii="Arial" w:hAnsi="Arial" w:cs="Arial" w:hint="eastAsia"/>
          <w:sz w:val="20"/>
          <w:szCs w:val="20"/>
          <w:lang w:eastAsia="ja-JP"/>
        </w:rPr>
        <w:t>,</w:t>
      </w:r>
      <w:r w:rsidRPr="002261F7">
        <w:rPr>
          <w:rFonts w:ascii="Arial" w:hAnsi="Arial" w:cs="Arial"/>
          <w:sz w:val="20"/>
          <w:szCs w:val="20"/>
        </w:rPr>
        <w:t xml:space="preserve"> In South Korea, pressure optimization via DMA zoning reduced network stress and increased consumer satisfaction while improving overall resilience (</w:t>
      </w:r>
      <w:r w:rsidR="00C41385">
        <w:rPr>
          <w:rFonts w:ascii="Arial" w:hAnsi="Arial" w:cs="Arial" w:hint="eastAsia"/>
          <w:sz w:val="20"/>
          <w:szCs w:val="20"/>
          <w:lang w:eastAsia="ja-JP"/>
        </w:rPr>
        <w:t>Kwon, 2025;</w:t>
      </w:r>
      <w:r w:rsidR="003C5744" w:rsidRPr="003C5744">
        <w:t xml:space="preserve"> </w:t>
      </w:r>
      <w:r w:rsidR="003C5744" w:rsidRPr="003C5744">
        <w:rPr>
          <w:rFonts w:ascii="Arial" w:hAnsi="Arial" w:cs="Arial"/>
          <w:sz w:val="20"/>
          <w:szCs w:val="20"/>
          <w:lang w:eastAsia="ja-JP"/>
        </w:rPr>
        <w:t>Mala-</w:t>
      </w:r>
      <w:proofErr w:type="spellStart"/>
      <w:r w:rsidR="003C5744" w:rsidRPr="003C5744">
        <w:rPr>
          <w:rFonts w:ascii="Arial" w:hAnsi="Arial" w:cs="Arial"/>
          <w:sz w:val="20"/>
          <w:szCs w:val="20"/>
          <w:lang w:eastAsia="ja-JP"/>
        </w:rPr>
        <w:t>Jetmarova</w:t>
      </w:r>
      <w:proofErr w:type="spellEnd"/>
      <w:r w:rsidR="003C5744">
        <w:rPr>
          <w:rFonts w:ascii="Arial" w:hAnsi="Arial" w:cs="Arial" w:hint="eastAsia"/>
          <w:sz w:val="20"/>
          <w:szCs w:val="20"/>
          <w:lang w:eastAsia="ja-JP"/>
        </w:rPr>
        <w:t xml:space="preserve"> 2018</w:t>
      </w:r>
      <w:r w:rsidRPr="002261F7">
        <w:rPr>
          <w:rFonts w:ascii="Arial" w:hAnsi="Arial" w:cs="Arial"/>
          <w:sz w:val="20"/>
          <w:szCs w:val="20"/>
        </w:rPr>
        <w:t>).</w:t>
      </w:r>
    </w:p>
    <w:p w14:paraId="767D2788" w14:textId="77777777" w:rsidR="00F72416" w:rsidRDefault="00F72416" w:rsidP="00F72416">
      <w:pPr>
        <w:spacing w:after="0" w:line="240" w:lineRule="auto"/>
        <w:jc w:val="both"/>
        <w:rPr>
          <w:rFonts w:ascii="Arial" w:hAnsi="Arial" w:cs="Arial"/>
          <w:sz w:val="20"/>
          <w:szCs w:val="20"/>
        </w:rPr>
      </w:pPr>
    </w:p>
    <w:p w14:paraId="60DA0C0D" w14:textId="1D1D9B71"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In the Indonesian context, GIS-based zoning approaches have demonstrated improved planning outcomes, especially when integrated into RPJMD and RISPAM frameworks at the local level. However, implementation has often been limited to larger urban utilities with advanced digital infrastructure, leaving small- to medium-sized towns underrepresented in the literature and lacking operational models suitable for their scale and capacity (</w:t>
      </w:r>
      <w:r w:rsidR="003C5744" w:rsidRPr="003C5744">
        <w:rPr>
          <w:rFonts w:ascii="Arial" w:hAnsi="Arial" w:cs="Arial"/>
          <w:sz w:val="20"/>
          <w:szCs w:val="20"/>
        </w:rPr>
        <w:t>Anschütz,</w:t>
      </w:r>
      <w:r w:rsidR="003C5744">
        <w:rPr>
          <w:rFonts w:ascii="Arial" w:hAnsi="Arial" w:cs="Arial" w:hint="eastAsia"/>
          <w:sz w:val="20"/>
          <w:szCs w:val="20"/>
          <w:lang w:eastAsia="ja-JP"/>
        </w:rPr>
        <w:t xml:space="preserve"> 2024</w:t>
      </w:r>
      <w:r w:rsidRPr="002261F7">
        <w:rPr>
          <w:rFonts w:ascii="Arial" w:hAnsi="Arial" w:cs="Arial"/>
          <w:sz w:val="20"/>
          <w:szCs w:val="20"/>
        </w:rPr>
        <w:t>).</w:t>
      </w:r>
    </w:p>
    <w:p w14:paraId="6FA82636" w14:textId="77777777" w:rsidR="00F72416" w:rsidRDefault="00F72416" w:rsidP="00F72416">
      <w:pPr>
        <w:spacing w:after="0" w:line="240" w:lineRule="auto"/>
        <w:jc w:val="both"/>
        <w:rPr>
          <w:rFonts w:ascii="Arial" w:hAnsi="Arial" w:cs="Arial"/>
          <w:sz w:val="20"/>
          <w:szCs w:val="20"/>
        </w:rPr>
      </w:pPr>
    </w:p>
    <w:p w14:paraId="280D4663" w14:textId="6FF85822"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 xml:space="preserve">The town of </w:t>
      </w:r>
      <w:proofErr w:type="spellStart"/>
      <w:r w:rsidRPr="002261F7">
        <w:rPr>
          <w:rFonts w:ascii="Arial" w:hAnsi="Arial" w:cs="Arial"/>
          <w:sz w:val="20"/>
          <w:szCs w:val="20"/>
        </w:rPr>
        <w:t>Doloksanggul</w:t>
      </w:r>
      <w:proofErr w:type="spellEnd"/>
      <w:r w:rsidRPr="002261F7">
        <w:rPr>
          <w:rFonts w:ascii="Arial" w:hAnsi="Arial" w:cs="Arial"/>
          <w:sz w:val="20"/>
          <w:szCs w:val="20"/>
        </w:rPr>
        <w:t xml:space="preserve">, located in North Sumatra, exemplifies these challenges. Despite having SPAM infrastructure capable of producing 1.2 million m³ per year, piped water coverage remains at 29.28%, with residents heavily reliant on unregulated groundwater extraction. Estimated annual losses </w:t>
      </w:r>
      <w:r w:rsidRPr="002261F7">
        <w:rPr>
          <w:rFonts w:ascii="Arial" w:hAnsi="Arial" w:cs="Arial"/>
          <w:sz w:val="20"/>
          <w:szCs w:val="20"/>
        </w:rPr>
        <w:lastRenderedPageBreak/>
        <w:t>exceed 494,000 m³, despite idle capacity in multiple SPAM systems. This inefficiency signals an urgent need for network optimization rather than expansion</w:t>
      </w:r>
      <w:r w:rsidR="003C5744">
        <w:rPr>
          <w:rFonts w:ascii="Arial" w:hAnsi="Arial" w:cs="Arial" w:hint="eastAsia"/>
          <w:sz w:val="20"/>
          <w:szCs w:val="20"/>
          <w:lang w:eastAsia="ja-JP"/>
        </w:rPr>
        <w:t xml:space="preserve"> (</w:t>
      </w:r>
      <w:proofErr w:type="spellStart"/>
      <w:r w:rsidR="003C5744" w:rsidRPr="003C5744">
        <w:rPr>
          <w:rFonts w:ascii="Arial" w:hAnsi="Arial" w:cs="Arial"/>
          <w:sz w:val="20"/>
          <w:szCs w:val="20"/>
          <w:lang w:eastAsia="ja-JP"/>
        </w:rPr>
        <w:t>Alkalsh</w:t>
      </w:r>
      <w:proofErr w:type="spellEnd"/>
      <w:r w:rsidR="003C5744">
        <w:rPr>
          <w:rFonts w:ascii="Arial" w:hAnsi="Arial" w:cs="Arial" w:hint="eastAsia"/>
          <w:sz w:val="20"/>
          <w:szCs w:val="20"/>
          <w:lang w:eastAsia="ja-JP"/>
        </w:rPr>
        <w:t xml:space="preserve">, 2024; </w:t>
      </w:r>
      <w:proofErr w:type="spellStart"/>
      <w:r w:rsidR="003C5744" w:rsidRPr="003C5744">
        <w:rPr>
          <w:rFonts w:ascii="Arial" w:hAnsi="Arial" w:cs="Arial"/>
          <w:sz w:val="20"/>
          <w:szCs w:val="20"/>
          <w:lang w:eastAsia="ja-JP"/>
        </w:rPr>
        <w:t>Gunarathna</w:t>
      </w:r>
      <w:proofErr w:type="spellEnd"/>
      <w:r w:rsidR="003C5744">
        <w:rPr>
          <w:rFonts w:ascii="Arial" w:hAnsi="Arial" w:cs="Arial" w:hint="eastAsia"/>
          <w:sz w:val="20"/>
          <w:szCs w:val="20"/>
          <w:lang w:eastAsia="ja-JP"/>
        </w:rPr>
        <w:t xml:space="preserve"> </w:t>
      </w:r>
      <w:r w:rsidR="003C5744" w:rsidRPr="003C5744">
        <w:rPr>
          <w:rFonts w:ascii="Arial" w:hAnsi="Arial" w:cs="Arial"/>
          <w:sz w:val="20"/>
          <w:szCs w:val="20"/>
          <w:lang w:eastAsia="ja-JP"/>
        </w:rPr>
        <w:t>U</w:t>
      </w:r>
      <w:r w:rsidR="003C5744">
        <w:rPr>
          <w:rFonts w:ascii="Arial" w:hAnsi="Arial" w:cs="Arial" w:hint="eastAsia"/>
          <w:sz w:val="20"/>
          <w:szCs w:val="20"/>
          <w:lang w:eastAsia="ja-JP"/>
        </w:rPr>
        <w:t xml:space="preserve"> et al, 2023)</w:t>
      </w:r>
      <w:r w:rsidRPr="002261F7">
        <w:rPr>
          <w:rFonts w:ascii="Arial" w:hAnsi="Arial" w:cs="Arial"/>
          <w:sz w:val="20"/>
          <w:szCs w:val="20"/>
        </w:rPr>
        <w:t>.</w:t>
      </w:r>
    </w:p>
    <w:p w14:paraId="3BF49F61" w14:textId="77777777" w:rsidR="00F72416" w:rsidRDefault="00F72416" w:rsidP="00F72416">
      <w:pPr>
        <w:spacing w:after="0" w:line="240" w:lineRule="auto"/>
        <w:jc w:val="both"/>
        <w:rPr>
          <w:rFonts w:ascii="Arial" w:hAnsi="Arial" w:cs="Arial"/>
          <w:sz w:val="20"/>
          <w:szCs w:val="20"/>
        </w:rPr>
      </w:pPr>
    </w:p>
    <w:p w14:paraId="2051FA84" w14:textId="2C9A1140"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To address this, the study proposes a phased DMA zoning strategy informed by spatial analytics, service connection distribution, and hydraulic gradients. Using Nearest Neighbor Analysis and Standard Deviational Ellipse, the research identifies priority areas for DMA rollout based on SR clustering and topographic suitability. The methodology integrates spatial planning with hydraulic principles to achieve zone stability and pressure uniformity (</w:t>
      </w:r>
      <w:r w:rsidR="00EE650E">
        <w:rPr>
          <w:rFonts w:ascii="Arial" w:hAnsi="Arial" w:cs="Arial" w:hint="eastAsia"/>
          <w:sz w:val="20"/>
          <w:szCs w:val="20"/>
          <w:lang w:eastAsia="ja-JP"/>
        </w:rPr>
        <w:t xml:space="preserve">Bouma G, 2014; </w:t>
      </w:r>
      <w:proofErr w:type="spellStart"/>
      <w:r w:rsidR="00EE650E" w:rsidRPr="00EE650E">
        <w:rPr>
          <w:rFonts w:ascii="Arial" w:hAnsi="Arial" w:cs="Arial"/>
          <w:sz w:val="20"/>
          <w:szCs w:val="20"/>
          <w:lang w:eastAsia="ja-JP"/>
        </w:rPr>
        <w:t>Cortinovis</w:t>
      </w:r>
      <w:proofErr w:type="spellEnd"/>
      <w:r w:rsidR="00EE650E">
        <w:rPr>
          <w:rFonts w:ascii="Arial" w:hAnsi="Arial" w:cs="Arial" w:hint="eastAsia"/>
          <w:sz w:val="20"/>
          <w:szCs w:val="20"/>
          <w:lang w:eastAsia="ja-JP"/>
        </w:rPr>
        <w:t>, 2020</w:t>
      </w:r>
      <w:r w:rsidRPr="002261F7">
        <w:rPr>
          <w:rFonts w:ascii="Arial" w:hAnsi="Arial" w:cs="Arial"/>
          <w:sz w:val="20"/>
          <w:szCs w:val="20"/>
        </w:rPr>
        <w:t>).</w:t>
      </w:r>
    </w:p>
    <w:p w14:paraId="519045CA" w14:textId="77777777" w:rsidR="00F72416" w:rsidRDefault="00F72416" w:rsidP="00F72416">
      <w:pPr>
        <w:spacing w:after="0" w:line="240" w:lineRule="auto"/>
        <w:jc w:val="both"/>
        <w:rPr>
          <w:rFonts w:ascii="Arial" w:hAnsi="Arial" w:cs="Arial"/>
          <w:sz w:val="20"/>
          <w:szCs w:val="20"/>
        </w:rPr>
      </w:pPr>
    </w:p>
    <w:p w14:paraId="3574371D" w14:textId="5A0C5C75"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 xml:space="preserve">Moreover, the study emphasizes institutional integration. Without cross-sectoral coordination between UPT SPAM, </w:t>
      </w:r>
      <w:proofErr w:type="spellStart"/>
      <w:r w:rsidRPr="002261F7">
        <w:rPr>
          <w:rFonts w:ascii="Arial" w:hAnsi="Arial" w:cs="Arial"/>
          <w:sz w:val="20"/>
          <w:szCs w:val="20"/>
        </w:rPr>
        <w:t>Bappeda</w:t>
      </w:r>
      <w:proofErr w:type="spellEnd"/>
      <w:r w:rsidRPr="002261F7">
        <w:rPr>
          <w:rFonts w:ascii="Arial" w:hAnsi="Arial" w:cs="Arial"/>
          <w:sz w:val="20"/>
          <w:szCs w:val="20"/>
        </w:rPr>
        <w:t xml:space="preserve">, </w:t>
      </w:r>
      <w:proofErr w:type="spellStart"/>
      <w:r w:rsidRPr="002261F7">
        <w:rPr>
          <w:rFonts w:ascii="Arial" w:hAnsi="Arial" w:cs="Arial"/>
          <w:sz w:val="20"/>
          <w:szCs w:val="20"/>
        </w:rPr>
        <w:t>Dinas</w:t>
      </w:r>
      <w:proofErr w:type="spellEnd"/>
      <w:r w:rsidRPr="002261F7">
        <w:rPr>
          <w:rFonts w:ascii="Arial" w:hAnsi="Arial" w:cs="Arial"/>
          <w:sz w:val="20"/>
          <w:szCs w:val="20"/>
        </w:rPr>
        <w:t xml:space="preserve"> PU, and community-based systems, DMA implementation will struggle to achieve long-term impact. Embedding DMA strategies into existing regional planning instruments ensures alignment with urban growth and climate resilience.</w:t>
      </w:r>
      <w:r w:rsidR="00C41385">
        <w:rPr>
          <w:rFonts w:ascii="Arial" w:hAnsi="Arial" w:cs="Arial" w:hint="eastAsia"/>
          <w:sz w:val="20"/>
          <w:szCs w:val="20"/>
          <w:lang w:eastAsia="ja-JP"/>
        </w:rPr>
        <w:t xml:space="preserve"> </w:t>
      </w:r>
      <w:r w:rsidRPr="002261F7">
        <w:rPr>
          <w:rFonts w:ascii="Arial" w:hAnsi="Arial" w:cs="Arial"/>
          <w:sz w:val="20"/>
          <w:szCs w:val="20"/>
        </w:rPr>
        <w:t>Unlike many DMA studies focused exclusively on modeling, this research incorporates policy alignment, institutional readiness, and local behavioral dimensions. The inclusion of socio-technical components addresses both supply-side efficiency and demand-side equity, providing a holistic model for replication across similar towns in Indonesia and Southeast Asia (</w:t>
      </w:r>
      <w:r w:rsidR="00EE650E">
        <w:rPr>
          <w:rFonts w:ascii="Arial" w:hAnsi="Arial" w:cs="Arial" w:hint="eastAsia"/>
          <w:sz w:val="20"/>
          <w:szCs w:val="20"/>
          <w:lang w:eastAsia="ja-JP"/>
        </w:rPr>
        <w:t>JETP, 2023</w:t>
      </w:r>
      <w:r w:rsidRPr="002261F7">
        <w:rPr>
          <w:rFonts w:ascii="Arial" w:hAnsi="Arial" w:cs="Arial"/>
          <w:sz w:val="20"/>
          <w:szCs w:val="20"/>
        </w:rPr>
        <w:t>).</w:t>
      </w:r>
    </w:p>
    <w:p w14:paraId="6C7BFF3E" w14:textId="77777777" w:rsidR="00F72416" w:rsidRDefault="00F72416" w:rsidP="00F72416">
      <w:pPr>
        <w:spacing w:after="0" w:line="240" w:lineRule="auto"/>
        <w:jc w:val="both"/>
        <w:rPr>
          <w:rFonts w:ascii="Arial" w:hAnsi="Arial" w:cs="Arial"/>
          <w:sz w:val="20"/>
          <w:szCs w:val="20"/>
        </w:rPr>
      </w:pPr>
    </w:p>
    <w:p w14:paraId="4C304715" w14:textId="77777777" w:rsidR="002261F7" w:rsidRPr="002261F7" w:rsidRDefault="002261F7" w:rsidP="00F72416">
      <w:pPr>
        <w:spacing w:after="0" w:line="240" w:lineRule="auto"/>
        <w:jc w:val="both"/>
        <w:rPr>
          <w:rFonts w:ascii="Arial" w:hAnsi="Arial" w:cs="Arial"/>
          <w:sz w:val="20"/>
          <w:szCs w:val="20"/>
        </w:rPr>
      </w:pPr>
      <w:r w:rsidRPr="002261F7">
        <w:rPr>
          <w:rFonts w:ascii="Arial" w:hAnsi="Arial" w:cs="Arial"/>
          <w:sz w:val="20"/>
          <w:szCs w:val="20"/>
        </w:rPr>
        <w:t xml:space="preserve">Accordingly, this research aims to assess the feasibility and impact of DMA implementation in </w:t>
      </w:r>
      <w:proofErr w:type="spellStart"/>
      <w:r w:rsidRPr="002261F7">
        <w:rPr>
          <w:rFonts w:ascii="Arial" w:hAnsi="Arial" w:cs="Arial"/>
          <w:sz w:val="20"/>
          <w:szCs w:val="20"/>
        </w:rPr>
        <w:t>Doloksanggul</w:t>
      </w:r>
      <w:proofErr w:type="spellEnd"/>
      <w:r w:rsidRPr="002261F7">
        <w:rPr>
          <w:rFonts w:ascii="Arial" w:hAnsi="Arial" w:cs="Arial"/>
          <w:sz w:val="20"/>
          <w:szCs w:val="20"/>
        </w:rPr>
        <w:t>, focusing on both operational efficiency and equitable service expansion. The study addresses three key questions:</w:t>
      </w:r>
    </w:p>
    <w:p w14:paraId="7323BBC7" w14:textId="77777777" w:rsidR="002261F7" w:rsidRPr="002261F7" w:rsidRDefault="002261F7" w:rsidP="00C41385">
      <w:pPr>
        <w:numPr>
          <w:ilvl w:val="0"/>
          <w:numId w:val="24"/>
        </w:numPr>
        <w:tabs>
          <w:tab w:val="clear" w:pos="720"/>
        </w:tabs>
        <w:spacing w:after="0" w:line="240" w:lineRule="auto"/>
        <w:ind w:left="426" w:hanging="426"/>
        <w:jc w:val="both"/>
        <w:rPr>
          <w:rFonts w:ascii="Arial" w:hAnsi="Arial" w:cs="Arial"/>
          <w:sz w:val="20"/>
          <w:szCs w:val="20"/>
        </w:rPr>
      </w:pPr>
      <w:r w:rsidRPr="002261F7">
        <w:rPr>
          <w:rFonts w:ascii="Arial" w:hAnsi="Arial" w:cs="Arial"/>
          <w:sz w:val="20"/>
          <w:szCs w:val="20"/>
        </w:rPr>
        <w:t xml:space="preserve">What are the current patterns of water loss and distribution inefficiency in </w:t>
      </w:r>
      <w:proofErr w:type="spellStart"/>
      <w:r w:rsidRPr="002261F7">
        <w:rPr>
          <w:rFonts w:ascii="Arial" w:hAnsi="Arial" w:cs="Arial"/>
          <w:sz w:val="20"/>
          <w:szCs w:val="20"/>
        </w:rPr>
        <w:t>Doloksanggul</w:t>
      </w:r>
      <w:proofErr w:type="spellEnd"/>
      <w:r w:rsidRPr="002261F7">
        <w:rPr>
          <w:rFonts w:ascii="Arial" w:hAnsi="Arial" w:cs="Arial"/>
          <w:sz w:val="20"/>
          <w:szCs w:val="20"/>
        </w:rPr>
        <w:t>?</w:t>
      </w:r>
    </w:p>
    <w:p w14:paraId="3CE7C89D" w14:textId="77777777" w:rsidR="002261F7" w:rsidRPr="002261F7" w:rsidRDefault="002261F7" w:rsidP="00C41385">
      <w:pPr>
        <w:numPr>
          <w:ilvl w:val="0"/>
          <w:numId w:val="24"/>
        </w:numPr>
        <w:tabs>
          <w:tab w:val="clear" w:pos="720"/>
        </w:tabs>
        <w:spacing w:after="0" w:line="240" w:lineRule="auto"/>
        <w:ind w:left="426" w:hanging="426"/>
        <w:jc w:val="both"/>
        <w:rPr>
          <w:rFonts w:ascii="Arial" w:hAnsi="Arial" w:cs="Arial"/>
          <w:sz w:val="20"/>
          <w:szCs w:val="20"/>
        </w:rPr>
      </w:pPr>
      <w:r w:rsidRPr="002261F7">
        <w:rPr>
          <w:rFonts w:ascii="Arial" w:hAnsi="Arial" w:cs="Arial"/>
          <w:sz w:val="20"/>
          <w:szCs w:val="20"/>
        </w:rPr>
        <w:t>How can DMA zoning be spatially and hydraulically optimized to reduce non-revenue water?</w:t>
      </w:r>
    </w:p>
    <w:p w14:paraId="23080AAD" w14:textId="77777777" w:rsidR="002261F7" w:rsidRDefault="002261F7" w:rsidP="00C41385">
      <w:pPr>
        <w:numPr>
          <w:ilvl w:val="0"/>
          <w:numId w:val="24"/>
        </w:numPr>
        <w:tabs>
          <w:tab w:val="clear" w:pos="720"/>
        </w:tabs>
        <w:spacing w:after="0" w:line="240" w:lineRule="auto"/>
        <w:ind w:left="426" w:hanging="426"/>
        <w:jc w:val="both"/>
        <w:rPr>
          <w:rFonts w:ascii="Arial" w:hAnsi="Arial" w:cs="Arial"/>
          <w:sz w:val="20"/>
          <w:szCs w:val="20"/>
        </w:rPr>
      </w:pPr>
      <w:r w:rsidRPr="002261F7">
        <w:rPr>
          <w:rFonts w:ascii="Arial" w:hAnsi="Arial" w:cs="Arial"/>
          <w:sz w:val="20"/>
          <w:szCs w:val="20"/>
        </w:rPr>
        <w:t>What are the projected outcomes of phased DMA implementation on system performance and water availability by 2044?</w:t>
      </w:r>
    </w:p>
    <w:p w14:paraId="37F90BA1" w14:textId="77777777" w:rsidR="00F72416" w:rsidRPr="002261F7" w:rsidRDefault="00F72416" w:rsidP="00F72416">
      <w:pPr>
        <w:spacing w:after="0" w:line="240" w:lineRule="auto"/>
        <w:jc w:val="both"/>
        <w:rPr>
          <w:rFonts w:ascii="Arial" w:hAnsi="Arial" w:cs="Arial"/>
          <w:sz w:val="20"/>
          <w:szCs w:val="20"/>
        </w:rPr>
      </w:pPr>
    </w:p>
    <w:p w14:paraId="39A6C13A" w14:textId="57432FC7" w:rsidR="00752E8C" w:rsidRDefault="00730C54"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METHODS</w:t>
      </w:r>
    </w:p>
    <w:p w14:paraId="76D1B767" w14:textId="77777777" w:rsidR="00F72416" w:rsidRPr="00F72416" w:rsidRDefault="00F72416" w:rsidP="00F72416">
      <w:pPr>
        <w:pStyle w:val="ListParagraph"/>
        <w:spacing w:after="0" w:line="240" w:lineRule="auto"/>
        <w:ind w:left="709"/>
        <w:rPr>
          <w:rFonts w:ascii="Arial" w:hAnsi="Arial" w:cs="Arial"/>
          <w:b/>
          <w:bCs/>
          <w:sz w:val="20"/>
          <w:szCs w:val="20"/>
        </w:rPr>
      </w:pPr>
    </w:p>
    <w:p w14:paraId="6F083B6B" w14:textId="5573CD53"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1 Study Area</w:t>
      </w:r>
    </w:p>
    <w:p w14:paraId="5485C9C8" w14:textId="77777777" w:rsidR="00F72416" w:rsidRDefault="00F72416" w:rsidP="00F72416">
      <w:pPr>
        <w:spacing w:after="0" w:line="240" w:lineRule="auto"/>
        <w:jc w:val="both"/>
        <w:rPr>
          <w:rFonts w:ascii="Arial" w:hAnsi="Arial" w:cs="Arial"/>
          <w:sz w:val="20"/>
          <w:szCs w:val="20"/>
        </w:rPr>
      </w:pPr>
    </w:p>
    <w:p w14:paraId="418620A0" w14:textId="189B1BB7" w:rsidR="006A7A2B" w:rsidRPr="00730C54" w:rsidRDefault="00730C54" w:rsidP="009E4C0D">
      <w:pPr>
        <w:spacing w:after="0" w:line="240" w:lineRule="auto"/>
        <w:jc w:val="both"/>
        <w:rPr>
          <w:rFonts w:ascii="Arial" w:hAnsi="Arial" w:cs="Arial"/>
          <w:sz w:val="20"/>
          <w:szCs w:val="20"/>
        </w:rPr>
      </w:pPr>
      <w:r w:rsidRPr="00730C54">
        <w:rPr>
          <w:rFonts w:ascii="Arial" w:hAnsi="Arial" w:cs="Arial"/>
          <w:sz w:val="20"/>
          <w:szCs w:val="20"/>
        </w:rPr>
        <w:t xml:space="preserve">This research was conducted in </w:t>
      </w:r>
      <w:proofErr w:type="spellStart"/>
      <w:r w:rsidRPr="00730C54">
        <w:rPr>
          <w:rFonts w:ascii="Arial" w:hAnsi="Arial" w:cs="Arial"/>
          <w:sz w:val="20"/>
          <w:szCs w:val="20"/>
        </w:rPr>
        <w:t>Kecamatan</w:t>
      </w:r>
      <w:proofErr w:type="spellEnd"/>
      <w:r w:rsidRPr="00730C54">
        <w:rPr>
          <w:rFonts w:ascii="Arial" w:hAnsi="Arial" w:cs="Arial"/>
          <w:sz w:val="20"/>
          <w:szCs w:val="20"/>
        </w:rPr>
        <w:t xml:space="preserve"> </w:t>
      </w:r>
      <w:proofErr w:type="spellStart"/>
      <w:r w:rsidRPr="00730C54">
        <w:rPr>
          <w:rFonts w:ascii="Arial" w:hAnsi="Arial" w:cs="Arial"/>
          <w:sz w:val="20"/>
          <w:szCs w:val="20"/>
        </w:rPr>
        <w:t>Doloksanggul</w:t>
      </w:r>
      <w:proofErr w:type="spellEnd"/>
      <w:r w:rsidRPr="00730C54">
        <w:rPr>
          <w:rFonts w:ascii="Arial" w:hAnsi="Arial" w:cs="Arial"/>
          <w:sz w:val="20"/>
          <w:szCs w:val="20"/>
        </w:rPr>
        <w:t xml:space="preserve">, located in </w:t>
      </w:r>
      <w:proofErr w:type="spellStart"/>
      <w:r w:rsidRPr="00730C54">
        <w:rPr>
          <w:rFonts w:ascii="Arial" w:hAnsi="Arial" w:cs="Arial"/>
          <w:sz w:val="20"/>
          <w:szCs w:val="20"/>
        </w:rPr>
        <w:t>Kabupaten</w:t>
      </w:r>
      <w:proofErr w:type="spellEnd"/>
      <w:r w:rsidRPr="00730C54">
        <w:rPr>
          <w:rFonts w:ascii="Arial" w:hAnsi="Arial" w:cs="Arial"/>
          <w:sz w:val="20"/>
          <w:szCs w:val="20"/>
        </w:rPr>
        <w:t xml:space="preserve"> </w:t>
      </w:r>
      <w:proofErr w:type="spellStart"/>
      <w:r w:rsidRPr="00730C54">
        <w:rPr>
          <w:rFonts w:ascii="Arial" w:hAnsi="Arial" w:cs="Arial"/>
          <w:sz w:val="20"/>
          <w:szCs w:val="20"/>
        </w:rPr>
        <w:t>Humbang</w:t>
      </w:r>
      <w:proofErr w:type="spellEnd"/>
      <w:r w:rsidRPr="00730C54">
        <w:rPr>
          <w:rFonts w:ascii="Arial" w:hAnsi="Arial" w:cs="Arial"/>
          <w:sz w:val="20"/>
          <w:szCs w:val="20"/>
        </w:rPr>
        <w:t xml:space="preserve"> </w:t>
      </w:r>
      <w:proofErr w:type="spellStart"/>
      <w:r w:rsidRPr="00730C54">
        <w:rPr>
          <w:rFonts w:ascii="Arial" w:hAnsi="Arial" w:cs="Arial"/>
          <w:sz w:val="20"/>
          <w:szCs w:val="20"/>
        </w:rPr>
        <w:t>Hasundutan</w:t>
      </w:r>
      <w:proofErr w:type="spellEnd"/>
      <w:r w:rsidRPr="00730C54">
        <w:rPr>
          <w:rFonts w:ascii="Arial" w:hAnsi="Arial" w:cs="Arial"/>
          <w:sz w:val="20"/>
          <w:szCs w:val="20"/>
        </w:rPr>
        <w:t>, North Sumatra, Indonesia. The region consists of 13 administrative villages with a combined service population of approximately 33,874 people as of 2024. The area is characterized by moderate topography and is served by both centralize</w:t>
      </w:r>
      <w:r w:rsidR="009E4C0D">
        <w:rPr>
          <w:rFonts w:ascii="Arial" w:hAnsi="Arial" w:cs="Arial"/>
          <w:sz w:val="20"/>
          <w:szCs w:val="20"/>
        </w:rPr>
        <w:t xml:space="preserve"> </w:t>
      </w:r>
      <w:r w:rsidRPr="00730C54">
        <w:rPr>
          <w:rFonts w:ascii="Arial" w:hAnsi="Arial" w:cs="Arial"/>
          <w:sz w:val="20"/>
          <w:szCs w:val="20"/>
        </w:rPr>
        <w:t>d SPAM systems and decentralized water sources such as borewells. Field data collection and analysis were conducted from September to November 2024.</w:t>
      </w:r>
    </w:p>
    <w:p w14:paraId="6F4F890A" w14:textId="77777777" w:rsidR="00F72416" w:rsidRDefault="00F72416" w:rsidP="00F72416">
      <w:pPr>
        <w:spacing w:after="0" w:line="240" w:lineRule="auto"/>
        <w:rPr>
          <w:rFonts w:ascii="Arial" w:hAnsi="Arial" w:cs="Arial"/>
          <w:b/>
          <w:bCs/>
          <w:sz w:val="20"/>
          <w:szCs w:val="20"/>
        </w:rPr>
      </w:pPr>
    </w:p>
    <w:p w14:paraId="3768E30B" w14:textId="2B9ADE51"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2 Data Collection</w:t>
      </w:r>
    </w:p>
    <w:p w14:paraId="665C2B88" w14:textId="77777777" w:rsidR="00F72416" w:rsidRDefault="00F72416" w:rsidP="00F72416">
      <w:pPr>
        <w:spacing w:after="0" w:line="240" w:lineRule="auto"/>
        <w:rPr>
          <w:rFonts w:ascii="Arial" w:hAnsi="Arial" w:cs="Arial"/>
          <w:sz w:val="20"/>
          <w:szCs w:val="20"/>
        </w:rPr>
      </w:pPr>
    </w:p>
    <w:p w14:paraId="4DDAE633" w14:textId="594926A3"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Primary and secondary data were obtained from multiple sources:</w:t>
      </w:r>
    </w:p>
    <w:p w14:paraId="61BE1E1F"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Technical reports and distribution system layouts from UPT. SPAM and </w:t>
      </w:r>
      <w:proofErr w:type="spellStart"/>
      <w:r w:rsidRPr="00730C54">
        <w:rPr>
          <w:rFonts w:ascii="Arial" w:hAnsi="Arial" w:cs="Arial"/>
          <w:sz w:val="20"/>
          <w:szCs w:val="20"/>
        </w:rPr>
        <w:t>Pamsimas</w:t>
      </w:r>
      <w:proofErr w:type="spellEnd"/>
    </w:p>
    <w:p w14:paraId="5596852B"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Demographic projections from BPS </w:t>
      </w:r>
      <w:proofErr w:type="spellStart"/>
      <w:r w:rsidRPr="00730C54">
        <w:rPr>
          <w:rFonts w:ascii="Arial" w:hAnsi="Arial" w:cs="Arial"/>
          <w:sz w:val="20"/>
          <w:szCs w:val="20"/>
        </w:rPr>
        <w:t>Humbang</w:t>
      </w:r>
      <w:proofErr w:type="spellEnd"/>
      <w:r w:rsidRPr="00730C54">
        <w:rPr>
          <w:rFonts w:ascii="Arial" w:hAnsi="Arial" w:cs="Arial"/>
          <w:sz w:val="20"/>
          <w:szCs w:val="20"/>
        </w:rPr>
        <w:t xml:space="preserve"> </w:t>
      </w:r>
      <w:proofErr w:type="spellStart"/>
      <w:r w:rsidRPr="00730C54">
        <w:rPr>
          <w:rFonts w:ascii="Arial" w:hAnsi="Arial" w:cs="Arial"/>
          <w:sz w:val="20"/>
          <w:szCs w:val="20"/>
        </w:rPr>
        <w:t>Hasundutan</w:t>
      </w:r>
      <w:proofErr w:type="spellEnd"/>
    </w:p>
    <w:p w14:paraId="0A7FB0C5"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Satellite imagery and land use maps (SPOT-6 and Google Earth Pro)</w:t>
      </w:r>
    </w:p>
    <w:p w14:paraId="5FAD297D"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 xml:space="preserve">Water demand coefficients sourced from </w:t>
      </w:r>
      <w:proofErr w:type="spellStart"/>
      <w:r w:rsidRPr="00730C54">
        <w:rPr>
          <w:rFonts w:ascii="Arial" w:hAnsi="Arial" w:cs="Arial"/>
          <w:sz w:val="20"/>
          <w:szCs w:val="20"/>
        </w:rPr>
        <w:t>Permen</w:t>
      </w:r>
      <w:proofErr w:type="spellEnd"/>
      <w:r w:rsidRPr="00730C54">
        <w:rPr>
          <w:rFonts w:ascii="Arial" w:hAnsi="Arial" w:cs="Arial"/>
          <w:sz w:val="20"/>
          <w:szCs w:val="20"/>
        </w:rPr>
        <w:t xml:space="preserve"> PUPR No. 27/2020</w:t>
      </w:r>
    </w:p>
    <w:p w14:paraId="111D9BE5" w14:textId="77777777" w:rsidR="00730C54" w:rsidRPr="00730C54" w:rsidRDefault="00730C54" w:rsidP="00F72416">
      <w:pPr>
        <w:numPr>
          <w:ilvl w:val="0"/>
          <w:numId w:val="2"/>
        </w:numPr>
        <w:spacing w:after="0" w:line="240" w:lineRule="auto"/>
        <w:rPr>
          <w:rFonts w:ascii="Arial" w:hAnsi="Arial" w:cs="Arial"/>
          <w:sz w:val="20"/>
          <w:szCs w:val="20"/>
        </w:rPr>
      </w:pPr>
      <w:r w:rsidRPr="00730C54">
        <w:rPr>
          <w:rFonts w:ascii="Arial" w:hAnsi="Arial" w:cs="Arial"/>
          <w:sz w:val="20"/>
          <w:szCs w:val="20"/>
        </w:rPr>
        <w:t>Groundwater data from the Ministry of Energy and Mineral Resources</w:t>
      </w:r>
    </w:p>
    <w:p w14:paraId="68BC8BAA" w14:textId="77777777" w:rsidR="009E4C0D" w:rsidRDefault="009E4C0D" w:rsidP="00F72416">
      <w:pPr>
        <w:spacing w:after="0" w:line="240" w:lineRule="auto"/>
        <w:rPr>
          <w:rFonts w:ascii="Arial" w:hAnsi="Arial" w:cs="Arial"/>
          <w:sz w:val="20"/>
          <w:szCs w:val="20"/>
        </w:rPr>
      </w:pPr>
    </w:p>
    <w:p w14:paraId="687A8208" w14:textId="1182F9F9" w:rsidR="00730C54" w:rsidRDefault="00730C54" w:rsidP="009E4C0D">
      <w:pPr>
        <w:spacing w:after="0" w:line="240" w:lineRule="auto"/>
        <w:jc w:val="both"/>
        <w:rPr>
          <w:rFonts w:ascii="Arial" w:hAnsi="Arial" w:cs="Arial"/>
          <w:sz w:val="20"/>
          <w:szCs w:val="20"/>
        </w:rPr>
      </w:pPr>
      <w:r w:rsidRPr="00730C54">
        <w:rPr>
          <w:rFonts w:ascii="Arial" w:hAnsi="Arial" w:cs="Arial"/>
          <w:sz w:val="20"/>
          <w:szCs w:val="20"/>
        </w:rPr>
        <w:t xml:space="preserve">On-site surveys were conducted to validate service point locations (SR), elevation profiles, and piping network configurations. A total of 485 SR coordinate points </w:t>
      </w:r>
      <w:proofErr w:type="gramStart"/>
      <w:r w:rsidRPr="00730C54">
        <w:rPr>
          <w:rFonts w:ascii="Arial" w:hAnsi="Arial" w:cs="Arial"/>
          <w:sz w:val="20"/>
          <w:szCs w:val="20"/>
        </w:rPr>
        <w:t>were</w:t>
      </w:r>
      <w:proofErr w:type="gramEnd"/>
      <w:r w:rsidRPr="00730C54">
        <w:rPr>
          <w:rFonts w:ascii="Arial" w:hAnsi="Arial" w:cs="Arial"/>
          <w:sz w:val="20"/>
          <w:szCs w:val="20"/>
        </w:rPr>
        <w:t xml:space="preserve"> mapped using GPS.</w:t>
      </w:r>
    </w:p>
    <w:p w14:paraId="5B1E0F3B" w14:textId="2B3B25B3" w:rsidR="009E4C0D" w:rsidRDefault="009E4C0D">
      <w:pPr>
        <w:rPr>
          <w:rFonts w:ascii="Arial" w:hAnsi="Arial" w:cs="Arial"/>
          <w:sz w:val="20"/>
          <w:szCs w:val="20"/>
        </w:rPr>
      </w:pPr>
      <w:r>
        <w:rPr>
          <w:rFonts w:ascii="Arial" w:hAnsi="Arial" w:cs="Arial"/>
          <w:sz w:val="20"/>
          <w:szCs w:val="20"/>
        </w:rPr>
        <w:br w:type="page"/>
      </w:r>
    </w:p>
    <w:p w14:paraId="172200A6" w14:textId="4F0794D2" w:rsidR="009E4C0D" w:rsidRPr="00730C54" w:rsidRDefault="009E4C0D" w:rsidP="009E4C0D">
      <w:pPr>
        <w:spacing w:after="0" w:line="240" w:lineRule="auto"/>
        <w:jc w:val="center"/>
        <w:rPr>
          <w:rFonts w:ascii="Arial" w:hAnsi="Arial" w:cs="Arial"/>
          <w:sz w:val="20"/>
          <w:szCs w:val="20"/>
        </w:rPr>
      </w:pPr>
      <w:r w:rsidRPr="00F72416">
        <w:rPr>
          <w:rFonts w:ascii="Arial" w:hAnsi="Arial" w:cs="Arial"/>
          <w:b/>
          <w:bCs/>
          <w:sz w:val="20"/>
          <w:szCs w:val="20"/>
        </w:rPr>
        <w:lastRenderedPageBreak/>
        <w:t xml:space="preserve">Figure 1. </w:t>
      </w:r>
      <w:proofErr w:type="spellStart"/>
      <w:r w:rsidRPr="00F72416">
        <w:rPr>
          <w:rFonts w:ascii="Arial" w:hAnsi="Arial" w:cs="Arial"/>
          <w:sz w:val="20"/>
          <w:szCs w:val="20"/>
        </w:rPr>
        <w:t>Kumbang</w:t>
      </w:r>
      <w:proofErr w:type="spellEnd"/>
      <w:r w:rsidRPr="00F72416">
        <w:rPr>
          <w:rFonts w:ascii="Arial" w:hAnsi="Arial" w:cs="Arial"/>
          <w:sz w:val="20"/>
          <w:szCs w:val="20"/>
        </w:rPr>
        <w:t xml:space="preserve"> </w:t>
      </w:r>
      <w:proofErr w:type="spellStart"/>
      <w:r w:rsidRPr="00F72416">
        <w:rPr>
          <w:rFonts w:ascii="Arial" w:hAnsi="Arial" w:cs="Arial"/>
          <w:sz w:val="20"/>
          <w:szCs w:val="20"/>
        </w:rPr>
        <w:t>Hasundutan</w:t>
      </w:r>
      <w:proofErr w:type="spellEnd"/>
      <w:r w:rsidRPr="00F72416">
        <w:rPr>
          <w:rFonts w:ascii="Arial" w:hAnsi="Arial" w:cs="Arial"/>
          <w:sz w:val="20"/>
          <w:szCs w:val="20"/>
        </w:rPr>
        <w:t xml:space="preserve"> Regency Map </w:t>
      </w:r>
    </w:p>
    <w:p w14:paraId="02EBAE34" w14:textId="77777777" w:rsidR="009E4C0D" w:rsidRDefault="009E4C0D" w:rsidP="009E4C0D">
      <w:pPr>
        <w:spacing w:after="0" w:line="240" w:lineRule="auto"/>
        <w:jc w:val="center"/>
        <w:rPr>
          <w:rFonts w:ascii="Arial" w:hAnsi="Arial" w:cs="Arial"/>
          <w:sz w:val="20"/>
          <w:szCs w:val="20"/>
        </w:rPr>
      </w:pPr>
      <w:r w:rsidRPr="00F72416">
        <w:rPr>
          <w:rFonts w:ascii="Arial" w:hAnsi="Arial" w:cs="Arial"/>
          <w:noProof/>
          <w:color w:val="000000" w:themeColor="text1"/>
          <w:sz w:val="20"/>
          <w:szCs w:val="20"/>
          <w:lang w:val="en-GB"/>
        </w:rPr>
        <w:drawing>
          <wp:inline distT="0" distB="0" distL="0" distR="0" wp14:anchorId="1D4FF7CB" wp14:editId="1EAAF6A7">
            <wp:extent cx="4648200" cy="4050326"/>
            <wp:effectExtent l="0" t="0" r="0" b="7620"/>
            <wp:docPr id="17" name="Picture 17" descr="A map of the region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region of the middle eas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8819"/>
                    <a:stretch>
                      <a:fillRect/>
                    </a:stretch>
                  </pic:blipFill>
                  <pic:spPr bwMode="auto">
                    <a:xfrm>
                      <a:off x="0" y="0"/>
                      <a:ext cx="4672810" cy="4071771"/>
                    </a:xfrm>
                    <a:prstGeom prst="rect">
                      <a:avLst/>
                    </a:prstGeom>
                    <a:noFill/>
                    <a:ln>
                      <a:noFill/>
                    </a:ln>
                    <a:extLst>
                      <a:ext uri="{53640926-AAD7-44D8-BBD7-CCE9431645EC}">
                        <a14:shadowObscured xmlns:a14="http://schemas.microsoft.com/office/drawing/2010/main"/>
                      </a:ext>
                    </a:extLst>
                  </pic:spPr>
                </pic:pic>
              </a:graphicData>
            </a:graphic>
          </wp:inline>
        </w:drawing>
      </w:r>
      <w:r w:rsidRPr="009E4C0D">
        <w:rPr>
          <w:rFonts w:ascii="Arial" w:hAnsi="Arial" w:cs="Arial"/>
          <w:sz w:val="20"/>
          <w:szCs w:val="20"/>
        </w:rPr>
        <w:t xml:space="preserve"> </w:t>
      </w:r>
    </w:p>
    <w:p w14:paraId="2446DA2B" w14:textId="51F6C4E0" w:rsidR="009E4C0D" w:rsidRPr="00F72416" w:rsidRDefault="009E4C0D" w:rsidP="009E4C0D">
      <w:pPr>
        <w:spacing w:after="0" w:line="240" w:lineRule="auto"/>
        <w:jc w:val="center"/>
        <w:rPr>
          <w:rFonts w:ascii="Arial" w:hAnsi="Arial" w:cs="Arial"/>
          <w:sz w:val="20"/>
          <w:szCs w:val="20"/>
        </w:rPr>
      </w:pPr>
      <w:r w:rsidRPr="00F72416">
        <w:rPr>
          <w:rFonts w:ascii="Arial" w:hAnsi="Arial" w:cs="Arial"/>
          <w:sz w:val="20"/>
          <w:szCs w:val="20"/>
        </w:rPr>
        <w:t xml:space="preserve">Source: PUTR, </w:t>
      </w:r>
      <w:proofErr w:type="spellStart"/>
      <w:r w:rsidRPr="00F72416">
        <w:rPr>
          <w:rFonts w:ascii="Arial" w:hAnsi="Arial" w:cs="Arial"/>
          <w:sz w:val="20"/>
          <w:szCs w:val="20"/>
        </w:rPr>
        <w:t>Humbang</w:t>
      </w:r>
      <w:proofErr w:type="spellEnd"/>
      <w:r w:rsidRPr="00F72416">
        <w:rPr>
          <w:rFonts w:ascii="Arial" w:hAnsi="Arial" w:cs="Arial"/>
          <w:sz w:val="20"/>
          <w:szCs w:val="20"/>
        </w:rPr>
        <w:t xml:space="preserve"> </w:t>
      </w:r>
      <w:proofErr w:type="spellStart"/>
      <w:r w:rsidRPr="00F72416">
        <w:rPr>
          <w:rFonts w:ascii="Arial" w:hAnsi="Arial" w:cs="Arial"/>
          <w:sz w:val="20"/>
          <w:szCs w:val="20"/>
        </w:rPr>
        <w:t>Hasundutan</w:t>
      </w:r>
      <w:proofErr w:type="spellEnd"/>
      <w:r w:rsidRPr="00F72416">
        <w:rPr>
          <w:rFonts w:ascii="Arial" w:hAnsi="Arial" w:cs="Arial"/>
          <w:sz w:val="20"/>
          <w:szCs w:val="20"/>
        </w:rPr>
        <w:t xml:space="preserve"> 2024</w:t>
      </w:r>
    </w:p>
    <w:p w14:paraId="65A28210" w14:textId="39D9A2F6" w:rsidR="00F72416" w:rsidRDefault="00F72416" w:rsidP="009E4C0D">
      <w:pPr>
        <w:spacing w:after="0" w:line="240" w:lineRule="auto"/>
        <w:jc w:val="center"/>
        <w:rPr>
          <w:rFonts w:ascii="Arial" w:hAnsi="Arial" w:cs="Arial"/>
          <w:b/>
          <w:bCs/>
          <w:sz w:val="20"/>
          <w:szCs w:val="20"/>
        </w:rPr>
      </w:pPr>
    </w:p>
    <w:p w14:paraId="3EDB49E5" w14:textId="78FEE4F5"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3 Estimating Water Demand</w:t>
      </w:r>
    </w:p>
    <w:p w14:paraId="7B3963B2" w14:textId="77777777" w:rsidR="00F72416" w:rsidRDefault="00F72416" w:rsidP="00F72416">
      <w:pPr>
        <w:spacing w:after="0" w:line="240" w:lineRule="auto"/>
        <w:jc w:val="both"/>
        <w:rPr>
          <w:rFonts w:ascii="Arial" w:hAnsi="Arial" w:cs="Arial"/>
          <w:sz w:val="20"/>
          <w:szCs w:val="20"/>
        </w:rPr>
      </w:pPr>
    </w:p>
    <w:p w14:paraId="7DAE99A0" w14:textId="266491C8" w:rsidR="00730C54" w:rsidRPr="00730C54" w:rsidRDefault="00730C54" w:rsidP="00F72416">
      <w:pPr>
        <w:spacing w:after="0" w:line="240" w:lineRule="auto"/>
        <w:jc w:val="both"/>
        <w:rPr>
          <w:rFonts w:ascii="Arial" w:hAnsi="Arial" w:cs="Arial"/>
          <w:sz w:val="20"/>
          <w:szCs w:val="20"/>
        </w:rPr>
      </w:pPr>
      <w:r w:rsidRPr="00730C54">
        <w:rPr>
          <w:rFonts w:ascii="Arial" w:hAnsi="Arial" w:cs="Arial"/>
          <w:sz w:val="20"/>
          <w:szCs w:val="20"/>
        </w:rPr>
        <w:t>Water demand was projected using population growth rates and standard per capita consumption rates for urban, semi-urban, and rural categories. These were calculated for five time points: 2024, 2029, 2034, 2039, and 2044. The base per capita demand used was 120 liters/person/day for urban areas, 90 liters/person/day for semi-urban areas, and 60 liters/person/day for rural areas, following national guidelines.</w:t>
      </w:r>
    </w:p>
    <w:p w14:paraId="53CFF53A" w14:textId="77777777" w:rsidR="00F72416" w:rsidRDefault="00F72416" w:rsidP="00F72416">
      <w:pPr>
        <w:spacing w:after="0" w:line="240" w:lineRule="auto"/>
        <w:rPr>
          <w:rFonts w:ascii="Arial" w:hAnsi="Arial" w:cs="Arial"/>
          <w:sz w:val="20"/>
          <w:szCs w:val="20"/>
        </w:rPr>
      </w:pPr>
    </w:p>
    <w:p w14:paraId="2E487B3F" w14:textId="63B28CC9"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Demand calculations included:</w:t>
      </w:r>
    </w:p>
    <w:p w14:paraId="2DACFDEC" w14:textId="77777777"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 xml:space="preserve">Total water </w:t>
      </w:r>
      <w:proofErr w:type="gramStart"/>
      <w:r w:rsidRPr="00730C54">
        <w:rPr>
          <w:rFonts w:ascii="Arial" w:hAnsi="Arial" w:cs="Arial"/>
          <w:sz w:val="20"/>
          <w:szCs w:val="20"/>
        </w:rPr>
        <w:t>need</w:t>
      </w:r>
      <w:proofErr w:type="gramEnd"/>
      <w:r w:rsidRPr="00730C54">
        <w:rPr>
          <w:rFonts w:ascii="Arial" w:hAnsi="Arial" w:cs="Arial"/>
          <w:sz w:val="20"/>
          <w:szCs w:val="20"/>
        </w:rPr>
        <w:t xml:space="preserve"> per settlement unit</w:t>
      </w:r>
    </w:p>
    <w:p w14:paraId="60961F00" w14:textId="77777777"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Domestic and non-domestic allocations</w:t>
      </w:r>
    </w:p>
    <w:p w14:paraId="22A6F797" w14:textId="7471BAE4" w:rsidR="00730C54" w:rsidRPr="00730C54" w:rsidRDefault="00730C54" w:rsidP="00F72416">
      <w:pPr>
        <w:numPr>
          <w:ilvl w:val="0"/>
          <w:numId w:val="3"/>
        </w:numPr>
        <w:spacing w:after="0" w:line="240" w:lineRule="auto"/>
        <w:rPr>
          <w:rFonts w:ascii="Arial" w:hAnsi="Arial" w:cs="Arial"/>
          <w:sz w:val="20"/>
          <w:szCs w:val="20"/>
        </w:rPr>
      </w:pPr>
      <w:r w:rsidRPr="00730C54">
        <w:rPr>
          <w:rFonts w:ascii="Arial" w:hAnsi="Arial" w:cs="Arial"/>
          <w:sz w:val="20"/>
          <w:szCs w:val="20"/>
        </w:rPr>
        <w:t>Loss adjustment factors using a 32% NRW assumption</w:t>
      </w:r>
    </w:p>
    <w:p w14:paraId="471FCA60" w14:textId="77777777" w:rsidR="00F72416" w:rsidRDefault="00F72416" w:rsidP="00F72416">
      <w:pPr>
        <w:spacing w:after="0" w:line="240" w:lineRule="auto"/>
        <w:rPr>
          <w:rFonts w:ascii="Arial" w:hAnsi="Arial" w:cs="Arial"/>
          <w:b/>
          <w:bCs/>
          <w:sz w:val="20"/>
          <w:szCs w:val="20"/>
        </w:rPr>
      </w:pPr>
    </w:p>
    <w:p w14:paraId="7A752236" w14:textId="6BFF95B9"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4 Spatial and Statistical Analysis</w:t>
      </w:r>
    </w:p>
    <w:p w14:paraId="0493E997" w14:textId="77777777" w:rsidR="00F72416" w:rsidRDefault="00F72416" w:rsidP="00F72416">
      <w:pPr>
        <w:spacing w:after="0" w:line="240" w:lineRule="auto"/>
        <w:rPr>
          <w:rFonts w:ascii="Arial" w:hAnsi="Arial" w:cs="Arial"/>
          <w:sz w:val="20"/>
          <w:szCs w:val="20"/>
        </w:rPr>
      </w:pPr>
    </w:p>
    <w:p w14:paraId="7AAE60F5" w14:textId="29A39B92"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A Geographic Information System (GIS) was employed to analyze spatial patterns of demand and distribution. The following spatial tools were used:</w:t>
      </w:r>
    </w:p>
    <w:p w14:paraId="0ECA9436"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Nearest Neighbor Analysis</w:t>
      </w:r>
      <w:r w:rsidRPr="00730C54">
        <w:rPr>
          <w:rFonts w:ascii="Arial" w:hAnsi="Arial" w:cs="Arial"/>
          <w:sz w:val="20"/>
          <w:szCs w:val="20"/>
        </w:rPr>
        <w:t>: To assess clustering of demand points</w:t>
      </w:r>
    </w:p>
    <w:p w14:paraId="0CA4A32D"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Median Center and Directional Distribution (Standard Deviational Ellipse)</w:t>
      </w:r>
      <w:r w:rsidRPr="00730C54">
        <w:rPr>
          <w:rFonts w:ascii="Arial" w:hAnsi="Arial" w:cs="Arial"/>
          <w:sz w:val="20"/>
          <w:szCs w:val="20"/>
        </w:rPr>
        <w:t>: To determine central tendency and directional bias of demand</w:t>
      </w:r>
    </w:p>
    <w:p w14:paraId="2314BABC"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Thiessen Polygon Method</w:t>
      </w:r>
      <w:r w:rsidRPr="00730C54">
        <w:rPr>
          <w:rFonts w:ascii="Arial" w:hAnsi="Arial" w:cs="Arial"/>
          <w:sz w:val="20"/>
          <w:szCs w:val="20"/>
        </w:rPr>
        <w:t>: To delineate influence zones for SRs</w:t>
      </w:r>
    </w:p>
    <w:p w14:paraId="6D4C796A" w14:textId="77777777" w:rsidR="00730C54" w:rsidRPr="00730C54" w:rsidRDefault="00730C54" w:rsidP="00F72416">
      <w:pPr>
        <w:numPr>
          <w:ilvl w:val="0"/>
          <w:numId w:val="4"/>
        </w:numPr>
        <w:spacing w:after="0" w:line="240" w:lineRule="auto"/>
        <w:rPr>
          <w:rFonts w:ascii="Arial" w:hAnsi="Arial" w:cs="Arial"/>
          <w:sz w:val="20"/>
          <w:szCs w:val="20"/>
        </w:rPr>
      </w:pPr>
      <w:r w:rsidRPr="00730C54">
        <w:rPr>
          <w:rFonts w:ascii="Arial" w:hAnsi="Arial" w:cs="Arial"/>
          <w:b/>
          <w:bCs/>
          <w:sz w:val="20"/>
          <w:szCs w:val="20"/>
        </w:rPr>
        <w:t>Overlay Analysis</w:t>
      </w:r>
      <w:r w:rsidRPr="00730C54">
        <w:rPr>
          <w:rFonts w:ascii="Arial" w:hAnsi="Arial" w:cs="Arial"/>
          <w:sz w:val="20"/>
          <w:szCs w:val="20"/>
        </w:rPr>
        <w:t>: To combine layers of demand, elevation, land use, and infrastructure</w:t>
      </w:r>
    </w:p>
    <w:p w14:paraId="54AE24A8" w14:textId="77777777" w:rsidR="00F72416" w:rsidRDefault="00F72416" w:rsidP="00F72416">
      <w:pPr>
        <w:spacing w:after="0" w:line="240" w:lineRule="auto"/>
        <w:rPr>
          <w:rFonts w:ascii="Arial" w:hAnsi="Arial" w:cs="Arial"/>
          <w:sz w:val="20"/>
          <w:szCs w:val="20"/>
        </w:rPr>
      </w:pPr>
    </w:p>
    <w:p w14:paraId="47A1402F" w14:textId="3974E626"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Statistical measures included the z-score for spatial randomness and trend analysis for demand growth.</w:t>
      </w:r>
    </w:p>
    <w:p w14:paraId="08FF4E5B" w14:textId="77777777" w:rsidR="00F72416" w:rsidRDefault="00F72416" w:rsidP="00F72416">
      <w:pPr>
        <w:spacing w:after="0" w:line="240" w:lineRule="auto"/>
        <w:rPr>
          <w:rFonts w:ascii="Arial" w:hAnsi="Arial" w:cs="Arial"/>
          <w:b/>
          <w:bCs/>
          <w:sz w:val="20"/>
          <w:szCs w:val="20"/>
        </w:rPr>
      </w:pPr>
    </w:p>
    <w:p w14:paraId="68F57594" w14:textId="77777777" w:rsidR="009E4C0D" w:rsidRDefault="009E4C0D" w:rsidP="00F72416">
      <w:pPr>
        <w:spacing w:after="0" w:line="240" w:lineRule="auto"/>
        <w:rPr>
          <w:rFonts w:ascii="Arial" w:hAnsi="Arial" w:cs="Arial"/>
          <w:b/>
          <w:bCs/>
          <w:sz w:val="20"/>
          <w:szCs w:val="20"/>
        </w:rPr>
      </w:pPr>
    </w:p>
    <w:p w14:paraId="18E9C6FA" w14:textId="77777777" w:rsidR="009E4C0D" w:rsidRDefault="009E4C0D" w:rsidP="00F72416">
      <w:pPr>
        <w:spacing w:after="0" w:line="240" w:lineRule="auto"/>
        <w:rPr>
          <w:rFonts w:ascii="Arial" w:hAnsi="Arial" w:cs="Arial"/>
          <w:b/>
          <w:bCs/>
          <w:sz w:val="20"/>
          <w:szCs w:val="20"/>
        </w:rPr>
      </w:pPr>
    </w:p>
    <w:p w14:paraId="52C30530" w14:textId="77777777" w:rsidR="009E4C0D" w:rsidRDefault="009E4C0D" w:rsidP="00F72416">
      <w:pPr>
        <w:spacing w:after="0" w:line="240" w:lineRule="auto"/>
        <w:rPr>
          <w:rFonts w:ascii="Arial" w:hAnsi="Arial" w:cs="Arial"/>
          <w:b/>
          <w:bCs/>
          <w:sz w:val="20"/>
          <w:szCs w:val="20"/>
        </w:rPr>
      </w:pPr>
    </w:p>
    <w:p w14:paraId="10281927" w14:textId="37C12D9A"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lastRenderedPageBreak/>
        <w:t>2.</w:t>
      </w:r>
      <w:r w:rsidR="00730C54" w:rsidRPr="00730C54">
        <w:rPr>
          <w:rFonts w:ascii="Arial" w:hAnsi="Arial" w:cs="Arial"/>
          <w:b/>
          <w:bCs/>
          <w:sz w:val="20"/>
          <w:szCs w:val="20"/>
        </w:rPr>
        <w:t>5 Water Balance and Supply Projection</w:t>
      </w:r>
    </w:p>
    <w:p w14:paraId="1C444CA6" w14:textId="77777777" w:rsidR="00F72416" w:rsidRDefault="00F72416" w:rsidP="00F72416">
      <w:pPr>
        <w:spacing w:after="0" w:line="240" w:lineRule="auto"/>
        <w:rPr>
          <w:rFonts w:ascii="Arial" w:hAnsi="Arial" w:cs="Arial"/>
          <w:sz w:val="20"/>
          <w:szCs w:val="20"/>
        </w:rPr>
      </w:pPr>
    </w:p>
    <w:p w14:paraId="6D59AAFB" w14:textId="456DB1A1"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Water supply availability was computed for both piped (SPAM) and non-piped (groundwater) sources. The water balance equation considered:</w:t>
      </w:r>
    </w:p>
    <w:p w14:paraId="240159C5"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Installed capacity of SPAM systems (L/det)</w:t>
      </w:r>
    </w:p>
    <w:p w14:paraId="62DD9456"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Idle capacity and losses (32% leakage)</w:t>
      </w:r>
    </w:p>
    <w:p w14:paraId="699082CD" w14:textId="77777777" w:rsidR="00730C54" w:rsidRPr="00730C54" w:rsidRDefault="00730C54" w:rsidP="00F72416">
      <w:pPr>
        <w:numPr>
          <w:ilvl w:val="0"/>
          <w:numId w:val="5"/>
        </w:numPr>
        <w:spacing w:after="0" w:line="240" w:lineRule="auto"/>
        <w:rPr>
          <w:rFonts w:ascii="Arial" w:hAnsi="Arial" w:cs="Arial"/>
          <w:sz w:val="20"/>
          <w:szCs w:val="20"/>
        </w:rPr>
      </w:pPr>
      <w:r w:rsidRPr="00730C54">
        <w:rPr>
          <w:rFonts w:ascii="Arial" w:hAnsi="Arial" w:cs="Arial"/>
          <w:sz w:val="20"/>
          <w:szCs w:val="20"/>
        </w:rPr>
        <w:t>Safe yield estimates for groundwater extraction until 2044</w:t>
      </w:r>
    </w:p>
    <w:p w14:paraId="614CF010" w14:textId="77777777" w:rsidR="00F72416" w:rsidRDefault="00F72416" w:rsidP="00F72416">
      <w:pPr>
        <w:spacing w:after="0" w:line="240" w:lineRule="auto"/>
        <w:rPr>
          <w:rFonts w:ascii="Arial" w:hAnsi="Arial" w:cs="Arial"/>
          <w:sz w:val="20"/>
          <w:szCs w:val="20"/>
        </w:rPr>
      </w:pPr>
    </w:p>
    <w:p w14:paraId="0794EADA" w14:textId="033D4A02"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The difference between projected demand and reliable supply defined system surplus or deficit for each time step.</w:t>
      </w:r>
    </w:p>
    <w:p w14:paraId="77E12879" w14:textId="77777777" w:rsidR="00F72416" w:rsidRDefault="00F72416" w:rsidP="00F72416">
      <w:pPr>
        <w:spacing w:after="0" w:line="240" w:lineRule="auto"/>
        <w:rPr>
          <w:rFonts w:ascii="Arial" w:hAnsi="Arial" w:cs="Arial"/>
          <w:b/>
          <w:bCs/>
          <w:sz w:val="20"/>
          <w:szCs w:val="20"/>
        </w:rPr>
      </w:pPr>
    </w:p>
    <w:p w14:paraId="77025DAC" w14:textId="5FA27EA3"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6 DMA Design and Zoning</w:t>
      </w:r>
    </w:p>
    <w:p w14:paraId="62AAA27E" w14:textId="77777777" w:rsidR="00F72416" w:rsidRDefault="00F72416" w:rsidP="00F72416">
      <w:pPr>
        <w:spacing w:after="0" w:line="240" w:lineRule="auto"/>
        <w:rPr>
          <w:rFonts w:ascii="Arial" w:hAnsi="Arial" w:cs="Arial"/>
          <w:sz w:val="20"/>
          <w:szCs w:val="20"/>
        </w:rPr>
      </w:pPr>
    </w:p>
    <w:p w14:paraId="30D07D55" w14:textId="750F2FD3"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District Meter Areas (DMAs) were delineated using a hybrid approach:</w:t>
      </w:r>
    </w:p>
    <w:p w14:paraId="4964E472"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Spatial zoning based on hydraulic boundary feasibility (topography and flow direction)</w:t>
      </w:r>
    </w:p>
    <w:p w14:paraId="3E9CB697"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Demand density and SR proximity</w:t>
      </w:r>
    </w:p>
    <w:p w14:paraId="1D159C25" w14:textId="77777777" w:rsidR="00730C54" w:rsidRPr="00730C54" w:rsidRDefault="00730C54" w:rsidP="00F72416">
      <w:pPr>
        <w:numPr>
          <w:ilvl w:val="0"/>
          <w:numId w:val="6"/>
        </w:numPr>
        <w:spacing w:after="0" w:line="240" w:lineRule="auto"/>
        <w:rPr>
          <w:rFonts w:ascii="Arial" w:hAnsi="Arial" w:cs="Arial"/>
          <w:sz w:val="20"/>
          <w:szCs w:val="20"/>
        </w:rPr>
      </w:pPr>
      <w:r w:rsidRPr="00730C54">
        <w:rPr>
          <w:rFonts w:ascii="Arial" w:hAnsi="Arial" w:cs="Arial"/>
          <w:sz w:val="20"/>
          <w:szCs w:val="20"/>
        </w:rPr>
        <w:t>Institutional readiness and pipeline accessibility</w:t>
      </w:r>
    </w:p>
    <w:p w14:paraId="54F9E19A" w14:textId="7173EA07" w:rsidR="00730C54" w:rsidRPr="00730C54" w:rsidRDefault="00730C54" w:rsidP="00F72416">
      <w:pPr>
        <w:spacing w:after="0" w:line="240" w:lineRule="auto"/>
        <w:rPr>
          <w:rFonts w:ascii="Arial" w:hAnsi="Arial" w:cs="Arial"/>
          <w:sz w:val="20"/>
          <w:szCs w:val="20"/>
        </w:rPr>
      </w:pPr>
      <w:r w:rsidRPr="00730C54">
        <w:rPr>
          <w:rFonts w:ascii="Arial" w:hAnsi="Arial" w:cs="Arial"/>
          <w:sz w:val="20"/>
          <w:szCs w:val="20"/>
        </w:rPr>
        <w:t>The initial 2024 configuration includes 12 DMA zones, expanding to 20 zones by 2044. Each zone was designed to be hydraulically isolated with one primary inlet and equipped with monitoring devices (simulated). Zones were prioritized based on population density and water loss potential.</w:t>
      </w:r>
    </w:p>
    <w:p w14:paraId="484886D9" w14:textId="77777777" w:rsidR="00F72416" w:rsidRDefault="00F72416" w:rsidP="00F72416">
      <w:pPr>
        <w:spacing w:after="0" w:line="240" w:lineRule="auto"/>
        <w:rPr>
          <w:rFonts w:ascii="Arial" w:hAnsi="Arial" w:cs="Arial"/>
          <w:b/>
          <w:bCs/>
          <w:sz w:val="20"/>
          <w:szCs w:val="20"/>
        </w:rPr>
      </w:pPr>
    </w:p>
    <w:p w14:paraId="1150B068" w14:textId="13DAB46D" w:rsidR="00730C54" w:rsidRPr="00730C54" w:rsidRDefault="006A7A2B" w:rsidP="00F72416">
      <w:pPr>
        <w:spacing w:after="0" w:line="240" w:lineRule="auto"/>
        <w:rPr>
          <w:rFonts w:ascii="Arial" w:hAnsi="Arial" w:cs="Arial"/>
          <w:b/>
          <w:bCs/>
          <w:sz w:val="20"/>
          <w:szCs w:val="20"/>
        </w:rPr>
      </w:pPr>
      <w:r w:rsidRPr="00F72416">
        <w:rPr>
          <w:rFonts w:ascii="Arial" w:hAnsi="Arial" w:cs="Arial"/>
          <w:b/>
          <w:bCs/>
          <w:sz w:val="20"/>
          <w:szCs w:val="20"/>
        </w:rPr>
        <w:t>2.</w:t>
      </w:r>
      <w:r w:rsidR="00730C54" w:rsidRPr="00730C54">
        <w:rPr>
          <w:rFonts w:ascii="Arial" w:hAnsi="Arial" w:cs="Arial"/>
          <w:b/>
          <w:bCs/>
          <w:sz w:val="20"/>
          <w:szCs w:val="20"/>
        </w:rPr>
        <w:t>7 Limitation and Validation</w:t>
      </w:r>
    </w:p>
    <w:p w14:paraId="131A5A84" w14:textId="77777777" w:rsidR="00F72416" w:rsidRDefault="00F72416" w:rsidP="00F72416">
      <w:pPr>
        <w:spacing w:after="0" w:line="240" w:lineRule="auto"/>
        <w:jc w:val="both"/>
        <w:rPr>
          <w:rFonts w:ascii="Arial" w:hAnsi="Arial" w:cs="Arial"/>
          <w:sz w:val="20"/>
          <w:szCs w:val="20"/>
        </w:rPr>
      </w:pPr>
    </w:p>
    <w:p w14:paraId="5F8C48FE" w14:textId="0A2A737D" w:rsidR="00730C54" w:rsidRDefault="00730C54" w:rsidP="00F72416">
      <w:pPr>
        <w:spacing w:after="0" w:line="240" w:lineRule="auto"/>
        <w:jc w:val="both"/>
        <w:rPr>
          <w:rFonts w:ascii="Arial" w:hAnsi="Arial" w:cs="Arial"/>
          <w:sz w:val="20"/>
          <w:szCs w:val="20"/>
        </w:rPr>
      </w:pPr>
      <w:r w:rsidRPr="00730C54">
        <w:rPr>
          <w:rFonts w:ascii="Arial" w:hAnsi="Arial" w:cs="Arial"/>
          <w:sz w:val="20"/>
          <w:szCs w:val="20"/>
        </w:rPr>
        <w:t xml:space="preserve">This study did not include hydraulic simulation using software such as EPANET or </w:t>
      </w:r>
      <w:proofErr w:type="spellStart"/>
      <w:r w:rsidRPr="00730C54">
        <w:rPr>
          <w:rFonts w:ascii="Arial" w:hAnsi="Arial" w:cs="Arial"/>
          <w:sz w:val="20"/>
          <w:szCs w:val="20"/>
        </w:rPr>
        <w:t>WaterCAD</w:t>
      </w:r>
      <w:proofErr w:type="spellEnd"/>
      <w:r w:rsidRPr="00730C54">
        <w:rPr>
          <w:rFonts w:ascii="Arial" w:hAnsi="Arial" w:cs="Arial"/>
          <w:sz w:val="20"/>
          <w:szCs w:val="20"/>
        </w:rPr>
        <w:t xml:space="preserve"> due to data constraints. However, zonal balancing and DMA formation were validated through comparison with similar studies in Balikpapan and Cirebon.</w:t>
      </w:r>
    </w:p>
    <w:p w14:paraId="0EE94975" w14:textId="77777777" w:rsidR="00F72416" w:rsidRPr="00730C54" w:rsidRDefault="00F72416" w:rsidP="00F72416">
      <w:pPr>
        <w:spacing w:after="0" w:line="240" w:lineRule="auto"/>
        <w:jc w:val="both"/>
        <w:rPr>
          <w:rFonts w:ascii="Arial" w:hAnsi="Arial" w:cs="Arial"/>
          <w:sz w:val="20"/>
          <w:szCs w:val="20"/>
        </w:rPr>
      </w:pPr>
    </w:p>
    <w:p w14:paraId="0190A25A" w14:textId="53FEFB92" w:rsidR="00752E8C" w:rsidRPr="00F72416" w:rsidRDefault="0034075F" w:rsidP="00F72416">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RESULTS AND DISCUSSION</w:t>
      </w:r>
    </w:p>
    <w:p w14:paraId="5C3DE97B" w14:textId="77777777" w:rsidR="00F72416" w:rsidRDefault="00F72416" w:rsidP="00F72416">
      <w:pPr>
        <w:spacing w:after="0" w:line="240" w:lineRule="auto"/>
        <w:rPr>
          <w:rFonts w:ascii="Arial" w:hAnsi="Arial" w:cs="Arial"/>
          <w:b/>
          <w:bCs/>
          <w:sz w:val="20"/>
          <w:szCs w:val="20"/>
        </w:rPr>
      </w:pPr>
    </w:p>
    <w:p w14:paraId="7CF5FA73" w14:textId="77777777" w:rsidR="005C2D8B" w:rsidRPr="005C2D8B" w:rsidRDefault="005C2D8B" w:rsidP="005C2D8B">
      <w:pPr>
        <w:spacing w:after="0" w:line="240" w:lineRule="auto"/>
        <w:jc w:val="both"/>
        <w:rPr>
          <w:rFonts w:ascii="Arial" w:hAnsi="Arial" w:cs="Arial"/>
          <w:b/>
          <w:bCs/>
          <w:sz w:val="20"/>
          <w:szCs w:val="20"/>
        </w:rPr>
      </w:pPr>
      <w:r w:rsidRPr="005C2D8B">
        <w:rPr>
          <w:rFonts w:ascii="Arial" w:hAnsi="Arial" w:cs="Arial"/>
          <w:b/>
          <w:bCs/>
          <w:sz w:val="20"/>
          <w:szCs w:val="20"/>
        </w:rPr>
        <w:t>3.1. Water Demand and Supply Projections (2024–2044)</w:t>
      </w:r>
    </w:p>
    <w:p w14:paraId="00E77B30" w14:textId="77777777" w:rsidR="005C2D8B" w:rsidRDefault="005C2D8B" w:rsidP="005C2D8B">
      <w:pPr>
        <w:spacing w:after="0" w:line="240" w:lineRule="auto"/>
        <w:jc w:val="both"/>
        <w:rPr>
          <w:rFonts w:ascii="Arial" w:hAnsi="Arial" w:cs="Arial"/>
          <w:sz w:val="20"/>
          <w:szCs w:val="20"/>
        </w:rPr>
      </w:pPr>
    </w:p>
    <w:p w14:paraId="03961600" w14:textId="173FAD49"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 xml:space="preserve">The projected water demand in </w:t>
      </w:r>
      <w:proofErr w:type="spellStart"/>
      <w:r w:rsidRPr="005C2D8B">
        <w:rPr>
          <w:rFonts w:ascii="Arial" w:hAnsi="Arial" w:cs="Arial"/>
          <w:i/>
          <w:iCs/>
          <w:sz w:val="20"/>
          <w:szCs w:val="20"/>
        </w:rPr>
        <w:t>Kecamatan</w:t>
      </w:r>
      <w:proofErr w:type="spellEnd"/>
      <w:r w:rsidRPr="005C2D8B">
        <w:rPr>
          <w:rFonts w:ascii="Arial" w:hAnsi="Arial" w:cs="Arial"/>
          <w:i/>
          <w:iCs/>
          <w:sz w:val="20"/>
          <w:szCs w:val="20"/>
        </w:rPr>
        <w:t xml:space="preserve"> </w:t>
      </w:r>
      <w:proofErr w:type="spellStart"/>
      <w:r w:rsidRPr="005C2D8B">
        <w:rPr>
          <w:rFonts w:ascii="Arial" w:hAnsi="Arial" w:cs="Arial"/>
          <w:i/>
          <w:iCs/>
          <w:sz w:val="20"/>
          <w:szCs w:val="20"/>
        </w:rPr>
        <w:t>Doloksanggul</w:t>
      </w:r>
      <w:proofErr w:type="spellEnd"/>
      <w:r w:rsidRPr="005C2D8B">
        <w:rPr>
          <w:rFonts w:ascii="Arial" w:hAnsi="Arial" w:cs="Arial"/>
          <w:sz w:val="20"/>
          <w:szCs w:val="20"/>
        </w:rPr>
        <w:t xml:space="preserve"> over the 20-year planning horizon exhibits a marked increase, driven by population growth, expanded service coverage, and evolving patterns of domestic and non-domestic water use. Based on planning parameters from SNI 6728.1:2015 and applying differentiated coefficients for consumption types, the peak-hour water demand is expected to rise from 53.01 L/s in 2024 to 129.16 L/s in 2044. This equates to an annual volumetric demand increase from approximately 1.67 million m³ to 4.07 million m³.</w:t>
      </w:r>
    </w:p>
    <w:p w14:paraId="63DC32B0" w14:textId="77777777" w:rsidR="00E64FFB" w:rsidRDefault="00E64FFB" w:rsidP="005C2D8B">
      <w:pPr>
        <w:spacing w:after="0" w:line="240" w:lineRule="auto"/>
        <w:jc w:val="both"/>
        <w:rPr>
          <w:rFonts w:ascii="Arial" w:hAnsi="Arial" w:cs="Arial"/>
          <w:sz w:val="20"/>
          <w:szCs w:val="20"/>
        </w:rPr>
      </w:pPr>
    </w:p>
    <w:p w14:paraId="2FD6BA2B" w14:textId="0EC62DEA"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These projections incorporate spatial heterogeneity by distinguishing urban core, peri-urban, and peripheral zones, alongside anticipated improvements in service coverage—from 37.2% to 85.2%—and a reduction in non-revenue water (NRW) losses from 32% to 7%. The increasing contribution of non-domestic users, such as markets, small businesses, and public institutions, adds further pressure on the piped water system.</w:t>
      </w:r>
    </w:p>
    <w:p w14:paraId="40E686E6" w14:textId="77777777" w:rsidR="005C2D8B" w:rsidRDefault="005C2D8B" w:rsidP="00F60FBC">
      <w:pPr>
        <w:spacing w:after="0" w:line="240" w:lineRule="auto"/>
        <w:jc w:val="both"/>
        <w:rPr>
          <w:rFonts w:ascii="Arial" w:hAnsi="Arial" w:cs="Arial"/>
          <w:sz w:val="20"/>
          <w:szCs w:val="20"/>
        </w:rPr>
      </w:pPr>
    </w:p>
    <w:p w14:paraId="052F00C0" w14:textId="77777777" w:rsidR="005C2D8B" w:rsidRPr="005C2D8B" w:rsidRDefault="005C2D8B" w:rsidP="005C2D8B">
      <w:pPr>
        <w:spacing w:after="0" w:line="240" w:lineRule="auto"/>
        <w:jc w:val="center"/>
        <w:rPr>
          <w:rFonts w:ascii="Arial" w:hAnsi="Arial" w:cs="Arial"/>
          <w:sz w:val="20"/>
          <w:szCs w:val="20"/>
        </w:rPr>
      </w:pPr>
      <w:r w:rsidRPr="005C2D8B">
        <w:rPr>
          <w:rFonts w:ascii="Arial" w:hAnsi="Arial" w:cs="Arial"/>
          <w:b/>
          <w:bCs/>
          <w:sz w:val="20"/>
          <w:szCs w:val="20"/>
        </w:rPr>
        <w:t xml:space="preserve">Table 1. </w:t>
      </w:r>
      <w:r w:rsidRPr="005C2D8B">
        <w:rPr>
          <w:rFonts w:ascii="Arial" w:hAnsi="Arial" w:cs="Arial"/>
          <w:sz w:val="20"/>
          <w:szCs w:val="20"/>
        </w:rPr>
        <w:t>Peak Demand and Annual Water Requirement Projections</w:t>
      </w:r>
    </w:p>
    <w:tbl>
      <w:tblPr>
        <w:tblStyle w:val="TableGrid"/>
        <w:tblW w:w="0" w:type="auto"/>
        <w:jc w:val="center"/>
        <w:tblLook w:val="04A0" w:firstRow="1" w:lastRow="0" w:firstColumn="1" w:lastColumn="0" w:noHBand="0" w:noVBand="1"/>
      </w:tblPr>
      <w:tblGrid>
        <w:gridCol w:w="661"/>
        <w:gridCol w:w="2006"/>
        <w:gridCol w:w="2639"/>
      </w:tblGrid>
      <w:tr w:rsidR="005C2D8B" w:rsidRPr="005C2D8B" w14:paraId="39992D33" w14:textId="77777777" w:rsidTr="005C2D8B">
        <w:trPr>
          <w:jc w:val="center"/>
        </w:trPr>
        <w:tc>
          <w:tcPr>
            <w:tcW w:w="0" w:type="auto"/>
            <w:hideMark/>
          </w:tcPr>
          <w:p w14:paraId="773C68D0"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Year</w:t>
            </w:r>
          </w:p>
        </w:tc>
        <w:tc>
          <w:tcPr>
            <w:tcW w:w="0" w:type="auto"/>
            <w:hideMark/>
          </w:tcPr>
          <w:p w14:paraId="638DF410"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Peak Demand (L/s)</w:t>
            </w:r>
          </w:p>
        </w:tc>
        <w:tc>
          <w:tcPr>
            <w:tcW w:w="0" w:type="auto"/>
            <w:hideMark/>
          </w:tcPr>
          <w:p w14:paraId="57D8F76E" w14:textId="77777777" w:rsidR="005C2D8B" w:rsidRPr="005C2D8B" w:rsidRDefault="005C2D8B" w:rsidP="005C2D8B">
            <w:pPr>
              <w:jc w:val="both"/>
              <w:rPr>
                <w:rFonts w:ascii="Arial" w:hAnsi="Arial" w:cs="Arial"/>
                <w:b/>
                <w:bCs/>
                <w:sz w:val="20"/>
                <w:szCs w:val="20"/>
              </w:rPr>
            </w:pPr>
            <w:r w:rsidRPr="005C2D8B">
              <w:rPr>
                <w:rFonts w:ascii="Arial" w:hAnsi="Arial" w:cs="Arial"/>
                <w:b/>
                <w:bCs/>
                <w:sz w:val="20"/>
                <w:szCs w:val="20"/>
              </w:rPr>
              <w:t>Annual Demand (m³/year)</w:t>
            </w:r>
          </w:p>
        </w:tc>
      </w:tr>
      <w:tr w:rsidR="005C2D8B" w:rsidRPr="005C2D8B" w14:paraId="444C59E9" w14:textId="77777777" w:rsidTr="005C2D8B">
        <w:trPr>
          <w:jc w:val="center"/>
        </w:trPr>
        <w:tc>
          <w:tcPr>
            <w:tcW w:w="0" w:type="auto"/>
            <w:hideMark/>
          </w:tcPr>
          <w:p w14:paraId="4467C921"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2024</w:t>
            </w:r>
          </w:p>
        </w:tc>
        <w:tc>
          <w:tcPr>
            <w:tcW w:w="0" w:type="auto"/>
            <w:hideMark/>
          </w:tcPr>
          <w:p w14:paraId="5C9BDB64"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53.01</w:t>
            </w:r>
          </w:p>
        </w:tc>
        <w:tc>
          <w:tcPr>
            <w:tcW w:w="0" w:type="auto"/>
            <w:hideMark/>
          </w:tcPr>
          <w:p w14:paraId="623C747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1,671,723.36</w:t>
            </w:r>
          </w:p>
        </w:tc>
      </w:tr>
      <w:tr w:rsidR="005C2D8B" w:rsidRPr="005C2D8B" w14:paraId="094882CE" w14:textId="77777777" w:rsidTr="005C2D8B">
        <w:trPr>
          <w:jc w:val="center"/>
        </w:trPr>
        <w:tc>
          <w:tcPr>
            <w:tcW w:w="0" w:type="auto"/>
            <w:hideMark/>
          </w:tcPr>
          <w:p w14:paraId="40221C55"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2029</w:t>
            </w:r>
          </w:p>
        </w:tc>
        <w:tc>
          <w:tcPr>
            <w:tcW w:w="0" w:type="auto"/>
            <w:hideMark/>
          </w:tcPr>
          <w:p w14:paraId="77A5B6CD"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72.01</w:t>
            </w:r>
          </w:p>
        </w:tc>
        <w:tc>
          <w:tcPr>
            <w:tcW w:w="0" w:type="auto"/>
            <w:hideMark/>
          </w:tcPr>
          <w:p w14:paraId="2B62D314"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2,270,907.36</w:t>
            </w:r>
          </w:p>
        </w:tc>
      </w:tr>
      <w:tr w:rsidR="005C2D8B" w:rsidRPr="005C2D8B" w14:paraId="678E0B06" w14:textId="77777777" w:rsidTr="005C2D8B">
        <w:trPr>
          <w:jc w:val="center"/>
        </w:trPr>
        <w:tc>
          <w:tcPr>
            <w:tcW w:w="0" w:type="auto"/>
            <w:hideMark/>
          </w:tcPr>
          <w:p w14:paraId="3DCED8D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2034</w:t>
            </w:r>
          </w:p>
        </w:tc>
        <w:tc>
          <w:tcPr>
            <w:tcW w:w="0" w:type="auto"/>
            <w:hideMark/>
          </w:tcPr>
          <w:p w14:paraId="4360F523"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91.29</w:t>
            </w:r>
          </w:p>
        </w:tc>
        <w:tc>
          <w:tcPr>
            <w:tcW w:w="0" w:type="auto"/>
            <w:hideMark/>
          </w:tcPr>
          <w:p w14:paraId="79A91B6D"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2,878,921.44</w:t>
            </w:r>
          </w:p>
        </w:tc>
      </w:tr>
      <w:tr w:rsidR="005C2D8B" w:rsidRPr="005C2D8B" w14:paraId="2F79BE55" w14:textId="77777777" w:rsidTr="005C2D8B">
        <w:trPr>
          <w:jc w:val="center"/>
        </w:trPr>
        <w:tc>
          <w:tcPr>
            <w:tcW w:w="0" w:type="auto"/>
            <w:hideMark/>
          </w:tcPr>
          <w:p w14:paraId="4F49CAB5"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2039</w:t>
            </w:r>
          </w:p>
        </w:tc>
        <w:tc>
          <w:tcPr>
            <w:tcW w:w="0" w:type="auto"/>
            <w:hideMark/>
          </w:tcPr>
          <w:p w14:paraId="5CF26050"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110.46</w:t>
            </w:r>
          </w:p>
        </w:tc>
        <w:tc>
          <w:tcPr>
            <w:tcW w:w="0" w:type="auto"/>
            <w:hideMark/>
          </w:tcPr>
          <w:p w14:paraId="5965BFBE"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3,483,466.56</w:t>
            </w:r>
          </w:p>
        </w:tc>
      </w:tr>
      <w:tr w:rsidR="005C2D8B" w:rsidRPr="005C2D8B" w14:paraId="2A028390" w14:textId="77777777" w:rsidTr="005C2D8B">
        <w:trPr>
          <w:jc w:val="center"/>
        </w:trPr>
        <w:tc>
          <w:tcPr>
            <w:tcW w:w="0" w:type="auto"/>
            <w:hideMark/>
          </w:tcPr>
          <w:p w14:paraId="6C878257"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2044</w:t>
            </w:r>
          </w:p>
        </w:tc>
        <w:tc>
          <w:tcPr>
            <w:tcW w:w="0" w:type="auto"/>
            <w:hideMark/>
          </w:tcPr>
          <w:p w14:paraId="25A03E0A"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129.16</w:t>
            </w:r>
          </w:p>
        </w:tc>
        <w:tc>
          <w:tcPr>
            <w:tcW w:w="0" w:type="auto"/>
            <w:hideMark/>
          </w:tcPr>
          <w:p w14:paraId="0F78D7FB" w14:textId="77777777" w:rsidR="005C2D8B" w:rsidRPr="005C2D8B" w:rsidRDefault="005C2D8B" w:rsidP="005C2D8B">
            <w:pPr>
              <w:jc w:val="both"/>
              <w:rPr>
                <w:rFonts w:ascii="Arial" w:hAnsi="Arial" w:cs="Arial"/>
                <w:sz w:val="20"/>
                <w:szCs w:val="20"/>
              </w:rPr>
            </w:pPr>
            <w:r w:rsidRPr="005C2D8B">
              <w:rPr>
                <w:rFonts w:ascii="Arial" w:hAnsi="Arial" w:cs="Arial"/>
                <w:sz w:val="20"/>
                <w:szCs w:val="20"/>
              </w:rPr>
              <w:t>4,073,189.76</w:t>
            </w:r>
          </w:p>
        </w:tc>
      </w:tr>
    </w:tbl>
    <w:p w14:paraId="1FEC66A0" w14:textId="77777777" w:rsidR="005C2D8B" w:rsidRDefault="005C2D8B" w:rsidP="005C2D8B">
      <w:pPr>
        <w:spacing w:after="0" w:line="240" w:lineRule="auto"/>
        <w:jc w:val="both"/>
        <w:rPr>
          <w:rFonts w:ascii="Arial" w:hAnsi="Arial" w:cs="Arial"/>
          <w:sz w:val="20"/>
          <w:szCs w:val="20"/>
        </w:rPr>
      </w:pPr>
    </w:p>
    <w:p w14:paraId="3D7DFAD0" w14:textId="66D1F68D"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t xml:space="preserve">While water demand continues to escalate, the installed production capacity of the centralized piped water system remains static at approximately 1.2 million m³/year, as no major infrastructure upgrades are scheduled under the current </w:t>
      </w:r>
      <w:r w:rsidRPr="005C2D8B">
        <w:rPr>
          <w:rFonts w:ascii="Arial" w:hAnsi="Arial" w:cs="Arial"/>
          <w:i/>
          <w:iCs/>
          <w:sz w:val="20"/>
          <w:szCs w:val="20"/>
        </w:rPr>
        <w:t>RPJMD</w:t>
      </w:r>
      <w:r w:rsidRPr="005C2D8B">
        <w:rPr>
          <w:rFonts w:ascii="Arial" w:hAnsi="Arial" w:cs="Arial"/>
          <w:sz w:val="20"/>
          <w:szCs w:val="20"/>
        </w:rPr>
        <w:t xml:space="preserve"> (Regional Medium-Term Development Plan). A supply deficit is projected to emerge by 2029, intensifying in 2039 and reaching a critical level by 2044. This condition highlights the urgency for demand-side efficiency interventions, particularly through pressure management, loss reduction, and District Metered Area (DMA) implementation.</w:t>
      </w:r>
    </w:p>
    <w:p w14:paraId="18335A5C" w14:textId="77777777" w:rsidR="00E64FFB" w:rsidRDefault="00E64FFB" w:rsidP="005C2D8B">
      <w:pPr>
        <w:spacing w:after="0" w:line="240" w:lineRule="auto"/>
        <w:jc w:val="both"/>
        <w:rPr>
          <w:rFonts w:ascii="Arial" w:hAnsi="Arial" w:cs="Arial"/>
          <w:sz w:val="20"/>
          <w:szCs w:val="20"/>
        </w:rPr>
      </w:pPr>
    </w:p>
    <w:p w14:paraId="250BCCB0" w14:textId="03135869" w:rsidR="005C2D8B" w:rsidRPr="005C2D8B" w:rsidRDefault="005C2D8B" w:rsidP="005C2D8B">
      <w:pPr>
        <w:spacing w:after="0" w:line="240" w:lineRule="auto"/>
        <w:jc w:val="both"/>
        <w:rPr>
          <w:rFonts w:ascii="Arial" w:hAnsi="Arial" w:cs="Arial"/>
          <w:sz w:val="20"/>
          <w:szCs w:val="20"/>
        </w:rPr>
      </w:pPr>
      <w:r w:rsidRPr="005C2D8B">
        <w:rPr>
          <w:rFonts w:ascii="Arial" w:hAnsi="Arial" w:cs="Arial"/>
          <w:sz w:val="20"/>
          <w:szCs w:val="20"/>
        </w:rPr>
        <w:lastRenderedPageBreak/>
        <w:t>Although groundwater remains widely utilized, the absence of regulatory oversight poses long-term sustainability concerns—especially in areas facing declining recharge rates or competitive usage from agriculture. Therefore, integrating demand management with infrastructural and institutional reforms is essential for ensuring future service continuity and water system resilience</w:t>
      </w:r>
      <w:r>
        <w:rPr>
          <w:rFonts w:ascii="Arial" w:hAnsi="Arial" w:cs="Arial"/>
          <w:sz w:val="20"/>
          <w:szCs w:val="20"/>
        </w:rPr>
        <w:t>.</w:t>
      </w:r>
    </w:p>
    <w:p w14:paraId="4F330B60" w14:textId="77777777" w:rsidR="00F60FBC" w:rsidRPr="0034075F" w:rsidRDefault="00F60FBC" w:rsidP="00F72416">
      <w:pPr>
        <w:spacing w:after="0" w:line="240" w:lineRule="auto"/>
        <w:jc w:val="both"/>
        <w:rPr>
          <w:rFonts w:ascii="Arial" w:hAnsi="Arial" w:cs="Arial"/>
          <w:sz w:val="20"/>
          <w:szCs w:val="20"/>
        </w:rPr>
      </w:pPr>
    </w:p>
    <w:p w14:paraId="5449F6E7" w14:textId="77777777" w:rsidR="009B4A19" w:rsidRDefault="009B4A19" w:rsidP="009B4A19">
      <w:pPr>
        <w:spacing w:after="0" w:line="240" w:lineRule="auto"/>
        <w:jc w:val="both"/>
        <w:rPr>
          <w:rFonts w:ascii="Arial" w:hAnsi="Arial" w:cs="Arial"/>
          <w:sz w:val="20"/>
          <w:szCs w:val="20"/>
        </w:rPr>
      </w:pPr>
    </w:p>
    <w:p w14:paraId="1D7C6737" w14:textId="77777777" w:rsidR="00C167F2" w:rsidRPr="00C167F2" w:rsidRDefault="00C167F2" w:rsidP="00C167F2">
      <w:pPr>
        <w:spacing w:after="0" w:line="240" w:lineRule="auto"/>
        <w:jc w:val="both"/>
        <w:rPr>
          <w:rFonts w:ascii="Arial" w:hAnsi="Arial" w:cs="Arial"/>
          <w:b/>
          <w:bCs/>
          <w:sz w:val="20"/>
          <w:szCs w:val="20"/>
        </w:rPr>
      </w:pPr>
      <w:r w:rsidRPr="00C167F2">
        <w:rPr>
          <w:rFonts w:ascii="Arial" w:hAnsi="Arial" w:cs="Arial"/>
          <w:b/>
          <w:bCs/>
          <w:sz w:val="20"/>
          <w:szCs w:val="20"/>
        </w:rPr>
        <w:t>3.2. Land Cover Change Analysis (2024–2044)</w:t>
      </w:r>
    </w:p>
    <w:p w14:paraId="24DA3BC4" w14:textId="77777777" w:rsidR="00C167F2" w:rsidRDefault="00C167F2" w:rsidP="00C167F2">
      <w:pPr>
        <w:spacing w:after="0" w:line="240" w:lineRule="auto"/>
        <w:jc w:val="both"/>
        <w:rPr>
          <w:rFonts w:ascii="Arial" w:hAnsi="Arial" w:cs="Arial"/>
          <w:sz w:val="20"/>
          <w:szCs w:val="20"/>
        </w:rPr>
      </w:pPr>
    </w:p>
    <w:p w14:paraId="48906F1D" w14:textId="4A61CBF4"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Urban expansion and land use transformation represent critical factors influencing hydrological behavior, surface runoff, and water demand patterns in semi-urban areas such as </w:t>
      </w:r>
      <w:proofErr w:type="spellStart"/>
      <w:r w:rsidRPr="00C167F2">
        <w:rPr>
          <w:rFonts w:ascii="Arial" w:hAnsi="Arial" w:cs="Arial"/>
          <w:i/>
          <w:iCs/>
          <w:sz w:val="20"/>
          <w:szCs w:val="20"/>
        </w:rPr>
        <w:t>Kecamatan</w:t>
      </w:r>
      <w:proofErr w:type="spellEnd"/>
      <w:r w:rsidRPr="00C167F2">
        <w:rPr>
          <w:rFonts w:ascii="Arial" w:hAnsi="Arial" w:cs="Arial"/>
          <w:i/>
          <w:iCs/>
          <w:sz w:val="20"/>
          <w:szCs w:val="20"/>
        </w:rPr>
        <w:t xml:space="preserve"> </w:t>
      </w:r>
      <w:proofErr w:type="spellStart"/>
      <w:r w:rsidRPr="00C167F2">
        <w:rPr>
          <w:rFonts w:ascii="Arial" w:hAnsi="Arial" w:cs="Arial"/>
          <w:i/>
          <w:iCs/>
          <w:sz w:val="20"/>
          <w:szCs w:val="20"/>
        </w:rPr>
        <w:t>Doloksanggul</w:t>
      </w:r>
      <w:proofErr w:type="spellEnd"/>
      <w:r w:rsidRPr="00C167F2">
        <w:rPr>
          <w:rFonts w:ascii="Arial" w:hAnsi="Arial" w:cs="Arial"/>
          <w:sz w:val="20"/>
          <w:szCs w:val="20"/>
        </w:rPr>
        <w:t>. This study employs multi-temporal satellite imagery from 2014, 2019, and 2024, processed via Google Earth Engine (GEE), and applies land cover prediction modeling using the MOLUSCE (Modules for Land Use Change Simulation) plugin within QGIS.</w:t>
      </w:r>
    </w:p>
    <w:p w14:paraId="4AA0DAC5" w14:textId="77777777" w:rsidR="00C167F2" w:rsidRDefault="00C167F2" w:rsidP="00C167F2">
      <w:pPr>
        <w:spacing w:after="0" w:line="240" w:lineRule="auto"/>
        <w:jc w:val="both"/>
        <w:rPr>
          <w:rFonts w:ascii="Arial" w:hAnsi="Arial" w:cs="Arial"/>
          <w:sz w:val="20"/>
          <w:szCs w:val="20"/>
        </w:rPr>
      </w:pPr>
    </w:p>
    <w:p w14:paraId="680385F9" w14:textId="633385CC"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Classification was conducted using the Random Forest algorithm, achieving overall accuracy (OA) values exceeding 0.78 and Kappa coefficients above 0.72, indicating reliable model performance. Future land cover predictions for 2029, 2034, 2039, and 2044 were generated using a cellular automata approach. This model incorporated multiple spatial drivers—including proximity to roads and rivers, slope gradients, existing built-up zones, and central activity areas. An Artificial Neural Network (ANN) model validated the simulation with high predictive precision (error rate = 0.00340, Kappa = 0.88531).</w:t>
      </w:r>
    </w:p>
    <w:p w14:paraId="434DEF27" w14:textId="77777777" w:rsidR="00C167F2" w:rsidRDefault="00C167F2" w:rsidP="00C167F2">
      <w:pPr>
        <w:spacing w:after="0" w:line="240" w:lineRule="auto"/>
        <w:jc w:val="both"/>
        <w:rPr>
          <w:rFonts w:ascii="Arial" w:hAnsi="Arial" w:cs="Arial"/>
          <w:b/>
          <w:bCs/>
          <w:sz w:val="20"/>
          <w:szCs w:val="20"/>
        </w:rPr>
      </w:pPr>
    </w:p>
    <w:p w14:paraId="6A378483" w14:textId="17F5947B" w:rsidR="00C167F2" w:rsidRPr="00C167F2" w:rsidRDefault="00C167F2" w:rsidP="00C167F2">
      <w:pPr>
        <w:spacing w:after="0" w:line="240" w:lineRule="auto"/>
        <w:jc w:val="center"/>
        <w:rPr>
          <w:rFonts w:ascii="Arial" w:hAnsi="Arial" w:cs="Arial"/>
          <w:sz w:val="20"/>
          <w:szCs w:val="20"/>
        </w:rPr>
      </w:pPr>
      <w:r w:rsidRPr="00C167F2">
        <w:rPr>
          <w:rFonts w:ascii="Arial" w:hAnsi="Arial" w:cs="Arial"/>
          <w:b/>
          <w:bCs/>
          <w:sz w:val="20"/>
          <w:szCs w:val="20"/>
        </w:rPr>
        <w:t xml:space="preserve">Table 2. Predicted Land Cover Changes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(2024–2044)</w:t>
      </w:r>
    </w:p>
    <w:tbl>
      <w:tblPr>
        <w:tblStyle w:val="TableGrid"/>
        <w:tblW w:w="0" w:type="auto"/>
        <w:jc w:val="center"/>
        <w:tblLook w:val="04A0" w:firstRow="1" w:lastRow="0" w:firstColumn="1" w:lastColumn="0" w:noHBand="0" w:noVBand="1"/>
      </w:tblPr>
      <w:tblGrid>
        <w:gridCol w:w="1906"/>
        <w:gridCol w:w="1106"/>
        <w:gridCol w:w="1106"/>
        <w:gridCol w:w="1106"/>
        <w:gridCol w:w="1106"/>
        <w:gridCol w:w="1106"/>
      </w:tblGrid>
      <w:tr w:rsidR="00C167F2" w:rsidRPr="00C167F2" w14:paraId="1211D42F" w14:textId="77777777" w:rsidTr="00C167F2">
        <w:trPr>
          <w:jc w:val="center"/>
        </w:trPr>
        <w:tc>
          <w:tcPr>
            <w:tcW w:w="0" w:type="auto"/>
            <w:hideMark/>
          </w:tcPr>
          <w:p w14:paraId="6EE3745F"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Land Cover Class</w:t>
            </w:r>
          </w:p>
        </w:tc>
        <w:tc>
          <w:tcPr>
            <w:tcW w:w="0" w:type="auto"/>
            <w:hideMark/>
          </w:tcPr>
          <w:p w14:paraId="26F45819"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2024 (Ha)</w:t>
            </w:r>
          </w:p>
        </w:tc>
        <w:tc>
          <w:tcPr>
            <w:tcW w:w="0" w:type="auto"/>
            <w:hideMark/>
          </w:tcPr>
          <w:p w14:paraId="06E48D07"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2029 (Ha)</w:t>
            </w:r>
          </w:p>
        </w:tc>
        <w:tc>
          <w:tcPr>
            <w:tcW w:w="0" w:type="auto"/>
            <w:hideMark/>
          </w:tcPr>
          <w:p w14:paraId="09030623"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2034 (Ha)</w:t>
            </w:r>
          </w:p>
        </w:tc>
        <w:tc>
          <w:tcPr>
            <w:tcW w:w="0" w:type="auto"/>
            <w:hideMark/>
          </w:tcPr>
          <w:p w14:paraId="540F0FDB"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2039 (Ha)</w:t>
            </w:r>
          </w:p>
        </w:tc>
        <w:tc>
          <w:tcPr>
            <w:tcW w:w="0" w:type="auto"/>
            <w:hideMark/>
          </w:tcPr>
          <w:p w14:paraId="60E025AA"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2044 (Ha)</w:t>
            </w:r>
          </w:p>
        </w:tc>
      </w:tr>
      <w:tr w:rsidR="00C167F2" w:rsidRPr="00C167F2" w14:paraId="09936F02" w14:textId="77777777" w:rsidTr="00C167F2">
        <w:trPr>
          <w:jc w:val="center"/>
        </w:trPr>
        <w:tc>
          <w:tcPr>
            <w:tcW w:w="0" w:type="auto"/>
            <w:hideMark/>
          </w:tcPr>
          <w:p w14:paraId="5105D85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Built-up Area</w:t>
            </w:r>
          </w:p>
        </w:tc>
        <w:tc>
          <w:tcPr>
            <w:tcW w:w="0" w:type="auto"/>
            <w:hideMark/>
          </w:tcPr>
          <w:p w14:paraId="6849E7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871.02</w:t>
            </w:r>
          </w:p>
        </w:tc>
        <w:tc>
          <w:tcPr>
            <w:tcW w:w="0" w:type="auto"/>
            <w:hideMark/>
          </w:tcPr>
          <w:p w14:paraId="7639C4C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873.72</w:t>
            </w:r>
          </w:p>
        </w:tc>
        <w:tc>
          <w:tcPr>
            <w:tcW w:w="0" w:type="auto"/>
            <w:hideMark/>
          </w:tcPr>
          <w:p w14:paraId="213E5B5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877.29</w:t>
            </w:r>
          </w:p>
        </w:tc>
        <w:tc>
          <w:tcPr>
            <w:tcW w:w="0" w:type="auto"/>
            <w:hideMark/>
          </w:tcPr>
          <w:p w14:paraId="7043AF4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903.10</w:t>
            </w:r>
          </w:p>
        </w:tc>
        <w:tc>
          <w:tcPr>
            <w:tcW w:w="0" w:type="auto"/>
            <w:hideMark/>
          </w:tcPr>
          <w:p w14:paraId="6FA78B2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907.20</w:t>
            </w:r>
          </w:p>
        </w:tc>
      </w:tr>
      <w:tr w:rsidR="00C167F2" w:rsidRPr="00C167F2" w14:paraId="7B45DCFB" w14:textId="77777777" w:rsidTr="00C167F2">
        <w:trPr>
          <w:jc w:val="center"/>
        </w:trPr>
        <w:tc>
          <w:tcPr>
            <w:tcW w:w="0" w:type="auto"/>
            <w:hideMark/>
          </w:tcPr>
          <w:p w14:paraId="7816469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Rice Fields</w:t>
            </w:r>
          </w:p>
        </w:tc>
        <w:tc>
          <w:tcPr>
            <w:tcW w:w="0" w:type="auto"/>
            <w:hideMark/>
          </w:tcPr>
          <w:p w14:paraId="099FD94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1,552.05</w:t>
            </w:r>
          </w:p>
        </w:tc>
        <w:tc>
          <w:tcPr>
            <w:tcW w:w="0" w:type="auto"/>
            <w:hideMark/>
          </w:tcPr>
          <w:p w14:paraId="545FC73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1,607.49</w:t>
            </w:r>
          </w:p>
        </w:tc>
        <w:tc>
          <w:tcPr>
            <w:tcW w:w="0" w:type="auto"/>
            <w:hideMark/>
          </w:tcPr>
          <w:p w14:paraId="796A994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1,610.17</w:t>
            </w:r>
          </w:p>
        </w:tc>
        <w:tc>
          <w:tcPr>
            <w:tcW w:w="0" w:type="auto"/>
            <w:hideMark/>
          </w:tcPr>
          <w:p w14:paraId="0987A5F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1,583.29</w:t>
            </w:r>
          </w:p>
        </w:tc>
        <w:tc>
          <w:tcPr>
            <w:tcW w:w="0" w:type="auto"/>
            <w:hideMark/>
          </w:tcPr>
          <w:p w14:paraId="33F5E45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1,582.31</w:t>
            </w:r>
          </w:p>
        </w:tc>
      </w:tr>
      <w:tr w:rsidR="00C167F2" w:rsidRPr="00C167F2" w14:paraId="29F0B58C" w14:textId="77777777" w:rsidTr="00C167F2">
        <w:trPr>
          <w:jc w:val="center"/>
        </w:trPr>
        <w:tc>
          <w:tcPr>
            <w:tcW w:w="0" w:type="auto"/>
            <w:hideMark/>
          </w:tcPr>
          <w:p w14:paraId="423B814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Dryland Agriculture</w:t>
            </w:r>
          </w:p>
        </w:tc>
        <w:tc>
          <w:tcPr>
            <w:tcW w:w="0" w:type="auto"/>
            <w:hideMark/>
          </w:tcPr>
          <w:p w14:paraId="7FDBFAA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9,144.09</w:t>
            </w:r>
          </w:p>
        </w:tc>
        <w:tc>
          <w:tcPr>
            <w:tcW w:w="0" w:type="auto"/>
            <w:hideMark/>
          </w:tcPr>
          <w:p w14:paraId="352CB64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9,684.39</w:t>
            </w:r>
          </w:p>
        </w:tc>
        <w:tc>
          <w:tcPr>
            <w:tcW w:w="0" w:type="auto"/>
            <w:hideMark/>
          </w:tcPr>
          <w:p w14:paraId="0F59D6A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9,872.93</w:t>
            </w:r>
          </w:p>
        </w:tc>
        <w:tc>
          <w:tcPr>
            <w:tcW w:w="0" w:type="auto"/>
            <w:hideMark/>
          </w:tcPr>
          <w:p w14:paraId="048D819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9,984.32</w:t>
            </w:r>
          </w:p>
        </w:tc>
        <w:tc>
          <w:tcPr>
            <w:tcW w:w="0" w:type="auto"/>
            <w:hideMark/>
          </w:tcPr>
          <w:p w14:paraId="43B24AE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9,995.51</w:t>
            </w:r>
          </w:p>
        </w:tc>
      </w:tr>
      <w:tr w:rsidR="00C167F2" w:rsidRPr="00C167F2" w14:paraId="175CDF20" w14:textId="77777777" w:rsidTr="00C167F2">
        <w:trPr>
          <w:jc w:val="center"/>
        </w:trPr>
        <w:tc>
          <w:tcPr>
            <w:tcW w:w="0" w:type="auto"/>
            <w:hideMark/>
          </w:tcPr>
          <w:p w14:paraId="12717AB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Open Land</w:t>
            </w:r>
          </w:p>
        </w:tc>
        <w:tc>
          <w:tcPr>
            <w:tcW w:w="0" w:type="auto"/>
            <w:hideMark/>
          </w:tcPr>
          <w:p w14:paraId="267DF4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587.43</w:t>
            </w:r>
          </w:p>
        </w:tc>
        <w:tc>
          <w:tcPr>
            <w:tcW w:w="0" w:type="auto"/>
            <w:hideMark/>
          </w:tcPr>
          <w:p w14:paraId="491054C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284.13</w:t>
            </w:r>
          </w:p>
        </w:tc>
        <w:tc>
          <w:tcPr>
            <w:tcW w:w="0" w:type="auto"/>
            <w:hideMark/>
          </w:tcPr>
          <w:p w14:paraId="1291371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134.13</w:t>
            </w:r>
          </w:p>
        </w:tc>
        <w:tc>
          <w:tcPr>
            <w:tcW w:w="0" w:type="auto"/>
            <w:hideMark/>
          </w:tcPr>
          <w:p w14:paraId="67FBADF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84.04</w:t>
            </w:r>
          </w:p>
        </w:tc>
        <w:tc>
          <w:tcPr>
            <w:tcW w:w="0" w:type="auto"/>
            <w:hideMark/>
          </w:tcPr>
          <w:p w14:paraId="3D4EE96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78.04</w:t>
            </w:r>
          </w:p>
        </w:tc>
      </w:tr>
      <w:tr w:rsidR="00C167F2" w:rsidRPr="00C167F2" w14:paraId="6AB7A45A" w14:textId="77777777" w:rsidTr="00C167F2">
        <w:trPr>
          <w:jc w:val="center"/>
        </w:trPr>
        <w:tc>
          <w:tcPr>
            <w:tcW w:w="0" w:type="auto"/>
            <w:hideMark/>
          </w:tcPr>
          <w:p w14:paraId="60E885C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Shrub/Bushes</w:t>
            </w:r>
          </w:p>
        </w:tc>
        <w:tc>
          <w:tcPr>
            <w:tcW w:w="0" w:type="auto"/>
            <w:hideMark/>
          </w:tcPr>
          <w:p w14:paraId="5360CAC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5,303.33</w:t>
            </w:r>
          </w:p>
        </w:tc>
        <w:tc>
          <w:tcPr>
            <w:tcW w:w="0" w:type="auto"/>
            <w:hideMark/>
          </w:tcPr>
          <w:p w14:paraId="435029E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4,993.19</w:t>
            </w:r>
          </w:p>
        </w:tc>
        <w:tc>
          <w:tcPr>
            <w:tcW w:w="0" w:type="auto"/>
            <w:hideMark/>
          </w:tcPr>
          <w:p w14:paraId="7565700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4,988.33</w:t>
            </w:r>
          </w:p>
        </w:tc>
        <w:tc>
          <w:tcPr>
            <w:tcW w:w="0" w:type="auto"/>
            <w:hideMark/>
          </w:tcPr>
          <w:p w14:paraId="4F88350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4,976.67</w:t>
            </w:r>
          </w:p>
        </w:tc>
        <w:tc>
          <w:tcPr>
            <w:tcW w:w="0" w:type="auto"/>
            <w:hideMark/>
          </w:tcPr>
          <w:p w14:paraId="37664D7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4,926.65</w:t>
            </w:r>
          </w:p>
        </w:tc>
      </w:tr>
      <w:tr w:rsidR="00C167F2" w:rsidRPr="00C167F2" w14:paraId="1EF4DCF9" w14:textId="77777777" w:rsidTr="00C167F2">
        <w:trPr>
          <w:jc w:val="center"/>
        </w:trPr>
        <w:tc>
          <w:tcPr>
            <w:tcW w:w="0" w:type="auto"/>
            <w:hideMark/>
          </w:tcPr>
          <w:p w14:paraId="2228F8C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Forest</w:t>
            </w:r>
          </w:p>
        </w:tc>
        <w:tc>
          <w:tcPr>
            <w:tcW w:w="0" w:type="auto"/>
            <w:hideMark/>
          </w:tcPr>
          <w:p w14:paraId="18DC82D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8,559.78</w:t>
            </w:r>
          </w:p>
        </w:tc>
        <w:tc>
          <w:tcPr>
            <w:tcW w:w="0" w:type="auto"/>
            <w:hideMark/>
          </w:tcPr>
          <w:p w14:paraId="5E956EA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8,574.78</w:t>
            </w:r>
          </w:p>
        </w:tc>
        <w:tc>
          <w:tcPr>
            <w:tcW w:w="0" w:type="auto"/>
            <w:hideMark/>
          </w:tcPr>
          <w:p w14:paraId="25C35EC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8,534.85</w:t>
            </w:r>
          </w:p>
        </w:tc>
        <w:tc>
          <w:tcPr>
            <w:tcW w:w="0" w:type="auto"/>
            <w:hideMark/>
          </w:tcPr>
          <w:p w14:paraId="5318BFA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8,486.28</w:t>
            </w:r>
          </w:p>
        </w:tc>
        <w:tc>
          <w:tcPr>
            <w:tcW w:w="0" w:type="auto"/>
            <w:hideMark/>
          </w:tcPr>
          <w:p w14:paraId="777D5A0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8,527.99</w:t>
            </w:r>
          </w:p>
        </w:tc>
      </w:tr>
    </w:tbl>
    <w:p w14:paraId="67832AF1" w14:textId="77777777" w:rsidR="00C167F2" w:rsidRDefault="00C167F2" w:rsidP="00C167F2">
      <w:pPr>
        <w:spacing w:after="0" w:line="240" w:lineRule="auto"/>
        <w:jc w:val="center"/>
        <w:rPr>
          <w:rFonts w:ascii="Arial" w:hAnsi="Arial" w:cs="Arial"/>
          <w:b/>
          <w:bCs/>
          <w:sz w:val="20"/>
          <w:szCs w:val="20"/>
        </w:rPr>
      </w:pPr>
    </w:p>
    <w:p w14:paraId="6341EE96" w14:textId="1FDC750D" w:rsidR="00C167F2" w:rsidRPr="001A389B" w:rsidRDefault="00C167F2" w:rsidP="00C167F2">
      <w:pPr>
        <w:spacing w:after="0" w:line="240" w:lineRule="auto"/>
        <w:jc w:val="center"/>
        <w:rPr>
          <w:rFonts w:ascii="Arial" w:hAnsi="Arial" w:cs="Arial"/>
          <w:b/>
          <w:bCs/>
          <w:sz w:val="20"/>
          <w:szCs w:val="20"/>
        </w:rPr>
      </w:pPr>
      <w:r w:rsidRPr="00C167F2">
        <w:rPr>
          <w:rFonts w:ascii="Arial" w:hAnsi="Arial" w:cs="Arial"/>
          <w:b/>
          <w:bCs/>
          <w:sz w:val="20"/>
          <w:szCs w:val="20"/>
        </w:rPr>
        <w:t xml:space="preserve">Figure 2. Predicted Land Cover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for 2039 and 2044</w:t>
      </w:r>
      <w:r w:rsidRPr="00C167F2">
        <w:rPr>
          <w:rFonts w:ascii="Arial" w:hAnsi="Arial" w:cs="Arial"/>
          <w:sz w:val="20"/>
          <w:szCs w:val="20"/>
        </w:rPr>
        <w:br/>
      </w:r>
      <w:r w:rsidRPr="009B4A19">
        <w:rPr>
          <w:rFonts w:ascii="Arial" w:hAnsi="Arial" w:cs="Arial"/>
          <w:b/>
          <w:bCs/>
          <w:sz w:val="20"/>
          <w:szCs w:val="20"/>
        </w:rPr>
        <w:t xml:space="preserve">Figure </w:t>
      </w:r>
      <w:r>
        <w:rPr>
          <w:rFonts w:ascii="Arial" w:hAnsi="Arial" w:cs="Arial"/>
          <w:b/>
          <w:bCs/>
          <w:sz w:val="20"/>
          <w:szCs w:val="20"/>
        </w:rPr>
        <w:t>1.</w:t>
      </w:r>
      <w:r w:rsidRPr="009B4A19">
        <w:rPr>
          <w:rFonts w:ascii="Arial" w:hAnsi="Arial" w:cs="Arial"/>
          <w:b/>
          <w:bCs/>
          <w:sz w:val="20"/>
          <w:szCs w:val="20"/>
        </w:rPr>
        <w:t xml:space="preserve"> </w:t>
      </w:r>
      <w:r w:rsidRPr="001A389B">
        <w:rPr>
          <w:rFonts w:ascii="Arial" w:hAnsi="Arial" w:cs="Arial"/>
          <w:b/>
          <w:bCs/>
          <w:sz w:val="20"/>
          <w:szCs w:val="20"/>
        </w:rPr>
        <w:t>Land Cover</w:t>
      </w:r>
      <w:r>
        <w:rPr>
          <w:rFonts w:ascii="Arial" w:hAnsi="Arial" w:cs="Arial"/>
          <w:b/>
          <w:bCs/>
          <w:sz w:val="20"/>
          <w:szCs w:val="20"/>
        </w:rPr>
        <w:t xml:space="preserve"> </w:t>
      </w:r>
      <w:r w:rsidRPr="009B4A19">
        <w:rPr>
          <w:rFonts w:ascii="Arial" w:hAnsi="Arial" w:cs="Arial"/>
          <w:b/>
          <w:bCs/>
          <w:sz w:val="20"/>
          <w:szCs w:val="20"/>
        </w:rPr>
        <w:t>2039</w:t>
      </w:r>
      <w:r>
        <w:rPr>
          <w:rFonts w:ascii="Arial" w:hAnsi="Arial" w:cs="Arial"/>
          <w:b/>
          <w:bCs/>
          <w:sz w:val="20"/>
          <w:szCs w:val="20"/>
        </w:rPr>
        <w:t xml:space="preserve"> and </w:t>
      </w:r>
      <w:r w:rsidRPr="009B4A19">
        <w:rPr>
          <w:rFonts w:ascii="Arial" w:hAnsi="Arial" w:cs="Arial"/>
          <w:b/>
          <w:bCs/>
          <w:sz w:val="20"/>
          <w:szCs w:val="20"/>
        </w:rPr>
        <w:t>2044</w:t>
      </w:r>
    </w:p>
    <w:p w14:paraId="736AE2FB" w14:textId="77777777" w:rsidR="00C167F2" w:rsidRDefault="00C167F2" w:rsidP="00C167F2">
      <w:pPr>
        <w:spacing w:after="0" w:line="240" w:lineRule="auto"/>
        <w:jc w:val="center"/>
        <w:rPr>
          <w:rFonts w:ascii="Arial" w:hAnsi="Arial" w:cs="Arial"/>
          <w:b/>
          <w:bCs/>
          <w:sz w:val="20"/>
          <w:szCs w:val="20"/>
          <w:lang w:val="fi-FI"/>
        </w:rPr>
      </w:pPr>
      <w:r>
        <w:rPr>
          <w:rFonts w:ascii="Times New Roman" w:hAnsi="Times New Roman" w:cs="Times New Roman"/>
          <w:noProof/>
          <w:color w:val="000000" w:themeColor="text1"/>
          <w:sz w:val="10"/>
          <w:szCs w:val="10"/>
          <w:lang w:val="en-GB"/>
        </w:rPr>
        <w:drawing>
          <wp:inline distT="0" distB="0" distL="0" distR="0" wp14:anchorId="3206E362" wp14:editId="4D4DFE1F">
            <wp:extent cx="3624262" cy="2213216"/>
            <wp:effectExtent l="0" t="0" r="0" b="0"/>
            <wp:docPr id="70211606" name="Picture 7021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1319" cy="2229739"/>
                    </a:xfrm>
                    <a:prstGeom prst="rect">
                      <a:avLst/>
                    </a:prstGeom>
                    <a:noFill/>
                    <a:ln>
                      <a:noFill/>
                    </a:ln>
                  </pic:spPr>
                </pic:pic>
              </a:graphicData>
            </a:graphic>
          </wp:inline>
        </w:drawing>
      </w:r>
    </w:p>
    <w:p w14:paraId="378CA973" w14:textId="77777777" w:rsidR="00C167F2" w:rsidRDefault="00C167F2" w:rsidP="00C167F2">
      <w:pPr>
        <w:spacing w:after="0" w:line="240" w:lineRule="auto"/>
        <w:jc w:val="center"/>
        <w:rPr>
          <w:rFonts w:ascii="Arial" w:hAnsi="Arial" w:cs="Arial"/>
          <w:b/>
          <w:bCs/>
          <w:sz w:val="20"/>
          <w:szCs w:val="20"/>
          <w:lang w:val="fi-FI"/>
        </w:rPr>
      </w:pPr>
    </w:p>
    <w:p w14:paraId="4056F6AC" w14:textId="09CDB05A" w:rsidR="00C167F2" w:rsidRPr="00C167F2" w:rsidRDefault="00C167F2" w:rsidP="00C167F2">
      <w:pPr>
        <w:spacing w:after="0" w:line="240" w:lineRule="auto"/>
        <w:jc w:val="center"/>
        <w:rPr>
          <w:rFonts w:ascii="Arial" w:hAnsi="Arial" w:cs="Arial"/>
          <w:b/>
          <w:bCs/>
          <w:sz w:val="20"/>
          <w:szCs w:val="20"/>
          <w:lang w:val="fi-FI"/>
        </w:rPr>
      </w:pPr>
      <w:r>
        <w:rPr>
          <w:rFonts w:ascii="Times New Roman" w:hAnsi="Times New Roman" w:cs="Times New Roman"/>
          <w:noProof/>
          <w:color w:val="000000" w:themeColor="text1"/>
          <w:sz w:val="10"/>
          <w:szCs w:val="10"/>
          <w:lang w:val="en-GB"/>
        </w:rPr>
        <w:lastRenderedPageBreak/>
        <w:drawing>
          <wp:inline distT="0" distB="0" distL="0" distR="0" wp14:anchorId="441ABBBC" wp14:editId="50A0F848">
            <wp:extent cx="3649865" cy="2228850"/>
            <wp:effectExtent l="0" t="0" r="8255" b="0"/>
            <wp:docPr id="39" name="Picture 39" descr="A map of the state of central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the state of central afric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355" cy="2245026"/>
                    </a:xfrm>
                    <a:prstGeom prst="rect">
                      <a:avLst/>
                    </a:prstGeom>
                    <a:noFill/>
                    <a:ln>
                      <a:noFill/>
                    </a:ln>
                  </pic:spPr>
                </pic:pic>
              </a:graphicData>
            </a:graphic>
          </wp:inline>
        </w:drawing>
      </w:r>
    </w:p>
    <w:p w14:paraId="32CE091C" w14:textId="317A6A90" w:rsidR="00C167F2" w:rsidRPr="00C167F2" w:rsidRDefault="00C167F2" w:rsidP="00C167F2">
      <w:pPr>
        <w:spacing w:after="0" w:line="240" w:lineRule="auto"/>
        <w:jc w:val="both"/>
        <w:rPr>
          <w:rFonts w:ascii="Arial" w:hAnsi="Arial" w:cs="Arial"/>
          <w:sz w:val="20"/>
          <w:szCs w:val="20"/>
        </w:rPr>
      </w:pPr>
      <w:r w:rsidRPr="00C167F2">
        <w:rPr>
          <w:rFonts w:ascii="Arial" w:hAnsi="Arial" w:cs="Arial"/>
          <w:i/>
          <w:iCs/>
          <w:sz w:val="20"/>
          <w:szCs w:val="20"/>
        </w:rPr>
        <w:t>Source: Processed from ANN-MOLUSCE model using Sentinel and Landsat imagery.</w:t>
      </w:r>
    </w:p>
    <w:p w14:paraId="6307D3F2" w14:textId="77777777" w:rsidR="00C167F2" w:rsidRDefault="00C167F2" w:rsidP="00C167F2">
      <w:pPr>
        <w:spacing w:after="0" w:line="240" w:lineRule="auto"/>
        <w:jc w:val="both"/>
        <w:rPr>
          <w:rFonts w:ascii="Arial" w:hAnsi="Arial" w:cs="Arial"/>
          <w:sz w:val="20"/>
          <w:szCs w:val="20"/>
        </w:rPr>
      </w:pPr>
    </w:p>
    <w:p w14:paraId="2E655DCA" w14:textId="0DAC973A" w:rsid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results indicate a moderate but consistent increase in built-up land from 871.02 ha in 2024 to 907.20 ha in 2044, reflecting ongoing urbanization processes. This growth corresponds with infrastructure development and rising demand for residential, commercial, and institutional land.</w:t>
      </w:r>
      <w:r>
        <w:rPr>
          <w:rFonts w:ascii="Arial" w:hAnsi="Arial" w:cs="Arial"/>
          <w:sz w:val="20"/>
          <w:szCs w:val="20"/>
        </w:rPr>
        <w:t xml:space="preserve"> </w:t>
      </w:r>
      <w:r w:rsidRPr="00C167F2">
        <w:rPr>
          <w:rFonts w:ascii="Arial" w:hAnsi="Arial" w:cs="Arial"/>
          <w:sz w:val="20"/>
          <w:szCs w:val="20"/>
        </w:rPr>
        <w:t>A significant increase is also observed in dryland agricultural areas, which expand from 9,144.09 ha to 9,995.51 ha over the 20-year span. This suggests a strategic shift toward more flexible agricultural practices, potentially driven by the conversion of open or semi-natural areas into productive use.</w:t>
      </w:r>
    </w:p>
    <w:p w14:paraId="72B38D63" w14:textId="77777777" w:rsidR="00C167F2" w:rsidRPr="00C167F2" w:rsidRDefault="00C167F2" w:rsidP="00C167F2">
      <w:pPr>
        <w:spacing w:after="0" w:line="240" w:lineRule="auto"/>
        <w:jc w:val="both"/>
        <w:rPr>
          <w:rFonts w:ascii="Arial" w:hAnsi="Arial" w:cs="Arial"/>
          <w:sz w:val="20"/>
          <w:szCs w:val="20"/>
        </w:rPr>
      </w:pPr>
    </w:p>
    <w:p w14:paraId="067905CE" w14:textId="64E48EF0" w:rsid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Conversely, open land exhibits a sharp decline from 587.43 ha in 2024 to only 78.04 ha by 2044, indicative of intensifying land utilization pressures. Such reductions have implications for ecosystem services, particularly related to infiltration, runoff absorption, and local climate moderation.</w:t>
      </w:r>
      <w:r>
        <w:rPr>
          <w:rFonts w:ascii="Arial" w:hAnsi="Arial" w:cs="Arial"/>
          <w:sz w:val="20"/>
          <w:szCs w:val="20"/>
        </w:rPr>
        <w:t xml:space="preserve"> </w:t>
      </w:r>
      <w:r w:rsidRPr="00C167F2">
        <w:rPr>
          <w:rFonts w:ascii="Arial" w:hAnsi="Arial" w:cs="Arial"/>
          <w:sz w:val="20"/>
          <w:szCs w:val="20"/>
        </w:rPr>
        <w:t>Shrublands and forested areas show minor fluctuations. While the forest cover remains relatively stable, a slight decrease from 8,559.78 ha to 8,527.99 ha underscores the need for continuous monitoring, given the ecological sensitivity of these areas.</w:t>
      </w:r>
    </w:p>
    <w:p w14:paraId="2471E2AD" w14:textId="77777777" w:rsidR="00C167F2" w:rsidRPr="00C167F2" w:rsidRDefault="00C167F2" w:rsidP="00C167F2">
      <w:pPr>
        <w:spacing w:after="0" w:line="240" w:lineRule="auto"/>
        <w:jc w:val="both"/>
        <w:rPr>
          <w:rFonts w:ascii="Arial" w:hAnsi="Arial" w:cs="Arial"/>
          <w:sz w:val="20"/>
          <w:szCs w:val="20"/>
        </w:rPr>
      </w:pPr>
    </w:p>
    <w:p w14:paraId="6BE069D5" w14:textId="4011DFCA"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These land cover transitions will likely alter the hydrological regime of </w:t>
      </w:r>
      <w:proofErr w:type="spellStart"/>
      <w:r w:rsidRPr="00C167F2">
        <w:rPr>
          <w:rFonts w:ascii="Arial" w:hAnsi="Arial" w:cs="Arial"/>
          <w:sz w:val="20"/>
          <w:szCs w:val="20"/>
        </w:rPr>
        <w:t>Doloksanggul</w:t>
      </w:r>
      <w:proofErr w:type="spellEnd"/>
      <w:r w:rsidRPr="00C167F2">
        <w:rPr>
          <w:rFonts w:ascii="Arial" w:hAnsi="Arial" w:cs="Arial"/>
          <w:sz w:val="20"/>
          <w:szCs w:val="20"/>
        </w:rPr>
        <w:t>, particularly through increased impervious surfaces in built-up zones. As a result, the risk of surface runoff intensification and stress on existing drainage systems will rise. This emphasizes the need for integrated land use and water infrastructure planning, particularly aligning spatial zoning with DMA water service strategies to ensure adaptive resilience</w:t>
      </w:r>
      <w:r>
        <w:rPr>
          <w:rFonts w:ascii="Arial" w:hAnsi="Arial" w:cs="Arial"/>
          <w:sz w:val="20"/>
          <w:szCs w:val="20"/>
        </w:rPr>
        <w:t>.</w:t>
      </w:r>
    </w:p>
    <w:p w14:paraId="49A065B8" w14:textId="77777777" w:rsidR="001A389B" w:rsidRDefault="001A389B" w:rsidP="009B4A19">
      <w:pPr>
        <w:spacing w:after="0" w:line="240" w:lineRule="auto"/>
        <w:jc w:val="both"/>
        <w:rPr>
          <w:rFonts w:ascii="Arial" w:hAnsi="Arial" w:cs="Arial"/>
          <w:sz w:val="20"/>
          <w:szCs w:val="20"/>
        </w:rPr>
      </w:pPr>
    </w:p>
    <w:p w14:paraId="69146617" w14:textId="250BE516" w:rsidR="00C167F2" w:rsidRPr="00C167F2" w:rsidRDefault="00C167F2" w:rsidP="00C167F2">
      <w:pPr>
        <w:spacing w:after="0" w:line="240" w:lineRule="auto"/>
        <w:jc w:val="both"/>
        <w:rPr>
          <w:rFonts w:ascii="Arial" w:hAnsi="Arial" w:cs="Arial"/>
          <w:b/>
          <w:bCs/>
          <w:sz w:val="20"/>
          <w:szCs w:val="20"/>
        </w:rPr>
      </w:pPr>
      <w:r>
        <w:rPr>
          <w:rFonts w:ascii="Arial" w:hAnsi="Arial" w:cs="Arial"/>
          <w:b/>
          <w:bCs/>
          <w:sz w:val="20"/>
          <w:szCs w:val="20"/>
        </w:rPr>
        <w:t xml:space="preserve">3.3 </w:t>
      </w:r>
      <w:r w:rsidRPr="00C167F2">
        <w:rPr>
          <w:rFonts w:ascii="Arial" w:hAnsi="Arial" w:cs="Arial"/>
          <w:b/>
          <w:bCs/>
          <w:sz w:val="20"/>
          <w:szCs w:val="20"/>
        </w:rPr>
        <w:t>Spatial Distribution of Household Water Connections (SR) by Grid Classification (2024–2044)</w:t>
      </w:r>
    </w:p>
    <w:p w14:paraId="0AE5299D" w14:textId="77777777" w:rsidR="00C167F2" w:rsidRDefault="00C167F2" w:rsidP="00C167F2">
      <w:pPr>
        <w:spacing w:after="0" w:line="240" w:lineRule="auto"/>
        <w:jc w:val="both"/>
        <w:rPr>
          <w:rFonts w:ascii="Arial" w:hAnsi="Arial" w:cs="Arial"/>
          <w:sz w:val="20"/>
          <w:szCs w:val="20"/>
        </w:rPr>
      </w:pPr>
    </w:p>
    <w:p w14:paraId="4E9D7B2A" w14:textId="54603BDB"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This section analyzes the spatiotemporal dynamics of household water connection (</w:t>
      </w:r>
      <w:proofErr w:type="spellStart"/>
      <w:r w:rsidRPr="00C167F2">
        <w:rPr>
          <w:rFonts w:ascii="Arial" w:hAnsi="Arial" w:cs="Arial"/>
          <w:sz w:val="20"/>
          <w:szCs w:val="20"/>
        </w:rPr>
        <w:t>Sambungan</w:t>
      </w:r>
      <w:proofErr w:type="spellEnd"/>
      <w:r w:rsidRPr="00C167F2">
        <w:rPr>
          <w:rFonts w:ascii="Arial" w:hAnsi="Arial" w:cs="Arial"/>
          <w:sz w:val="20"/>
          <w:szCs w:val="20"/>
        </w:rPr>
        <w:t xml:space="preserve"> </w:t>
      </w:r>
      <w:proofErr w:type="spellStart"/>
      <w:r w:rsidRPr="00C167F2">
        <w:rPr>
          <w:rFonts w:ascii="Arial" w:hAnsi="Arial" w:cs="Arial"/>
          <w:sz w:val="20"/>
          <w:szCs w:val="20"/>
        </w:rPr>
        <w:t>Rumah</w:t>
      </w:r>
      <w:proofErr w:type="spellEnd"/>
      <w:r w:rsidRPr="00C167F2">
        <w:rPr>
          <w:rFonts w:ascii="Arial" w:hAnsi="Arial" w:cs="Arial"/>
          <w:sz w:val="20"/>
          <w:szCs w:val="20"/>
        </w:rPr>
        <w:t xml:space="preserve">/SR) distribution across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between 2024 and 2044. The analysis utilizes a standardized spatial grid framework (150 m × 150 m), enabling a consistent assessment of service coverage and density over time.</w:t>
      </w:r>
    </w:p>
    <w:p w14:paraId="0A8AC8F0" w14:textId="7777777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Grids were categorized into ten SR density classes, ranging from grids with zero connections to those with more than 90. This classification facilitates the identification of spatial trends in service penetration, highlighting both areas of rapid expansion and those requiring targeted interventions.</w:t>
      </w:r>
    </w:p>
    <w:p w14:paraId="2A238CC4" w14:textId="77777777" w:rsidR="00C167F2" w:rsidRDefault="00C167F2" w:rsidP="00C167F2">
      <w:pPr>
        <w:spacing w:after="0" w:line="240" w:lineRule="auto"/>
        <w:jc w:val="both"/>
        <w:rPr>
          <w:rFonts w:ascii="Arial" w:hAnsi="Arial" w:cs="Arial"/>
          <w:b/>
          <w:bCs/>
          <w:sz w:val="20"/>
          <w:szCs w:val="20"/>
        </w:rPr>
      </w:pPr>
    </w:p>
    <w:p w14:paraId="094B4807" w14:textId="147A127A" w:rsidR="00C167F2" w:rsidRPr="00C167F2" w:rsidRDefault="00C167F2" w:rsidP="00C167F2">
      <w:pPr>
        <w:spacing w:after="0" w:line="240" w:lineRule="auto"/>
        <w:jc w:val="both"/>
        <w:rPr>
          <w:rFonts w:ascii="Arial" w:hAnsi="Arial" w:cs="Arial"/>
          <w:sz w:val="20"/>
          <w:szCs w:val="20"/>
        </w:rPr>
      </w:pPr>
      <w:r w:rsidRPr="00C167F2">
        <w:rPr>
          <w:rFonts w:ascii="Arial" w:hAnsi="Arial" w:cs="Arial"/>
          <w:b/>
          <w:bCs/>
          <w:sz w:val="20"/>
          <w:szCs w:val="20"/>
        </w:rPr>
        <w:t xml:space="preserve">Figure 3. </w:t>
      </w:r>
      <w:r w:rsidRPr="00C167F2">
        <w:rPr>
          <w:rFonts w:ascii="Arial" w:hAnsi="Arial" w:cs="Arial"/>
          <w:sz w:val="20"/>
          <w:szCs w:val="20"/>
        </w:rPr>
        <w:t xml:space="preserve">Spatial Distribution of SR Grid Classifications in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(2039–2044)</w:t>
      </w:r>
    </w:p>
    <w:p w14:paraId="4F26C22E" w14:textId="77777777" w:rsidR="00C167F2" w:rsidRDefault="00C167F2" w:rsidP="00C167F2">
      <w:pPr>
        <w:spacing w:after="0" w:line="240" w:lineRule="auto"/>
        <w:jc w:val="both"/>
        <w:rPr>
          <w:rFonts w:ascii="Arial" w:hAnsi="Arial" w:cs="Arial"/>
          <w:sz w:val="20"/>
          <w:szCs w:val="20"/>
        </w:rPr>
      </w:pPr>
    </w:p>
    <w:p w14:paraId="1CF42DEA" w14:textId="77777777" w:rsidR="00C167F2" w:rsidRDefault="00C167F2" w:rsidP="00C167F2">
      <w:pPr>
        <w:spacing w:after="0" w:line="240" w:lineRule="auto"/>
        <w:jc w:val="both"/>
        <w:rPr>
          <w:rFonts w:ascii="Arial" w:hAnsi="Arial" w:cs="Arial"/>
          <w:sz w:val="20"/>
          <w:szCs w:val="20"/>
        </w:rPr>
      </w:pPr>
      <w:r>
        <w:rPr>
          <w:rFonts w:ascii="Times New Roman" w:hAnsi="Times New Roman" w:cs="Times New Roman"/>
          <w:noProof/>
          <w:color w:val="000000" w:themeColor="text1"/>
          <w:sz w:val="10"/>
          <w:szCs w:val="10"/>
          <w:lang w:val="en-GB"/>
        </w:rPr>
        <w:lastRenderedPageBreak/>
        <w:drawing>
          <wp:inline distT="0" distB="0" distL="0" distR="0" wp14:anchorId="5E921D42" wp14:editId="1918BED4">
            <wp:extent cx="5091113" cy="3110846"/>
            <wp:effectExtent l="0" t="0" r="0" b="0"/>
            <wp:docPr id="1196315476" name="Picture 1196315476" descr="A map of the state of tex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15476" name="Picture 1196315476" descr="A map of the state of texa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496" cy="3118412"/>
                    </a:xfrm>
                    <a:prstGeom prst="rect">
                      <a:avLst/>
                    </a:prstGeom>
                    <a:noFill/>
                    <a:ln>
                      <a:noFill/>
                    </a:ln>
                  </pic:spPr>
                </pic:pic>
              </a:graphicData>
            </a:graphic>
          </wp:inline>
        </w:drawing>
      </w:r>
      <w:r>
        <w:rPr>
          <w:rFonts w:ascii="Times New Roman" w:hAnsi="Times New Roman" w:cs="Times New Roman"/>
          <w:noProof/>
          <w:color w:val="000000" w:themeColor="text1"/>
          <w:sz w:val="10"/>
          <w:szCs w:val="10"/>
          <w:lang w:val="en-GB"/>
        </w:rPr>
        <w:drawing>
          <wp:inline distT="0" distB="0" distL="0" distR="0" wp14:anchorId="17030190" wp14:editId="695FBE69">
            <wp:extent cx="5220000" cy="3171600"/>
            <wp:effectExtent l="0" t="0" r="0" b="0"/>
            <wp:docPr id="1207082044" name="Picture 120708204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p of a cit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3171600"/>
                    </a:xfrm>
                    <a:prstGeom prst="rect">
                      <a:avLst/>
                    </a:prstGeom>
                    <a:noFill/>
                    <a:ln>
                      <a:noFill/>
                    </a:ln>
                  </pic:spPr>
                </pic:pic>
              </a:graphicData>
            </a:graphic>
          </wp:inline>
        </w:drawing>
      </w:r>
    </w:p>
    <w:p w14:paraId="0448ADE2" w14:textId="77777777" w:rsidR="00C167F2" w:rsidRPr="00C167F2" w:rsidRDefault="00C167F2" w:rsidP="00C167F2">
      <w:pPr>
        <w:spacing w:after="0" w:line="240" w:lineRule="auto"/>
        <w:jc w:val="both"/>
        <w:rPr>
          <w:rFonts w:ascii="Arial" w:hAnsi="Arial" w:cs="Arial"/>
          <w:sz w:val="20"/>
          <w:szCs w:val="20"/>
        </w:rPr>
      </w:pPr>
    </w:p>
    <w:p w14:paraId="7A17DB8F" w14:textId="77777777" w:rsidR="00C167F2" w:rsidRDefault="00C167F2" w:rsidP="00C167F2">
      <w:pPr>
        <w:spacing w:after="0" w:line="240" w:lineRule="auto"/>
        <w:jc w:val="both"/>
        <w:rPr>
          <w:rFonts w:ascii="Arial" w:hAnsi="Arial" w:cs="Arial"/>
          <w:b/>
          <w:bCs/>
          <w:sz w:val="20"/>
          <w:szCs w:val="20"/>
        </w:rPr>
      </w:pPr>
    </w:p>
    <w:p w14:paraId="2816E7CC" w14:textId="73435B70" w:rsidR="00C167F2" w:rsidRPr="00C167F2" w:rsidRDefault="00C167F2" w:rsidP="00C167F2">
      <w:pPr>
        <w:spacing w:after="0" w:line="240" w:lineRule="auto"/>
        <w:jc w:val="center"/>
        <w:rPr>
          <w:rFonts w:ascii="Arial" w:hAnsi="Arial" w:cs="Arial"/>
          <w:sz w:val="20"/>
          <w:szCs w:val="20"/>
        </w:rPr>
      </w:pPr>
      <w:r w:rsidRPr="00C167F2">
        <w:rPr>
          <w:rFonts w:ascii="Arial" w:hAnsi="Arial" w:cs="Arial"/>
          <w:b/>
          <w:bCs/>
          <w:sz w:val="20"/>
          <w:szCs w:val="20"/>
        </w:rPr>
        <w:t>Table 3. Number of Grids per SR Density Class (2024–2044)</w:t>
      </w:r>
    </w:p>
    <w:tbl>
      <w:tblPr>
        <w:tblStyle w:val="TableGrid"/>
        <w:tblW w:w="0" w:type="auto"/>
        <w:tblLook w:val="04A0" w:firstRow="1" w:lastRow="0" w:firstColumn="1" w:lastColumn="0" w:noHBand="0" w:noVBand="1"/>
      </w:tblPr>
      <w:tblGrid>
        <w:gridCol w:w="2940"/>
        <w:gridCol w:w="1850"/>
        <w:gridCol w:w="828"/>
        <w:gridCol w:w="828"/>
        <w:gridCol w:w="828"/>
        <w:gridCol w:w="828"/>
        <w:gridCol w:w="828"/>
      </w:tblGrid>
      <w:tr w:rsidR="00C167F2" w:rsidRPr="00C167F2" w14:paraId="62267FEF" w14:textId="77777777" w:rsidTr="00C167F2">
        <w:tc>
          <w:tcPr>
            <w:tcW w:w="0" w:type="auto"/>
            <w:hideMark/>
          </w:tcPr>
          <w:p w14:paraId="11C739E1"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No</w:t>
            </w:r>
          </w:p>
        </w:tc>
        <w:tc>
          <w:tcPr>
            <w:tcW w:w="0" w:type="auto"/>
            <w:hideMark/>
          </w:tcPr>
          <w:p w14:paraId="23042C21"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SR Classification</w:t>
            </w:r>
          </w:p>
        </w:tc>
        <w:tc>
          <w:tcPr>
            <w:tcW w:w="0" w:type="auto"/>
            <w:hideMark/>
          </w:tcPr>
          <w:p w14:paraId="721DBB16"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2024</w:t>
            </w:r>
          </w:p>
        </w:tc>
        <w:tc>
          <w:tcPr>
            <w:tcW w:w="0" w:type="auto"/>
            <w:hideMark/>
          </w:tcPr>
          <w:p w14:paraId="799F37AB"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2029</w:t>
            </w:r>
          </w:p>
        </w:tc>
        <w:tc>
          <w:tcPr>
            <w:tcW w:w="0" w:type="auto"/>
            <w:hideMark/>
          </w:tcPr>
          <w:p w14:paraId="6C27A4E9"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2034</w:t>
            </w:r>
          </w:p>
        </w:tc>
        <w:tc>
          <w:tcPr>
            <w:tcW w:w="0" w:type="auto"/>
            <w:hideMark/>
          </w:tcPr>
          <w:p w14:paraId="47EE8058"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2039</w:t>
            </w:r>
          </w:p>
        </w:tc>
        <w:tc>
          <w:tcPr>
            <w:tcW w:w="0" w:type="auto"/>
            <w:hideMark/>
          </w:tcPr>
          <w:p w14:paraId="23BE99FF" w14:textId="77777777" w:rsidR="00C167F2" w:rsidRPr="00C167F2" w:rsidRDefault="00C167F2" w:rsidP="00C167F2">
            <w:pPr>
              <w:jc w:val="both"/>
              <w:rPr>
                <w:rFonts w:ascii="Arial" w:hAnsi="Arial" w:cs="Arial"/>
                <w:b/>
                <w:bCs/>
                <w:sz w:val="20"/>
                <w:szCs w:val="20"/>
              </w:rPr>
            </w:pPr>
            <w:r w:rsidRPr="00C167F2">
              <w:rPr>
                <w:rFonts w:ascii="Arial" w:hAnsi="Arial" w:cs="Arial"/>
                <w:b/>
                <w:bCs/>
                <w:sz w:val="20"/>
                <w:szCs w:val="20"/>
              </w:rPr>
              <w:t>2044</w:t>
            </w:r>
          </w:p>
        </w:tc>
      </w:tr>
      <w:tr w:rsidR="00C167F2" w:rsidRPr="00C167F2" w14:paraId="6A34E4CE" w14:textId="77777777" w:rsidTr="00C167F2">
        <w:tc>
          <w:tcPr>
            <w:tcW w:w="0" w:type="auto"/>
            <w:hideMark/>
          </w:tcPr>
          <w:p w14:paraId="7A06EBC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w:t>
            </w:r>
          </w:p>
        </w:tc>
        <w:tc>
          <w:tcPr>
            <w:tcW w:w="0" w:type="auto"/>
            <w:hideMark/>
          </w:tcPr>
          <w:p w14:paraId="7690507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196AD16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9,175</w:t>
            </w:r>
          </w:p>
        </w:tc>
        <w:tc>
          <w:tcPr>
            <w:tcW w:w="0" w:type="auto"/>
            <w:hideMark/>
          </w:tcPr>
          <w:p w14:paraId="31F0018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8,476</w:t>
            </w:r>
          </w:p>
        </w:tc>
        <w:tc>
          <w:tcPr>
            <w:tcW w:w="0" w:type="auto"/>
            <w:hideMark/>
          </w:tcPr>
          <w:p w14:paraId="5F76AEB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7,743</w:t>
            </w:r>
          </w:p>
        </w:tc>
        <w:tc>
          <w:tcPr>
            <w:tcW w:w="0" w:type="auto"/>
            <w:hideMark/>
          </w:tcPr>
          <w:p w14:paraId="6718ADA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7,314</w:t>
            </w:r>
          </w:p>
        </w:tc>
        <w:tc>
          <w:tcPr>
            <w:tcW w:w="0" w:type="auto"/>
            <w:hideMark/>
          </w:tcPr>
          <w:p w14:paraId="38CB4C2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6,779</w:t>
            </w:r>
          </w:p>
        </w:tc>
      </w:tr>
      <w:tr w:rsidR="00C167F2" w:rsidRPr="00C167F2" w14:paraId="72983787" w14:textId="77777777" w:rsidTr="00C167F2">
        <w:tc>
          <w:tcPr>
            <w:tcW w:w="0" w:type="auto"/>
            <w:hideMark/>
          </w:tcPr>
          <w:p w14:paraId="0A3AA9F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079787F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 – 2</w:t>
            </w:r>
          </w:p>
        </w:tc>
        <w:tc>
          <w:tcPr>
            <w:tcW w:w="0" w:type="auto"/>
            <w:hideMark/>
          </w:tcPr>
          <w:p w14:paraId="5B4774F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2,627</w:t>
            </w:r>
          </w:p>
        </w:tc>
        <w:tc>
          <w:tcPr>
            <w:tcW w:w="0" w:type="auto"/>
            <w:hideMark/>
          </w:tcPr>
          <w:p w14:paraId="5F5EA2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3,117</w:t>
            </w:r>
          </w:p>
        </w:tc>
        <w:tc>
          <w:tcPr>
            <w:tcW w:w="0" w:type="auto"/>
            <w:hideMark/>
          </w:tcPr>
          <w:p w14:paraId="4C83B43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3,576</w:t>
            </w:r>
          </w:p>
        </w:tc>
        <w:tc>
          <w:tcPr>
            <w:tcW w:w="0" w:type="auto"/>
            <w:hideMark/>
          </w:tcPr>
          <w:p w14:paraId="73A56D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3,724</w:t>
            </w:r>
          </w:p>
        </w:tc>
        <w:tc>
          <w:tcPr>
            <w:tcW w:w="0" w:type="auto"/>
            <w:hideMark/>
          </w:tcPr>
          <w:p w14:paraId="2C69D18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4,025</w:t>
            </w:r>
          </w:p>
        </w:tc>
      </w:tr>
      <w:tr w:rsidR="00C167F2" w:rsidRPr="00C167F2" w14:paraId="60C8DB1C" w14:textId="77777777" w:rsidTr="00C167F2">
        <w:tc>
          <w:tcPr>
            <w:tcW w:w="0" w:type="auto"/>
            <w:hideMark/>
          </w:tcPr>
          <w:p w14:paraId="5497302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w:t>
            </w:r>
          </w:p>
        </w:tc>
        <w:tc>
          <w:tcPr>
            <w:tcW w:w="0" w:type="auto"/>
            <w:hideMark/>
          </w:tcPr>
          <w:p w14:paraId="47200B2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 – 6</w:t>
            </w:r>
          </w:p>
        </w:tc>
        <w:tc>
          <w:tcPr>
            <w:tcW w:w="0" w:type="auto"/>
            <w:hideMark/>
          </w:tcPr>
          <w:p w14:paraId="3359E5F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197</w:t>
            </w:r>
          </w:p>
        </w:tc>
        <w:tc>
          <w:tcPr>
            <w:tcW w:w="0" w:type="auto"/>
            <w:hideMark/>
          </w:tcPr>
          <w:p w14:paraId="1AD6F63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370</w:t>
            </w:r>
          </w:p>
        </w:tc>
        <w:tc>
          <w:tcPr>
            <w:tcW w:w="0" w:type="auto"/>
            <w:hideMark/>
          </w:tcPr>
          <w:p w14:paraId="43AF6CA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586</w:t>
            </w:r>
          </w:p>
        </w:tc>
        <w:tc>
          <w:tcPr>
            <w:tcW w:w="0" w:type="auto"/>
            <w:hideMark/>
          </w:tcPr>
          <w:p w14:paraId="3BE7F4A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805</w:t>
            </w:r>
          </w:p>
        </w:tc>
        <w:tc>
          <w:tcPr>
            <w:tcW w:w="0" w:type="auto"/>
            <w:hideMark/>
          </w:tcPr>
          <w:p w14:paraId="4CA13DB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944</w:t>
            </w:r>
          </w:p>
        </w:tc>
      </w:tr>
      <w:tr w:rsidR="00C167F2" w:rsidRPr="00C167F2" w14:paraId="26644AD6" w14:textId="77777777" w:rsidTr="00C167F2">
        <w:tc>
          <w:tcPr>
            <w:tcW w:w="0" w:type="auto"/>
            <w:hideMark/>
          </w:tcPr>
          <w:p w14:paraId="148AAE4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274C528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 – 12</w:t>
            </w:r>
          </w:p>
        </w:tc>
        <w:tc>
          <w:tcPr>
            <w:tcW w:w="0" w:type="auto"/>
            <w:hideMark/>
          </w:tcPr>
          <w:p w14:paraId="3606C72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w:t>
            </w:r>
          </w:p>
        </w:tc>
        <w:tc>
          <w:tcPr>
            <w:tcW w:w="0" w:type="auto"/>
            <w:hideMark/>
          </w:tcPr>
          <w:p w14:paraId="3D121EC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51</w:t>
            </w:r>
          </w:p>
        </w:tc>
        <w:tc>
          <w:tcPr>
            <w:tcW w:w="0" w:type="auto"/>
            <w:hideMark/>
          </w:tcPr>
          <w:p w14:paraId="7B3346F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93</w:t>
            </w:r>
          </w:p>
        </w:tc>
        <w:tc>
          <w:tcPr>
            <w:tcW w:w="0" w:type="auto"/>
            <w:hideMark/>
          </w:tcPr>
          <w:p w14:paraId="7936D5B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137</w:t>
            </w:r>
          </w:p>
        </w:tc>
        <w:tc>
          <w:tcPr>
            <w:tcW w:w="0" w:type="auto"/>
            <w:hideMark/>
          </w:tcPr>
          <w:p w14:paraId="47B2834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210</w:t>
            </w:r>
          </w:p>
        </w:tc>
      </w:tr>
      <w:tr w:rsidR="00C167F2" w:rsidRPr="00C167F2" w14:paraId="3CCFF43A" w14:textId="77777777" w:rsidTr="00C167F2">
        <w:tc>
          <w:tcPr>
            <w:tcW w:w="0" w:type="auto"/>
            <w:hideMark/>
          </w:tcPr>
          <w:p w14:paraId="7097C51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c>
          <w:tcPr>
            <w:tcW w:w="0" w:type="auto"/>
            <w:hideMark/>
          </w:tcPr>
          <w:p w14:paraId="0971CD6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13 – 20</w:t>
            </w:r>
          </w:p>
        </w:tc>
        <w:tc>
          <w:tcPr>
            <w:tcW w:w="0" w:type="auto"/>
            <w:hideMark/>
          </w:tcPr>
          <w:p w14:paraId="6DE23A4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12</w:t>
            </w:r>
          </w:p>
        </w:tc>
        <w:tc>
          <w:tcPr>
            <w:tcW w:w="0" w:type="auto"/>
            <w:hideMark/>
          </w:tcPr>
          <w:p w14:paraId="1AE3207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1661718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22</w:t>
            </w:r>
          </w:p>
        </w:tc>
        <w:tc>
          <w:tcPr>
            <w:tcW w:w="0" w:type="auto"/>
            <w:hideMark/>
          </w:tcPr>
          <w:p w14:paraId="334D7BB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34</w:t>
            </w:r>
          </w:p>
        </w:tc>
        <w:tc>
          <w:tcPr>
            <w:tcW w:w="0" w:type="auto"/>
            <w:hideMark/>
          </w:tcPr>
          <w:p w14:paraId="3E9031B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55</w:t>
            </w:r>
          </w:p>
        </w:tc>
      </w:tr>
      <w:tr w:rsidR="00C167F2" w:rsidRPr="00C167F2" w14:paraId="0684724D" w14:textId="77777777" w:rsidTr="00C167F2">
        <w:tc>
          <w:tcPr>
            <w:tcW w:w="0" w:type="auto"/>
            <w:hideMark/>
          </w:tcPr>
          <w:p w14:paraId="10D9182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737F99A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21 – 30</w:t>
            </w:r>
          </w:p>
        </w:tc>
        <w:tc>
          <w:tcPr>
            <w:tcW w:w="0" w:type="auto"/>
            <w:hideMark/>
          </w:tcPr>
          <w:p w14:paraId="0135A80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027CF09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0E26799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7514808A"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2E94336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r>
      <w:tr w:rsidR="00C167F2" w:rsidRPr="00C167F2" w14:paraId="1E69EE63" w14:textId="77777777" w:rsidTr="00C167F2">
        <w:tc>
          <w:tcPr>
            <w:tcW w:w="0" w:type="auto"/>
            <w:hideMark/>
          </w:tcPr>
          <w:p w14:paraId="2221A7D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7</w:t>
            </w:r>
          </w:p>
        </w:tc>
        <w:tc>
          <w:tcPr>
            <w:tcW w:w="0" w:type="auto"/>
            <w:hideMark/>
          </w:tcPr>
          <w:p w14:paraId="003017C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31 – 45</w:t>
            </w:r>
          </w:p>
        </w:tc>
        <w:tc>
          <w:tcPr>
            <w:tcW w:w="0" w:type="auto"/>
            <w:hideMark/>
          </w:tcPr>
          <w:p w14:paraId="500DFE9F"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43EDE9DD"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c>
          <w:tcPr>
            <w:tcW w:w="0" w:type="auto"/>
            <w:hideMark/>
          </w:tcPr>
          <w:p w14:paraId="19318BD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1CCDA42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w:t>
            </w:r>
          </w:p>
        </w:tc>
        <w:tc>
          <w:tcPr>
            <w:tcW w:w="0" w:type="auto"/>
            <w:hideMark/>
          </w:tcPr>
          <w:p w14:paraId="181FFE4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r>
      <w:tr w:rsidR="00C167F2" w:rsidRPr="00C167F2" w14:paraId="2B40C51F" w14:textId="77777777" w:rsidTr="00C167F2">
        <w:tc>
          <w:tcPr>
            <w:tcW w:w="0" w:type="auto"/>
            <w:hideMark/>
          </w:tcPr>
          <w:p w14:paraId="60EB1F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8</w:t>
            </w:r>
          </w:p>
        </w:tc>
        <w:tc>
          <w:tcPr>
            <w:tcW w:w="0" w:type="auto"/>
            <w:hideMark/>
          </w:tcPr>
          <w:p w14:paraId="37278C3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46 – 65</w:t>
            </w:r>
          </w:p>
        </w:tc>
        <w:tc>
          <w:tcPr>
            <w:tcW w:w="0" w:type="auto"/>
            <w:hideMark/>
          </w:tcPr>
          <w:p w14:paraId="033BFCB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2F59E7C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271E3A41"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5</w:t>
            </w:r>
          </w:p>
        </w:tc>
        <w:tc>
          <w:tcPr>
            <w:tcW w:w="0" w:type="auto"/>
            <w:hideMark/>
          </w:tcPr>
          <w:p w14:paraId="4DADA27C"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12</w:t>
            </w:r>
          </w:p>
        </w:tc>
        <w:tc>
          <w:tcPr>
            <w:tcW w:w="0" w:type="auto"/>
            <w:hideMark/>
          </w:tcPr>
          <w:p w14:paraId="193F44D8"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r>
      <w:tr w:rsidR="00C167F2" w:rsidRPr="00C167F2" w14:paraId="6CBC17BB" w14:textId="77777777" w:rsidTr="00C167F2">
        <w:tc>
          <w:tcPr>
            <w:tcW w:w="0" w:type="auto"/>
            <w:hideMark/>
          </w:tcPr>
          <w:p w14:paraId="6ED70802"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w:t>
            </w:r>
          </w:p>
        </w:tc>
        <w:tc>
          <w:tcPr>
            <w:tcW w:w="0" w:type="auto"/>
            <w:hideMark/>
          </w:tcPr>
          <w:p w14:paraId="4A5B151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66 – 90</w:t>
            </w:r>
          </w:p>
        </w:tc>
        <w:tc>
          <w:tcPr>
            <w:tcW w:w="0" w:type="auto"/>
            <w:hideMark/>
          </w:tcPr>
          <w:p w14:paraId="2344B740"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1E36C5F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3654E1D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c>
          <w:tcPr>
            <w:tcW w:w="0" w:type="auto"/>
            <w:hideMark/>
          </w:tcPr>
          <w:p w14:paraId="71695B9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3</w:t>
            </w:r>
          </w:p>
        </w:tc>
        <w:tc>
          <w:tcPr>
            <w:tcW w:w="0" w:type="auto"/>
            <w:hideMark/>
          </w:tcPr>
          <w:p w14:paraId="71EB58D7"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6</w:t>
            </w:r>
          </w:p>
        </w:tc>
      </w:tr>
      <w:tr w:rsidR="00C167F2" w:rsidRPr="00C167F2" w14:paraId="11FE7C3D" w14:textId="77777777" w:rsidTr="00C167F2">
        <w:tc>
          <w:tcPr>
            <w:tcW w:w="0" w:type="auto"/>
            <w:hideMark/>
          </w:tcPr>
          <w:p w14:paraId="06E742DE"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10</w:t>
            </w:r>
          </w:p>
        </w:tc>
        <w:tc>
          <w:tcPr>
            <w:tcW w:w="0" w:type="auto"/>
            <w:hideMark/>
          </w:tcPr>
          <w:p w14:paraId="70FD01B5"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91 – 123</w:t>
            </w:r>
          </w:p>
        </w:tc>
        <w:tc>
          <w:tcPr>
            <w:tcW w:w="0" w:type="auto"/>
            <w:hideMark/>
          </w:tcPr>
          <w:p w14:paraId="35376C66"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2A465169"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66ADE024"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0</w:t>
            </w:r>
          </w:p>
        </w:tc>
        <w:tc>
          <w:tcPr>
            <w:tcW w:w="0" w:type="auto"/>
            <w:hideMark/>
          </w:tcPr>
          <w:p w14:paraId="377CAB5B"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1</w:t>
            </w:r>
          </w:p>
        </w:tc>
        <w:tc>
          <w:tcPr>
            <w:tcW w:w="0" w:type="auto"/>
            <w:hideMark/>
          </w:tcPr>
          <w:p w14:paraId="44C69993" w14:textId="77777777" w:rsidR="00C167F2" w:rsidRPr="00C167F2" w:rsidRDefault="00C167F2" w:rsidP="00C167F2">
            <w:pPr>
              <w:jc w:val="both"/>
              <w:rPr>
                <w:rFonts w:ascii="Arial" w:hAnsi="Arial" w:cs="Arial"/>
                <w:sz w:val="20"/>
                <w:szCs w:val="20"/>
              </w:rPr>
            </w:pPr>
            <w:r w:rsidRPr="00C167F2">
              <w:rPr>
                <w:rFonts w:ascii="Arial" w:hAnsi="Arial" w:cs="Arial"/>
                <w:sz w:val="20"/>
                <w:szCs w:val="20"/>
              </w:rPr>
              <w:t>2</w:t>
            </w:r>
          </w:p>
        </w:tc>
      </w:tr>
      <w:tr w:rsidR="00C167F2" w:rsidRPr="00C167F2" w14:paraId="6419EE30" w14:textId="77777777" w:rsidTr="00C167F2">
        <w:tc>
          <w:tcPr>
            <w:tcW w:w="0" w:type="auto"/>
            <w:hideMark/>
          </w:tcPr>
          <w:p w14:paraId="6AF0EFD9" w14:textId="77777777" w:rsidR="00C167F2" w:rsidRPr="00C167F2" w:rsidRDefault="00C167F2" w:rsidP="00C167F2">
            <w:pPr>
              <w:jc w:val="both"/>
              <w:rPr>
                <w:rFonts w:ascii="Arial" w:hAnsi="Arial" w:cs="Arial"/>
                <w:sz w:val="20"/>
                <w:szCs w:val="20"/>
              </w:rPr>
            </w:pPr>
          </w:p>
        </w:tc>
        <w:tc>
          <w:tcPr>
            <w:tcW w:w="0" w:type="auto"/>
            <w:hideMark/>
          </w:tcPr>
          <w:p w14:paraId="382E40CF"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Total</w:t>
            </w:r>
          </w:p>
        </w:tc>
        <w:tc>
          <w:tcPr>
            <w:tcW w:w="0" w:type="auto"/>
            <w:hideMark/>
          </w:tcPr>
          <w:p w14:paraId="61790B1B"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7BABF6B4"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0F2446D0"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7DBD50EE"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c>
          <w:tcPr>
            <w:tcW w:w="0" w:type="auto"/>
            <w:hideMark/>
          </w:tcPr>
          <w:p w14:paraId="62D6C394" w14:textId="77777777" w:rsidR="00C167F2" w:rsidRPr="00C167F2" w:rsidRDefault="00C167F2" w:rsidP="00C167F2">
            <w:pPr>
              <w:jc w:val="both"/>
              <w:rPr>
                <w:rFonts w:ascii="Arial" w:hAnsi="Arial" w:cs="Arial"/>
                <w:sz w:val="20"/>
                <w:szCs w:val="20"/>
              </w:rPr>
            </w:pPr>
            <w:r w:rsidRPr="00C167F2">
              <w:rPr>
                <w:rFonts w:ascii="Arial" w:hAnsi="Arial" w:cs="Arial"/>
                <w:b/>
                <w:bCs/>
                <w:sz w:val="20"/>
                <w:szCs w:val="20"/>
              </w:rPr>
              <w:t>12,040</w:t>
            </w:r>
          </w:p>
        </w:tc>
      </w:tr>
      <w:tr w:rsidR="00C167F2" w:rsidRPr="00C167F2" w14:paraId="2DCC920F" w14:textId="77777777" w:rsidTr="00C167F2">
        <w:tc>
          <w:tcPr>
            <w:tcW w:w="0" w:type="auto"/>
            <w:hideMark/>
          </w:tcPr>
          <w:p w14:paraId="51D39714" w14:textId="77777777" w:rsidR="00C167F2" w:rsidRPr="00C167F2" w:rsidRDefault="00C167F2" w:rsidP="00C167F2">
            <w:pPr>
              <w:jc w:val="both"/>
              <w:rPr>
                <w:rFonts w:ascii="Arial" w:hAnsi="Arial" w:cs="Arial"/>
                <w:sz w:val="20"/>
                <w:szCs w:val="20"/>
              </w:rPr>
            </w:pPr>
            <w:r w:rsidRPr="00C167F2">
              <w:rPr>
                <w:rFonts w:ascii="Arial" w:hAnsi="Arial" w:cs="Arial"/>
                <w:i/>
                <w:iCs/>
                <w:sz w:val="20"/>
                <w:szCs w:val="20"/>
              </w:rPr>
              <w:t>Source: Processed Data, 2024</w:t>
            </w:r>
          </w:p>
        </w:tc>
        <w:tc>
          <w:tcPr>
            <w:tcW w:w="0" w:type="auto"/>
            <w:hideMark/>
          </w:tcPr>
          <w:p w14:paraId="3D57CCD5" w14:textId="77777777" w:rsidR="00C167F2" w:rsidRPr="00C167F2" w:rsidRDefault="00C167F2" w:rsidP="00C167F2">
            <w:pPr>
              <w:jc w:val="both"/>
              <w:rPr>
                <w:rFonts w:ascii="Arial" w:hAnsi="Arial" w:cs="Arial"/>
                <w:sz w:val="20"/>
                <w:szCs w:val="20"/>
              </w:rPr>
            </w:pPr>
          </w:p>
        </w:tc>
        <w:tc>
          <w:tcPr>
            <w:tcW w:w="0" w:type="auto"/>
            <w:hideMark/>
          </w:tcPr>
          <w:p w14:paraId="6C59D6CD" w14:textId="77777777" w:rsidR="00C167F2" w:rsidRPr="00C167F2" w:rsidRDefault="00C167F2" w:rsidP="00C167F2">
            <w:pPr>
              <w:jc w:val="both"/>
              <w:rPr>
                <w:rFonts w:ascii="Arial" w:hAnsi="Arial" w:cs="Arial"/>
                <w:sz w:val="20"/>
                <w:szCs w:val="20"/>
              </w:rPr>
            </w:pPr>
          </w:p>
        </w:tc>
        <w:tc>
          <w:tcPr>
            <w:tcW w:w="0" w:type="auto"/>
            <w:hideMark/>
          </w:tcPr>
          <w:p w14:paraId="4D9264FE" w14:textId="77777777" w:rsidR="00C167F2" w:rsidRPr="00C167F2" w:rsidRDefault="00C167F2" w:rsidP="00C167F2">
            <w:pPr>
              <w:jc w:val="both"/>
              <w:rPr>
                <w:rFonts w:ascii="Arial" w:hAnsi="Arial" w:cs="Arial"/>
                <w:sz w:val="20"/>
                <w:szCs w:val="20"/>
              </w:rPr>
            </w:pPr>
          </w:p>
        </w:tc>
        <w:tc>
          <w:tcPr>
            <w:tcW w:w="0" w:type="auto"/>
            <w:hideMark/>
          </w:tcPr>
          <w:p w14:paraId="04393B1F" w14:textId="77777777" w:rsidR="00C167F2" w:rsidRPr="00C167F2" w:rsidRDefault="00C167F2" w:rsidP="00C167F2">
            <w:pPr>
              <w:jc w:val="both"/>
              <w:rPr>
                <w:rFonts w:ascii="Arial" w:hAnsi="Arial" w:cs="Arial"/>
                <w:sz w:val="20"/>
                <w:szCs w:val="20"/>
              </w:rPr>
            </w:pPr>
          </w:p>
        </w:tc>
        <w:tc>
          <w:tcPr>
            <w:tcW w:w="0" w:type="auto"/>
            <w:hideMark/>
          </w:tcPr>
          <w:p w14:paraId="229DB562" w14:textId="77777777" w:rsidR="00C167F2" w:rsidRPr="00C167F2" w:rsidRDefault="00C167F2" w:rsidP="00C167F2">
            <w:pPr>
              <w:jc w:val="both"/>
              <w:rPr>
                <w:rFonts w:ascii="Arial" w:hAnsi="Arial" w:cs="Arial"/>
                <w:sz w:val="20"/>
                <w:szCs w:val="20"/>
              </w:rPr>
            </w:pPr>
          </w:p>
        </w:tc>
        <w:tc>
          <w:tcPr>
            <w:tcW w:w="0" w:type="auto"/>
            <w:hideMark/>
          </w:tcPr>
          <w:p w14:paraId="17442F05" w14:textId="77777777" w:rsidR="00C167F2" w:rsidRPr="00C167F2" w:rsidRDefault="00C167F2" w:rsidP="00C167F2">
            <w:pPr>
              <w:jc w:val="both"/>
              <w:rPr>
                <w:rFonts w:ascii="Arial" w:hAnsi="Arial" w:cs="Arial"/>
                <w:sz w:val="20"/>
                <w:szCs w:val="20"/>
              </w:rPr>
            </w:pPr>
          </w:p>
        </w:tc>
      </w:tr>
    </w:tbl>
    <w:p w14:paraId="6D8964A6" w14:textId="77777777" w:rsidR="00C167F2" w:rsidRDefault="00C167F2" w:rsidP="00C167F2">
      <w:pPr>
        <w:spacing w:after="0" w:line="240" w:lineRule="auto"/>
        <w:jc w:val="both"/>
        <w:rPr>
          <w:rFonts w:ascii="Arial" w:hAnsi="Arial" w:cs="Arial"/>
          <w:sz w:val="20"/>
          <w:szCs w:val="20"/>
        </w:rPr>
      </w:pPr>
    </w:p>
    <w:p w14:paraId="1C0C089E" w14:textId="54D79559"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lastRenderedPageBreak/>
        <w:t>The number of grids with no SR connections decreases steadily from 9,175 in 2024 to 6,779 by 2044, indicating a progressive expansion of piped water coverage. Simultaneously, grids within higher SR density classes, particularly the “1–2 SRs,” “3–6 SRs,” and “7–12 SRs” brackets, show consistent growth, both in absolute numbers and in spatial spread.</w:t>
      </w:r>
    </w:p>
    <w:p w14:paraId="22EA5025" w14:textId="77777777" w:rsidR="00C167F2" w:rsidRDefault="00C167F2" w:rsidP="00C167F2">
      <w:pPr>
        <w:spacing w:after="0" w:line="240" w:lineRule="auto"/>
        <w:jc w:val="both"/>
        <w:rPr>
          <w:rFonts w:ascii="Arial" w:hAnsi="Arial" w:cs="Arial"/>
          <w:sz w:val="20"/>
          <w:szCs w:val="20"/>
        </w:rPr>
      </w:pPr>
    </w:p>
    <w:p w14:paraId="3DB4A2E6" w14:textId="6EB2D4D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dominance of the “1–2 SRs” class throughout the planning horizon suggests that network expansion is initially focused on peripheral or low-density zones, rather than intensifying in already serviced urban cores. This pattern reflects an equitable distribution strategy, potentially driven by policy priorities on universal access and alignment with projected urban growth corridors.</w:t>
      </w:r>
      <w:r>
        <w:rPr>
          <w:rFonts w:ascii="Arial" w:hAnsi="Arial" w:cs="Arial"/>
          <w:sz w:val="20"/>
          <w:szCs w:val="20"/>
        </w:rPr>
        <w:t xml:space="preserve"> </w:t>
      </w:r>
      <w:r w:rsidRPr="00C167F2">
        <w:rPr>
          <w:rFonts w:ascii="Arial" w:hAnsi="Arial" w:cs="Arial"/>
          <w:sz w:val="20"/>
          <w:szCs w:val="20"/>
        </w:rPr>
        <w:t>Furthermore, the growth in medium-density classes such as “3–6 SRs” and “7–12 SRs” by 2044 indicates not only geographic expansion but also local densification within partially served areas. This aligns with the broader objective of phased network densification and systematic reduction of service disparities.</w:t>
      </w:r>
    </w:p>
    <w:p w14:paraId="3A608C71" w14:textId="77777777" w:rsidR="00C167F2" w:rsidRDefault="00C167F2" w:rsidP="00C167F2">
      <w:pPr>
        <w:spacing w:after="0" w:line="240" w:lineRule="auto"/>
        <w:jc w:val="both"/>
        <w:rPr>
          <w:rFonts w:ascii="Arial" w:hAnsi="Arial" w:cs="Arial"/>
          <w:sz w:val="20"/>
          <w:szCs w:val="20"/>
        </w:rPr>
      </w:pPr>
    </w:p>
    <w:p w14:paraId="55DA33DC" w14:textId="0374FED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These spatial dynamics provide a foundational dataset for guiding the placement of District Metered Areas (DMAs), enabling utility managers to prioritize zones with emerging densities and to implement pressure control, leakage detection, and service reliability measures efficiently</w:t>
      </w:r>
    </w:p>
    <w:p w14:paraId="5E9F78D2" w14:textId="77777777" w:rsidR="00C167F2" w:rsidRDefault="00C167F2" w:rsidP="009B4A19">
      <w:pPr>
        <w:spacing w:after="0" w:line="240" w:lineRule="auto"/>
        <w:jc w:val="both"/>
        <w:rPr>
          <w:rFonts w:ascii="Arial" w:hAnsi="Arial" w:cs="Arial"/>
          <w:sz w:val="20"/>
          <w:szCs w:val="20"/>
        </w:rPr>
      </w:pPr>
    </w:p>
    <w:p w14:paraId="79C7F31F" w14:textId="77777777" w:rsidR="00C167F2" w:rsidRPr="00C167F2" w:rsidRDefault="00C167F2" w:rsidP="00C167F2">
      <w:pPr>
        <w:spacing w:after="0" w:line="240" w:lineRule="auto"/>
        <w:jc w:val="both"/>
        <w:rPr>
          <w:rFonts w:ascii="Arial" w:hAnsi="Arial" w:cs="Arial"/>
          <w:b/>
          <w:bCs/>
          <w:sz w:val="20"/>
          <w:szCs w:val="20"/>
        </w:rPr>
      </w:pPr>
      <w:r w:rsidRPr="00C167F2">
        <w:rPr>
          <w:rFonts w:ascii="Arial" w:hAnsi="Arial" w:cs="Arial"/>
          <w:b/>
          <w:bCs/>
          <w:sz w:val="20"/>
          <w:szCs w:val="20"/>
        </w:rPr>
        <w:t xml:space="preserve">3.4. Spatial Patterns, Centers, and Direction of Household Water Connection (SR) Distribution in </w:t>
      </w:r>
      <w:proofErr w:type="spellStart"/>
      <w:r w:rsidRPr="00C167F2">
        <w:rPr>
          <w:rFonts w:ascii="Arial" w:hAnsi="Arial" w:cs="Arial"/>
          <w:b/>
          <w:bCs/>
          <w:sz w:val="20"/>
          <w:szCs w:val="20"/>
        </w:rPr>
        <w:t>Kecamatan</w:t>
      </w:r>
      <w:proofErr w:type="spellEnd"/>
      <w:r w:rsidRPr="00C167F2">
        <w:rPr>
          <w:rFonts w:ascii="Arial" w:hAnsi="Arial" w:cs="Arial"/>
          <w:b/>
          <w:bCs/>
          <w:sz w:val="20"/>
          <w:szCs w:val="20"/>
        </w:rPr>
        <w:t xml:space="preserve"> </w:t>
      </w:r>
      <w:proofErr w:type="spellStart"/>
      <w:r w:rsidRPr="00C167F2">
        <w:rPr>
          <w:rFonts w:ascii="Arial" w:hAnsi="Arial" w:cs="Arial"/>
          <w:b/>
          <w:bCs/>
          <w:sz w:val="20"/>
          <w:szCs w:val="20"/>
        </w:rPr>
        <w:t>Doloksanggul</w:t>
      </w:r>
      <w:proofErr w:type="spellEnd"/>
      <w:r w:rsidRPr="00C167F2">
        <w:rPr>
          <w:rFonts w:ascii="Arial" w:hAnsi="Arial" w:cs="Arial"/>
          <w:b/>
          <w:bCs/>
          <w:sz w:val="20"/>
          <w:szCs w:val="20"/>
        </w:rPr>
        <w:t xml:space="preserve"> (2024–2044)</w:t>
      </w:r>
    </w:p>
    <w:p w14:paraId="47F59EE7" w14:textId="77777777" w:rsidR="00C167F2" w:rsidRDefault="00C167F2" w:rsidP="00C167F2">
      <w:pPr>
        <w:spacing w:after="0" w:line="240" w:lineRule="auto"/>
        <w:jc w:val="both"/>
        <w:rPr>
          <w:rFonts w:ascii="Arial" w:hAnsi="Arial" w:cs="Arial"/>
          <w:sz w:val="20"/>
          <w:szCs w:val="20"/>
        </w:rPr>
      </w:pPr>
    </w:p>
    <w:p w14:paraId="06C6E8DF" w14:textId="53ED0C17"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To characterize the spatial configuration and directional evolution of household water connections (SR) in </w:t>
      </w:r>
      <w:proofErr w:type="spellStart"/>
      <w:r w:rsidRPr="00C167F2">
        <w:rPr>
          <w:rFonts w:ascii="Arial" w:hAnsi="Arial" w:cs="Arial"/>
          <w:i/>
          <w:iCs/>
          <w:sz w:val="20"/>
          <w:szCs w:val="20"/>
        </w:rPr>
        <w:t>Kecamatan</w:t>
      </w:r>
      <w:proofErr w:type="spellEnd"/>
      <w:r w:rsidRPr="00C167F2">
        <w:rPr>
          <w:rFonts w:ascii="Arial" w:hAnsi="Arial" w:cs="Arial"/>
          <w:i/>
          <w:iCs/>
          <w:sz w:val="20"/>
          <w:szCs w:val="20"/>
        </w:rPr>
        <w:t xml:space="preserve"> </w:t>
      </w:r>
      <w:proofErr w:type="spellStart"/>
      <w:r w:rsidRPr="00C167F2">
        <w:rPr>
          <w:rFonts w:ascii="Arial" w:hAnsi="Arial" w:cs="Arial"/>
          <w:i/>
          <w:iCs/>
          <w:sz w:val="20"/>
          <w:szCs w:val="20"/>
        </w:rPr>
        <w:t>Doloksanggul</w:t>
      </w:r>
      <w:proofErr w:type="spellEnd"/>
      <w:r w:rsidRPr="00C167F2">
        <w:rPr>
          <w:rFonts w:ascii="Arial" w:hAnsi="Arial" w:cs="Arial"/>
          <w:sz w:val="20"/>
          <w:szCs w:val="20"/>
        </w:rPr>
        <w:t xml:space="preserve">, spatial statistical analysis was conducted using ArcGIS tools. Specifically, the </w:t>
      </w:r>
      <w:r w:rsidRPr="00C167F2">
        <w:rPr>
          <w:rFonts w:ascii="Arial" w:hAnsi="Arial" w:cs="Arial"/>
          <w:b/>
          <w:bCs/>
          <w:sz w:val="20"/>
          <w:szCs w:val="20"/>
        </w:rPr>
        <w:t>Average Nearest Neighbor (ANN)</w:t>
      </w:r>
      <w:r w:rsidRPr="00C167F2">
        <w:rPr>
          <w:rFonts w:ascii="Arial" w:hAnsi="Arial" w:cs="Arial"/>
          <w:sz w:val="20"/>
          <w:szCs w:val="20"/>
        </w:rPr>
        <w:t xml:space="preserve">, </w:t>
      </w:r>
      <w:r w:rsidRPr="00C167F2">
        <w:rPr>
          <w:rFonts w:ascii="Arial" w:hAnsi="Arial" w:cs="Arial"/>
          <w:b/>
          <w:bCs/>
          <w:sz w:val="20"/>
          <w:szCs w:val="20"/>
        </w:rPr>
        <w:t>Median Center</w:t>
      </w:r>
      <w:r w:rsidRPr="00C167F2">
        <w:rPr>
          <w:rFonts w:ascii="Arial" w:hAnsi="Arial" w:cs="Arial"/>
          <w:sz w:val="20"/>
          <w:szCs w:val="20"/>
        </w:rPr>
        <w:t xml:space="preserve">, and </w:t>
      </w:r>
      <w:r w:rsidRPr="00C167F2">
        <w:rPr>
          <w:rFonts w:ascii="Arial" w:hAnsi="Arial" w:cs="Arial"/>
          <w:b/>
          <w:bCs/>
          <w:sz w:val="20"/>
          <w:szCs w:val="20"/>
        </w:rPr>
        <w:t>Directional Distribution (Standard Deviational Ellipse)</w:t>
      </w:r>
      <w:r w:rsidRPr="00C167F2">
        <w:rPr>
          <w:rFonts w:ascii="Arial" w:hAnsi="Arial" w:cs="Arial"/>
          <w:sz w:val="20"/>
          <w:szCs w:val="20"/>
        </w:rPr>
        <w:t xml:space="preserve"> methods were applied to evaluate the degree of clustering, spatial orientation, and central tendencies of SR dispersion over time.</w:t>
      </w:r>
    </w:p>
    <w:p w14:paraId="40153BB1" w14:textId="77777777" w:rsidR="00C167F2" w:rsidRDefault="00C167F2" w:rsidP="00C167F2">
      <w:pPr>
        <w:spacing w:after="0" w:line="240" w:lineRule="auto"/>
        <w:jc w:val="both"/>
        <w:rPr>
          <w:rFonts w:ascii="Arial" w:hAnsi="Arial" w:cs="Arial"/>
          <w:b/>
          <w:bCs/>
          <w:sz w:val="20"/>
          <w:szCs w:val="20"/>
        </w:rPr>
      </w:pPr>
    </w:p>
    <w:p w14:paraId="17E06930" w14:textId="2FD66CF1" w:rsidR="00C167F2" w:rsidRPr="00C167F2" w:rsidRDefault="00C167F2" w:rsidP="00C167F2">
      <w:pPr>
        <w:spacing w:after="0" w:line="240" w:lineRule="auto"/>
        <w:jc w:val="both"/>
        <w:rPr>
          <w:rFonts w:ascii="Arial" w:hAnsi="Arial" w:cs="Arial"/>
          <w:sz w:val="20"/>
          <w:szCs w:val="20"/>
        </w:rPr>
      </w:pPr>
      <w:r>
        <w:rPr>
          <w:rFonts w:ascii="Arial" w:hAnsi="Arial" w:cs="Arial"/>
          <w:b/>
          <w:bCs/>
          <w:sz w:val="20"/>
          <w:szCs w:val="20"/>
        </w:rPr>
        <w:t xml:space="preserve">3.4.1 </w:t>
      </w:r>
      <w:r w:rsidRPr="00C167F2">
        <w:rPr>
          <w:rFonts w:ascii="Arial" w:hAnsi="Arial" w:cs="Arial"/>
          <w:b/>
          <w:bCs/>
          <w:sz w:val="20"/>
          <w:szCs w:val="20"/>
        </w:rPr>
        <w:t>Average Nearest Neighbor (ANN) Analysis</w:t>
      </w:r>
    </w:p>
    <w:p w14:paraId="2DDDA096" w14:textId="77777777" w:rsidR="00C167F2" w:rsidRDefault="00C167F2" w:rsidP="00C167F2">
      <w:pPr>
        <w:spacing w:after="0" w:line="240" w:lineRule="auto"/>
        <w:jc w:val="both"/>
        <w:rPr>
          <w:rFonts w:ascii="Arial" w:hAnsi="Arial" w:cs="Arial"/>
          <w:sz w:val="20"/>
          <w:szCs w:val="20"/>
        </w:rPr>
      </w:pPr>
    </w:p>
    <w:p w14:paraId="1730166E" w14:textId="501E1A2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ANN metric assesses whether the observed spatial pattern of SR points deviates from a random distribution. For the base year 2024, the analysis yielded a Nearest Neighbor Ratio (NNR) of 1.316292 with a z-score of 66.394570, indicating a highly dispersed spatial pattern (NNR &gt; 1, z-score &gt; 2.58). This result implies that SR installations are spreading outward across space rather than concentrating within specific urban clusters.</w:t>
      </w:r>
    </w:p>
    <w:p w14:paraId="32E0C839" w14:textId="77777777" w:rsidR="00C167F2" w:rsidRDefault="00C167F2" w:rsidP="00C167F2">
      <w:pPr>
        <w:spacing w:after="0" w:line="240" w:lineRule="auto"/>
        <w:jc w:val="both"/>
        <w:rPr>
          <w:rFonts w:ascii="Arial" w:hAnsi="Arial" w:cs="Arial"/>
          <w:b/>
          <w:bCs/>
          <w:sz w:val="20"/>
          <w:szCs w:val="20"/>
        </w:rPr>
      </w:pPr>
    </w:p>
    <w:p w14:paraId="3A68E51D" w14:textId="77777777" w:rsidR="00C167F2" w:rsidRPr="00C167F2" w:rsidRDefault="00C167F2" w:rsidP="00C167F2">
      <w:pPr>
        <w:spacing w:after="0" w:line="240" w:lineRule="auto"/>
        <w:jc w:val="both"/>
        <w:rPr>
          <w:rFonts w:ascii="Arial" w:hAnsi="Arial" w:cs="Arial"/>
          <w:i/>
          <w:iCs/>
          <w:sz w:val="20"/>
          <w:szCs w:val="20"/>
        </w:rPr>
      </w:pPr>
      <w:r w:rsidRPr="00C167F2">
        <w:rPr>
          <w:rFonts w:ascii="Arial" w:hAnsi="Arial" w:cs="Arial"/>
          <w:b/>
          <w:bCs/>
          <w:sz w:val="20"/>
          <w:szCs w:val="20"/>
        </w:rPr>
        <w:t xml:space="preserve">Figure 4. </w:t>
      </w:r>
      <w:r w:rsidRPr="00C167F2">
        <w:rPr>
          <w:rFonts w:ascii="Arial" w:hAnsi="Arial" w:cs="Arial"/>
          <w:sz w:val="20"/>
          <w:szCs w:val="20"/>
        </w:rPr>
        <w:t xml:space="preserve">Average Nearest Neighbor Analysis of SR Distribution in </w:t>
      </w:r>
      <w:proofErr w:type="spellStart"/>
      <w:r w:rsidRPr="00C167F2">
        <w:rPr>
          <w:rFonts w:ascii="Arial" w:hAnsi="Arial" w:cs="Arial"/>
          <w:sz w:val="20"/>
          <w:szCs w:val="20"/>
        </w:rPr>
        <w:t>Kecamatan</w:t>
      </w:r>
      <w:proofErr w:type="spellEnd"/>
      <w:r w:rsidRPr="00C167F2">
        <w:rPr>
          <w:rFonts w:ascii="Arial" w:hAnsi="Arial" w:cs="Arial"/>
          <w:sz w:val="20"/>
          <w:szCs w:val="20"/>
        </w:rPr>
        <w:t xml:space="preserve">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(2024)</w:t>
      </w:r>
      <w:r w:rsidRPr="00C167F2">
        <w:rPr>
          <w:rFonts w:ascii="Arial" w:hAnsi="Arial" w:cs="Arial"/>
          <w:sz w:val="20"/>
          <w:szCs w:val="20"/>
        </w:rPr>
        <w:br/>
      </w:r>
    </w:p>
    <w:p w14:paraId="0AB463CB" w14:textId="210A4603" w:rsidR="00C167F2" w:rsidRDefault="00C167F2" w:rsidP="00C167F2">
      <w:pPr>
        <w:spacing w:after="0" w:line="240" w:lineRule="auto"/>
        <w:jc w:val="center"/>
        <w:rPr>
          <w:rFonts w:ascii="Arial" w:hAnsi="Arial" w:cs="Arial"/>
          <w:i/>
          <w:iCs/>
          <w:sz w:val="20"/>
          <w:szCs w:val="20"/>
        </w:rPr>
      </w:pPr>
      <w:r>
        <w:rPr>
          <w:rFonts w:ascii="Times New Roman" w:hAnsi="Times New Roman" w:cs="Times New Roman"/>
          <w:noProof/>
          <w:color w:val="000000" w:themeColor="text1"/>
          <w:lang w:val="en-GB"/>
        </w:rPr>
        <w:drawing>
          <wp:inline distT="0" distB="0" distL="0" distR="0" wp14:anchorId="4225233E" wp14:editId="7510D00C">
            <wp:extent cx="4495800" cy="2426769"/>
            <wp:effectExtent l="0" t="0" r="0" b="0"/>
            <wp:docPr id="325271409" name="Picture 325271409"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71409" name="Picture 325271409" descr="A diagram of a normal distributio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788" cy="2436479"/>
                    </a:xfrm>
                    <a:prstGeom prst="rect">
                      <a:avLst/>
                    </a:prstGeom>
                    <a:noFill/>
                    <a:ln>
                      <a:noFill/>
                    </a:ln>
                  </pic:spPr>
                </pic:pic>
              </a:graphicData>
            </a:graphic>
          </wp:inline>
        </w:drawing>
      </w:r>
    </w:p>
    <w:p w14:paraId="2AD93215" w14:textId="4F36F727" w:rsidR="00C167F2" w:rsidRPr="00C167F2" w:rsidRDefault="00C167F2" w:rsidP="00C167F2">
      <w:pPr>
        <w:spacing w:after="0" w:line="240" w:lineRule="auto"/>
        <w:jc w:val="center"/>
        <w:rPr>
          <w:rFonts w:ascii="Arial" w:hAnsi="Arial" w:cs="Arial"/>
          <w:sz w:val="20"/>
          <w:szCs w:val="20"/>
        </w:rPr>
      </w:pPr>
      <w:r w:rsidRPr="00C167F2">
        <w:rPr>
          <w:rFonts w:ascii="Arial" w:hAnsi="Arial" w:cs="Arial"/>
          <w:i/>
          <w:iCs/>
          <w:sz w:val="20"/>
          <w:szCs w:val="20"/>
        </w:rPr>
        <w:t>Source: ArcGIS Spatial Statistics Tool, 2024</w:t>
      </w:r>
    </w:p>
    <w:p w14:paraId="69632B57" w14:textId="0141A9A2" w:rsidR="00C167F2" w:rsidRPr="00C167F2" w:rsidRDefault="00C167F2" w:rsidP="00C167F2">
      <w:pPr>
        <w:spacing w:after="0" w:line="240" w:lineRule="auto"/>
        <w:jc w:val="both"/>
        <w:rPr>
          <w:rFonts w:ascii="Arial" w:hAnsi="Arial" w:cs="Arial"/>
          <w:sz w:val="20"/>
          <w:szCs w:val="20"/>
        </w:rPr>
      </w:pPr>
      <w:r>
        <w:rPr>
          <w:rFonts w:ascii="Arial" w:hAnsi="Arial" w:cs="Arial"/>
          <w:b/>
          <w:bCs/>
          <w:sz w:val="20"/>
          <w:szCs w:val="20"/>
        </w:rPr>
        <w:t xml:space="preserve">3.4.2 </w:t>
      </w:r>
      <w:r w:rsidRPr="00C167F2">
        <w:rPr>
          <w:rFonts w:ascii="Arial" w:hAnsi="Arial" w:cs="Arial"/>
          <w:b/>
          <w:bCs/>
          <w:sz w:val="20"/>
          <w:szCs w:val="20"/>
        </w:rPr>
        <w:t>Median Center and Directional Distribution</w:t>
      </w:r>
    </w:p>
    <w:p w14:paraId="02A3636F" w14:textId="77777777" w:rsidR="00C167F2" w:rsidRDefault="00C167F2" w:rsidP="00C167F2">
      <w:pPr>
        <w:spacing w:after="0" w:line="240" w:lineRule="auto"/>
        <w:jc w:val="both"/>
        <w:rPr>
          <w:rFonts w:ascii="Arial" w:hAnsi="Arial" w:cs="Arial"/>
          <w:sz w:val="20"/>
          <w:szCs w:val="20"/>
        </w:rPr>
      </w:pPr>
    </w:p>
    <w:p w14:paraId="1C828F09" w14:textId="4F1563D3"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 xml:space="preserve">Complementing the ANN analysis, the spatial Median Center and Standard Deviational Ellipse (SDE) were used to track the shifting centroid and directional growth axis of SR distribution. Results indicate that the Median Center consistently falls within </w:t>
      </w:r>
      <w:proofErr w:type="spellStart"/>
      <w:r w:rsidRPr="00C167F2">
        <w:rPr>
          <w:rFonts w:ascii="Arial" w:hAnsi="Arial" w:cs="Arial"/>
          <w:sz w:val="20"/>
          <w:szCs w:val="20"/>
        </w:rPr>
        <w:t>Kelurahan</w:t>
      </w:r>
      <w:proofErr w:type="spellEnd"/>
      <w:r w:rsidRPr="00C167F2">
        <w:rPr>
          <w:rFonts w:ascii="Arial" w:hAnsi="Arial" w:cs="Arial"/>
          <w:sz w:val="20"/>
          <w:szCs w:val="20"/>
        </w:rPr>
        <w:t xml:space="preserve"> Pasar </w:t>
      </w:r>
      <w:proofErr w:type="spellStart"/>
      <w:r w:rsidRPr="00C167F2">
        <w:rPr>
          <w:rFonts w:ascii="Arial" w:hAnsi="Arial" w:cs="Arial"/>
          <w:sz w:val="20"/>
          <w:szCs w:val="20"/>
        </w:rPr>
        <w:t>Doloksanggul</w:t>
      </w:r>
      <w:proofErr w:type="spellEnd"/>
      <w:r w:rsidRPr="00C167F2">
        <w:rPr>
          <w:rFonts w:ascii="Arial" w:hAnsi="Arial" w:cs="Arial"/>
          <w:sz w:val="20"/>
          <w:szCs w:val="20"/>
        </w:rPr>
        <w:t xml:space="preserve">, establishing it as the origin point of network expansion. The elliptical spread demonstrates a clear southeast–northwest </w:t>
      </w:r>
      <w:r w:rsidRPr="00C167F2">
        <w:rPr>
          <w:rFonts w:ascii="Arial" w:hAnsi="Arial" w:cs="Arial"/>
          <w:sz w:val="20"/>
          <w:szCs w:val="20"/>
        </w:rPr>
        <w:lastRenderedPageBreak/>
        <w:t>growth trajectory, aligning with regional development patterns and urban expansion corridors documented in the regional spatial plan (</w:t>
      </w:r>
      <w:r w:rsidRPr="00C167F2">
        <w:rPr>
          <w:rFonts w:ascii="Arial" w:hAnsi="Arial" w:cs="Arial"/>
          <w:i/>
          <w:iCs/>
          <w:sz w:val="20"/>
          <w:szCs w:val="20"/>
        </w:rPr>
        <w:t>RTRW</w:t>
      </w:r>
      <w:r w:rsidRPr="00C167F2">
        <w:rPr>
          <w:rFonts w:ascii="Arial" w:hAnsi="Arial" w:cs="Arial"/>
          <w:sz w:val="20"/>
          <w:szCs w:val="20"/>
        </w:rPr>
        <w:t>).</w:t>
      </w:r>
    </w:p>
    <w:p w14:paraId="5DE8509F" w14:textId="77777777" w:rsidR="00C167F2" w:rsidRDefault="00C167F2" w:rsidP="00C167F2">
      <w:pPr>
        <w:spacing w:after="0" w:line="240" w:lineRule="auto"/>
        <w:jc w:val="both"/>
        <w:rPr>
          <w:rFonts w:ascii="Arial" w:hAnsi="Arial" w:cs="Arial"/>
          <w:b/>
          <w:bCs/>
          <w:sz w:val="20"/>
          <w:szCs w:val="20"/>
        </w:rPr>
      </w:pPr>
    </w:p>
    <w:p w14:paraId="5E4842BA" w14:textId="7798FD11" w:rsidR="00C167F2" w:rsidRDefault="00C167F2" w:rsidP="00C167F2">
      <w:pPr>
        <w:spacing w:after="0" w:line="240" w:lineRule="auto"/>
        <w:jc w:val="both"/>
        <w:rPr>
          <w:rFonts w:ascii="Arial" w:hAnsi="Arial" w:cs="Arial"/>
          <w:i/>
          <w:iCs/>
          <w:sz w:val="20"/>
          <w:szCs w:val="20"/>
        </w:rPr>
      </w:pPr>
      <w:r w:rsidRPr="00C167F2">
        <w:rPr>
          <w:rFonts w:ascii="Arial" w:hAnsi="Arial" w:cs="Arial"/>
          <w:b/>
          <w:bCs/>
          <w:sz w:val="20"/>
          <w:szCs w:val="20"/>
        </w:rPr>
        <w:t xml:space="preserve">Figure 5. </w:t>
      </w:r>
      <w:r w:rsidRPr="00C167F2">
        <w:rPr>
          <w:rFonts w:ascii="Arial" w:hAnsi="Arial" w:cs="Arial"/>
          <w:sz w:val="20"/>
          <w:szCs w:val="20"/>
        </w:rPr>
        <w:t>Predicted Center and Directional Distribution of SR Network Expansion in 2044</w:t>
      </w:r>
      <w:r w:rsidRPr="00C167F2">
        <w:rPr>
          <w:rFonts w:ascii="Arial" w:hAnsi="Arial" w:cs="Arial"/>
          <w:sz w:val="20"/>
          <w:szCs w:val="20"/>
        </w:rPr>
        <w:br/>
      </w:r>
      <w:r>
        <w:rPr>
          <w:rFonts w:ascii="Times New Roman" w:hAnsi="Times New Roman" w:cs="Times New Roman"/>
          <w:noProof/>
          <w:color w:val="000000" w:themeColor="text1"/>
          <w:lang w:val="en-GB"/>
        </w:rPr>
        <w:drawing>
          <wp:inline distT="0" distB="0" distL="0" distR="0" wp14:anchorId="21A633E8" wp14:editId="39A12F1B">
            <wp:extent cx="5220000" cy="3171600"/>
            <wp:effectExtent l="0" t="0" r="0" b="0"/>
            <wp:docPr id="1596699156" name="Picture 159669915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99156" name="Picture 1596699156" descr="A map of a city&#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00" cy="3171600"/>
                    </a:xfrm>
                    <a:prstGeom prst="rect">
                      <a:avLst/>
                    </a:prstGeom>
                    <a:noFill/>
                    <a:ln>
                      <a:noFill/>
                    </a:ln>
                  </pic:spPr>
                </pic:pic>
              </a:graphicData>
            </a:graphic>
          </wp:inline>
        </w:drawing>
      </w:r>
    </w:p>
    <w:p w14:paraId="57B60B5C" w14:textId="3B2D9209" w:rsidR="00C167F2" w:rsidRPr="00C167F2" w:rsidRDefault="00C167F2" w:rsidP="00C167F2">
      <w:pPr>
        <w:spacing w:after="0" w:line="240" w:lineRule="auto"/>
        <w:jc w:val="both"/>
        <w:rPr>
          <w:rFonts w:ascii="Arial" w:hAnsi="Arial" w:cs="Arial"/>
          <w:sz w:val="20"/>
          <w:szCs w:val="20"/>
        </w:rPr>
      </w:pPr>
      <w:r w:rsidRPr="00C167F2">
        <w:rPr>
          <w:rFonts w:ascii="Arial" w:hAnsi="Arial" w:cs="Arial"/>
          <w:i/>
          <w:iCs/>
          <w:sz w:val="20"/>
          <w:szCs w:val="20"/>
        </w:rPr>
        <w:t>Source: ArcGIS SDE and Median Center Analysis</w:t>
      </w:r>
    </w:p>
    <w:p w14:paraId="5896BCD5" w14:textId="77777777" w:rsidR="00C167F2" w:rsidRDefault="00C167F2" w:rsidP="00C167F2">
      <w:pPr>
        <w:spacing w:after="0" w:line="240" w:lineRule="auto"/>
        <w:jc w:val="both"/>
        <w:rPr>
          <w:rFonts w:ascii="Arial" w:hAnsi="Arial" w:cs="Arial"/>
          <w:sz w:val="20"/>
          <w:szCs w:val="20"/>
        </w:rPr>
      </w:pPr>
    </w:p>
    <w:p w14:paraId="60AD79E4" w14:textId="767C1E1C" w:rsidR="00C167F2" w:rsidRPr="00C167F2" w:rsidRDefault="00C167F2" w:rsidP="00C167F2">
      <w:pPr>
        <w:spacing w:after="0" w:line="240" w:lineRule="auto"/>
        <w:jc w:val="both"/>
        <w:rPr>
          <w:rFonts w:ascii="Arial" w:hAnsi="Arial" w:cs="Arial"/>
          <w:sz w:val="20"/>
          <w:szCs w:val="20"/>
        </w:rPr>
      </w:pPr>
      <w:r w:rsidRPr="00C167F2">
        <w:rPr>
          <w:rFonts w:ascii="Arial" w:hAnsi="Arial" w:cs="Arial"/>
          <w:sz w:val="20"/>
          <w:szCs w:val="20"/>
        </w:rPr>
        <w:t>The spatial trend suggests a systematic extension of piped water infrastructure from the urban center toward surrounding semi-urban and rural areas. This expansion trajectory aligns with service equity objectives and supports the case for a phased District Metered Area (DMA) implementation, beginning with central high-density zones and extending outward in response to demographic and infrastructure growth.</w:t>
      </w:r>
      <w:r>
        <w:rPr>
          <w:rFonts w:ascii="Arial" w:hAnsi="Arial" w:cs="Arial"/>
          <w:sz w:val="20"/>
          <w:szCs w:val="20"/>
        </w:rPr>
        <w:t xml:space="preserve"> </w:t>
      </w:r>
      <w:r w:rsidR="007B2903">
        <w:rPr>
          <w:rFonts w:ascii="Arial" w:hAnsi="Arial" w:cs="Arial"/>
          <w:sz w:val="20"/>
          <w:szCs w:val="20"/>
        </w:rPr>
        <w:t>T</w:t>
      </w:r>
      <w:r w:rsidRPr="00C167F2">
        <w:rPr>
          <w:rFonts w:ascii="Arial" w:hAnsi="Arial" w:cs="Arial"/>
          <w:sz w:val="20"/>
          <w:szCs w:val="20"/>
        </w:rPr>
        <w:t>he strategic placement of infrastructure upgrades, pressure management zones, and leakage monitoring systems in anticipation of future service loads</w:t>
      </w:r>
    </w:p>
    <w:p w14:paraId="200D442B" w14:textId="77777777" w:rsidR="00C167F2" w:rsidRDefault="00C167F2" w:rsidP="009B4A19">
      <w:pPr>
        <w:spacing w:after="0" w:line="240" w:lineRule="auto"/>
        <w:jc w:val="both"/>
        <w:rPr>
          <w:rFonts w:ascii="Arial" w:hAnsi="Arial" w:cs="Arial"/>
          <w:sz w:val="20"/>
          <w:szCs w:val="20"/>
        </w:rPr>
      </w:pPr>
    </w:p>
    <w:p w14:paraId="0EF2112B" w14:textId="77777777" w:rsidR="007B2903" w:rsidRPr="007B2903" w:rsidRDefault="007B2903" w:rsidP="007B2903">
      <w:pPr>
        <w:spacing w:after="0" w:line="240" w:lineRule="auto"/>
        <w:jc w:val="both"/>
        <w:rPr>
          <w:rFonts w:ascii="Arial" w:hAnsi="Arial" w:cs="Arial"/>
          <w:b/>
          <w:bCs/>
          <w:sz w:val="20"/>
          <w:szCs w:val="20"/>
        </w:rPr>
      </w:pPr>
      <w:r w:rsidRPr="007B2903">
        <w:rPr>
          <w:rFonts w:ascii="Arial" w:hAnsi="Arial" w:cs="Arial"/>
          <w:b/>
          <w:bCs/>
          <w:sz w:val="20"/>
          <w:szCs w:val="20"/>
        </w:rPr>
        <w:t xml:space="preserve">3.5. Groundwater Availability Analysis in </w:t>
      </w:r>
      <w:proofErr w:type="spellStart"/>
      <w:r w:rsidRPr="007B2903">
        <w:rPr>
          <w:rFonts w:ascii="Arial" w:hAnsi="Arial" w:cs="Arial"/>
          <w:b/>
          <w:bCs/>
          <w:sz w:val="20"/>
          <w:szCs w:val="20"/>
        </w:rPr>
        <w:t>Kecamatan</w:t>
      </w:r>
      <w:proofErr w:type="spellEnd"/>
      <w:r w:rsidRPr="007B2903">
        <w:rPr>
          <w:rFonts w:ascii="Arial" w:hAnsi="Arial" w:cs="Arial"/>
          <w:b/>
          <w:bCs/>
          <w:sz w:val="20"/>
          <w:szCs w:val="20"/>
        </w:rPr>
        <w:t xml:space="preserve"> </w:t>
      </w:r>
      <w:proofErr w:type="spellStart"/>
      <w:r w:rsidRPr="007B2903">
        <w:rPr>
          <w:rFonts w:ascii="Arial" w:hAnsi="Arial" w:cs="Arial"/>
          <w:b/>
          <w:bCs/>
          <w:sz w:val="20"/>
          <w:szCs w:val="20"/>
        </w:rPr>
        <w:t>Doloksanggul</w:t>
      </w:r>
      <w:proofErr w:type="spellEnd"/>
      <w:r w:rsidRPr="007B2903">
        <w:rPr>
          <w:rFonts w:ascii="Arial" w:hAnsi="Arial" w:cs="Arial"/>
          <w:b/>
          <w:bCs/>
          <w:sz w:val="20"/>
          <w:szCs w:val="20"/>
        </w:rPr>
        <w:t xml:space="preserve"> (2024–2044)</w:t>
      </w:r>
    </w:p>
    <w:p w14:paraId="4CE531CE" w14:textId="77777777" w:rsidR="007B2903" w:rsidRDefault="007B2903" w:rsidP="007B2903">
      <w:pPr>
        <w:spacing w:after="0" w:line="240" w:lineRule="auto"/>
        <w:jc w:val="both"/>
        <w:rPr>
          <w:rFonts w:ascii="Arial" w:hAnsi="Arial" w:cs="Arial"/>
          <w:sz w:val="20"/>
          <w:szCs w:val="20"/>
        </w:rPr>
      </w:pPr>
    </w:p>
    <w:p w14:paraId="77894C06" w14:textId="0465B534"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A comprehensive groundwater potential assessment was conducted using a grid-based runoff coefficient modeling approach. This methodology integrates multiple hydrological variables, including annual rainfall, evapotranspiration, land cover types, and topographic characteristics, to estimate sustainable groundwater recharge at the sub-district level.</w:t>
      </w:r>
    </w:p>
    <w:p w14:paraId="437897D6" w14:textId="77777777" w:rsidR="007B2903" w:rsidRDefault="007B2903" w:rsidP="007B2903">
      <w:pPr>
        <w:spacing w:after="0" w:line="240" w:lineRule="auto"/>
        <w:jc w:val="both"/>
        <w:rPr>
          <w:rFonts w:ascii="Arial" w:hAnsi="Arial" w:cs="Arial"/>
          <w:b/>
          <w:bCs/>
          <w:sz w:val="20"/>
          <w:szCs w:val="20"/>
        </w:rPr>
      </w:pPr>
    </w:p>
    <w:p w14:paraId="6936853A" w14:textId="3FDCBC78" w:rsidR="007B2903" w:rsidRPr="007B2903" w:rsidRDefault="007B2903" w:rsidP="007B2903">
      <w:pPr>
        <w:spacing w:after="0" w:line="240" w:lineRule="auto"/>
        <w:jc w:val="both"/>
        <w:rPr>
          <w:rFonts w:ascii="Arial" w:hAnsi="Arial" w:cs="Arial"/>
          <w:sz w:val="20"/>
          <w:szCs w:val="20"/>
        </w:rPr>
      </w:pPr>
      <w:r>
        <w:rPr>
          <w:rFonts w:ascii="Arial" w:hAnsi="Arial" w:cs="Arial"/>
          <w:b/>
          <w:bCs/>
          <w:sz w:val="20"/>
          <w:szCs w:val="20"/>
        </w:rPr>
        <w:t xml:space="preserve">3.5.1 </w:t>
      </w:r>
      <w:r w:rsidRPr="007B2903">
        <w:rPr>
          <w:rFonts w:ascii="Arial" w:hAnsi="Arial" w:cs="Arial"/>
          <w:b/>
          <w:bCs/>
          <w:sz w:val="20"/>
          <w:szCs w:val="20"/>
        </w:rPr>
        <w:t>Rainfall and Evapotranspiration Trends</w:t>
      </w:r>
    </w:p>
    <w:p w14:paraId="6BA1F66E"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The average annual precipitation in </w:t>
      </w:r>
      <w:proofErr w:type="spellStart"/>
      <w:r w:rsidRPr="007B2903">
        <w:rPr>
          <w:rFonts w:ascii="Arial" w:hAnsi="Arial" w:cs="Arial"/>
          <w:sz w:val="20"/>
          <w:szCs w:val="20"/>
        </w:rPr>
        <w:t>Kecamatan</w:t>
      </w:r>
      <w:proofErr w:type="spellEnd"/>
      <w:r w:rsidRPr="007B2903">
        <w:rPr>
          <w:rFonts w:ascii="Arial" w:hAnsi="Arial" w:cs="Arial"/>
          <w:sz w:val="20"/>
          <w:szCs w:val="20"/>
        </w:rPr>
        <w:t xml:space="preserve">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from 2015 to 2024 was 2,284 mm, with variability observed across the decade—ranging from a low of 1,854 mm in 2021 to a peak of 2,680 mm in 2015. Evapotranspiration (ET</w:t>
      </w:r>
      <w:r w:rsidRPr="007B2903">
        <w:rPr>
          <w:rFonts w:ascii="Cambria Math" w:hAnsi="Cambria Math" w:cs="Cambria Math"/>
          <w:sz w:val="20"/>
          <w:szCs w:val="20"/>
        </w:rPr>
        <w:t>₀</w:t>
      </w:r>
      <w:r w:rsidRPr="007B2903">
        <w:rPr>
          <w:rFonts w:ascii="Arial" w:hAnsi="Arial" w:cs="Arial"/>
          <w:sz w:val="20"/>
          <w:szCs w:val="20"/>
        </w:rPr>
        <w:t>) was estimated using the Thornthwaite method, producing an average annual corrected ET</w:t>
      </w:r>
      <w:r w:rsidRPr="007B2903">
        <w:rPr>
          <w:rFonts w:ascii="Cambria Math" w:hAnsi="Cambria Math" w:cs="Cambria Math"/>
          <w:sz w:val="20"/>
          <w:szCs w:val="20"/>
        </w:rPr>
        <w:t>₀</w:t>
      </w:r>
      <w:r w:rsidRPr="007B2903">
        <w:rPr>
          <w:rFonts w:ascii="Arial" w:hAnsi="Arial" w:cs="Arial"/>
          <w:sz w:val="20"/>
          <w:szCs w:val="20"/>
        </w:rPr>
        <w:t xml:space="preserve"> value of </w:t>
      </w:r>
      <w:r w:rsidRPr="007B2903">
        <w:rPr>
          <w:rFonts w:ascii="Arial" w:hAnsi="Arial" w:cs="Arial"/>
          <w:b/>
          <w:bCs/>
          <w:sz w:val="20"/>
          <w:szCs w:val="20"/>
        </w:rPr>
        <w:t>93.53 mm/year</w:t>
      </w:r>
      <w:r w:rsidRPr="007B2903">
        <w:rPr>
          <w:rFonts w:ascii="Arial" w:hAnsi="Arial" w:cs="Arial"/>
          <w:sz w:val="20"/>
          <w:szCs w:val="20"/>
        </w:rPr>
        <w:t>, accounting for local temperature and seasonal variation.</w:t>
      </w:r>
    </w:p>
    <w:p w14:paraId="67AE7522" w14:textId="77777777" w:rsidR="007B2903" w:rsidRDefault="007B2903" w:rsidP="007B2903">
      <w:pPr>
        <w:spacing w:after="0" w:line="240" w:lineRule="auto"/>
        <w:jc w:val="both"/>
        <w:rPr>
          <w:rFonts w:ascii="Arial" w:hAnsi="Arial" w:cs="Arial"/>
          <w:b/>
          <w:bCs/>
          <w:sz w:val="20"/>
          <w:szCs w:val="20"/>
        </w:rPr>
      </w:pPr>
    </w:p>
    <w:p w14:paraId="3F77DD89" w14:textId="78518EF8" w:rsidR="007B2903" w:rsidRPr="007B2903" w:rsidRDefault="007B2903" w:rsidP="007B2903">
      <w:pPr>
        <w:spacing w:after="0" w:line="240" w:lineRule="auto"/>
        <w:jc w:val="both"/>
        <w:rPr>
          <w:rFonts w:ascii="Arial" w:hAnsi="Arial" w:cs="Arial"/>
          <w:sz w:val="20"/>
          <w:szCs w:val="20"/>
        </w:rPr>
      </w:pPr>
      <w:r>
        <w:rPr>
          <w:rFonts w:ascii="Arial" w:hAnsi="Arial" w:cs="Arial"/>
          <w:b/>
          <w:bCs/>
          <w:sz w:val="20"/>
          <w:szCs w:val="20"/>
        </w:rPr>
        <w:t xml:space="preserve">3.5.2 </w:t>
      </w:r>
      <w:r w:rsidRPr="007B2903">
        <w:rPr>
          <w:rFonts w:ascii="Arial" w:hAnsi="Arial" w:cs="Arial"/>
          <w:b/>
          <w:bCs/>
          <w:sz w:val="20"/>
          <w:szCs w:val="20"/>
        </w:rPr>
        <w:t>Runoff Coefficient-Based Groundwater Estimation</w:t>
      </w:r>
    </w:p>
    <w:p w14:paraId="747AA91B"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Runoff potential was estimated at the grid level using Hassing’s method, which combines soil texture, vegetation cover, slope, and land use to generate a composite runoff coefficient. These coefficients were applied to hydrological inputs to estimate net groundwater recharge per grid cell.</w:t>
      </w:r>
    </w:p>
    <w:p w14:paraId="08DE9285" w14:textId="77777777" w:rsidR="007B2903" w:rsidRDefault="007B2903" w:rsidP="007B2903">
      <w:pPr>
        <w:spacing w:after="0" w:line="240" w:lineRule="auto"/>
        <w:jc w:val="both"/>
        <w:rPr>
          <w:rFonts w:ascii="Arial" w:hAnsi="Arial" w:cs="Arial"/>
          <w:b/>
          <w:bCs/>
          <w:sz w:val="20"/>
          <w:szCs w:val="20"/>
        </w:rPr>
      </w:pPr>
    </w:p>
    <w:p w14:paraId="20B676EF" w14:textId="129C1501"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 xml:space="preserve">Table 4. </w:t>
      </w:r>
      <w:r w:rsidRPr="007B2903">
        <w:rPr>
          <w:rFonts w:ascii="Arial" w:hAnsi="Arial" w:cs="Arial"/>
          <w:sz w:val="20"/>
          <w:szCs w:val="20"/>
        </w:rPr>
        <w:t>Groundwater Support Capacity by Grid Classification (2024–2044)</w:t>
      </w:r>
    </w:p>
    <w:tbl>
      <w:tblPr>
        <w:tblStyle w:val="TableGrid"/>
        <w:tblW w:w="0" w:type="auto"/>
        <w:jc w:val="center"/>
        <w:tblLook w:val="04A0" w:firstRow="1" w:lastRow="0" w:firstColumn="1" w:lastColumn="0" w:noHBand="0" w:noVBand="1"/>
      </w:tblPr>
      <w:tblGrid>
        <w:gridCol w:w="483"/>
        <w:gridCol w:w="2902"/>
        <w:gridCol w:w="717"/>
        <w:gridCol w:w="717"/>
        <w:gridCol w:w="717"/>
        <w:gridCol w:w="717"/>
        <w:gridCol w:w="717"/>
      </w:tblGrid>
      <w:tr w:rsidR="007B2903" w:rsidRPr="007B2903" w14:paraId="31F7A330" w14:textId="77777777" w:rsidTr="007B2903">
        <w:trPr>
          <w:jc w:val="center"/>
        </w:trPr>
        <w:tc>
          <w:tcPr>
            <w:tcW w:w="0" w:type="auto"/>
            <w:hideMark/>
          </w:tcPr>
          <w:p w14:paraId="12FD67B3"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No</w:t>
            </w:r>
          </w:p>
        </w:tc>
        <w:tc>
          <w:tcPr>
            <w:tcW w:w="0" w:type="auto"/>
            <w:hideMark/>
          </w:tcPr>
          <w:p w14:paraId="1E7FEC5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Volume Class (thousand m³)</w:t>
            </w:r>
          </w:p>
        </w:tc>
        <w:tc>
          <w:tcPr>
            <w:tcW w:w="0" w:type="auto"/>
            <w:hideMark/>
          </w:tcPr>
          <w:p w14:paraId="2C9A5C7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2024</w:t>
            </w:r>
          </w:p>
        </w:tc>
        <w:tc>
          <w:tcPr>
            <w:tcW w:w="0" w:type="auto"/>
            <w:hideMark/>
          </w:tcPr>
          <w:p w14:paraId="38D9DDB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2029</w:t>
            </w:r>
          </w:p>
        </w:tc>
        <w:tc>
          <w:tcPr>
            <w:tcW w:w="0" w:type="auto"/>
            <w:hideMark/>
          </w:tcPr>
          <w:p w14:paraId="191B1D22"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2034</w:t>
            </w:r>
          </w:p>
        </w:tc>
        <w:tc>
          <w:tcPr>
            <w:tcW w:w="0" w:type="auto"/>
            <w:hideMark/>
          </w:tcPr>
          <w:p w14:paraId="4039538E"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2039</w:t>
            </w:r>
          </w:p>
        </w:tc>
        <w:tc>
          <w:tcPr>
            <w:tcW w:w="0" w:type="auto"/>
            <w:hideMark/>
          </w:tcPr>
          <w:p w14:paraId="72473CE2"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2044</w:t>
            </w:r>
          </w:p>
        </w:tc>
      </w:tr>
      <w:tr w:rsidR="007B2903" w:rsidRPr="007B2903" w14:paraId="6F2368AF" w14:textId="77777777" w:rsidTr="007B2903">
        <w:trPr>
          <w:jc w:val="center"/>
        </w:trPr>
        <w:tc>
          <w:tcPr>
            <w:tcW w:w="0" w:type="auto"/>
            <w:hideMark/>
          </w:tcPr>
          <w:p w14:paraId="043C304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w:t>
            </w:r>
          </w:p>
        </w:tc>
        <w:tc>
          <w:tcPr>
            <w:tcW w:w="0" w:type="auto"/>
            <w:hideMark/>
          </w:tcPr>
          <w:p w14:paraId="14158E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3</w:t>
            </w:r>
          </w:p>
        </w:tc>
        <w:tc>
          <w:tcPr>
            <w:tcW w:w="0" w:type="auto"/>
            <w:hideMark/>
          </w:tcPr>
          <w:p w14:paraId="1A08BBD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5C1BCE5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31C7131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3D34BB3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2AFE0C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r>
      <w:tr w:rsidR="007B2903" w:rsidRPr="007B2903" w14:paraId="0F758AA6" w14:textId="77777777" w:rsidTr="007B2903">
        <w:trPr>
          <w:jc w:val="center"/>
        </w:trPr>
        <w:tc>
          <w:tcPr>
            <w:tcW w:w="0" w:type="auto"/>
            <w:hideMark/>
          </w:tcPr>
          <w:p w14:paraId="3C73EB9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w:t>
            </w:r>
          </w:p>
        </w:tc>
        <w:tc>
          <w:tcPr>
            <w:tcW w:w="0" w:type="auto"/>
            <w:hideMark/>
          </w:tcPr>
          <w:p w14:paraId="4622275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3.01 – 6</w:t>
            </w:r>
          </w:p>
        </w:tc>
        <w:tc>
          <w:tcPr>
            <w:tcW w:w="0" w:type="auto"/>
            <w:hideMark/>
          </w:tcPr>
          <w:p w14:paraId="274B4D5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0EE36A5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45741E2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12B5394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c>
          <w:tcPr>
            <w:tcW w:w="0" w:type="auto"/>
            <w:hideMark/>
          </w:tcPr>
          <w:p w14:paraId="4D63F9D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0</w:t>
            </w:r>
          </w:p>
        </w:tc>
      </w:tr>
      <w:tr w:rsidR="007B2903" w:rsidRPr="007B2903" w14:paraId="1752C0A2" w14:textId="77777777" w:rsidTr="007B2903">
        <w:trPr>
          <w:jc w:val="center"/>
        </w:trPr>
        <w:tc>
          <w:tcPr>
            <w:tcW w:w="0" w:type="auto"/>
            <w:hideMark/>
          </w:tcPr>
          <w:p w14:paraId="2B54C35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w:t>
            </w:r>
          </w:p>
        </w:tc>
        <w:tc>
          <w:tcPr>
            <w:tcW w:w="0" w:type="auto"/>
            <w:hideMark/>
          </w:tcPr>
          <w:p w14:paraId="6DD6D3E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6.01 – 9</w:t>
            </w:r>
          </w:p>
        </w:tc>
        <w:tc>
          <w:tcPr>
            <w:tcW w:w="0" w:type="auto"/>
            <w:hideMark/>
          </w:tcPr>
          <w:p w14:paraId="658CCD1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78</w:t>
            </w:r>
          </w:p>
        </w:tc>
        <w:tc>
          <w:tcPr>
            <w:tcW w:w="0" w:type="auto"/>
            <w:hideMark/>
          </w:tcPr>
          <w:p w14:paraId="65A5BD5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79</w:t>
            </w:r>
          </w:p>
        </w:tc>
        <w:tc>
          <w:tcPr>
            <w:tcW w:w="0" w:type="auto"/>
            <w:hideMark/>
          </w:tcPr>
          <w:p w14:paraId="225E348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80</w:t>
            </w:r>
          </w:p>
        </w:tc>
        <w:tc>
          <w:tcPr>
            <w:tcW w:w="0" w:type="auto"/>
            <w:hideMark/>
          </w:tcPr>
          <w:p w14:paraId="1311410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86</w:t>
            </w:r>
          </w:p>
        </w:tc>
        <w:tc>
          <w:tcPr>
            <w:tcW w:w="0" w:type="auto"/>
            <w:hideMark/>
          </w:tcPr>
          <w:p w14:paraId="17F7C52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86</w:t>
            </w:r>
          </w:p>
        </w:tc>
      </w:tr>
      <w:tr w:rsidR="007B2903" w:rsidRPr="007B2903" w14:paraId="4C39B076" w14:textId="77777777" w:rsidTr="007B2903">
        <w:trPr>
          <w:jc w:val="center"/>
        </w:trPr>
        <w:tc>
          <w:tcPr>
            <w:tcW w:w="0" w:type="auto"/>
            <w:hideMark/>
          </w:tcPr>
          <w:p w14:paraId="5CB4D66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w:t>
            </w:r>
          </w:p>
        </w:tc>
        <w:tc>
          <w:tcPr>
            <w:tcW w:w="0" w:type="auto"/>
            <w:hideMark/>
          </w:tcPr>
          <w:p w14:paraId="2092E9B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9.01 – 12</w:t>
            </w:r>
          </w:p>
        </w:tc>
        <w:tc>
          <w:tcPr>
            <w:tcW w:w="0" w:type="auto"/>
            <w:hideMark/>
          </w:tcPr>
          <w:p w14:paraId="3F1BF9D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69</w:t>
            </w:r>
          </w:p>
        </w:tc>
        <w:tc>
          <w:tcPr>
            <w:tcW w:w="0" w:type="auto"/>
            <w:hideMark/>
          </w:tcPr>
          <w:p w14:paraId="2F4BFB4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69</w:t>
            </w:r>
          </w:p>
        </w:tc>
        <w:tc>
          <w:tcPr>
            <w:tcW w:w="0" w:type="auto"/>
            <w:hideMark/>
          </w:tcPr>
          <w:p w14:paraId="10F3B4A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w:t>
            </w:r>
          </w:p>
        </w:tc>
        <w:tc>
          <w:tcPr>
            <w:tcW w:w="0" w:type="auto"/>
            <w:hideMark/>
          </w:tcPr>
          <w:p w14:paraId="706626A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w:t>
            </w:r>
          </w:p>
        </w:tc>
        <w:tc>
          <w:tcPr>
            <w:tcW w:w="0" w:type="auto"/>
            <w:hideMark/>
          </w:tcPr>
          <w:p w14:paraId="19E6F45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w:t>
            </w:r>
          </w:p>
        </w:tc>
      </w:tr>
      <w:tr w:rsidR="007B2903" w:rsidRPr="007B2903" w14:paraId="32F880B7" w14:textId="77777777" w:rsidTr="007B2903">
        <w:trPr>
          <w:jc w:val="center"/>
        </w:trPr>
        <w:tc>
          <w:tcPr>
            <w:tcW w:w="0" w:type="auto"/>
            <w:hideMark/>
          </w:tcPr>
          <w:p w14:paraId="5C33717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lastRenderedPageBreak/>
              <w:t>5</w:t>
            </w:r>
          </w:p>
        </w:tc>
        <w:tc>
          <w:tcPr>
            <w:tcW w:w="0" w:type="auto"/>
            <w:hideMark/>
          </w:tcPr>
          <w:p w14:paraId="3C93B5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12.01 – 16</w:t>
            </w:r>
          </w:p>
        </w:tc>
        <w:tc>
          <w:tcPr>
            <w:tcW w:w="0" w:type="auto"/>
            <w:hideMark/>
          </w:tcPr>
          <w:p w14:paraId="09B8D49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101</w:t>
            </w:r>
          </w:p>
        </w:tc>
        <w:tc>
          <w:tcPr>
            <w:tcW w:w="0" w:type="auto"/>
            <w:hideMark/>
          </w:tcPr>
          <w:p w14:paraId="12C09B7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100</w:t>
            </w:r>
          </w:p>
        </w:tc>
        <w:tc>
          <w:tcPr>
            <w:tcW w:w="0" w:type="auto"/>
            <w:hideMark/>
          </w:tcPr>
          <w:p w14:paraId="021912A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96</w:t>
            </w:r>
          </w:p>
        </w:tc>
        <w:tc>
          <w:tcPr>
            <w:tcW w:w="0" w:type="auto"/>
            <w:hideMark/>
          </w:tcPr>
          <w:p w14:paraId="16EE46A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98</w:t>
            </w:r>
          </w:p>
        </w:tc>
        <w:tc>
          <w:tcPr>
            <w:tcW w:w="0" w:type="auto"/>
            <w:hideMark/>
          </w:tcPr>
          <w:p w14:paraId="4E1912F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97</w:t>
            </w:r>
          </w:p>
        </w:tc>
      </w:tr>
      <w:tr w:rsidR="007B2903" w:rsidRPr="007B2903" w14:paraId="58E2B66A" w14:textId="77777777" w:rsidTr="007B2903">
        <w:trPr>
          <w:jc w:val="center"/>
        </w:trPr>
        <w:tc>
          <w:tcPr>
            <w:tcW w:w="0" w:type="auto"/>
            <w:hideMark/>
          </w:tcPr>
          <w:p w14:paraId="026ECC2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w:t>
            </w:r>
          </w:p>
        </w:tc>
        <w:tc>
          <w:tcPr>
            <w:tcW w:w="0" w:type="auto"/>
            <w:hideMark/>
          </w:tcPr>
          <w:p w14:paraId="6F9B3F5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16.01 – 20</w:t>
            </w:r>
          </w:p>
        </w:tc>
        <w:tc>
          <w:tcPr>
            <w:tcW w:w="0" w:type="auto"/>
            <w:hideMark/>
          </w:tcPr>
          <w:p w14:paraId="31DB10B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287</w:t>
            </w:r>
          </w:p>
        </w:tc>
        <w:tc>
          <w:tcPr>
            <w:tcW w:w="0" w:type="auto"/>
            <w:hideMark/>
          </w:tcPr>
          <w:p w14:paraId="3C1DB20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301</w:t>
            </w:r>
          </w:p>
        </w:tc>
        <w:tc>
          <w:tcPr>
            <w:tcW w:w="0" w:type="auto"/>
            <w:hideMark/>
          </w:tcPr>
          <w:p w14:paraId="5A434CB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318</w:t>
            </w:r>
          </w:p>
        </w:tc>
        <w:tc>
          <w:tcPr>
            <w:tcW w:w="0" w:type="auto"/>
            <w:hideMark/>
          </w:tcPr>
          <w:p w14:paraId="62E3260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316</w:t>
            </w:r>
          </w:p>
        </w:tc>
        <w:tc>
          <w:tcPr>
            <w:tcW w:w="0" w:type="auto"/>
            <w:hideMark/>
          </w:tcPr>
          <w:p w14:paraId="3F37C08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326</w:t>
            </w:r>
          </w:p>
        </w:tc>
      </w:tr>
      <w:tr w:rsidR="007B2903" w:rsidRPr="007B2903" w14:paraId="34884206" w14:textId="77777777" w:rsidTr="007B2903">
        <w:trPr>
          <w:jc w:val="center"/>
        </w:trPr>
        <w:tc>
          <w:tcPr>
            <w:tcW w:w="0" w:type="auto"/>
            <w:hideMark/>
          </w:tcPr>
          <w:p w14:paraId="0C7CEE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w:t>
            </w:r>
          </w:p>
        </w:tc>
        <w:tc>
          <w:tcPr>
            <w:tcW w:w="0" w:type="auto"/>
            <w:hideMark/>
          </w:tcPr>
          <w:p w14:paraId="2FD6973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20.01 – 24</w:t>
            </w:r>
          </w:p>
        </w:tc>
        <w:tc>
          <w:tcPr>
            <w:tcW w:w="0" w:type="auto"/>
            <w:hideMark/>
          </w:tcPr>
          <w:p w14:paraId="5673F65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714</w:t>
            </w:r>
          </w:p>
        </w:tc>
        <w:tc>
          <w:tcPr>
            <w:tcW w:w="0" w:type="auto"/>
            <w:hideMark/>
          </w:tcPr>
          <w:p w14:paraId="39BE4DE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707</w:t>
            </w:r>
          </w:p>
        </w:tc>
        <w:tc>
          <w:tcPr>
            <w:tcW w:w="0" w:type="auto"/>
            <w:hideMark/>
          </w:tcPr>
          <w:p w14:paraId="54BEAE9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706</w:t>
            </w:r>
          </w:p>
        </w:tc>
        <w:tc>
          <w:tcPr>
            <w:tcW w:w="0" w:type="auto"/>
            <w:hideMark/>
          </w:tcPr>
          <w:p w14:paraId="323DC33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707</w:t>
            </w:r>
          </w:p>
        </w:tc>
        <w:tc>
          <w:tcPr>
            <w:tcW w:w="0" w:type="auto"/>
            <w:hideMark/>
          </w:tcPr>
          <w:p w14:paraId="067794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708</w:t>
            </w:r>
          </w:p>
        </w:tc>
      </w:tr>
      <w:tr w:rsidR="007B2903" w:rsidRPr="007B2903" w14:paraId="4D26F08D" w14:textId="77777777" w:rsidTr="007B2903">
        <w:trPr>
          <w:jc w:val="center"/>
        </w:trPr>
        <w:tc>
          <w:tcPr>
            <w:tcW w:w="0" w:type="auto"/>
            <w:hideMark/>
          </w:tcPr>
          <w:p w14:paraId="6A59A60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w:t>
            </w:r>
          </w:p>
        </w:tc>
        <w:tc>
          <w:tcPr>
            <w:tcW w:w="0" w:type="auto"/>
            <w:hideMark/>
          </w:tcPr>
          <w:p w14:paraId="0C42A60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24.01 – 28</w:t>
            </w:r>
          </w:p>
        </w:tc>
        <w:tc>
          <w:tcPr>
            <w:tcW w:w="0" w:type="auto"/>
            <w:hideMark/>
          </w:tcPr>
          <w:p w14:paraId="73E7DAF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2,423</w:t>
            </w:r>
          </w:p>
        </w:tc>
        <w:tc>
          <w:tcPr>
            <w:tcW w:w="0" w:type="auto"/>
            <w:hideMark/>
          </w:tcPr>
          <w:p w14:paraId="20C91F9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2,326</w:t>
            </w:r>
          </w:p>
        </w:tc>
        <w:tc>
          <w:tcPr>
            <w:tcW w:w="0" w:type="auto"/>
            <w:hideMark/>
          </w:tcPr>
          <w:p w14:paraId="5ECC905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2,423</w:t>
            </w:r>
          </w:p>
        </w:tc>
        <w:tc>
          <w:tcPr>
            <w:tcW w:w="0" w:type="auto"/>
            <w:hideMark/>
          </w:tcPr>
          <w:p w14:paraId="68C9EF7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2,319</w:t>
            </w:r>
          </w:p>
        </w:tc>
        <w:tc>
          <w:tcPr>
            <w:tcW w:w="0" w:type="auto"/>
            <w:hideMark/>
          </w:tcPr>
          <w:p w14:paraId="25F5436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2,428</w:t>
            </w:r>
          </w:p>
        </w:tc>
      </w:tr>
      <w:tr w:rsidR="007B2903" w:rsidRPr="007B2903" w14:paraId="6D2B4205" w14:textId="77777777" w:rsidTr="007B2903">
        <w:trPr>
          <w:jc w:val="center"/>
        </w:trPr>
        <w:tc>
          <w:tcPr>
            <w:tcW w:w="0" w:type="auto"/>
            <w:hideMark/>
          </w:tcPr>
          <w:p w14:paraId="69E724E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w:t>
            </w:r>
          </w:p>
        </w:tc>
        <w:tc>
          <w:tcPr>
            <w:tcW w:w="0" w:type="auto"/>
            <w:hideMark/>
          </w:tcPr>
          <w:p w14:paraId="6380211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28.01 – 32</w:t>
            </w:r>
          </w:p>
        </w:tc>
        <w:tc>
          <w:tcPr>
            <w:tcW w:w="0" w:type="auto"/>
            <w:hideMark/>
          </w:tcPr>
          <w:p w14:paraId="4582416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914</w:t>
            </w:r>
          </w:p>
        </w:tc>
        <w:tc>
          <w:tcPr>
            <w:tcW w:w="0" w:type="auto"/>
            <w:hideMark/>
          </w:tcPr>
          <w:p w14:paraId="3113E24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936</w:t>
            </w:r>
          </w:p>
        </w:tc>
        <w:tc>
          <w:tcPr>
            <w:tcW w:w="0" w:type="auto"/>
            <w:hideMark/>
          </w:tcPr>
          <w:p w14:paraId="62DCEA8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943</w:t>
            </w:r>
          </w:p>
        </w:tc>
        <w:tc>
          <w:tcPr>
            <w:tcW w:w="0" w:type="auto"/>
            <w:hideMark/>
          </w:tcPr>
          <w:p w14:paraId="501D24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949</w:t>
            </w:r>
          </w:p>
        </w:tc>
        <w:tc>
          <w:tcPr>
            <w:tcW w:w="0" w:type="auto"/>
            <w:hideMark/>
          </w:tcPr>
          <w:p w14:paraId="090DB02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948</w:t>
            </w:r>
          </w:p>
        </w:tc>
      </w:tr>
      <w:tr w:rsidR="007B2903" w:rsidRPr="007B2903" w14:paraId="0A1A34D2" w14:textId="77777777" w:rsidTr="007B2903">
        <w:trPr>
          <w:jc w:val="center"/>
        </w:trPr>
        <w:tc>
          <w:tcPr>
            <w:tcW w:w="0" w:type="auto"/>
            <w:hideMark/>
          </w:tcPr>
          <w:p w14:paraId="2F90BE1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w:t>
            </w:r>
          </w:p>
        </w:tc>
        <w:tc>
          <w:tcPr>
            <w:tcW w:w="0" w:type="auto"/>
            <w:hideMark/>
          </w:tcPr>
          <w:p w14:paraId="5ED85C9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&gt; 32</w:t>
            </w:r>
          </w:p>
        </w:tc>
        <w:tc>
          <w:tcPr>
            <w:tcW w:w="0" w:type="auto"/>
            <w:hideMark/>
          </w:tcPr>
          <w:p w14:paraId="2D6481C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7,454</w:t>
            </w:r>
          </w:p>
        </w:tc>
        <w:tc>
          <w:tcPr>
            <w:tcW w:w="0" w:type="auto"/>
            <w:hideMark/>
          </w:tcPr>
          <w:p w14:paraId="03D31A8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7,522</w:t>
            </w:r>
          </w:p>
        </w:tc>
        <w:tc>
          <w:tcPr>
            <w:tcW w:w="0" w:type="auto"/>
            <w:hideMark/>
          </w:tcPr>
          <w:p w14:paraId="54ADEDE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7,400</w:t>
            </w:r>
          </w:p>
        </w:tc>
        <w:tc>
          <w:tcPr>
            <w:tcW w:w="0" w:type="auto"/>
            <w:hideMark/>
          </w:tcPr>
          <w:p w14:paraId="2F8CCBF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7,498</w:t>
            </w:r>
          </w:p>
        </w:tc>
        <w:tc>
          <w:tcPr>
            <w:tcW w:w="0" w:type="auto"/>
            <w:hideMark/>
          </w:tcPr>
          <w:p w14:paraId="47790DF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7,380</w:t>
            </w:r>
          </w:p>
        </w:tc>
      </w:tr>
    </w:tbl>
    <w:p w14:paraId="2A691F94" w14:textId="77777777" w:rsidR="007B2903" w:rsidRPr="007B2903" w:rsidRDefault="007B2903" w:rsidP="007B2903">
      <w:pPr>
        <w:spacing w:after="0" w:line="240" w:lineRule="auto"/>
        <w:jc w:val="center"/>
        <w:rPr>
          <w:rFonts w:ascii="Arial" w:hAnsi="Arial" w:cs="Arial"/>
          <w:sz w:val="20"/>
          <w:szCs w:val="20"/>
        </w:rPr>
      </w:pPr>
      <w:r w:rsidRPr="007B2903">
        <w:rPr>
          <w:rFonts w:ascii="Arial" w:hAnsi="Arial" w:cs="Arial"/>
          <w:i/>
          <w:iCs/>
          <w:sz w:val="20"/>
          <w:szCs w:val="20"/>
        </w:rPr>
        <w:t>Source: Hydrological Grid-Based Modeling, 2024</w:t>
      </w:r>
    </w:p>
    <w:p w14:paraId="611CCF8B" w14:textId="77777777" w:rsidR="007B2903" w:rsidRDefault="007B2903" w:rsidP="007B2903">
      <w:pPr>
        <w:spacing w:after="0" w:line="240" w:lineRule="auto"/>
        <w:jc w:val="both"/>
        <w:rPr>
          <w:rFonts w:ascii="Arial" w:hAnsi="Arial" w:cs="Arial"/>
          <w:sz w:val="20"/>
          <w:szCs w:val="20"/>
        </w:rPr>
      </w:pPr>
    </w:p>
    <w:p w14:paraId="1DED2897" w14:textId="2C15F320" w:rsid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 analysis confirms that the majority of spatial grids consistently fall within the highest groundwater availability category (greater than 32,000 m³/year), indicating a robust and resilient groundwater potential across the sub-district. Importantly, no grids fell within the lowest categories (≤6,000 m³/year), demonstrating the general abundance and reliability of natural recharge processes throughout the region.</w:t>
      </w:r>
    </w:p>
    <w:p w14:paraId="1D251FBB" w14:textId="77777777" w:rsidR="007B2903" w:rsidRPr="007B2903" w:rsidRDefault="007B2903" w:rsidP="007B2903">
      <w:pPr>
        <w:spacing w:after="0" w:line="240" w:lineRule="auto"/>
        <w:jc w:val="both"/>
        <w:rPr>
          <w:rFonts w:ascii="Arial" w:hAnsi="Arial" w:cs="Arial"/>
          <w:sz w:val="20"/>
          <w:szCs w:val="20"/>
        </w:rPr>
      </w:pPr>
    </w:p>
    <w:p w14:paraId="2606B931" w14:textId="0A245C30" w:rsidR="007B2903" w:rsidRPr="008C56E8" w:rsidRDefault="007B2903" w:rsidP="007B2903">
      <w:pPr>
        <w:spacing w:after="0" w:line="360" w:lineRule="auto"/>
        <w:jc w:val="center"/>
        <w:rPr>
          <w:rFonts w:ascii="Times New Roman" w:hAnsi="Times New Roman" w:cs="Times New Roman"/>
          <w:color w:val="000000" w:themeColor="text1"/>
          <w:lang w:val="en-GB"/>
        </w:rPr>
      </w:pPr>
      <w:r w:rsidRPr="007B2903">
        <w:rPr>
          <w:rFonts w:ascii="Arial" w:hAnsi="Arial" w:cs="Arial"/>
          <w:b/>
          <w:bCs/>
          <w:sz w:val="20"/>
          <w:szCs w:val="20"/>
        </w:rPr>
        <w:t xml:space="preserve">Figure 6. </w:t>
      </w:r>
      <w:r w:rsidRPr="007B2903">
        <w:rPr>
          <w:rFonts w:ascii="Arial" w:hAnsi="Arial" w:cs="Arial"/>
          <w:sz w:val="20"/>
          <w:szCs w:val="20"/>
        </w:rPr>
        <w:t>Spatial Distribution of Groundwater Availability Grids (20</w:t>
      </w:r>
      <w:r>
        <w:rPr>
          <w:rFonts w:ascii="Arial" w:hAnsi="Arial" w:cs="Arial"/>
          <w:sz w:val="20"/>
          <w:szCs w:val="20"/>
        </w:rPr>
        <w:t>39</w:t>
      </w:r>
      <w:r w:rsidRPr="007B2903">
        <w:rPr>
          <w:rFonts w:ascii="Arial" w:hAnsi="Arial" w:cs="Arial"/>
          <w:sz w:val="20"/>
          <w:szCs w:val="20"/>
        </w:rPr>
        <w:t>–2044)</w:t>
      </w:r>
      <w:r w:rsidRPr="007B2903">
        <w:rPr>
          <w:rFonts w:ascii="Arial" w:hAnsi="Arial" w:cs="Arial"/>
          <w:sz w:val="20"/>
          <w:szCs w:val="20"/>
        </w:rPr>
        <w:br/>
      </w:r>
      <w:r w:rsidRPr="008C56E8">
        <w:rPr>
          <w:rFonts w:ascii="Times New Roman" w:hAnsi="Times New Roman" w:cs="Times New Roman"/>
          <w:noProof/>
          <w:color w:val="000000" w:themeColor="text1"/>
          <w:lang w:val="en-GB"/>
        </w:rPr>
        <w:drawing>
          <wp:inline distT="0" distB="0" distL="0" distR="0" wp14:anchorId="46FFA857" wp14:editId="6CBCD81D">
            <wp:extent cx="3683521" cy="22431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2659" cy="2248702"/>
                    </a:xfrm>
                    <a:prstGeom prst="rect">
                      <a:avLst/>
                    </a:prstGeom>
                    <a:noFill/>
                    <a:ln>
                      <a:noFill/>
                    </a:ln>
                  </pic:spPr>
                </pic:pic>
              </a:graphicData>
            </a:graphic>
          </wp:inline>
        </w:drawing>
      </w:r>
    </w:p>
    <w:p w14:paraId="6A759299" w14:textId="3A0FB41A" w:rsidR="007B2903" w:rsidRPr="007B2903" w:rsidRDefault="007B2903" w:rsidP="007B2903">
      <w:pPr>
        <w:spacing w:after="0" w:line="360" w:lineRule="auto"/>
        <w:jc w:val="center"/>
        <w:rPr>
          <w:rFonts w:ascii="Times New Roman" w:hAnsi="Times New Roman" w:cs="Times New Roman"/>
          <w:color w:val="000000" w:themeColor="text1"/>
          <w:lang w:val="en-GB"/>
        </w:rPr>
      </w:pPr>
      <w:r w:rsidRPr="008C56E8">
        <w:rPr>
          <w:rFonts w:ascii="Times New Roman" w:hAnsi="Times New Roman" w:cs="Times New Roman"/>
          <w:noProof/>
          <w:color w:val="000000" w:themeColor="text1"/>
          <w:lang w:val="en-GB"/>
        </w:rPr>
        <w:drawing>
          <wp:inline distT="0" distB="0" distL="0" distR="0" wp14:anchorId="23A0A791" wp14:editId="0DFAE200">
            <wp:extent cx="3699107" cy="226028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3593" cy="2269133"/>
                    </a:xfrm>
                    <a:prstGeom prst="rect">
                      <a:avLst/>
                    </a:prstGeom>
                    <a:noFill/>
                    <a:ln>
                      <a:noFill/>
                    </a:ln>
                  </pic:spPr>
                </pic:pic>
              </a:graphicData>
            </a:graphic>
          </wp:inline>
        </w:drawing>
      </w:r>
    </w:p>
    <w:p w14:paraId="2E3AE8B2" w14:textId="12A8A2AD" w:rsid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Source: GIS-based grid overlay with runoff coefficient model</w:t>
      </w:r>
    </w:p>
    <w:p w14:paraId="636F7F57" w14:textId="77777777" w:rsidR="007B2903" w:rsidRPr="007B2903" w:rsidRDefault="007B2903" w:rsidP="007B2903">
      <w:pPr>
        <w:spacing w:after="0" w:line="240" w:lineRule="auto"/>
        <w:jc w:val="both"/>
        <w:rPr>
          <w:rFonts w:ascii="Arial" w:hAnsi="Arial" w:cs="Arial"/>
          <w:sz w:val="20"/>
          <w:szCs w:val="20"/>
        </w:rPr>
      </w:pPr>
    </w:p>
    <w:p w14:paraId="24FDC537"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From a planning perspective, this surplus groundwater availability provides a </w:t>
      </w:r>
      <w:r w:rsidRPr="007B2903">
        <w:rPr>
          <w:rFonts w:ascii="Arial" w:hAnsi="Arial" w:cs="Arial"/>
          <w:b/>
          <w:bCs/>
          <w:sz w:val="20"/>
          <w:szCs w:val="20"/>
        </w:rPr>
        <w:t>strategic opportunity to support decentralized water supply systems</w:t>
      </w:r>
      <w:r w:rsidRPr="007B2903">
        <w:rPr>
          <w:rFonts w:ascii="Arial" w:hAnsi="Arial" w:cs="Arial"/>
          <w:sz w:val="20"/>
          <w:szCs w:val="20"/>
        </w:rPr>
        <w:t>, especially in peripheral or low-density areas where piped systems are infeasible. Grids classified with &gt;32,000 m³/year potential could serve as priority zones for non-piped SPAM (</w:t>
      </w:r>
      <w:proofErr w:type="spellStart"/>
      <w:r w:rsidRPr="007B2903">
        <w:rPr>
          <w:rFonts w:ascii="Arial" w:hAnsi="Arial" w:cs="Arial"/>
          <w:sz w:val="20"/>
          <w:szCs w:val="20"/>
        </w:rPr>
        <w:t>Sistem</w:t>
      </w:r>
      <w:proofErr w:type="spellEnd"/>
      <w:r w:rsidRPr="007B2903">
        <w:rPr>
          <w:rFonts w:ascii="Arial" w:hAnsi="Arial" w:cs="Arial"/>
          <w:sz w:val="20"/>
          <w:szCs w:val="20"/>
        </w:rPr>
        <w:t xml:space="preserve"> </w:t>
      </w:r>
      <w:proofErr w:type="spellStart"/>
      <w:r w:rsidRPr="007B2903">
        <w:rPr>
          <w:rFonts w:ascii="Arial" w:hAnsi="Arial" w:cs="Arial"/>
          <w:sz w:val="20"/>
          <w:szCs w:val="20"/>
        </w:rPr>
        <w:t>Penyediaan</w:t>
      </w:r>
      <w:proofErr w:type="spellEnd"/>
      <w:r w:rsidRPr="007B2903">
        <w:rPr>
          <w:rFonts w:ascii="Arial" w:hAnsi="Arial" w:cs="Arial"/>
          <w:sz w:val="20"/>
          <w:szCs w:val="20"/>
        </w:rPr>
        <w:t xml:space="preserve"> Air </w:t>
      </w:r>
      <w:proofErr w:type="spellStart"/>
      <w:r w:rsidRPr="007B2903">
        <w:rPr>
          <w:rFonts w:ascii="Arial" w:hAnsi="Arial" w:cs="Arial"/>
          <w:sz w:val="20"/>
          <w:szCs w:val="20"/>
        </w:rPr>
        <w:t>Minum</w:t>
      </w:r>
      <w:proofErr w:type="spellEnd"/>
      <w:r w:rsidRPr="007B2903">
        <w:rPr>
          <w:rFonts w:ascii="Arial" w:hAnsi="Arial" w:cs="Arial"/>
          <w:sz w:val="20"/>
          <w:szCs w:val="20"/>
        </w:rPr>
        <w:t>) development, such as borewell systems or localized small-scale treatment units.</w:t>
      </w:r>
    </w:p>
    <w:p w14:paraId="36838C93"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This hydrological surplus, if managed sustainably, can act as a buffer against projected shortfalls in piped water systems and offers a means of diversifying the water supply portfolio. Nonetheless, institutional capacity and abstraction monitoring will be critical to ensure long-term groundwater sustainability and ecological balance</w:t>
      </w:r>
    </w:p>
    <w:p w14:paraId="54BC393F" w14:textId="77777777" w:rsidR="00C167F2" w:rsidRDefault="00C167F2" w:rsidP="009B4A19">
      <w:pPr>
        <w:spacing w:after="0" w:line="240" w:lineRule="auto"/>
        <w:jc w:val="both"/>
        <w:rPr>
          <w:rFonts w:ascii="Arial" w:hAnsi="Arial" w:cs="Arial"/>
          <w:sz w:val="20"/>
          <w:szCs w:val="20"/>
        </w:rPr>
      </w:pPr>
    </w:p>
    <w:p w14:paraId="254828AA" w14:textId="77777777" w:rsidR="007B2903" w:rsidRPr="007B2903" w:rsidRDefault="007B2903" w:rsidP="007B2903">
      <w:pPr>
        <w:spacing w:after="0" w:line="240" w:lineRule="auto"/>
        <w:jc w:val="both"/>
        <w:rPr>
          <w:rFonts w:ascii="Arial" w:hAnsi="Arial" w:cs="Arial"/>
          <w:b/>
          <w:bCs/>
          <w:sz w:val="20"/>
          <w:szCs w:val="20"/>
        </w:rPr>
      </w:pPr>
      <w:r w:rsidRPr="007B2903">
        <w:rPr>
          <w:rFonts w:ascii="Arial" w:hAnsi="Arial" w:cs="Arial"/>
          <w:b/>
          <w:bCs/>
          <w:sz w:val="20"/>
          <w:szCs w:val="20"/>
        </w:rPr>
        <w:lastRenderedPageBreak/>
        <w:t>3.6. Summary and Implications for DMA Planning and SPAM Optimization</w:t>
      </w:r>
    </w:p>
    <w:p w14:paraId="37AAA826" w14:textId="77777777" w:rsidR="007B2903" w:rsidRDefault="007B2903" w:rsidP="007B2903">
      <w:pPr>
        <w:spacing w:after="0" w:line="240" w:lineRule="auto"/>
        <w:jc w:val="both"/>
        <w:rPr>
          <w:rFonts w:ascii="Arial" w:hAnsi="Arial" w:cs="Arial"/>
          <w:sz w:val="20"/>
          <w:szCs w:val="20"/>
        </w:rPr>
      </w:pPr>
    </w:p>
    <w:p w14:paraId="5C4CDA06" w14:textId="68C70F81"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This section synthesizes the results of spatial, demographic, hydrological, and service coverage analyses from 2024 to 2044, with a particular focus on the implications for District Metered Area (DMA) planning and optimization of water supply systems (SPAM) in </w:t>
      </w:r>
      <w:proofErr w:type="spellStart"/>
      <w:r w:rsidRPr="007B2903">
        <w:rPr>
          <w:rFonts w:ascii="Arial" w:hAnsi="Arial" w:cs="Arial"/>
          <w:i/>
          <w:iCs/>
          <w:sz w:val="20"/>
          <w:szCs w:val="20"/>
        </w:rPr>
        <w:t>Kecamatan</w:t>
      </w:r>
      <w:proofErr w:type="spellEnd"/>
      <w:r w:rsidRPr="007B2903">
        <w:rPr>
          <w:rFonts w:ascii="Arial" w:hAnsi="Arial" w:cs="Arial"/>
          <w:i/>
          <w:iCs/>
          <w:sz w:val="20"/>
          <w:szCs w:val="20"/>
        </w:rPr>
        <w:t xml:space="preserve"> </w:t>
      </w:r>
      <w:proofErr w:type="spellStart"/>
      <w:r w:rsidRPr="007B2903">
        <w:rPr>
          <w:rFonts w:ascii="Arial" w:hAnsi="Arial" w:cs="Arial"/>
          <w:i/>
          <w:iCs/>
          <w:sz w:val="20"/>
          <w:szCs w:val="20"/>
        </w:rPr>
        <w:t>Doloksanggul</w:t>
      </w:r>
      <w:proofErr w:type="spellEnd"/>
      <w:r w:rsidRPr="007B2903">
        <w:rPr>
          <w:rFonts w:ascii="Arial" w:hAnsi="Arial" w:cs="Arial"/>
          <w:sz w:val="20"/>
          <w:szCs w:val="20"/>
        </w:rPr>
        <w:t>.</w:t>
      </w:r>
    </w:p>
    <w:p w14:paraId="3922F9CD" w14:textId="77777777" w:rsidR="007B2903" w:rsidRDefault="007B2903" w:rsidP="007B2903">
      <w:pPr>
        <w:spacing w:after="0" w:line="240" w:lineRule="auto"/>
        <w:jc w:val="both"/>
        <w:rPr>
          <w:rFonts w:ascii="Arial" w:hAnsi="Arial" w:cs="Arial"/>
          <w:b/>
          <w:bCs/>
          <w:sz w:val="20"/>
          <w:szCs w:val="20"/>
        </w:rPr>
      </w:pPr>
    </w:p>
    <w:p w14:paraId="0B54F0F9" w14:textId="29017CF1" w:rsidR="007B2903" w:rsidRP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3.6.1. SPAM Water Balance Assessment</w:t>
      </w:r>
    </w:p>
    <w:p w14:paraId="643A1862" w14:textId="77777777" w:rsidR="007B2903" w:rsidRDefault="007B2903" w:rsidP="007B2903">
      <w:pPr>
        <w:spacing w:after="0" w:line="240" w:lineRule="auto"/>
        <w:jc w:val="both"/>
        <w:rPr>
          <w:rFonts w:ascii="Arial" w:hAnsi="Arial" w:cs="Arial"/>
          <w:sz w:val="20"/>
          <w:szCs w:val="20"/>
        </w:rPr>
      </w:pPr>
    </w:p>
    <w:p w14:paraId="54AD3D4C" w14:textId="0DD5F58F"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 water balance analysis highlights a pivotal shift in the supply-demand dynamic across the study horizon. While piped water systems maintain a surplus capacity until 2034, deficits are projected to emerge by 2039 and worsen significantly by 2044 due to accelerated demand growth outpacing incremental production increases and loss reduction efforts.</w:t>
      </w:r>
    </w:p>
    <w:p w14:paraId="0A5BA01C" w14:textId="77777777" w:rsidR="007B2903" w:rsidRDefault="007B2903" w:rsidP="007B2903">
      <w:pPr>
        <w:spacing w:after="0" w:line="240" w:lineRule="auto"/>
        <w:jc w:val="both"/>
        <w:rPr>
          <w:rFonts w:ascii="Arial" w:hAnsi="Arial" w:cs="Arial"/>
          <w:b/>
          <w:bCs/>
          <w:sz w:val="20"/>
          <w:szCs w:val="20"/>
        </w:rPr>
      </w:pPr>
    </w:p>
    <w:p w14:paraId="15157955" w14:textId="23C6529A"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 xml:space="preserve">Table 5. </w:t>
      </w:r>
      <w:r w:rsidRPr="007B2903">
        <w:rPr>
          <w:rFonts w:ascii="Arial" w:hAnsi="Arial" w:cs="Arial"/>
          <w:sz w:val="20"/>
          <w:szCs w:val="20"/>
        </w:rPr>
        <w:t xml:space="preserve">SPAM Water Balance Projections in </w:t>
      </w:r>
      <w:proofErr w:type="spellStart"/>
      <w:r w:rsidRPr="007B2903">
        <w:rPr>
          <w:rFonts w:ascii="Arial" w:hAnsi="Arial" w:cs="Arial"/>
          <w:sz w:val="20"/>
          <w:szCs w:val="20"/>
        </w:rPr>
        <w:t>Kecamatan</w:t>
      </w:r>
      <w:proofErr w:type="spellEnd"/>
      <w:r w:rsidRPr="007B2903">
        <w:rPr>
          <w:rFonts w:ascii="Arial" w:hAnsi="Arial" w:cs="Arial"/>
          <w:sz w:val="20"/>
          <w:szCs w:val="20"/>
        </w:rPr>
        <w:t xml:space="preserve">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(2024–2044)</w:t>
      </w:r>
    </w:p>
    <w:tbl>
      <w:tblPr>
        <w:tblStyle w:val="TableGrid"/>
        <w:tblW w:w="0" w:type="auto"/>
        <w:tblLook w:val="04A0" w:firstRow="1" w:lastRow="0" w:firstColumn="1" w:lastColumn="0" w:noHBand="0" w:noVBand="1"/>
      </w:tblPr>
      <w:tblGrid>
        <w:gridCol w:w="661"/>
        <w:gridCol w:w="1250"/>
        <w:gridCol w:w="1313"/>
        <w:gridCol w:w="1259"/>
        <w:gridCol w:w="1444"/>
        <w:gridCol w:w="976"/>
        <w:gridCol w:w="1219"/>
        <w:gridCol w:w="895"/>
      </w:tblGrid>
      <w:tr w:rsidR="007B2903" w:rsidRPr="007B2903" w14:paraId="166EEDB2" w14:textId="77777777" w:rsidTr="007B2903">
        <w:tc>
          <w:tcPr>
            <w:tcW w:w="0" w:type="auto"/>
            <w:hideMark/>
          </w:tcPr>
          <w:p w14:paraId="73DC7ADB"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Year</w:t>
            </w:r>
          </w:p>
        </w:tc>
        <w:tc>
          <w:tcPr>
            <w:tcW w:w="0" w:type="auto"/>
            <w:hideMark/>
          </w:tcPr>
          <w:p w14:paraId="6C62209D"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Population</w:t>
            </w:r>
          </w:p>
        </w:tc>
        <w:tc>
          <w:tcPr>
            <w:tcW w:w="0" w:type="auto"/>
            <w:hideMark/>
          </w:tcPr>
          <w:p w14:paraId="0B8A0706"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Piped Coverage (%)</w:t>
            </w:r>
          </w:p>
        </w:tc>
        <w:tc>
          <w:tcPr>
            <w:tcW w:w="0" w:type="auto"/>
            <w:hideMark/>
          </w:tcPr>
          <w:p w14:paraId="493C188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Demand (m³/year)</w:t>
            </w:r>
          </w:p>
        </w:tc>
        <w:tc>
          <w:tcPr>
            <w:tcW w:w="0" w:type="auto"/>
            <w:hideMark/>
          </w:tcPr>
          <w:p w14:paraId="218567A8"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Production (m³/year)</w:t>
            </w:r>
          </w:p>
        </w:tc>
        <w:tc>
          <w:tcPr>
            <w:tcW w:w="0" w:type="auto"/>
            <w:hideMark/>
          </w:tcPr>
          <w:p w14:paraId="15E65A7F"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Losses (%)</w:t>
            </w:r>
          </w:p>
        </w:tc>
        <w:tc>
          <w:tcPr>
            <w:tcW w:w="0" w:type="auto"/>
            <w:hideMark/>
          </w:tcPr>
          <w:p w14:paraId="412A7209"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Balance (m³/year)</w:t>
            </w:r>
          </w:p>
        </w:tc>
        <w:tc>
          <w:tcPr>
            <w:tcW w:w="0" w:type="auto"/>
            <w:hideMark/>
          </w:tcPr>
          <w:p w14:paraId="14658A14"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Status</w:t>
            </w:r>
          </w:p>
        </w:tc>
      </w:tr>
      <w:tr w:rsidR="007B2903" w:rsidRPr="007B2903" w14:paraId="19720FB5" w14:textId="77777777" w:rsidTr="007B2903">
        <w:tc>
          <w:tcPr>
            <w:tcW w:w="0" w:type="auto"/>
            <w:hideMark/>
          </w:tcPr>
          <w:p w14:paraId="38A183A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2024</w:t>
            </w:r>
          </w:p>
        </w:tc>
        <w:tc>
          <w:tcPr>
            <w:tcW w:w="0" w:type="auto"/>
            <w:hideMark/>
          </w:tcPr>
          <w:p w14:paraId="274399A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54,718</w:t>
            </w:r>
          </w:p>
        </w:tc>
        <w:tc>
          <w:tcPr>
            <w:tcW w:w="0" w:type="auto"/>
            <w:hideMark/>
          </w:tcPr>
          <w:p w14:paraId="676A26D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37</w:t>
            </w:r>
          </w:p>
        </w:tc>
        <w:tc>
          <w:tcPr>
            <w:tcW w:w="0" w:type="auto"/>
            <w:hideMark/>
          </w:tcPr>
          <w:p w14:paraId="6E6095B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842,701</w:t>
            </w:r>
          </w:p>
        </w:tc>
        <w:tc>
          <w:tcPr>
            <w:tcW w:w="0" w:type="auto"/>
            <w:hideMark/>
          </w:tcPr>
          <w:p w14:paraId="0A5B78C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1,422,308</w:t>
            </w:r>
          </w:p>
        </w:tc>
        <w:tc>
          <w:tcPr>
            <w:tcW w:w="0" w:type="auto"/>
            <w:hideMark/>
          </w:tcPr>
          <w:p w14:paraId="7234224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32</w:t>
            </w:r>
          </w:p>
        </w:tc>
        <w:tc>
          <w:tcPr>
            <w:tcW w:w="0" w:type="auto"/>
            <w:hideMark/>
          </w:tcPr>
          <w:p w14:paraId="5515124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+663,877</w:t>
            </w:r>
          </w:p>
        </w:tc>
        <w:tc>
          <w:tcPr>
            <w:tcW w:w="0" w:type="auto"/>
            <w:hideMark/>
          </w:tcPr>
          <w:p w14:paraId="246A34A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1369AF99" w14:textId="77777777" w:rsidTr="007B2903">
        <w:tc>
          <w:tcPr>
            <w:tcW w:w="0" w:type="auto"/>
            <w:hideMark/>
          </w:tcPr>
          <w:p w14:paraId="47D158F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2029</w:t>
            </w:r>
          </w:p>
        </w:tc>
        <w:tc>
          <w:tcPr>
            <w:tcW w:w="0" w:type="auto"/>
            <w:hideMark/>
          </w:tcPr>
          <w:p w14:paraId="454EB6C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59,001</w:t>
            </w:r>
          </w:p>
        </w:tc>
        <w:tc>
          <w:tcPr>
            <w:tcW w:w="0" w:type="auto"/>
            <w:hideMark/>
          </w:tcPr>
          <w:p w14:paraId="77C6A8D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49</w:t>
            </w:r>
          </w:p>
        </w:tc>
        <w:tc>
          <w:tcPr>
            <w:tcW w:w="0" w:type="auto"/>
            <w:hideMark/>
          </w:tcPr>
          <w:p w14:paraId="1B49057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1,201,780</w:t>
            </w:r>
          </w:p>
        </w:tc>
        <w:tc>
          <w:tcPr>
            <w:tcW w:w="0" w:type="auto"/>
            <w:hideMark/>
          </w:tcPr>
          <w:p w14:paraId="5B62B443"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1,552,556</w:t>
            </w:r>
          </w:p>
        </w:tc>
        <w:tc>
          <w:tcPr>
            <w:tcW w:w="0" w:type="auto"/>
            <w:hideMark/>
          </w:tcPr>
          <w:p w14:paraId="74AA63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26</w:t>
            </w:r>
          </w:p>
        </w:tc>
        <w:tc>
          <w:tcPr>
            <w:tcW w:w="0" w:type="auto"/>
            <w:hideMark/>
          </w:tcPr>
          <w:p w14:paraId="47CA4E6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+470,955</w:t>
            </w:r>
          </w:p>
        </w:tc>
        <w:tc>
          <w:tcPr>
            <w:tcW w:w="0" w:type="auto"/>
            <w:hideMark/>
          </w:tcPr>
          <w:p w14:paraId="372EA48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26BE3361" w14:textId="77777777" w:rsidTr="007B2903">
        <w:tc>
          <w:tcPr>
            <w:tcW w:w="0" w:type="auto"/>
            <w:hideMark/>
          </w:tcPr>
          <w:p w14:paraId="5882460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2034</w:t>
            </w:r>
          </w:p>
        </w:tc>
        <w:tc>
          <w:tcPr>
            <w:tcW w:w="0" w:type="auto"/>
            <w:hideMark/>
          </w:tcPr>
          <w:p w14:paraId="18C5D61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63,287</w:t>
            </w:r>
          </w:p>
        </w:tc>
        <w:tc>
          <w:tcPr>
            <w:tcW w:w="0" w:type="auto"/>
            <w:hideMark/>
          </w:tcPr>
          <w:p w14:paraId="78B2C568"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61</w:t>
            </w:r>
          </w:p>
        </w:tc>
        <w:tc>
          <w:tcPr>
            <w:tcW w:w="0" w:type="auto"/>
            <w:hideMark/>
          </w:tcPr>
          <w:p w14:paraId="7D4C288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1,603,490</w:t>
            </w:r>
          </w:p>
        </w:tc>
        <w:tc>
          <w:tcPr>
            <w:tcW w:w="0" w:type="auto"/>
            <w:hideMark/>
          </w:tcPr>
          <w:p w14:paraId="6DBCC08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1,682,804</w:t>
            </w:r>
          </w:p>
        </w:tc>
        <w:tc>
          <w:tcPr>
            <w:tcW w:w="0" w:type="auto"/>
            <w:hideMark/>
          </w:tcPr>
          <w:p w14:paraId="7D31E48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19</w:t>
            </w:r>
          </w:p>
        </w:tc>
        <w:tc>
          <w:tcPr>
            <w:tcW w:w="0" w:type="auto"/>
            <w:hideMark/>
          </w:tcPr>
          <w:p w14:paraId="7E1852B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+239,663</w:t>
            </w:r>
          </w:p>
        </w:tc>
        <w:tc>
          <w:tcPr>
            <w:tcW w:w="0" w:type="auto"/>
            <w:hideMark/>
          </w:tcPr>
          <w:p w14:paraId="062A7B0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Surplus</w:t>
            </w:r>
          </w:p>
        </w:tc>
      </w:tr>
      <w:tr w:rsidR="007B2903" w:rsidRPr="007B2903" w14:paraId="518CB7B1" w14:textId="77777777" w:rsidTr="007B2903">
        <w:tc>
          <w:tcPr>
            <w:tcW w:w="0" w:type="auto"/>
            <w:hideMark/>
          </w:tcPr>
          <w:p w14:paraId="69C5CB6E"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2039</w:t>
            </w:r>
          </w:p>
        </w:tc>
        <w:tc>
          <w:tcPr>
            <w:tcW w:w="0" w:type="auto"/>
            <w:hideMark/>
          </w:tcPr>
          <w:p w14:paraId="641A27D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67,565</w:t>
            </w:r>
          </w:p>
        </w:tc>
        <w:tc>
          <w:tcPr>
            <w:tcW w:w="0" w:type="auto"/>
            <w:hideMark/>
          </w:tcPr>
          <w:p w14:paraId="5A76ED4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73</w:t>
            </w:r>
          </w:p>
        </w:tc>
        <w:tc>
          <w:tcPr>
            <w:tcW w:w="0" w:type="auto"/>
            <w:hideMark/>
          </w:tcPr>
          <w:p w14:paraId="1F7A4B10"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2,047,544</w:t>
            </w:r>
          </w:p>
        </w:tc>
        <w:tc>
          <w:tcPr>
            <w:tcW w:w="0" w:type="auto"/>
            <w:hideMark/>
          </w:tcPr>
          <w:p w14:paraId="319E5F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1,813,052</w:t>
            </w:r>
          </w:p>
        </w:tc>
        <w:tc>
          <w:tcPr>
            <w:tcW w:w="0" w:type="auto"/>
            <w:hideMark/>
          </w:tcPr>
          <w:p w14:paraId="23B374C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13</w:t>
            </w:r>
          </w:p>
        </w:tc>
        <w:tc>
          <w:tcPr>
            <w:tcW w:w="0" w:type="auto"/>
            <w:hideMark/>
          </w:tcPr>
          <w:p w14:paraId="3694250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–29,737</w:t>
            </w:r>
          </w:p>
        </w:tc>
        <w:tc>
          <w:tcPr>
            <w:tcW w:w="0" w:type="auto"/>
            <w:hideMark/>
          </w:tcPr>
          <w:p w14:paraId="6C5D477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Deficit</w:t>
            </w:r>
          </w:p>
        </w:tc>
      </w:tr>
      <w:tr w:rsidR="007B2903" w:rsidRPr="007B2903" w14:paraId="13423E54" w14:textId="77777777" w:rsidTr="007B2903">
        <w:tc>
          <w:tcPr>
            <w:tcW w:w="0" w:type="auto"/>
            <w:hideMark/>
          </w:tcPr>
          <w:p w14:paraId="1E6FD22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2044</w:t>
            </w:r>
          </w:p>
        </w:tc>
        <w:tc>
          <w:tcPr>
            <w:tcW w:w="0" w:type="auto"/>
            <w:hideMark/>
          </w:tcPr>
          <w:p w14:paraId="42DDD54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71,848</w:t>
            </w:r>
          </w:p>
        </w:tc>
        <w:tc>
          <w:tcPr>
            <w:tcW w:w="0" w:type="auto"/>
            <w:hideMark/>
          </w:tcPr>
          <w:p w14:paraId="534B8D4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85</w:t>
            </w:r>
          </w:p>
        </w:tc>
        <w:tc>
          <w:tcPr>
            <w:tcW w:w="0" w:type="auto"/>
            <w:hideMark/>
          </w:tcPr>
          <w:p w14:paraId="14770AF9"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2,534,280</w:t>
            </w:r>
          </w:p>
        </w:tc>
        <w:tc>
          <w:tcPr>
            <w:tcW w:w="0" w:type="auto"/>
            <w:hideMark/>
          </w:tcPr>
          <w:p w14:paraId="35ECBEC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1,938,090</w:t>
            </w:r>
          </w:p>
        </w:tc>
        <w:tc>
          <w:tcPr>
            <w:tcW w:w="0" w:type="auto"/>
            <w:hideMark/>
          </w:tcPr>
          <w:p w14:paraId="5660E88F"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7</w:t>
            </w:r>
          </w:p>
        </w:tc>
        <w:tc>
          <w:tcPr>
            <w:tcW w:w="0" w:type="auto"/>
            <w:hideMark/>
          </w:tcPr>
          <w:p w14:paraId="5EC69C3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–342,762</w:t>
            </w:r>
          </w:p>
        </w:tc>
        <w:tc>
          <w:tcPr>
            <w:tcW w:w="0" w:type="auto"/>
            <w:hideMark/>
          </w:tcPr>
          <w:p w14:paraId="04643497"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Deficit</w:t>
            </w:r>
          </w:p>
        </w:tc>
      </w:tr>
    </w:tbl>
    <w:p w14:paraId="6F5DDC34" w14:textId="77777777" w:rsidR="007B2903" w:rsidRPr="007B2903" w:rsidRDefault="007B2903" w:rsidP="007B2903">
      <w:pPr>
        <w:spacing w:after="0" w:line="240" w:lineRule="auto"/>
        <w:jc w:val="both"/>
        <w:rPr>
          <w:rFonts w:ascii="Arial" w:hAnsi="Arial" w:cs="Arial"/>
          <w:sz w:val="20"/>
          <w:szCs w:val="20"/>
        </w:rPr>
      </w:pPr>
      <w:r w:rsidRPr="007B2903">
        <w:rPr>
          <w:rFonts w:ascii="Arial" w:hAnsi="Arial" w:cs="Arial"/>
          <w:i/>
          <w:iCs/>
          <w:sz w:val="20"/>
          <w:szCs w:val="20"/>
        </w:rPr>
        <w:t>Source: Author's Calculation, 2024</w:t>
      </w:r>
    </w:p>
    <w:p w14:paraId="15C3830B" w14:textId="77777777" w:rsidR="007B2903" w:rsidRDefault="007B2903" w:rsidP="007B2903">
      <w:pPr>
        <w:spacing w:after="0" w:line="240" w:lineRule="auto"/>
        <w:jc w:val="both"/>
        <w:rPr>
          <w:rFonts w:ascii="Arial" w:hAnsi="Arial" w:cs="Arial"/>
          <w:sz w:val="20"/>
          <w:szCs w:val="20"/>
        </w:rPr>
      </w:pPr>
    </w:p>
    <w:p w14:paraId="7ED59FDD" w14:textId="7E6F7AB6"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These findings underline the importance of leveraging early surplus years (2024–2034) to implement strategic improvements in infrastructure and operations. By 2039–2044, failure to address capacity constraints and non-revenue water (NRW) could result in service disruptions and declining coverage equity.</w:t>
      </w:r>
    </w:p>
    <w:p w14:paraId="3CEF162E" w14:textId="77777777" w:rsidR="007B2903" w:rsidRDefault="007B2903" w:rsidP="007B2903">
      <w:pPr>
        <w:spacing w:after="0" w:line="240" w:lineRule="auto"/>
        <w:jc w:val="both"/>
        <w:rPr>
          <w:rFonts w:ascii="Arial" w:hAnsi="Arial" w:cs="Arial"/>
          <w:b/>
          <w:bCs/>
          <w:sz w:val="20"/>
          <w:szCs w:val="20"/>
        </w:rPr>
      </w:pPr>
    </w:p>
    <w:p w14:paraId="6462CD8E" w14:textId="0886F845" w:rsidR="007B2903" w:rsidRPr="007B2903" w:rsidRDefault="007B2903" w:rsidP="007B2903">
      <w:pPr>
        <w:spacing w:after="0" w:line="240" w:lineRule="auto"/>
        <w:jc w:val="both"/>
        <w:rPr>
          <w:rFonts w:ascii="Arial" w:hAnsi="Arial" w:cs="Arial"/>
          <w:i/>
          <w:iCs/>
          <w:sz w:val="20"/>
          <w:szCs w:val="20"/>
        </w:rPr>
      </w:pPr>
      <w:r w:rsidRPr="007B2903">
        <w:rPr>
          <w:rFonts w:ascii="Arial" w:hAnsi="Arial" w:cs="Arial"/>
          <w:i/>
          <w:iCs/>
          <w:sz w:val="20"/>
          <w:szCs w:val="20"/>
        </w:rPr>
        <w:t>3.6.2. DMA Prioritization Strategy</w:t>
      </w:r>
    </w:p>
    <w:p w14:paraId="236A0B0E" w14:textId="77777777" w:rsidR="007B2903" w:rsidRDefault="007B2903" w:rsidP="007B2903">
      <w:pPr>
        <w:spacing w:after="0" w:line="240" w:lineRule="auto"/>
        <w:jc w:val="both"/>
        <w:rPr>
          <w:rFonts w:ascii="Arial" w:hAnsi="Arial" w:cs="Arial"/>
          <w:sz w:val="20"/>
          <w:szCs w:val="20"/>
        </w:rPr>
      </w:pPr>
    </w:p>
    <w:p w14:paraId="3D74AC8F" w14:textId="3B32B582" w:rsidR="007B2903" w:rsidRPr="007B2903"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DMA zoning analysis, based on SR grid density projections, supports a phased implementation approach. High-density zones—such as </w:t>
      </w:r>
      <w:proofErr w:type="spellStart"/>
      <w:r w:rsidRPr="007B2903">
        <w:rPr>
          <w:rFonts w:ascii="Arial" w:hAnsi="Arial" w:cs="Arial"/>
          <w:i/>
          <w:iCs/>
          <w:sz w:val="20"/>
          <w:szCs w:val="20"/>
        </w:rPr>
        <w:t>Kelurahan</w:t>
      </w:r>
      <w:proofErr w:type="spellEnd"/>
      <w:r w:rsidRPr="007B2903">
        <w:rPr>
          <w:rFonts w:ascii="Arial" w:hAnsi="Arial" w:cs="Arial"/>
          <w:i/>
          <w:iCs/>
          <w:sz w:val="20"/>
          <w:szCs w:val="20"/>
        </w:rPr>
        <w:t xml:space="preserve"> Pasar </w:t>
      </w:r>
      <w:proofErr w:type="spellStart"/>
      <w:r w:rsidRPr="007B2903">
        <w:rPr>
          <w:rFonts w:ascii="Arial" w:hAnsi="Arial" w:cs="Arial"/>
          <w:i/>
          <w:iCs/>
          <w:sz w:val="20"/>
          <w:szCs w:val="20"/>
        </w:rPr>
        <w:t>Doloksanggul</w:t>
      </w:r>
      <w:proofErr w:type="spellEnd"/>
      <w:r w:rsidRPr="007B2903">
        <w:rPr>
          <w:rFonts w:ascii="Arial" w:hAnsi="Arial" w:cs="Arial"/>
          <w:sz w:val="20"/>
          <w:szCs w:val="20"/>
        </w:rPr>
        <w:t>—exhibit the greatest potential for NRW reduction and cost-effective service improvement.</w:t>
      </w:r>
    </w:p>
    <w:p w14:paraId="6FAA9F4B" w14:textId="77777777" w:rsidR="007B2903" w:rsidRDefault="007B2903" w:rsidP="007B2903">
      <w:pPr>
        <w:spacing w:after="0" w:line="240" w:lineRule="auto"/>
        <w:jc w:val="center"/>
        <w:rPr>
          <w:rFonts w:ascii="Arial" w:hAnsi="Arial" w:cs="Arial"/>
          <w:b/>
          <w:bCs/>
          <w:sz w:val="20"/>
          <w:szCs w:val="20"/>
        </w:rPr>
      </w:pPr>
    </w:p>
    <w:p w14:paraId="400CB9F9" w14:textId="3636CEDC" w:rsidR="007B2903" w:rsidRPr="007B2903" w:rsidRDefault="007B2903" w:rsidP="007B2903">
      <w:pPr>
        <w:spacing w:after="0" w:line="240" w:lineRule="auto"/>
        <w:jc w:val="center"/>
        <w:rPr>
          <w:rFonts w:ascii="Arial" w:hAnsi="Arial" w:cs="Arial"/>
          <w:sz w:val="20"/>
          <w:szCs w:val="20"/>
        </w:rPr>
      </w:pPr>
      <w:r w:rsidRPr="007B2903">
        <w:rPr>
          <w:rFonts w:ascii="Arial" w:hAnsi="Arial" w:cs="Arial"/>
          <w:b/>
          <w:bCs/>
          <w:sz w:val="20"/>
          <w:szCs w:val="20"/>
        </w:rPr>
        <w:t>Table 6. Priority DMA Zones Based on SR Density (2044 Projection)</w:t>
      </w:r>
    </w:p>
    <w:tbl>
      <w:tblPr>
        <w:tblStyle w:val="TableGridLight"/>
        <w:tblW w:w="0" w:type="auto"/>
        <w:jc w:val="center"/>
        <w:tblLook w:val="04A0" w:firstRow="1" w:lastRow="0" w:firstColumn="1" w:lastColumn="0" w:noHBand="0" w:noVBand="1"/>
      </w:tblPr>
      <w:tblGrid>
        <w:gridCol w:w="706"/>
        <w:gridCol w:w="3218"/>
        <w:gridCol w:w="2239"/>
      </w:tblGrid>
      <w:tr w:rsidR="007B2903" w:rsidRPr="007B2903" w14:paraId="77783745" w14:textId="77777777" w:rsidTr="007B2903">
        <w:trPr>
          <w:jc w:val="center"/>
        </w:trPr>
        <w:tc>
          <w:tcPr>
            <w:tcW w:w="0" w:type="auto"/>
            <w:hideMark/>
          </w:tcPr>
          <w:p w14:paraId="43475EFF"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Rank</w:t>
            </w:r>
          </w:p>
        </w:tc>
        <w:tc>
          <w:tcPr>
            <w:tcW w:w="0" w:type="auto"/>
            <w:hideMark/>
          </w:tcPr>
          <w:p w14:paraId="241438CD"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DMA Zone</w:t>
            </w:r>
          </w:p>
        </w:tc>
        <w:tc>
          <w:tcPr>
            <w:tcW w:w="0" w:type="auto"/>
            <w:hideMark/>
          </w:tcPr>
          <w:p w14:paraId="36D3D3FC" w14:textId="77777777" w:rsidR="007B2903" w:rsidRPr="007B2903" w:rsidRDefault="007B2903" w:rsidP="007B2903">
            <w:pPr>
              <w:jc w:val="both"/>
              <w:rPr>
                <w:rFonts w:ascii="Arial" w:hAnsi="Arial" w:cs="Arial"/>
                <w:b/>
                <w:bCs/>
                <w:sz w:val="20"/>
                <w:szCs w:val="20"/>
              </w:rPr>
            </w:pPr>
            <w:r w:rsidRPr="007B2903">
              <w:rPr>
                <w:rFonts w:ascii="Arial" w:hAnsi="Arial" w:cs="Arial"/>
                <w:b/>
                <w:bCs/>
                <w:sz w:val="20"/>
                <w:szCs w:val="20"/>
              </w:rPr>
              <w:t>SR Density (per Grid)</w:t>
            </w:r>
          </w:p>
        </w:tc>
      </w:tr>
      <w:tr w:rsidR="007B2903" w:rsidRPr="007B2903" w14:paraId="793B28D6" w14:textId="77777777" w:rsidTr="007B2903">
        <w:trPr>
          <w:jc w:val="center"/>
        </w:trPr>
        <w:tc>
          <w:tcPr>
            <w:tcW w:w="0" w:type="auto"/>
            <w:hideMark/>
          </w:tcPr>
          <w:p w14:paraId="59ED524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w:t>
            </w:r>
          </w:p>
        </w:tc>
        <w:tc>
          <w:tcPr>
            <w:tcW w:w="0" w:type="auto"/>
            <w:hideMark/>
          </w:tcPr>
          <w:p w14:paraId="0079F2D1"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xml:space="preserve">Kel. Pasar </w:t>
            </w:r>
            <w:proofErr w:type="spellStart"/>
            <w:r w:rsidRPr="007B2903">
              <w:rPr>
                <w:rFonts w:ascii="Arial" w:hAnsi="Arial" w:cs="Arial"/>
                <w:sz w:val="20"/>
                <w:szCs w:val="20"/>
              </w:rPr>
              <w:t>Doloksanggul</w:t>
            </w:r>
            <w:proofErr w:type="spellEnd"/>
          </w:p>
        </w:tc>
        <w:tc>
          <w:tcPr>
            <w:tcW w:w="0" w:type="auto"/>
            <w:hideMark/>
          </w:tcPr>
          <w:p w14:paraId="6164F5E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65.90</w:t>
            </w:r>
          </w:p>
        </w:tc>
      </w:tr>
      <w:tr w:rsidR="007B2903" w:rsidRPr="007B2903" w14:paraId="08453102" w14:textId="77777777" w:rsidTr="007B2903">
        <w:trPr>
          <w:jc w:val="center"/>
        </w:trPr>
        <w:tc>
          <w:tcPr>
            <w:tcW w:w="0" w:type="auto"/>
            <w:hideMark/>
          </w:tcPr>
          <w:p w14:paraId="6D9A97B2"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w:t>
            </w:r>
          </w:p>
        </w:tc>
        <w:tc>
          <w:tcPr>
            <w:tcW w:w="0" w:type="auto"/>
            <w:hideMark/>
          </w:tcPr>
          <w:p w14:paraId="5EBA6E8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 xml:space="preserve">Kel. Pasar </w:t>
            </w:r>
            <w:proofErr w:type="spellStart"/>
            <w:r w:rsidRPr="007B2903">
              <w:rPr>
                <w:rFonts w:ascii="Arial" w:hAnsi="Arial" w:cs="Arial"/>
                <w:sz w:val="20"/>
                <w:szCs w:val="20"/>
              </w:rPr>
              <w:t>Doloksanggul</w:t>
            </w:r>
            <w:proofErr w:type="spellEnd"/>
            <w:r w:rsidRPr="007B2903">
              <w:rPr>
                <w:rFonts w:ascii="Arial" w:hAnsi="Arial" w:cs="Arial"/>
                <w:sz w:val="20"/>
                <w:szCs w:val="20"/>
              </w:rPr>
              <w:t xml:space="preserve"> (Zone 2)</w:t>
            </w:r>
          </w:p>
        </w:tc>
        <w:tc>
          <w:tcPr>
            <w:tcW w:w="0" w:type="auto"/>
            <w:hideMark/>
          </w:tcPr>
          <w:p w14:paraId="312F8D1C"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55.75</w:t>
            </w:r>
          </w:p>
        </w:tc>
      </w:tr>
      <w:tr w:rsidR="007B2903" w:rsidRPr="007B2903" w14:paraId="3FC53BA0" w14:textId="77777777" w:rsidTr="007B2903">
        <w:trPr>
          <w:jc w:val="center"/>
        </w:trPr>
        <w:tc>
          <w:tcPr>
            <w:tcW w:w="0" w:type="auto"/>
            <w:hideMark/>
          </w:tcPr>
          <w:p w14:paraId="6175D84A"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3</w:t>
            </w:r>
          </w:p>
        </w:tc>
        <w:tc>
          <w:tcPr>
            <w:tcW w:w="0" w:type="auto"/>
            <w:hideMark/>
          </w:tcPr>
          <w:p w14:paraId="00F7826D" w14:textId="77777777" w:rsidR="007B2903" w:rsidRPr="007B2903" w:rsidRDefault="007B2903" w:rsidP="007B2903">
            <w:pPr>
              <w:jc w:val="both"/>
              <w:rPr>
                <w:rFonts w:ascii="Arial" w:hAnsi="Arial" w:cs="Arial"/>
                <w:sz w:val="20"/>
                <w:szCs w:val="20"/>
              </w:rPr>
            </w:pP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Lumban</w:t>
            </w:r>
            <w:proofErr w:type="spellEnd"/>
            <w:r w:rsidRPr="007B2903">
              <w:rPr>
                <w:rFonts w:ascii="Arial" w:hAnsi="Arial" w:cs="Arial"/>
                <w:sz w:val="20"/>
                <w:szCs w:val="20"/>
              </w:rPr>
              <w:t xml:space="preserve"> </w:t>
            </w:r>
            <w:proofErr w:type="spellStart"/>
            <w:r w:rsidRPr="007B2903">
              <w:rPr>
                <w:rFonts w:ascii="Arial" w:hAnsi="Arial" w:cs="Arial"/>
                <w:sz w:val="20"/>
                <w:szCs w:val="20"/>
              </w:rPr>
              <w:t>Tobing</w:t>
            </w:r>
            <w:proofErr w:type="spellEnd"/>
            <w:r w:rsidRPr="007B2903">
              <w:rPr>
                <w:rFonts w:ascii="Arial" w:hAnsi="Arial" w:cs="Arial"/>
                <w:sz w:val="20"/>
                <w:szCs w:val="20"/>
              </w:rPr>
              <w:t xml:space="preserve">, </w:t>
            </w:r>
            <w:proofErr w:type="spellStart"/>
            <w:r w:rsidRPr="007B2903">
              <w:rPr>
                <w:rFonts w:ascii="Arial" w:hAnsi="Arial" w:cs="Arial"/>
                <w:sz w:val="20"/>
                <w:szCs w:val="20"/>
              </w:rPr>
              <w:t>Sihite</w:t>
            </w:r>
            <w:proofErr w:type="spellEnd"/>
            <w:r w:rsidRPr="007B2903">
              <w:rPr>
                <w:rFonts w:ascii="Arial" w:hAnsi="Arial" w:cs="Arial"/>
                <w:sz w:val="20"/>
                <w:szCs w:val="20"/>
              </w:rPr>
              <w:t xml:space="preserve"> I</w:t>
            </w:r>
          </w:p>
        </w:tc>
        <w:tc>
          <w:tcPr>
            <w:tcW w:w="0" w:type="auto"/>
            <w:hideMark/>
          </w:tcPr>
          <w:p w14:paraId="32534685"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9.81</w:t>
            </w:r>
          </w:p>
        </w:tc>
      </w:tr>
      <w:tr w:rsidR="007B2903" w:rsidRPr="007B2903" w14:paraId="7762535C" w14:textId="77777777" w:rsidTr="007B2903">
        <w:trPr>
          <w:jc w:val="center"/>
        </w:trPr>
        <w:tc>
          <w:tcPr>
            <w:tcW w:w="0" w:type="auto"/>
            <w:hideMark/>
          </w:tcPr>
          <w:p w14:paraId="0C8D504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c>
          <w:tcPr>
            <w:tcW w:w="0" w:type="auto"/>
            <w:hideMark/>
          </w:tcPr>
          <w:p w14:paraId="244D087D"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c>
          <w:tcPr>
            <w:tcW w:w="0" w:type="auto"/>
            <w:hideMark/>
          </w:tcPr>
          <w:p w14:paraId="3A4B5756"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w:t>
            </w:r>
          </w:p>
        </w:tc>
      </w:tr>
      <w:tr w:rsidR="007B2903" w:rsidRPr="007B2903" w14:paraId="7AE0147C" w14:textId="77777777" w:rsidTr="007B2903">
        <w:trPr>
          <w:jc w:val="center"/>
        </w:trPr>
        <w:tc>
          <w:tcPr>
            <w:tcW w:w="0" w:type="auto"/>
            <w:hideMark/>
          </w:tcPr>
          <w:p w14:paraId="1224D774"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20</w:t>
            </w:r>
          </w:p>
        </w:tc>
        <w:tc>
          <w:tcPr>
            <w:tcW w:w="0" w:type="auto"/>
            <w:hideMark/>
          </w:tcPr>
          <w:p w14:paraId="2A6A2754" w14:textId="77777777" w:rsidR="007B2903" w:rsidRPr="007B2903" w:rsidRDefault="007B2903" w:rsidP="007B2903">
            <w:pPr>
              <w:jc w:val="both"/>
              <w:rPr>
                <w:rFonts w:ascii="Arial" w:hAnsi="Arial" w:cs="Arial"/>
                <w:sz w:val="20"/>
                <w:szCs w:val="20"/>
              </w:rPr>
            </w:pP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Sampean</w:t>
            </w:r>
            <w:proofErr w:type="spellEnd"/>
          </w:p>
        </w:tc>
        <w:tc>
          <w:tcPr>
            <w:tcW w:w="0" w:type="auto"/>
            <w:hideMark/>
          </w:tcPr>
          <w:p w14:paraId="45737F1B" w14:textId="77777777" w:rsidR="007B2903" w:rsidRPr="007B2903" w:rsidRDefault="007B2903" w:rsidP="007B2903">
            <w:pPr>
              <w:jc w:val="both"/>
              <w:rPr>
                <w:rFonts w:ascii="Arial" w:hAnsi="Arial" w:cs="Arial"/>
                <w:sz w:val="20"/>
                <w:szCs w:val="20"/>
              </w:rPr>
            </w:pPr>
            <w:r w:rsidRPr="007B2903">
              <w:rPr>
                <w:rFonts w:ascii="Arial" w:hAnsi="Arial" w:cs="Arial"/>
                <w:sz w:val="20"/>
                <w:szCs w:val="20"/>
              </w:rPr>
              <w:t>1.00</w:t>
            </w:r>
          </w:p>
        </w:tc>
      </w:tr>
    </w:tbl>
    <w:p w14:paraId="017EC58C" w14:textId="77777777" w:rsidR="007B2903" w:rsidRPr="007B2903" w:rsidRDefault="007B2903" w:rsidP="007B2903">
      <w:pPr>
        <w:spacing w:after="0" w:line="240" w:lineRule="auto"/>
        <w:jc w:val="center"/>
        <w:rPr>
          <w:rFonts w:ascii="Arial" w:hAnsi="Arial" w:cs="Arial"/>
          <w:sz w:val="20"/>
          <w:szCs w:val="20"/>
        </w:rPr>
      </w:pPr>
      <w:r w:rsidRPr="007B2903">
        <w:rPr>
          <w:rFonts w:ascii="Arial" w:hAnsi="Arial" w:cs="Arial"/>
          <w:i/>
          <w:iCs/>
          <w:sz w:val="20"/>
          <w:szCs w:val="20"/>
        </w:rPr>
        <w:t>Source: Grid-Based SR Spatial Model, 2024</w:t>
      </w:r>
    </w:p>
    <w:p w14:paraId="543365D9" w14:textId="77777777" w:rsidR="007B2903" w:rsidRDefault="007B2903" w:rsidP="007B2903">
      <w:pPr>
        <w:spacing w:after="0" w:line="240" w:lineRule="auto"/>
        <w:jc w:val="both"/>
        <w:rPr>
          <w:rFonts w:ascii="Arial" w:hAnsi="Arial" w:cs="Arial"/>
          <w:sz w:val="20"/>
          <w:szCs w:val="20"/>
        </w:rPr>
      </w:pPr>
    </w:p>
    <w:p w14:paraId="1F04206B" w14:textId="6B9BD47B" w:rsidR="00752E8C" w:rsidRDefault="007B2903" w:rsidP="007B2903">
      <w:pPr>
        <w:spacing w:after="0" w:line="240" w:lineRule="auto"/>
        <w:jc w:val="both"/>
        <w:rPr>
          <w:rFonts w:ascii="Arial" w:hAnsi="Arial" w:cs="Arial"/>
          <w:sz w:val="20"/>
          <w:szCs w:val="20"/>
        </w:rPr>
      </w:pPr>
      <w:r w:rsidRPr="007B2903">
        <w:rPr>
          <w:rFonts w:ascii="Arial" w:hAnsi="Arial" w:cs="Arial"/>
          <w:sz w:val="20"/>
          <w:szCs w:val="20"/>
        </w:rPr>
        <w:t xml:space="preserve">This prioritization enables utilities to concentrate initial DMA development in zones where monitoring, leakage control, and pressure management will yield the greatest operational benefits. Lower-density areas—such as </w:t>
      </w:r>
      <w:proofErr w:type="spellStart"/>
      <w:r w:rsidRPr="007B2903">
        <w:rPr>
          <w:rFonts w:ascii="Arial" w:hAnsi="Arial" w:cs="Arial"/>
          <w:sz w:val="20"/>
          <w:szCs w:val="20"/>
        </w:rPr>
        <w:t>Desa</w:t>
      </w:r>
      <w:proofErr w:type="spellEnd"/>
      <w:r w:rsidRPr="007B2903">
        <w:rPr>
          <w:rFonts w:ascii="Arial" w:hAnsi="Arial" w:cs="Arial"/>
          <w:sz w:val="20"/>
          <w:szCs w:val="20"/>
        </w:rPr>
        <w:t xml:space="preserve"> </w:t>
      </w:r>
      <w:proofErr w:type="spellStart"/>
      <w:r w:rsidRPr="007B2903">
        <w:rPr>
          <w:rFonts w:ascii="Arial" w:hAnsi="Arial" w:cs="Arial"/>
          <w:sz w:val="20"/>
          <w:szCs w:val="20"/>
        </w:rPr>
        <w:t>Sampean</w:t>
      </w:r>
      <w:proofErr w:type="spellEnd"/>
      <w:r w:rsidRPr="007B2903">
        <w:rPr>
          <w:rFonts w:ascii="Arial" w:hAnsi="Arial" w:cs="Arial"/>
          <w:sz w:val="20"/>
          <w:szCs w:val="20"/>
        </w:rPr>
        <w:t>—are recommended for inclusion in later phases or supported via decentralized water supply systems, particularly where groundwater availability is high.</w:t>
      </w:r>
    </w:p>
    <w:p w14:paraId="34E5A3BB" w14:textId="77777777" w:rsidR="007B2903" w:rsidRPr="00F72416" w:rsidRDefault="007B2903" w:rsidP="007B2903">
      <w:pPr>
        <w:spacing w:after="0" w:line="240" w:lineRule="auto"/>
        <w:jc w:val="both"/>
        <w:rPr>
          <w:rFonts w:ascii="Arial" w:hAnsi="Arial" w:cs="Arial"/>
          <w:sz w:val="20"/>
          <w:szCs w:val="20"/>
        </w:rPr>
      </w:pPr>
    </w:p>
    <w:p w14:paraId="7E3FC4B6" w14:textId="05561214" w:rsidR="00752E8C" w:rsidRPr="00F72416" w:rsidRDefault="0034075F" w:rsidP="007B2903">
      <w:pPr>
        <w:pStyle w:val="ListParagraph"/>
        <w:numPr>
          <w:ilvl w:val="0"/>
          <w:numId w:val="1"/>
        </w:numPr>
        <w:spacing w:after="0" w:line="240" w:lineRule="auto"/>
        <w:ind w:left="709"/>
        <w:rPr>
          <w:rFonts w:ascii="Arial" w:hAnsi="Arial" w:cs="Arial"/>
          <w:b/>
          <w:bCs/>
          <w:sz w:val="20"/>
          <w:szCs w:val="20"/>
        </w:rPr>
      </w:pPr>
      <w:r w:rsidRPr="00F72416">
        <w:rPr>
          <w:rFonts w:ascii="Arial" w:hAnsi="Arial" w:cs="Arial"/>
          <w:b/>
          <w:bCs/>
          <w:sz w:val="20"/>
          <w:szCs w:val="20"/>
        </w:rPr>
        <w:t>CONCLUSION AND RECOMMENDATION</w:t>
      </w:r>
    </w:p>
    <w:p w14:paraId="64CFE955" w14:textId="2B84918C" w:rsidR="0034075F" w:rsidRPr="00F72416" w:rsidRDefault="0034075F" w:rsidP="007B2903">
      <w:pPr>
        <w:spacing w:after="0" w:line="240" w:lineRule="auto"/>
        <w:jc w:val="both"/>
        <w:rPr>
          <w:rFonts w:ascii="Arial" w:eastAsia="Times New Roman" w:hAnsi="Arial" w:cs="Arial"/>
          <w:kern w:val="0"/>
          <w:sz w:val="20"/>
          <w:szCs w:val="20"/>
          <w14:ligatures w14:val="none"/>
        </w:rPr>
      </w:pPr>
      <w:r w:rsidRPr="00F72416">
        <w:rPr>
          <w:rFonts w:ascii="Arial" w:eastAsia="Times New Roman" w:hAnsi="Arial" w:cs="Arial"/>
          <w:kern w:val="0"/>
          <w:sz w:val="20"/>
          <w:szCs w:val="20"/>
          <w14:ligatures w14:val="none"/>
        </w:rPr>
        <w:br/>
      </w:r>
      <w:r w:rsidR="007B2903" w:rsidRPr="007B2903">
        <w:rPr>
          <w:rFonts w:ascii="Arial" w:eastAsia="Times New Roman" w:hAnsi="Arial" w:cs="Arial"/>
          <w:kern w:val="0"/>
          <w:sz w:val="20"/>
          <w:szCs w:val="20"/>
          <w14:ligatures w14:val="none"/>
        </w:rPr>
        <w:t xml:space="preserve">This study presents an integrated spatial-temporal assessment of water demand, land use dynamics, groundwater availability, and service distribution in </w:t>
      </w:r>
      <w:proofErr w:type="spellStart"/>
      <w:r w:rsidR="007B2903" w:rsidRPr="007B2903">
        <w:rPr>
          <w:rFonts w:ascii="Arial" w:eastAsia="Times New Roman" w:hAnsi="Arial" w:cs="Arial"/>
          <w:i/>
          <w:iCs/>
          <w:kern w:val="0"/>
          <w:sz w:val="20"/>
          <w:szCs w:val="20"/>
          <w14:ligatures w14:val="none"/>
        </w:rPr>
        <w:t>Kecamatan</w:t>
      </w:r>
      <w:proofErr w:type="spellEnd"/>
      <w:r w:rsidR="007B2903" w:rsidRPr="007B2903">
        <w:rPr>
          <w:rFonts w:ascii="Arial" w:eastAsia="Times New Roman" w:hAnsi="Arial" w:cs="Arial"/>
          <w:i/>
          <w:iCs/>
          <w:kern w:val="0"/>
          <w:sz w:val="20"/>
          <w:szCs w:val="20"/>
          <w14:ligatures w14:val="none"/>
        </w:rPr>
        <w:t xml:space="preserve"> </w:t>
      </w:r>
      <w:proofErr w:type="spellStart"/>
      <w:r w:rsidR="007B2903" w:rsidRPr="007B2903">
        <w:rPr>
          <w:rFonts w:ascii="Arial" w:eastAsia="Times New Roman" w:hAnsi="Arial" w:cs="Arial"/>
          <w:i/>
          <w:iCs/>
          <w:kern w:val="0"/>
          <w:sz w:val="20"/>
          <w:szCs w:val="20"/>
          <w14:ligatures w14:val="none"/>
        </w:rPr>
        <w:t>Doloksanggul</w:t>
      </w:r>
      <w:proofErr w:type="spellEnd"/>
      <w:r w:rsidR="007B2903" w:rsidRPr="007B2903">
        <w:rPr>
          <w:rFonts w:ascii="Arial" w:eastAsia="Times New Roman" w:hAnsi="Arial" w:cs="Arial"/>
          <w:kern w:val="0"/>
          <w:sz w:val="20"/>
          <w:szCs w:val="20"/>
          <w14:ligatures w14:val="none"/>
        </w:rPr>
        <w:t xml:space="preserve"> over a 20-year planning horizon (2024–2044). The findings reveal a critical transition point in the water service landscape, wherein projected increases in demand—driven by demographic growth and urban expansion—will outpace existing supply capacities by 2039. Although current system conditions exhibit a temporary surplus, spatial disparities in service density and land development pressures underscore the urgency for preemptive planning. Groundwater remains a viable supplemental resource, but its sustainable utilization must be closely regulated to ensure long-term reliability and environmental balance</w:t>
      </w:r>
      <w:r w:rsidRPr="00F72416">
        <w:rPr>
          <w:rFonts w:ascii="Arial" w:eastAsia="Times New Roman" w:hAnsi="Arial" w:cs="Arial"/>
          <w:kern w:val="0"/>
          <w:sz w:val="20"/>
          <w:szCs w:val="20"/>
          <w14:ligatures w14:val="none"/>
        </w:rPr>
        <w:t>.</w:t>
      </w:r>
    </w:p>
    <w:p w14:paraId="78E2661D" w14:textId="6FB22AD3" w:rsidR="0034075F" w:rsidRPr="00F72416" w:rsidRDefault="0034075F" w:rsidP="007B2903">
      <w:pPr>
        <w:spacing w:after="0" w:line="240" w:lineRule="auto"/>
        <w:jc w:val="both"/>
        <w:rPr>
          <w:rFonts w:ascii="Arial" w:eastAsia="Times New Roman" w:hAnsi="Arial" w:cs="Arial"/>
          <w:kern w:val="0"/>
          <w:sz w:val="20"/>
          <w:szCs w:val="20"/>
          <w14:ligatures w14:val="none"/>
        </w:rPr>
      </w:pPr>
      <w:r w:rsidRPr="00F72416">
        <w:rPr>
          <w:rFonts w:ascii="Arial" w:eastAsia="Times New Roman" w:hAnsi="Arial" w:cs="Arial"/>
          <w:kern w:val="0"/>
          <w:sz w:val="20"/>
          <w:szCs w:val="20"/>
          <w14:ligatures w14:val="none"/>
        </w:rPr>
        <w:lastRenderedPageBreak/>
        <w:br/>
      </w:r>
      <w:r w:rsidR="007B2903" w:rsidRPr="007B2903">
        <w:rPr>
          <w:rFonts w:ascii="Arial" w:eastAsia="Times New Roman" w:hAnsi="Arial" w:cs="Arial"/>
          <w:kern w:val="0"/>
          <w:sz w:val="20"/>
          <w:szCs w:val="20"/>
          <w14:ligatures w14:val="none"/>
        </w:rPr>
        <w:t xml:space="preserve">To navigate the impending supply-demand imbalance, it is imperative that local authorities adopt a phased and spatially responsive approach to water infrastructure investment. Early years of surplus (2024–2034) should be leveraged to implement DMA zoning, improve hydraulic performance, and deploy targeted pressure and leakage control systems. Simultaneously, integration of high-yield groundwater zones into decentralized SPAM systems can improve coverage in low-density areas. These actions must be aligned with existing spatial development policies (RTRW), infrastructure plans (RPJMD), and long-term water safety strategies (RISPAM) to ensure institutional coherence and financial viability. A proactive, data-driven governance model will be essential to achieve equitable, resilient, and sustainable water service delivery across </w:t>
      </w:r>
      <w:proofErr w:type="spellStart"/>
      <w:r w:rsidR="007B2903" w:rsidRPr="007B2903">
        <w:rPr>
          <w:rFonts w:ascii="Arial" w:eastAsia="Times New Roman" w:hAnsi="Arial" w:cs="Arial"/>
          <w:kern w:val="0"/>
          <w:sz w:val="20"/>
          <w:szCs w:val="20"/>
          <w14:ligatures w14:val="none"/>
        </w:rPr>
        <w:t>Doloksanggul</w:t>
      </w:r>
      <w:proofErr w:type="spellEnd"/>
      <w:r w:rsidRPr="00F72416">
        <w:rPr>
          <w:rFonts w:ascii="Arial" w:eastAsia="Times New Roman" w:hAnsi="Arial" w:cs="Arial"/>
          <w:kern w:val="0"/>
          <w:sz w:val="20"/>
          <w:szCs w:val="20"/>
          <w14:ligatures w14:val="none"/>
        </w:rPr>
        <w:t>.</w:t>
      </w:r>
    </w:p>
    <w:p w14:paraId="635C281A" w14:textId="77777777" w:rsidR="00752E8C" w:rsidRPr="00F72416" w:rsidRDefault="00752E8C" w:rsidP="007B2903">
      <w:pPr>
        <w:spacing w:after="0" w:line="240" w:lineRule="auto"/>
        <w:rPr>
          <w:rFonts w:ascii="Arial" w:hAnsi="Arial" w:cs="Arial"/>
          <w:sz w:val="20"/>
          <w:szCs w:val="20"/>
        </w:rPr>
      </w:pPr>
    </w:p>
    <w:p w14:paraId="5536217A" w14:textId="577EEE85" w:rsidR="00752E8C" w:rsidRDefault="002261F7" w:rsidP="00F72416">
      <w:pPr>
        <w:spacing w:after="0" w:line="240" w:lineRule="auto"/>
        <w:rPr>
          <w:rFonts w:ascii="Arial" w:hAnsi="Arial" w:cs="Arial"/>
          <w:b/>
          <w:bCs/>
          <w:sz w:val="20"/>
          <w:szCs w:val="20"/>
        </w:rPr>
      </w:pPr>
      <w:r w:rsidRPr="00F72416">
        <w:rPr>
          <w:rFonts w:ascii="Arial" w:hAnsi="Arial" w:cs="Arial"/>
          <w:b/>
          <w:bCs/>
          <w:sz w:val="20"/>
          <w:szCs w:val="20"/>
        </w:rPr>
        <w:t>References</w:t>
      </w:r>
    </w:p>
    <w:p w14:paraId="017ED5D6" w14:textId="2D3EDB21" w:rsidR="007F404A" w:rsidRPr="007F404A" w:rsidRDefault="007F404A" w:rsidP="007F404A">
      <w:pPr>
        <w:spacing w:before="120" w:after="120" w:line="240" w:lineRule="auto"/>
        <w:ind w:left="851" w:hanging="851"/>
        <w:jc w:val="both"/>
        <w:rPr>
          <w:rFonts w:ascii="Arial" w:hAnsi="Arial" w:cs="Arial"/>
          <w:sz w:val="20"/>
          <w:szCs w:val="20"/>
        </w:rPr>
      </w:pPr>
      <w:r w:rsidRPr="007F404A">
        <w:rPr>
          <w:rFonts w:ascii="Arial" w:hAnsi="Arial" w:cs="Arial"/>
          <w:sz w:val="20"/>
          <w:szCs w:val="20"/>
        </w:rPr>
        <w:t xml:space="preserve">Dos Santos, S., Adams, E. A., Neville, G., Wada, Y., de Sherbinin, A., Bernhardt, E., &amp; Adamo, S. B. (2017). Urban growth and water access in sub-Saharan Africa: Progress, challenges, and emerging research directions. Science of the Total Environment, 607–608, 497–508. </w:t>
      </w:r>
      <w:hyperlink r:id="rId16" w:history="1">
        <w:r w:rsidRPr="007F404A">
          <w:rPr>
            <w:rStyle w:val="Hyperlink"/>
            <w:rFonts w:ascii="Arial" w:hAnsi="Arial" w:cs="Arial"/>
            <w:sz w:val="20"/>
            <w:szCs w:val="20"/>
          </w:rPr>
          <w:t>https://doi.org/10.1016/j.scitotenv.2017.06.157</w:t>
        </w:r>
      </w:hyperlink>
    </w:p>
    <w:p w14:paraId="4626A2A7" w14:textId="6CD6B939" w:rsidR="007F404A" w:rsidRDefault="007F404A" w:rsidP="007F404A">
      <w:pPr>
        <w:spacing w:before="120" w:after="120" w:line="240" w:lineRule="auto"/>
        <w:ind w:left="851" w:hanging="851"/>
        <w:jc w:val="both"/>
        <w:rPr>
          <w:rFonts w:ascii="Arial" w:hAnsi="Arial" w:cs="Arial"/>
          <w:sz w:val="20"/>
          <w:szCs w:val="20"/>
        </w:rPr>
      </w:pPr>
      <w:proofErr w:type="spellStart"/>
      <w:r w:rsidRPr="007F404A">
        <w:rPr>
          <w:rFonts w:ascii="Arial" w:hAnsi="Arial" w:cs="Arial"/>
          <w:sz w:val="20"/>
          <w:szCs w:val="20"/>
        </w:rPr>
        <w:t>Grönwall</w:t>
      </w:r>
      <w:proofErr w:type="spellEnd"/>
      <w:r w:rsidRPr="007F404A">
        <w:rPr>
          <w:rFonts w:ascii="Arial" w:hAnsi="Arial" w:cs="Arial"/>
          <w:sz w:val="20"/>
          <w:szCs w:val="20"/>
        </w:rPr>
        <w:t xml:space="preserve">, J., &amp; </w:t>
      </w:r>
      <w:proofErr w:type="spellStart"/>
      <w:r w:rsidRPr="007F404A">
        <w:rPr>
          <w:rFonts w:ascii="Arial" w:hAnsi="Arial" w:cs="Arial"/>
          <w:sz w:val="20"/>
          <w:szCs w:val="20"/>
        </w:rPr>
        <w:t>Danert</w:t>
      </w:r>
      <w:proofErr w:type="spellEnd"/>
      <w:r w:rsidRPr="007F404A">
        <w:rPr>
          <w:rFonts w:ascii="Arial" w:hAnsi="Arial" w:cs="Arial"/>
          <w:sz w:val="20"/>
          <w:szCs w:val="20"/>
        </w:rPr>
        <w:t xml:space="preserve">, K. (2020). Regarding groundwater and drinking water access through a human rights lens: Self-supply as a norm. Water, 12(2), 419. </w:t>
      </w:r>
      <w:hyperlink r:id="rId17" w:history="1">
        <w:r w:rsidRPr="007F404A">
          <w:rPr>
            <w:rStyle w:val="Hyperlink"/>
            <w:rFonts w:ascii="Arial" w:hAnsi="Arial" w:cs="Arial"/>
            <w:sz w:val="20"/>
            <w:szCs w:val="20"/>
          </w:rPr>
          <w:t>https://doi.org/10.3390/w12020419</w:t>
        </w:r>
      </w:hyperlink>
    </w:p>
    <w:p w14:paraId="538C01E1" w14:textId="3294083E" w:rsidR="007F404A" w:rsidRDefault="007F404A" w:rsidP="007F404A">
      <w:pPr>
        <w:spacing w:before="120" w:after="120" w:line="240" w:lineRule="auto"/>
        <w:ind w:left="851" w:hanging="851"/>
        <w:jc w:val="both"/>
        <w:rPr>
          <w:rFonts w:ascii="Arial" w:hAnsi="Arial" w:cs="Arial"/>
          <w:sz w:val="20"/>
          <w:szCs w:val="20"/>
        </w:rPr>
      </w:pPr>
      <w:r w:rsidRPr="007F404A">
        <w:rPr>
          <w:rFonts w:ascii="Arial" w:hAnsi="Arial" w:cs="Arial"/>
          <w:sz w:val="20"/>
          <w:szCs w:val="20"/>
        </w:rPr>
        <w:t xml:space="preserve">de Sousa, C. O. M., de Souza, R. F., &amp; </w:t>
      </w:r>
      <w:proofErr w:type="spellStart"/>
      <w:r w:rsidRPr="007F404A">
        <w:rPr>
          <w:rFonts w:ascii="Arial" w:hAnsi="Arial" w:cs="Arial"/>
          <w:sz w:val="20"/>
          <w:szCs w:val="20"/>
        </w:rPr>
        <w:t>Fouto</w:t>
      </w:r>
      <w:proofErr w:type="spellEnd"/>
      <w:r w:rsidRPr="007F404A">
        <w:rPr>
          <w:rFonts w:ascii="Arial" w:hAnsi="Arial" w:cs="Arial"/>
          <w:sz w:val="20"/>
          <w:szCs w:val="20"/>
        </w:rPr>
        <w:t xml:space="preserve">, N. M. M. D. (2025). Key drivers of non-revenue water in developing countries: Insights from a multilevel study in Brazil. Cleaner Water, 3, 100078. </w:t>
      </w:r>
      <w:hyperlink r:id="rId18" w:history="1">
        <w:r w:rsidRPr="006A43DE">
          <w:rPr>
            <w:rStyle w:val="Hyperlink"/>
            <w:rFonts w:ascii="Arial" w:hAnsi="Arial" w:cs="Arial"/>
            <w:sz w:val="20"/>
            <w:szCs w:val="20"/>
          </w:rPr>
          <w:t>https://doi.org/10.1016/j.clwat.2025.100078</w:t>
        </w:r>
      </w:hyperlink>
    </w:p>
    <w:p w14:paraId="28BDD8AA" w14:textId="2D566212" w:rsidR="007F404A" w:rsidRDefault="00C41385" w:rsidP="007F404A">
      <w:pPr>
        <w:spacing w:before="120" w:after="120" w:line="240" w:lineRule="auto"/>
        <w:ind w:left="851" w:hanging="851"/>
        <w:jc w:val="both"/>
        <w:rPr>
          <w:rFonts w:ascii="Arial" w:hAnsi="Arial" w:cs="Arial"/>
          <w:sz w:val="20"/>
          <w:szCs w:val="20"/>
        </w:rPr>
      </w:pPr>
      <w:proofErr w:type="spellStart"/>
      <w:r w:rsidRPr="00C41385">
        <w:rPr>
          <w:rFonts w:ascii="Arial" w:hAnsi="Arial" w:cs="Arial"/>
          <w:sz w:val="20"/>
          <w:szCs w:val="20"/>
        </w:rPr>
        <w:t>Mwitirehe</w:t>
      </w:r>
      <w:proofErr w:type="spellEnd"/>
      <w:r w:rsidRPr="00C41385">
        <w:rPr>
          <w:rFonts w:ascii="Arial" w:hAnsi="Arial" w:cs="Arial"/>
          <w:sz w:val="20"/>
          <w:szCs w:val="20"/>
        </w:rPr>
        <w:t>, J., &amp; Kipruto, C. W. (2024). Analyzing non</w:t>
      </w:r>
      <w:r w:rsidRPr="00C41385">
        <w:rPr>
          <w:rFonts w:ascii="Cambria Math" w:hAnsi="Cambria Math" w:cs="Cambria Math"/>
          <w:sz w:val="20"/>
          <w:szCs w:val="20"/>
        </w:rPr>
        <w:t>‑</w:t>
      </w:r>
      <w:r w:rsidRPr="00C41385">
        <w:rPr>
          <w:rFonts w:ascii="Arial" w:hAnsi="Arial" w:cs="Arial"/>
          <w:sz w:val="20"/>
          <w:szCs w:val="20"/>
        </w:rPr>
        <w:t xml:space="preserve">revenue water dynamics in Rwanda: Leveraging machine learning predictive modeling for comprehensive insights and mitigation strategies. Water Practice &amp; Technology, 19(6), 2376–2398. </w:t>
      </w:r>
      <w:hyperlink r:id="rId19" w:history="1">
        <w:r w:rsidRPr="006A43DE">
          <w:rPr>
            <w:rStyle w:val="Hyperlink"/>
            <w:rFonts w:ascii="Arial" w:hAnsi="Arial" w:cs="Arial"/>
            <w:sz w:val="20"/>
            <w:szCs w:val="20"/>
          </w:rPr>
          <w:t>https://doi.org/10.2166/wpt.2024.145</w:t>
        </w:r>
      </w:hyperlink>
    </w:p>
    <w:p w14:paraId="691E1BA7" w14:textId="07889D4B" w:rsidR="00C41385" w:rsidRDefault="00C41385" w:rsidP="007F404A">
      <w:pPr>
        <w:spacing w:before="120" w:after="120" w:line="240" w:lineRule="auto"/>
        <w:ind w:left="851" w:hanging="851"/>
        <w:jc w:val="both"/>
        <w:rPr>
          <w:rFonts w:ascii="Arial" w:hAnsi="Arial" w:cs="Arial"/>
          <w:sz w:val="20"/>
          <w:szCs w:val="20"/>
        </w:rPr>
      </w:pPr>
      <w:r w:rsidRPr="00C41385">
        <w:rPr>
          <w:rFonts w:ascii="Arial" w:hAnsi="Arial" w:cs="Arial"/>
          <w:sz w:val="20"/>
          <w:szCs w:val="20"/>
        </w:rPr>
        <w:t xml:space="preserve">Kwon, S. H., &amp; Lee, S. (2025). Resilient isolation valve system design considering water shortage equity of water distribution system. Journal of Disaster Science and Management, 1(2). </w:t>
      </w:r>
      <w:hyperlink r:id="rId20" w:history="1">
        <w:r w:rsidRPr="006A43DE">
          <w:rPr>
            <w:rStyle w:val="Hyperlink"/>
            <w:rFonts w:ascii="Arial" w:hAnsi="Arial" w:cs="Arial"/>
            <w:sz w:val="20"/>
            <w:szCs w:val="20"/>
          </w:rPr>
          <w:t>https://doi.org/10.1007/s44367-024-00002-y</w:t>
        </w:r>
      </w:hyperlink>
    </w:p>
    <w:p w14:paraId="2CD46FE4" w14:textId="7B7FB31E" w:rsidR="003C5744" w:rsidRDefault="003C5744" w:rsidP="007F404A">
      <w:pPr>
        <w:spacing w:before="120" w:after="120" w:line="240" w:lineRule="auto"/>
        <w:ind w:left="851" w:hanging="851"/>
        <w:jc w:val="both"/>
        <w:rPr>
          <w:rFonts w:ascii="Arial" w:hAnsi="Arial" w:cs="Arial"/>
          <w:sz w:val="20"/>
          <w:szCs w:val="20"/>
        </w:rPr>
      </w:pPr>
      <w:r w:rsidRPr="003C5744">
        <w:rPr>
          <w:rFonts w:ascii="Arial" w:hAnsi="Arial" w:cs="Arial"/>
          <w:sz w:val="20"/>
          <w:szCs w:val="20"/>
        </w:rPr>
        <w:t>Mala-</w:t>
      </w:r>
      <w:proofErr w:type="spellStart"/>
      <w:r w:rsidRPr="003C5744">
        <w:rPr>
          <w:rFonts w:ascii="Arial" w:hAnsi="Arial" w:cs="Arial"/>
          <w:sz w:val="20"/>
          <w:szCs w:val="20"/>
        </w:rPr>
        <w:t>Jetmarova</w:t>
      </w:r>
      <w:proofErr w:type="spellEnd"/>
      <w:r w:rsidRPr="003C5744">
        <w:rPr>
          <w:rFonts w:ascii="Arial" w:hAnsi="Arial" w:cs="Arial"/>
          <w:sz w:val="20"/>
          <w:szCs w:val="20"/>
        </w:rPr>
        <w:t xml:space="preserve">, H., Sultanova, N., &amp; Savic, D. (2018). Lost in </w:t>
      </w:r>
      <w:proofErr w:type="spellStart"/>
      <w:r w:rsidRPr="003C5744">
        <w:rPr>
          <w:rFonts w:ascii="Arial" w:hAnsi="Arial" w:cs="Arial"/>
          <w:sz w:val="20"/>
          <w:szCs w:val="20"/>
        </w:rPr>
        <w:t>optimisation</w:t>
      </w:r>
      <w:proofErr w:type="spellEnd"/>
      <w:r w:rsidRPr="003C5744">
        <w:rPr>
          <w:rFonts w:ascii="Arial" w:hAnsi="Arial" w:cs="Arial"/>
          <w:sz w:val="20"/>
          <w:szCs w:val="20"/>
        </w:rPr>
        <w:t xml:space="preserve"> of water distribution systems? A literature review of system design. Water, 10(3), 307. </w:t>
      </w:r>
      <w:hyperlink r:id="rId21" w:history="1">
        <w:r w:rsidRPr="006A43DE">
          <w:rPr>
            <w:rStyle w:val="Hyperlink"/>
            <w:rFonts w:ascii="Arial" w:hAnsi="Arial" w:cs="Arial"/>
            <w:sz w:val="20"/>
            <w:szCs w:val="20"/>
          </w:rPr>
          <w:t>https://doi.org/10.3390/w10030307</w:t>
        </w:r>
      </w:hyperlink>
    </w:p>
    <w:p w14:paraId="37793B66" w14:textId="232D1B12" w:rsidR="003C5744" w:rsidRDefault="003C5744" w:rsidP="007F404A">
      <w:pPr>
        <w:spacing w:before="120" w:after="120" w:line="240" w:lineRule="auto"/>
        <w:ind w:left="851" w:hanging="851"/>
        <w:jc w:val="both"/>
        <w:rPr>
          <w:rFonts w:ascii="Arial" w:hAnsi="Arial" w:cs="Arial"/>
          <w:sz w:val="20"/>
          <w:szCs w:val="20"/>
        </w:rPr>
      </w:pPr>
      <w:r w:rsidRPr="003C5744">
        <w:rPr>
          <w:rFonts w:ascii="Arial" w:hAnsi="Arial" w:cs="Arial"/>
          <w:sz w:val="20"/>
          <w:szCs w:val="20"/>
        </w:rPr>
        <w:t xml:space="preserve">Anschütz, C., Ebner, K., &amp; Smolnik, S. (2024). Size does matter: A maturity model for the special needs of small and medium-sized smart cities. Cities, 150, 104998. </w:t>
      </w:r>
      <w:hyperlink r:id="rId22" w:history="1">
        <w:r w:rsidRPr="006A43DE">
          <w:rPr>
            <w:rStyle w:val="Hyperlink"/>
            <w:rFonts w:ascii="Arial" w:hAnsi="Arial" w:cs="Arial"/>
            <w:sz w:val="20"/>
            <w:szCs w:val="20"/>
          </w:rPr>
          <w:t>https://doi.org/10.1016/j.cities.2024.104998</w:t>
        </w:r>
      </w:hyperlink>
    </w:p>
    <w:p w14:paraId="19597C05" w14:textId="09C12CB2" w:rsidR="003C5744" w:rsidRDefault="003C5744" w:rsidP="007F404A">
      <w:pPr>
        <w:spacing w:before="120" w:after="120" w:line="240" w:lineRule="auto"/>
        <w:ind w:left="851" w:hanging="851"/>
        <w:jc w:val="both"/>
        <w:rPr>
          <w:rFonts w:ascii="Arial" w:hAnsi="Arial" w:cs="Arial"/>
          <w:sz w:val="20"/>
          <w:szCs w:val="20"/>
        </w:rPr>
      </w:pPr>
      <w:proofErr w:type="spellStart"/>
      <w:r w:rsidRPr="003C5744">
        <w:rPr>
          <w:rFonts w:ascii="Arial" w:hAnsi="Arial" w:cs="Arial"/>
          <w:sz w:val="20"/>
          <w:szCs w:val="20"/>
        </w:rPr>
        <w:t>Alkalsh</w:t>
      </w:r>
      <w:proofErr w:type="spellEnd"/>
      <w:r w:rsidRPr="003C5744">
        <w:rPr>
          <w:rFonts w:ascii="Arial" w:hAnsi="Arial" w:cs="Arial"/>
          <w:sz w:val="20"/>
          <w:szCs w:val="20"/>
        </w:rPr>
        <w:t xml:space="preserve">, M. M. H., &amp; </w:t>
      </w:r>
      <w:proofErr w:type="spellStart"/>
      <w:r w:rsidRPr="003C5744">
        <w:rPr>
          <w:rFonts w:ascii="Arial" w:hAnsi="Arial" w:cs="Arial"/>
          <w:sz w:val="20"/>
          <w:szCs w:val="20"/>
        </w:rPr>
        <w:t>Kliks</w:t>
      </w:r>
      <w:proofErr w:type="spellEnd"/>
      <w:r w:rsidRPr="003C5744">
        <w:rPr>
          <w:rFonts w:ascii="Arial" w:hAnsi="Arial" w:cs="Arial"/>
          <w:sz w:val="20"/>
          <w:szCs w:val="20"/>
        </w:rPr>
        <w:t xml:space="preserve">, A. (2024). Enhancing Wireless Network Efficiency with the Techniques of Dynamic Distributed Load Balancing: A Distance-Based Approach. Sensors, 24(16), 5406. </w:t>
      </w:r>
      <w:hyperlink r:id="rId23" w:history="1">
        <w:r w:rsidRPr="006A43DE">
          <w:rPr>
            <w:rStyle w:val="Hyperlink"/>
            <w:rFonts w:ascii="Arial" w:hAnsi="Arial" w:cs="Arial"/>
            <w:sz w:val="20"/>
            <w:szCs w:val="20"/>
          </w:rPr>
          <w:t>https://doi.org/10.3390/s24165406</w:t>
        </w:r>
      </w:hyperlink>
    </w:p>
    <w:p w14:paraId="067CDFE9" w14:textId="0BD22165" w:rsidR="003C5744" w:rsidRDefault="003C5744" w:rsidP="007F404A">
      <w:pPr>
        <w:spacing w:before="120" w:after="120" w:line="240" w:lineRule="auto"/>
        <w:ind w:left="851" w:hanging="851"/>
        <w:jc w:val="both"/>
        <w:rPr>
          <w:rFonts w:ascii="Arial" w:hAnsi="Arial" w:cs="Arial"/>
          <w:sz w:val="20"/>
          <w:szCs w:val="20"/>
        </w:rPr>
      </w:pPr>
      <w:r w:rsidRPr="003C5744">
        <w:rPr>
          <w:rFonts w:ascii="Arial" w:hAnsi="Arial" w:cs="Arial"/>
          <w:sz w:val="20"/>
          <w:szCs w:val="20"/>
        </w:rPr>
        <w:t xml:space="preserve">Gunarathna, U., Xie, H., Tanin, E., </w:t>
      </w:r>
      <w:proofErr w:type="spellStart"/>
      <w:r w:rsidRPr="003C5744">
        <w:rPr>
          <w:rFonts w:ascii="Arial" w:hAnsi="Arial" w:cs="Arial"/>
          <w:sz w:val="20"/>
          <w:szCs w:val="20"/>
        </w:rPr>
        <w:t>Karunasekera</w:t>
      </w:r>
      <w:proofErr w:type="spellEnd"/>
      <w:r w:rsidRPr="003C5744">
        <w:rPr>
          <w:rFonts w:ascii="Arial" w:hAnsi="Arial" w:cs="Arial"/>
          <w:sz w:val="20"/>
          <w:szCs w:val="20"/>
        </w:rPr>
        <w:t xml:space="preserve">, S., &amp; </w:t>
      </w:r>
      <w:proofErr w:type="spellStart"/>
      <w:r w:rsidRPr="003C5744">
        <w:rPr>
          <w:rFonts w:ascii="Arial" w:hAnsi="Arial" w:cs="Arial"/>
          <w:sz w:val="20"/>
          <w:szCs w:val="20"/>
        </w:rPr>
        <w:t>Borovica</w:t>
      </w:r>
      <w:proofErr w:type="spellEnd"/>
      <w:r w:rsidRPr="003C5744">
        <w:rPr>
          <w:rFonts w:ascii="Arial" w:hAnsi="Arial" w:cs="Arial"/>
          <w:sz w:val="20"/>
          <w:szCs w:val="20"/>
        </w:rPr>
        <w:t xml:space="preserve">-Gajic, R. (2023). Real-time road network optimization with coordinated reinforcement learning. ACM Transactions on Intelligent Systems and Technology, 14. </w:t>
      </w:r>
      <w:hyperlink r:id="rId24" w:history="1">
        <w:r w:rsidRPr="006A43DE">
          <w:rPr>
            <w:rStyle w:val="Hyperlink"/>
            <w:rFonts w:ascii="Arial" w:hAnsi="Arial" w:cs="Arial"/>
            <w:sz w:val="20"/>
            <w:szCs w:val="20"/>
          </w:rPr>
          <w:t>https://doi.org/10.1145/3603379</w:t>
        </w:r>
      </w:hyperlink>
    </w:p>
    <w:p w14:paraId="41F834E9" w14:textId="134B73AE" w:rsidR="00EE650E" w:rsidRDefault="00EE650E" w:rsidP="007F404A">
      <w:pPr>
        <w:spacing w:before="120" w:after="120" w:line="240" w:lineRule="auto"/>
        <w:ind w:left="851" w:hanging="851"/>
        <w:jc w:val="both"/>
        <w:rPr>
          <w:rFonts w:ascii="Arial" w:hAnsi="Arial" w:cs="Arial"/>
          <w:sz w:val="20"/>
          <w:szCs w:val="20"/>
        </w:rPr>
      </w:pPr>
      <w:r w:rsidRPr="00EE650E">
        <w:rPr>
          <w:rFonts w:ascii="Arial" w:hAnsi="Arial" w:cs="Arial"/>
          <w:sz w:val="20"/>
          <w:szCs w:val="20"/>
        </w:rPr>
        <w:t xml:space="preserve">Bouma, G., &amp; Slob, A. (2014). How spatial planning can connect to river basin management. In G. Woltjer, E. Al (Eds.), Integrating water and land use: Perspectives and practical applications (pp. 219–233). Springer. </w:t>
      </w:r>
      <w:hyperlink r:id="rId25" w:history="1">
        <w:r w:rsidRPr="006A43DE">
          <w:rPr>
            <w:rStyle w:val="Hyperlink"/>
            <w:rFonts w:ascii="Arial" w:hAnsi="Arial" w:cs="Arial"/>
            <w:sz w:val="20"/>
            <w:szCs w:val="20"/>
          </w:rPr>
          <w:t>https://doi.org/10.1007/978-3-642-38598-8_12</w:t>
        </w:r>
      </w:hyperlink>
    </w:p>
    <w:p w14:paraId="39312DA6" w14:textId="531D6AB8" w:rsidR="00EE650E" w:rsidRDefault="00EE650E" w:rsidP="007F404A">
      <w:pPr>
        <w:spacing w:before="120" w:after="120" w:line="240" w:lineRule="auto"/>
        <w:ind w:left="851" w:hanging="851"/>
        <w:jc w:val="both"/>
        <w:rPr>
          <w:rFonts w:ascii="Arial" w:hAnsi="Arial" w:cs="Arial"/>
          <w:sz w:val="20"/>
          <w:szCs w:val="20"/>
        </w:rPr>
      </w:pPr>
      <w:proofErr w:type="spellStart"/>
      <w:r w:rsidRPr="00EE650E">
        <w:rPr>
          <w:rFonts w:ascii="Arial" w:hAnsi="Arial" w:cs="Arial"/>
          <w:sz w:val="20"/>
          <w:szCs w:val="20"/>
        </w:rPr>
        <w:t>Cortinovis</w:t>
      </w:r>
      <w:proofErr w:type="spellEnd"/>
      <w:r w:rsidRPr="00EE650E">
        <w:rPr>
          <w:rFonts w:ascii="Arial" w:hAnsi="Arial" w:cs="Arial"/>
          <w:sz w:val="20"/>
          <w:szCs w:val="20"/>
        </w:rPr>
        <w:t xml:space="preserve">, C., &amp; </w:t>
      </w:r>
      <w:proofErr w:type="spellStart"/>
      <w:r w:rsidRPr="00EE650E">
        <w:rPr>
          <w:rFonts w:ascii="Arial" w:hAnsi="Arial" w:cs="Arial"/>
          <w:sz w:val="20"/>
          <w:szCs w:val="20"/>
        </w:rPr>
        <w:t>Geneletti</w:t>
      </w:r>
      <w:proofErr w:type="spellEnd"/>
      <w:r w:rsidRPr="00EE650E">
        <w:rPr>
          <w:rFonts w:ascii="Arial" w:hAnsi="Arial" w:cs="Arial"/>
          <w:sz w:val="20"/>
          <w:szCs w:val="20"/>
        </w:rPr>
        <w:t xml:space="preserve">, D. (2020). A performance-based planning approach integrating supply and demand of urban ecosystem services. Landscape and Urban Planning, 201, 103842. </w:t>
      </w:r>
      <w:hyperlink r:id="rId26" w:history="1">
        <w:r w:rsidRPr="006A43DE">
          <w:rPr>
            <w:rStyle w:val="Hyperlink"/>
            <w:rFonts w:ascii="Arial" w:hAnsi="Arial" w:cs="Arial"/>
            <w:sz w:val="20"/>
            <w:szCs w:val="20"/>
          </w:rPr>
          <w:t>https://doi.org/10.1016/j.landurbplan.2020.103842</w:t>
        </w:r>
      </w:hyperlink>
    </w:p>
    <w:p w14:paraId="3E18F1FB" w14:textId="2259B899" w:rsidR="00EE650E" w:rsidRDefault="00EE650E" w:rsidP="00EE650E">
      <w:pPr>
        <w:ind w:left="851" w:hanging="851"/>
        <w:rPr>
          <w:rFonts w:ascii="Arial" w:hAnsi="Arial" w:cs="Arial"/>
          <w:sz w:val="20"/>
          <w:szCs w:val="20"/>
        </w:rPr>
      </w:pPr>
      <w:r w:rsidRPr="00EE650E">
        <w:rPr>
          <w:rFonts w:ascii="Arial" w:hAnsi="Arial" w:cs="Arial"/>
          <w:sz w:val="20"/>
          <w:szCs w:val="20"/>
        </w:rPr>
        <w:t xml:space="preserve">Joint Energy Transition Partnership Secretariat. (2023, November 21). Comprehensive investment and policy plan (CIPP). JETP Indonesia. </w:t>
      </w:r>
      <w:hyperlink r:id="rId27" w:history="1">
        <w:r w:rsidRPr="006A43DE">
          <w:rPr>
            <w:rStyle w:val="Hyperlink"/>
            <w:rFonts w:ascii="Arial" w:hAnsi="Arial" w:cs="Arial"/>
            <w:sz w:val="20"/>
            <w:szCs w:val="20"/>
          </w:rPr>
          <w:t>https://jetp-id.org/storage/official-jetp-cipp-2023-vshare_f_en-1700532655.pdf</w:t>
        </w:r>
      </w:hyperlink>
    </w:p>
    <w:p w14:paraId="2E3B1693" w14:textId="77777777" w:rsidR="00EE650E" w:rsidRPr="00EE650E" w:rsidRDefault="00EE650E" w:rsidP="00EE650E">
      <w:pPr>
        <w:ind w:left="851" w:hanging="851"/>
        <w:rPr>
          <w:rFonts w:ascii="Arial" w:hAnsi="Arial" w:cs="Arial"/>
          <w:sz w:val="20"/>
          <w:szCs w:val="20"/>
        </w:rPr>
      </w:pPr>
    </w:p>
    <w:p w14:paraId="6F7535F5" w14:textId="77777777" w:rsidR="00EE650E" w:rsidRDefault="00EE650E" w:rsidP="007F404A">
      <w:pPr>
        <w:spacing w:before="120" w:after="120" w:line="240" w:lineRule="auto"/>
        <w:ind w:left="851" w:hanging="851"/>
        <w:jc w:val="both"/>
        <w:rPr>
          <w:rFonts w:ascii="Arial" w:hAnsi="Arial" w:cs="Arial"/>
          <w:sz w:val="20"/>
          <w:szCs w:val="20"/>
        </w:rPr>
      </w:pPr>
    </w:p>
    <w:p w14:paraId="40335C3E" w14:textId="77777777" w:rsidR="00EE650E" w:rsidRDefault="00EE650E" w:rsidP="007F404A">
      <w:pPr>
        <w:spacing w:before="120" w:after="120" w:line="240" w:lineRule="auto"/>
        <w:ind w:left="851" w:hanging="851"/>
        <w:jc w:val="both"/>
        <w:rPr>
          <w:rFonts w:ascii="Arial" w:hAnsi="Arial" w:cs="Arial"/>
          <w:sz w:val="20"/>
          <w:szCs w:val="20"/>
        </w:rPr>
      </w:pPr>
    </w:p>
    <w:p w14:paraId="186FCD5D" w14:textId="77777777" w:rsidR="00EE650E" w:rsidRDefault="00EE650E" w:rsidP="007F404A">
      <w:pPr>
        <w:spacing w:before="120" w:after="120" w:line="240" w:lineRule="auto"/>
        <w:ind w:left="851" w:hanging="851"/>
        <w:jc w:val="both"/>
        <w:rPr>
          <w:rFonts w:ascii="Arial" w:hAnsi="Arial" w:cs="Arial"/>
          <w:sz w:val="20"/>
          <w:szCs w:val="20"/>
        </w:rPr>
      </w:pPr>
    </w:p>
    <w:p w14:paraId="5D15FEAD" w14:textId="77777777" w:rsidR="003C5744" w:rsidRDefault="003C5744" w:rsidP="007F404A">
      <w:pPr>
        <w:spacing w:before="120" w:after="120" w:line="240" w:lineRule="auto"/>
        <w:ind w:left="851" w:hanging="851"/>
        <w:jc w:val="both"/>
        <w:rPr>
          <w:rFonts w:ascii="Arial" w:hAnsi="Arial" w:cs="Arial"/>
          <w:sz w:val="20"/>
          <w:szCs w:val="20"/>
        </w:rPr>
      </w:pPr>
    </w:p>
    <w:p w14:paraId="41668CEB" w14:textId="77777777" w:rsidR="003C5744" w:rsidRDefault="003C5744" w:rsidP="007F404A">
      <w:pPr>
        <w:spacing w:before="120" w:after="120" w:line="240" w:lineRule="auto"/>
        <w:ind w:left="851" w:hanging="851"/>
        <w:jc w:val="both"/>
        <w:rPr>
          <w:rFonts w:ascii="Arial" w:hAnsi="Arial" w:cs="Arial"/>
          <w:sz w:val="20"/>
          <w:szCs w:val="20"/>
        </w:rPr>
      </w:pPr>
    </w:p>
    <w:p w14:paraId="27D3BE98" w14:textId="77777777" w:rsidR="003C5744" w:rsidRDefault="003C5744" w:rsidP="007F404A">
      <w:pPr>
        <w:spacing w:before="120" w:after="120" w:line="240" w:lineRule="auto"/>
        <w:ind w:left="851" w:hanging="851"/>
        <w:jc w:val="both"/>
        <w:rPr>
          <w:rFonts w:ascii="Arial" w:hAnsi="Arial" w:cs="Arial"/>
          <w:sz w:val="20"/>
          <w:szCs w:val="20"/>
        </w:rPr>
      </w:pPr>
    </w:p>
    <w:p w14:paraId="7E91E461" w14:textId="77777777" w:rsidR="003C5744" w:rsidRDefault="003C5744" w:rsidP="007F404A">
      <w:pPr>
        <w:spacing w:before="120" w:after="120" w:line="240" w:lineRule="auto"/>
        <w:ind w:left="851" w:hanging="851"/>
        <w:jc w:val="both"/>
        <w:rPr>
          <w:rFonts w:ascii="Arial" w:hAnsi="Arial" w:cs="Arial"/>
          <w:sz w:val="20"/>
          <w:szCs w:val="20"/>
        </w:rPr>
      </w:pPr>
    </w:p>
    <w:p w14:paraId="5493B638" w14:textId="77777777" w:rsidR="00C41385" w:rsidRDefault="00C41385" w:rsidP="007F404A">
      <w:pPr>
        <w:spacing w:before="120" w:after="120" w:line="240" w:lineRule="auto"/>
        <w:ind w:left="851" w:hanging="851"/>
        <w:jc w:val="both"/>
        <w:rPr>
          <w:rFonts w:ascii="Arial" w:hAnsi="Arial" w:cs="Arial"/>
          <w:sz w:val="20"/>
          <w:szCs w:val="20"/>
        </w:rPr>
      </w:pPr>
    </w:p>
    <w:p w14:paraId="6BA68B89" w14:textId="77777777" w:rsidR="00C41385" w:rsidRDefault="00C41385" w:rsidP="007F404A">
      <w:pPr>
        <w:spacing w:before="120" w:after="120" w:line="240" w:lineRule="auto"/>
        <w:ind w:left="851" w:hanging="851"/>
        <w:jc w:val="both"/>
        <w:rPr>
          <w:rFonts w:ascii="Arial" w:hAnsi="Arial" w:cs="Arial"/>
          <w:sz w:val="20"/>
          <w:szCs w:val="20"/>
        </w:rPr>
      </w:pPr>
    </w:p>
    <w:p w14:paraId="422766BF" w14:textId="77777777" w:rsidR="007F404A" w:rsidRPr="007F404A" w:rsidRDefault="007F404A" w:rsidP="007F404A">
      <w:pPr>
        <w:spacing w:before="120" w:after="120" w:line="240" w:lineRule="auto"/>
        <w:ind w:left="851" w:hanging="851"/>
        <w:jc w:val="both"/>
        <w:rPr>
          <w:rFonts w:ascii="Arial" w:hAnsi="Arial" w:cs="Arial"/>
          <w:sz w:val="20"/>
          <w:szCs w:val="20"/>
        </w:rPr>
      </w:pPr>
    </w:p>
    <w:p w14:paraId="08D74D05" w14:textId="77777777" w:rsidR="007F404A" w:rsidRDefault="007F404A" w:rsidP="007F404A">
      <w:pPr>
        <w:spacing w:before="120" w:after="120" w:line="240" w:lineRule="auto"/>
        <w:ind w:left="851" w:hanging="851"/>
        <w:jc w:val="both"/>
        <w:rPr>
          <w:rFonts w:ascii="Arial" w:hAnsi="Arial" w:cs="Arial"/>
        </w:rPr>
      </w:pPr>
    </w:p>
    <w:p w14:paraId="59870E5D" w14:textId="77777777" w:rsidR="007F404A" w:rsidRPr="007F404A" w:rsidRDefault="007F404A" w:rsidP="007F404A">
      <w:pPr>
        <w:spacing w:after="0" w:line="240" w:lineRule="auto"/>
        <w:ind w:left="851" w:hanging="851"/>
        <w:jc w:val="both"/>
        <w:rPr>
          <w:rFonts w:ascii="Arial" w:hAnsi="Arial" w:cs="Arial"/>
        </w:rPr>
      </w:pPr>
    </w:p>
    <w:p w14:paraId="2179CCFE" w14:textId="77777777" w:rsidR="007F404A" w:rsidRPr="007F404A" w:rsidRDefault="007F404A" w:rsidP="007F404A">
      <w:pPr>
        <w:spacing w:after="0" w:line="240" w:lineRule="auto"/>
        <w:ind w:left="851" w:hanging="851"/>
        <w:jc w:val="both"/>
        <w:rPr>
          <w:rFonts w:ascii="Arial" w:hAnsi="Arial" w:cs="Arial"/>
        </w:rPr>
      </w:pPr>
    </w:p>
    <w:p w14:paraId="0FB60D4E" w14:textId="77777777" w:rsidR="007F404A" w:rsidRDefault="007F404A" w:rsidP="007F404A">
      <w:pPr>
        <w:spacing w:after="0" w:line="240" w:lineRule="auto"/>
        <w:ind w:left="851" w:hanging="851"/>
        <w:rPr>
          <w:rFonts w:ascii="Arial" w:hAnsi="Arial" w:cs="Arial"/>
          <w:b/>
          <w:bCs/>
          <w:sz w:val="20"/>
          <w:szCs w:val="20"/>
        </w:rPr>
      </w:pPr>
    </w:p>
    <w:p w14:paraId="492DBC97" w14:textId="77777777" w:rsidR="007F404A" w:rsidRPr="007F404A" w:rsidRDefault="007F404A" w:rsidP="00F72416">
      <w:pPr>
        <w:spacing w:after="0" w:line="240" w:lineRule="auto"/>
        <w:rPr>
          <w:rFonts w:ascii="Arial" w:hAnsi="Arial" w:cs="Arial"/>
          <w:b/>
          <w:bCs/>
          <w:sz w:val="20"/>
          <w:szCs w:val="20"/>
          <w:lang w:eastAsia="ja-JP"/>
        </w:rPr>
      </w:pPr>
    </w:p>
    <w:p w14:paraId="15338C90" w14:textId="77777777" w:rsidR="00752E8C" w:rsidRPr="00F72416" w:rsidRDefault="00752E8C" w:rsidP="007F404A">
      <w:pPr>
        <w:spacing w:after="0" w:line="240" w:lineRule="auto"/>
        <w:jc w:val="both"/>
        <w:rPr>
          <w:rFonts w:ascii="Arial" w:hAnsi="Arial" w:cs="Arial"/>
          <w:sz w:val="20"/>
          <w:szCs w:val="20"/>
        </w:rPr>
      </w:pPr>
    </w:p>
    <w:p w14:paraId="3878E5F7" w14:textId="77777777" w:rsidR="00752E8C" w:rsidRPr="00F72416" w:rsidRDefault="00752E8C" w:rsidP="00F72416">
      <w:pPr>
        <w:spacing w:after="0" w:line="240" w:lineRule="auto"/>
        <w:rPr>
          <w:rFonts w:ascii="Arial" w:hAnsi="Arial" w:cs="Arial"/>
          <w:sz w:val="20"/>
          <w:szCs w:val="20"/>
        </w:rPr>
      </w:pPr>
    </w:p>
    <w:p w14:paraId="543EDD67" w14:textId="77777777" w:rsidR="00752E8C" w:rsidRPr="00F72416" w:rsidRDefault="00752E8C" w:rsidP="00F72416">
      <w:pPr>
        <w:spacing w:after="0" w:line="240" w:lineRule="auto"/>
        <w:rPr>
          <w:rFonts w:ascii="Arial" w:hAnsi="Arial" w:cs="Arial"/>
          <w:sz w:val="20"/>
          <w:szCs w:val="20"/>
        </w:rPr>
      </w:pPr>
    </w:p>
    <w:p w14:paraId="19BA7403" w14:textId="77777777" w:rsidR="00752E8C" w:rsidRPr="00F72416" w:rsidRDefault="00752E8C" w:rsidP="00F72416">
      <w:pPr>
        <w:spacing w:after="0" w:line="240" w:lineRule="auto"/>
        <w:rPr>
          <w:rFonts w:ascii="Arial" w:hAnsi="Arial" w:cs="Arial"/>
          <w:sz w:val="20"/>
          <w:szCs w:val="20"/>
        </w:rPr>
      </w:pPr>
    </w:p>
    <w:p w14:paraId="4B6DD923" w14:textId="77777777" w:rsidR="00752E8C" w:rsidRPr="00F72416" w:rsidRDefault="00752E8C" w:rsidP="00F72416">
      <w:pPr>
        <w:spacing w:after="0" w:line="240" w:lineRule="auto"/>
        <w:rPr>
          <w:rFonts w:ascii="Arial" w:hAnsi="Arial" w:cs="Arial"/>
          <w:sz w:val="20"/>
          <w:szCs w:val="20"/>
        </w:rPr>
      </w:pPr>
    </w:p>
    <w:p w14:paraId="5BDB59AF" w14:textId="77777777" w:rsidR="00752E8C" w:rsidRPr="00F72416" w:rsidRDefault="00752E8C" w:rsidP="00F72416">
      <w:pPr>
        <w:spacing w:after="0" w:line="240" w:lineRule="auto"/>
        <w:rPr>
          <w:rFonts w:ascii="Arial" w:hAnsi="Arial" w:cs="Arial"/>
          <w:sz w:val="20"/>
          <w:szCs w:val="20"/>
        </w:rPr>
      </w:pPr>
    </w:p>
    <w:p w14:paraId="3F6155E6" w14:textId="77777777" w:rsidR="00752E8C" w:rsidRPr="00F72416" w:rsidRDefault="00752E8C" w:rsidP="00F72416">
      <w:pPr>
        <w:spacing w:after="0" w:line="240" w:lineRule="auto"/>
        <w:rPr>
          <w:rFonts w:ascii="Arial" w:hAnsi="Arial" w:cs="Arial"/>
          <w:sz w:val="20"/>
          <w:szCs w:val="20"/>
        </w:rPr>
      </w:pPr>
    </w:p>
    <w:p w14:paraId="0C98D1B1" w14:textId="77777777" w:rsidR="00752E8C" w:rsidRPr="00F72416" w:rsidRDefault="00752E8C" w:rsidP="00F72416">
      <w:pPr>
        <w:spacing w:after="0" w:line="240" w:lineRule="auto"/>
        <w:rPr>
          <w:rFonts w:ascii="Arial" w:hAnsi="Arial" w:cs="Arial"/>
          <w:sz w:val="20"/>
          <w:szCs w:val="20"/>
        </w:rPr>
      </w:pPr>
    </w:p>
    <w:p w14:paraId="72CFD371" w14:textId="77777777" w:rsidR="00752E8C" w:rsidRPr="00F72416" w:rsidRDefault="00752E8C" w:rsidP="00F72416">
      <w:pPr>
        <w:spacing w:after="0" w:line="240" w:lineRule="auto"/>
        <w:rPr>
          <w:rFonts w:ascii="Arial" w:hAnsi="Arial" w:cs="Arial"/>
          <w:sz w:val="20"/>
          <w:szCs w:val="20"/>
        </w:rPr>
      </w:pPr>
    </w:p>
    <w:p w14:paraId="654D656A" w14:textId="77777777" w:rsidR="00752E8C" w:rsidRPr="00F72416" w:rsidRDefault="00752E8C" w:rsidP="00F72416">
      <w:pPr>
        <w:spacing w:after="0" w:line="240" w:lineRule="auto"/>
        <w:rPr>
          <w:rFonts w:ascii="Arial" w:hAnsi="Arial" w:cs="Arial"/>
          <w:sz w:val="20"/>
          <w:szCs w:val="20"/>
        </w:rPr>
      </w:pPr>
    </w:p>
    <w:p w14:paraId="41A5170C" w14:textId="77777777" w:rsidR="00752E8C" w:rsidRPr="00F72416" w:rsidRDefault="00752E8C" w:rsidP="00F72416">
      <w:pPr>
        <w:spacing w:after="0" w:line="240" w:lineRule="auto"/>
        <w:rPr>
          <w:rFonts w:ascii="Arial" w:hAnsi="Arial" w:cs="Arial"/>
          <w:sz w:val="20"/>
          <w:szCs w:val="20"/>
        </w:rPr>
      </w:pPr>
    </w:p>
    <w:p w14:paraId="300405F4" w14:textId="77777777" w:rsidR="00752E8C" w:rsidRPr="00F72416" w:rsidRDefault="00752E8C" w:rsidP="00F72416">
      <w:pPr>
        <w:spacing w:after="0" w:line="240" w:lineRule="auto"/>
        <w:rPr>
          <w:rFonts w:ascii="Arial" w:hAnsi="Arial" w:cs="Arial"/>
          <w:sz w:val="20"/>
          <w:szCs w:val="20"/>
        </w:rPr>
      </w:pPr>
    </w:p>
    <w:p w14:paraId="35298C11" w14:textId="77777777" w:rsidR="00752E8C" w:rsidRPr="00F72416" w:rsidRDefault="00752E8C" w:rsidP="00F72416">
      <w:pPr>
        <w:spacing w:after="0" w:line="240" w:lineRule="auto"/>
        <w:rPr>
          <w:rFonts w:ascii="Arial" w:hAnsi="Arial" w:cs="Arial"/>
          <w:sz w:val="20"/>
          <w:szCs w:val="20"/>
        </w:rPr>
      </w:pPr>
    </w:p>
    <w:p w14:paraId="15D2EFFE" w14:textId="77777777" w:rsidR="00752E8C" w:rsidRPr="00F72416" w:rsidRDefault="00752E8C" w:rsidP="00F72416">
      <w:pPr>
        <w:spacing w:after="0" w:line="240" w:lineRule="auto"/>
        <w:rPr>
          <w:rFonts w:ascii="Arial" w:hAnsi="Arial" w:cs="Arial"/>
          <w:sz w:val="20"/>
          <w:szCs w:val="20"/>
        </w:rPr>
      </w:pPr>
    </w:p>
    <w:p w14:paraId="33AE54A6" w14:textId="77777777" w:rsidR="00752E8C" w:rsidRPr="00F72416" w:rsidRDefault="00752E8C" w:rsidP="00F72416">
      <w:pPr>
        <w:spacing w:after="0" w:line="240" w:lineRule="auto"/>
        <w:rPr>
          <w:rFonts w:ascii="Arial" w:hAnsi="Arial" w:cs="Arial"/>
          <w:sz w:val="20"/>
          <w:szCs w:val="20"/>
        </w:rPr>
      </w:pPr>
    </w:p>
    <w:p w14:paraId="01810E92" w14:textId="77777777" w:rsidR="00752E8C" w:rsidRPr="00F72416" w:rsidRDefault="00752E8C" w:rsidP="00F72416">
      <w:pPr>
        <w:spacing w:after="0" w:line="240" w:lineRule="auto"/>
        <w:rPr>
          <w:rFonts w:ascii="Arial" w:hAnsi="Arial" w:cs="Arial"/>
          <w:sz w:val="20"/>
          <w:szCs w:val="20"/>
        </w:rPr>
      </w:pPr>
    </w:p>
    <w:p w14:paraId="00CB1633" w14:textId="77777777" w:rsidR="00752E8C" w:rsidRPr="00F72416" w:rsidRDefault="00752E8C" w:rsidP="00F72416">
      <w:pPr>
        <w:spacing w:after="0" w:line="240" w:lineRule="auto"/>
        <w:rPr>
          <w:rFonts w:ascii="Arial" w:hAnsi="Arial" w:cs="Arial"/>
          <w:sz w:val="20"/>
          <w:szCs w:val="20"/>
        </w:rPr>
      </w:pPr>
    </w:p>
    <w:p w14:paraId="6DE8A4E8" w14:textId="77777777" w:rsidR="00752E8C" w:rsidRPr="00F72416" w:rsidRDefault="00752E8C" w:rsidP="00F72416">
      <w:pPr>
        <w:spacing w:after="0" w:line="240" w:lineRule="auto"/>
        <w:rPr>
          <w:rFonts w:ascii="Arial" w:hAnsi="Arial" w:cs="Arial"/>
          <w:sz w:val="20"/>
          <w:szCs w:val="20"/>
        </w:rPr>
      </w:pPr>
    </w:p>
    <w:p w14:paraId="793EE67C" w14:textId="77777777" w:rsidR="00752E8C" w:rsidRPr="00F72416" w:rsidRDefault="00752E8C" w:rsidP="00F72416">
      <w:pPr>
        <w:spacing w:after="0" w:line="240" w:lineRule="auto"/>
        <w:rPr>
          <w:rFonts w:ascii="Arial" w:hAnsi="Arial" w:cs="Arial"/>
          <w:sz w:val="20"/>
          <w:szCs w:val="20"/>
        </w:rPr>
      </w:pPr>
    </w:p>
    <w:p w14:paraId="60AA8DC2" w14:textId="77777777" w:rsidR="00752E8C" w:rsidRPr="00F72416" w:rsidRDefault="00752E8C" w:rsidP="00F72416">
      <w:pPr>
        <w:spacing w:after="0" w:line="240" w:lineRule="auto"/>
        <w:rPr>
          <w:rFonts w:ascii="Arial" w:hAnsi="Arial" w:cs="Arial"/>
          <w:sz w:val="20"/>
          <w:szCs w:val="20"/>
        </w:rPr>
      </w:pPr>
    </w:p>
    <w:sectPr w:rsidR="00752E8C" w:rsidRPr="00F72416" w:rsidSect="00752E8C">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5044C" w14:textId="77777777" w:rsidR="008A0425" w:rsidRDefault="008A0425" w:rsidP="006322D8">
      <w:pPr>
        <w:spacing w:after="0" w:line="240" w:lineRule="auto"/>
      </w:pPr>
      <w:r>
        <w:separator/>
      </w:r>
    </w:p>
  </w:endnote>
  <w:endnote w:type="continuationSeparator" w:id="0">
    <w:p w14:paraId="665B5978" w14:textId="77777777" w:rsidR="008A0425" w:rsidRDefault="008A0425" w:rsidP="0063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48CC" w14:textId="77777777" w:rsidR="006322D8" w:rsidRDefault="00632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5750" w14:textId="77777777" w:rsidR="006322D8" w:rsidRDefault="00632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E68D" w14:textId="77777777" w:rsidR="006322D8" w:rsidRDefault="00632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5C34B" w14:textId="77777777" w:rsidR="008A0425" w:rsidRDefault="008A0425" w:rsidP="006322D8">
      <w:pPr>
        <w:spacing w:after="0" w:line="240" w:lineRule="auto"/>
      </w:pPr>
      <w:r>
        <w:separator/>
      </w:r>
    </w:p>
  </w:footnote>
  <w:footnote w:type="continuationSeparator" w:id="0">
    <w:p w14:paraId="6EB4AF8A" w14:textId="77777777" w:rsidR="008A0425" w:rsidRDefault="008A0425" w:rsidP="0063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0FE4" w14:textId="2E443EF9" w:rsidR="006322D8" w:rsidRDefault="006322D8">
    <w:pPr>
      <w:pStyle w:val="Header"/>
    </w:pPr>
    <w:r>
      <w:rPr>
        <w:noProof/>
      </w:rPr>
      <w:pict w14:anchorId="7C504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C4B5" w14:textId="1BF20F04" w:rsidR="006322D8" w:rsidRDefault="006322D8">
    <w:pPr>
      <w:pStyle w:val="Header"/>
    </w:pPr>
    <w:r>
      <w:rPr>
        <w:noProof/>
      </w:rPr>
      <w:pict w14:anchorId="51574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2998" w14:textId="0C047455" w:rsidR="006322D8" w:rsidRDefault="006322D8">
    <w:pPr>
      <w:pStyle w:val="Header"/>
    </w:pPr>
    <w:r>
      <w:rPr>
        <w:noProof/>
      </w:rPr>
      <w:pict w14:anchorId="726E4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7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533E"/>
    <w:multiLevelType w:val="multilevel"/>
    <w:tmpl w:val="50D445E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72208"/>
    <w:multiLevelType w:val="hybridMultilevel"/>
    <w:tmpl w:val="4D8EBDCA"/>
    <w:lvl w:ilvl="0" w:tplc="6DB65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54B79"/>
    <w:multiLevelType w:val="multilevel"/>
    <w:tmpl w:val="5D643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2623E"/>
    <w:multiLevelType w:val="multilevel"/>
    <w:tmpl w:val="7BC22E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E2045"/>
    <w:multiLevelType w:val="multilevel"/>
    <w:tmpl w:val="6BB44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C2C15"/>
    <w:multiLevelType w:val="multilevel"/>
    <w:tmpl w:val="D52E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A3923"/>
    <w:multiLevelType w:val="multilevel"/>
    <w:tmpl w:val="4E2EB7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AA3644"/>
    <w:multiLevelType w:val="multilevel"/>
    <w:tmpl w:val="32DC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FB7F2B"/>
    <w:multiLevelType w:val="multilevel"/>
    <w:tmpl w:val="AC467D2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533908"/>
    <w:multiLevelType w:val="multilevel"/>
    <w:tmpl w:val="334AEAA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BA7919"/>
    <w:multiLevelType w:val="multilevel"/>
    <w:tmpl w:val="FA14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7020A"/>
    <w:multiLevelType w:val="multilevel"/>
    <w:tmpl w:val="EBAA7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3E22CF"/>
    <w:multiLevelType w:val="multilevel"/>
    <w:tmpl w:val="283280A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121C9D"/>
    <w:multiLevelType w:val="multilevel"/>
    <w:tmpl w:val="F186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54B9E"/>
    <w:multiLevelType w:val="multilevel"/>
    <w:tmpl w:val="6F126C1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57CDA"/>
    <w:multiLevelType w:val="multilevel"/>
    <w:tmpl w:val="0F00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83298"/>
    <w:multiLevelType w:val="multilevel"/>
    <w:tmpl w:val="7E5609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D06E7E"/>
    <w:multiLevelType w:val="multilevel"/>
    <w:tmpl w:val="4D9AA2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D0287C"/>
    <w:multiLevelType w:val="multilevel"/>
    <w:tmpl w:val="9E9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B7734"/>
    <w:multiLevelType w:val="multilevel"/>
    <w:tmpl w:val="BF6AFB5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C05E24"/>
    <w:multiLevelType w:val="multilevel"/>
    <w:tmpl w:val="8D2C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E0821"/>
    <w:multiLevelType w:val="multilevel"/>
    <w:tmpl w:val="F1FAAFB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D07882"/>
    <w:multiLevelType w:val="hybridMultilevel"/>
    <w:tmpl w:val="D632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F693B"/>
    <w:multiLevelType w:val="multilevel"/>
    <w:tmpl w:val="993AEF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5C43A4"/>
    <w:multiLevelType w:val="multilevel"/>
    <w:tmpl w:val="4EF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946E3D"/>
    <w:multiLevelType w:val="multilevel"/>
    <w:tmpl w:val="CDF8320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B6569F"/>
    <w:multiLevelType w:val="multilevel"/>
    <w:tmpl w:val="D6C0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C29BF"/>
    <w:multiLevelType w:val="multilevel"/>
    <w:tmpl w:val="A35CAE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num>
  <w:num w:numId="3">
    <w:abstractNumId w:val="20"/>
  </w:num>
  <w:num w:numId="4">
    <w:abstractNumId w:val="13"/>
  </w:num>
  <w:num w:numId="5">
    <w:abstractNumId w:val="5"/>
  </w:num>
  <w:num w:numId="6">
    <w:abstractNumId w:val="18"/>
  </w:num>
  <w:num w:numId="7">
    <w:abstractNumId w:val="7"/>
  </w:num>
  <w:num w:numId="8">
    <w:abstractNumId w:val="4"/>
  </w:num>
  <w:num w:numId="9">
    <w:abstractNumId w:val="6"/>
  </w:num>
  <w:num w:numId="10">
    <w:abstractNumId w:val="16"/>
  </w:num>
  <w:num w:numId="11">
    <w:abstractNumId w:val="23"/>
  </w:num>
  <w:num w:numId="12">
    <w:abstractNumId w:val="2"/>
  </w:num>
  <w:num w:numId="13">
    <w:abstractNumId w:val="3"/>
  </w:num>
  <w:num w:numId="14">
    <w:abstractNumId w:val="27"/>
  </w:num>
  <w:num w:numId="15">
    <w:abstractNumId w:val="17"/>
  </w:num>
  <w:num w:numId="16">
    <w:abstractNumId w:val="12"/>
  </w:num>
  <w:num w:numId="17">
    <w:abstractNumId w:val="19"/>
  </w:num>
  <w:num w:numId="18">
    <w:abstractNumId w:val="8"/>
  </w:num>
  <w:num w:numId="19">
    <w:abstractNumId w:val="25"/>
  </w:num>
  <w:num w:numId="20">
    <w:abstractNumId w:val="9"/>
  </w:num>
  <w:num w:numId="21">
    <w:abstractNumId w:val="0"/>
  </w:num>
  <w:num w:numId="22">
    <w:abstractNumId w:val="21"/>
  </w:num>
  <w:num w:numId="23">
    <w:abstractNumId w:val="14"/>
  </w:num>
  <w:num w:numId="24">
    <w:abstractNumId w:val="11"/>
  </w:num>
  <w:num w:numId="25">
    <w:abstractNumId w:val="22"/>
  </w:num>
  <w:num w:numId="26">
    <w:abstractNumId w:val="26"/>
  </w:num>
  <w:num w:numId="27">
    <w:abstractNumId w:val="1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8C"/>
    <w:rsid w:val="0008487A"/>
    <w:rsid w:val="001A389B"/>
    <w:rsid w:val="002261F7"/>
    <w:rsid w:val="0034075F"/>
    <w:rsid w:val="003C5744"/>
    <w:rsid w:val="005C2D8B"/>
    <w:rsid w:val="006322D8"/>
    <w:rsid w:val="006A7A2B"/>
    <w:rsid w:val="00730C54"/>
    <w:rsid w:val="00752E8C"/>
    <w:rsid w:val="007B2903"/>
    <w:rsid w:val="007F404A"/>
    <w:rsid w:val="008A0425"/>
    <w:rsid w:val="009B4A19"/>
    <w:rsid w:val="009E4C0D"/>
    <w:rsid w:val="00B11840"/>
    <w:rsid w:val="00B333F4"/>
    <w:rsid w:val="00B921B9"/>
    <w:rsid w:val="00BA6D05"/>
    <w:rsid w:val="00C167F2"/>
    <w:rsid w:val="00C41385"/>
    <w:rsid w:val="00D91D63"/>
    <w:rsid w:val="00D9655E"/>
    <w:rsid w:val="00E64FFB"/>
    <w:rsid w:val="00EE650E"/>
    <w:rsid w:val="00F60FBC"/>
    <w:rsid w:val="00F72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502C30"/>
  <w15:chartTrackingRefBased/>
  <w15:docId w15:val="{BD7B6858-BB52-4142-B68E-DE52FECD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E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2E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2E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E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2E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2E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E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E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E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E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2E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2E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2E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2E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2E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E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E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E8C"/>
    <w:rPr>
      <w:rFonts w:eastAsiaTheme="majorEastAsia" w:cstheme="majorBidi"/>
      <w:color w:val="272727" w:themeColor="text1" w:themeTint="D8"/>
    </w:rPr>
  </w:style>
  <w:style w:type="paragraph" w:styleId="Title">
    <w:name w:val="Title"/>
    <w:basedOn w:val="Normal"/>
    <w:next w:val="Normal"/>
    <w:link w:val="TitleChar"/>
    <w:uiPriority w:val="10"/>
    <w:qFormat/>
    <w:rsid w:val="00752E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E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E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E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2E8C"/>
    <w:pPr>
      <w:spacing w:before="160"/>
      <w:jc w:val="center"/>
    </w:pPr>
    <w:rPr>
      <w:i/>
      <w:iCs/>
      <w:color w:val="404040" w:themeColor="text1" w:themeTint="BF"/>
    </w:rPr>
  </w:style>
  <w:style w:type="character" w:customStyle="1" w:styleId="QuoteChar">
    <w:name w:val="Quote Char"/>
    <w:basedOn w:val="DefaultParagraphFont"/>
    <w:link w:val="Quote"/>
    <w:uiPriority w:val="29"/>
    <w:rsid w:val="00752E8C"/>
    <w:rPr>
      <w:i/>
      <w:iCs/>
      <w:color w:val="404040" w:themeColor="text1" w:themeTint="BF"/>
    </w:rPr>
  </w:style>
  <w:style w:type="paragraph" w:styleId="ListParagraph">
    <w:name w:val="List Paragraph"/>
    <w:basedOn w:val="Normal"/>
    <w:uiPriority w:val="34"/>
    <w:qFormat/>
    <w:rsid w:val="00752E8C"/>
    <w:pPr>
      <w:ind w:left="720"/>
      <w:contextualSpacing/>
    </w:pPr>
  </w:style>
  <w:style w:type="character" w:styleId="IntenseEmphasis">
    <w:name w:val="Intense Emphasis"/>
    <w:basedOn w:val="DefaultParagraphFont"/>
    <w:uiPriority w:val="21"/>
    <w:qFormat/>
    <w:rsid w:val="00752E8C"/>
    <w:rPr>
      <w:i/>
      <w:iCs/>
      <w:color w:val="0F4761" w:themeColor="accent1" w:themeShade="BF"/>
    </w:rPr>
  </w:style>
  <w:style w:type="paragraph" w:styleId="IntenseQuote">
    <w:name w:val="Intense Quote"/>
    <w:basedOn w:val="Normal"/>
    <w:next w:val="Normal"/>
    <w:link w:val="IntenseQuoteChar"/>
    <w:uiPriority w:val="30"/>
    <w:qFormat/>
    <w:rsid w:val="00752E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E8C"/>
    <w:rPr>
      <w:i/>
      <w:iCs/>
      <w:color w:val="0F4761" w:themeColor="accent1" w:themeShade="BF"/>
    </w:rPr>
  </w:style>
  <w:style w:type="character" w:styleId="IntenseReference">
    <w:name w:val="Intense Reference"/>
    <w:basedOn w:val="DefaultParagraphFont"/>
    <w:uiPriority w:val="32"/>
    <w:qFormat/>
    <w:rsid w:val="00752E8C"/>
    <w:rPr>
      <w:b/>
      <w:bCs/>
      <w:smallCaps/>
      <w:color w:val="0F4761" w:themeColor="accent1" w:themeShade="BF"/>
      <w:spacing w:val="5"/>
    </w:rPr>
  </w:style>
  <w:style w:type="paragraph" w:styleId="NormalWeb">
    <w:name w:val="Normal (Web)"/>
    <w:basedOn w:val="Normal"/>
    <w:uiPriority w:val="99"/>
    <w:semiHidden/>
    <w:unhideWhenUsed/>
    <w:rsid w:val="00752E8C"/>
    <w:rPr>
      <w:rFonts w:ascii="Times New Roman" w:hAnsi="Times New Roman" w:cs="Times New Roman"/>
    </w:rPr>
  </w:style>
  <w:style w:type="character" w:styleId="Hyperlink">
    <w:name w:val="Hyperlink"/>
    <w:basedOn w:val="DefaultParagraphFont"/>
    <w:uiPriority w:val="99"/>
    <w:unhideWhenUsed/>
    <w:rsid w:val="00730C54"/>
    <w:rPr>
      <w:color w:val="467886" w:themeColor="hyperlink"/>
      <w:u w:val="single"/>
    </w:rPr>
  </w:style>
  <w:style w:type="character" w:styleId="UnresolvedMention">
    <w:name w:val="Unresolved Mention"/>
    <w:basedOn w:val="DefaultParagraphFont"/>
    <w:uiPriority w:val="99"/>
    <w:semiHidden/>
    <w:unhideWhenUsed/>
    <w:rsid w:val="00730C54"/>
    <w:rPr>
      <w:color w:val="605E5C"/>
      <w:shd w:val="clear" w:color="auto" w:fill="E1DFDD"/>
    </w:rPr>
  </w:style>
  <w:style w:type="character" w:styleId="Strong">
    <w:name w:val="Strong"/>
    <w:basedOn w:val="DefaultParagraphFont"/>
    <w:uiPriority w:val="22"/>
    <w:qFormat/>
    <w:rsid w:val="0034075F"/>
    <w:rPr>
      <w:b/>
      <w:bCs/>
    </w:rPr>
  </w:style>
  <w:style w:type="table" w:styleId="TableGrid">
    <w:name w:val="Table Grid"/>
    <w:basedOn w:val="TableNormal"/>
    <w:uiPriority w:val="39"/>
    <w:rsid w:val="009B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29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32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2D8"/>
  </w:style>
  <w:style w:type="paragraph" w:styleId="Footer">
    <w:name w:val="footer"/>
    <w:basedOn w:val="Normal"/>
    <w:link w:val="FooterChar"/>
    <w:uiPriority w:val="99"/>
    <w:unhideWhenUsed/>
    <w:rsid w:val="00632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4029">
      <w:bodyDiv w:val="1"/>
      <w:marLeft w:val="0"/>
      <w:marRight w:val="0"/>
      <w:marTop w:val="0"/>
      <w:marBottom w:val="0"/>
      <w:divBdr>
        <w:top w:val="none" w:sz="0" w:space="0" w:color="auto"/>
        <w:left w:val="none" w:sz="0" w:space="0" w:color="auto"/>
        <w:bottom w:val="none" w:sz="0" w:space="0" w:color="auto"/>
        <w:right w:val="none" w:sz="0" w:space="0" w:color="auto"/>
      </w:divBdr>
    </w:div>
    <w:div w:id="37901898">
      <w:bodyDiv w:val="1"/>
      <w:marLeft w:val="0"/>
      <w:marRight w:val="0"/>
      <w:marTop w:val="0"/>
      <w:marBottom w:val="0"/>
      <w:divBdr>
        <w:top w:val="none" w:sz="0" w:space="0" w:color="auto"/>
        <w:left w:val="none" w:sz="0" w:space="0" w:color="auto"/>
        <w:bottom w:val="none" w:sz="0" w:space="0" w:color="auto"/>
        <w:right w:val="none" w:sz="0" w:space="0" w:color="auto"/>
      </w:divBdr>
      <w:divsChild>
        <w:div w:id="1101756938">
          <w:marLeft w:val="0"/>
          <w:marRight w:val="0"/>
          <w:marTop w:val="0"/>
          <w:marBottom w:val="0"/>
          <w:divBdr>
            <w:top w:val="none" w:sz="0" w:space="0" w:color="auto"/>
            <w:left w:val="none" w:sz="0" w:space="0" w:color="auto"/>
            <w:bottom w:val="none" w:sz="0" w:space="0" w:color="auto"/>
            <w:right w:val="none" w:sz="0" w:space="0" w:color="auto"/>
          </w:divBdr>
          <w:divsChild>
            <w:div w:id="13287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3269">
      <w:bodyDiv w:val="1"/>
      <w:marLeft w:val="0"/>
      <w:marRight w:val="0"/>
      <w:marTop w:val="0"/>
      <w:marBottom w:val="0"/>
      <w:divBdr>
        <w:top w:val="none" w:sz="0" w:space="0" w:color="auto"/>
        <w:left w:val="none" w:sz="0" w:space="0" w:color="auto"/>
        <w:bottom w:val="none" w:sz="0" w:space="0" w:color="auto"/>
        <w:right w:val="none" w:sz="0" w:space="0" w:color="auto"/>
      </w:divBdr>
      <w:divsChild>
        <w:div w:id="1991670979">
          <w:marLeft w:val="0"/>
          <w:marRight w:val="0"/>
          <w:marTop w:val="0"/>
          <w:marBottom w:val="0"/>
          <w:divBdr>
            <w:top w:val="none" w:sz="0" w:space="0" w:color="auto"/>
            <w:left w:val="none" w:sz="0" w:space="0" w:color="auto"/>
            <w:bottom w:val="none" w:sz="0" w:space="0" w:color="auto"/>
            <w:right w:val="none" w:sz="0" w:space="0" w:color="auto"/>
          </w:divBdr>
          <w:divsChild>
            <w:div w:id="13545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941">
      <w:bodyDiv w:val="1"/>
      <w:marLeft w:val="0"/>
      <w:marRight w:val="0"/>
      <w:marTop w:val="0"/>
      <w:marBottom w:val="0"/>
      <w:divBdr>
        <w:top w:val="none" w:sz="0" w:space="0" w:color="auto"/>
        <w:left w:val="none" w:sz="0" w:space="0" w:color="auto"/>
        <w:bottom w:val="none" w:sz="0" w:space="0" w:color="auto"/>
        <w:right w:val="none" w:sz="0" w:space="0" w:color="auto"/>
      </w:divBdr>
    </w:div>
    <w:div w:id="146753253">
      <w:bodyDiv w:val="1"/>
      <w:marLeft w:val="0"/>
      <w:marRight w:val="0"/>
      <w:marTop w:val="0"/>
      <w:marBottom w:val="0"/>
      <w:divBdr>
        <w:top w:val="none" w:sz="0" w:space="0" w:color="auto"/>
        <w:left w:val="none" w:sz="0" w:space="0" w:color="auto"/>
        <w:bottom w:val="none" w:sz="0" w:space="0" w:color="auto"/>
        <w:right w:val="none" w:sz="0" w:space="0" w:color="auto"/>
      </w:divBdr>
    </w:div>
    <w:div w:id="186411469">
      <w:bodyDiv w:val="1"/>
      <w:marLeft w:val="0"/>
      <w:marRight w:val="0"/>
      <w:marTop w:val="0"/>
      <w:marBottom w:val="0"/>
      <w:divBdr>
        <w:top w:val="none" w:sz="0" w:space="0" w:color="auto"/>
        <w:left w:val="none" w:sz="0" w:space="0" w:color="auto"/>
        <w:bottom w:val="none" w:sz="0" w:space="0" w:color="auto"/>
        <w:right w:val="none" w:sz="0" w:space="0" w:color="auto"/>
      </w:divBdr>
    </w:div>
    <w:div w:id="339814593">
      <w:bodyDiv w:val="1"/>
      <w:marLeft w:val="0"/>
      <w:marRight w:val="0"/>
      <w:marTop w:val="0"/>
      <w:marBottom w:val="0"/>
      <w:divBdr>
        <w:top w:val="none" w:sz="0" w:space="0" w:color="auto"/>
        <w:left w:val="none" w:sz="0" w:space="0" w:color="auto"/>
        <w:bottom w:val="none" w:sz="0" w:space="0" w:color="auto"/>
        <w:right w:val="none" w:sz="0" w:space="0" w:color="auto"/>
      </w:divBdr>
      <w:divsChild>
        <w:div w:id="1433553569">
          <w:marLeft w:val="0"/>
          <w:marRight w:val="0"/>
          <w:marTop w:val="0"/>
          <w:marBottom w:val="0"/>
          <w:divBdr>
            <w:top w:val="none" w:sz="0" w:space="0" w:color="auto"/>
            <w:left w:val="none" w:sz="0" w:space="0" w:color="auto"/>
            <w:bottom w:val="none" w:sz="0" w:space="0" w:color="auto"/>
            <w:right w:val="none" w:sz="0" w:space="0" w:color="auto"/>
          </w:divBdr>
          <w:divsChild>
            <w:div w:id="2365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1649">
      <w:bodyDiv w:val="1"/>
      <w:marLeft w:val="0"/>
      <w:marRight w:val="0"/>
      <w:marTop w:val="0"/>
      <w:marBottom w:val="0"/>
      <w:divBdr>
        <w:top w:val="none" w:sz="0" w:space="0" w:color="auto"/>
        <w:left w:val="none" w:sz="0" w:space="0" w:color="auto"/>
        <w:bottom w:val="none" w:sz="0" w:space="0" w:color="auto"/>
        <w:right w:val="none" w:sz="0" w:space="0" w:color="auto"/>
      </w:divBdr>
    </w:div>
    <w:div w:id="495726923">
      <w:bodyDiv w:val="1"/>
      <w:marLeft w:val="0"/>
      <w:marRight w:val="0"/>
      <w:marTop w:val="0"/>
      <w:marBottom w:val="0"/>
      <w:divBdr>
        <w:top w:val="none" w:sz="0" w:space="0" w:color="auto"/>
        <w:left w:val="none" w:sz="0" w:space="0" w:color="auto"/>
        <w:bottom w:val="none" w:sz="0" w:space="0" w:color="auto"/>
        <w:right w:val="none" w:sz="0" w:space="0" w:color="auto"/>
      </w:divBdr>
      <w:divsChild>
        <w:div w:id="2013221814">
          <w:marLeft w:val="0"/>
          <w:marRight w:val="0"/>
          <w:marTop w:val="0"/>
          <w:marBottom w:val="0"/>
          <w:divBdr>
            <w:top w:val="none" w:sz="0" w:space="0" w:color="auto"/>
            <w:left w:val="none" w:sz="0" w:space="0" w:color="auto"/>
            <w:bottom w:val="none" w:sz="0" w:space="0" w:color="auto"/>
            <w:right w:val="none" w:sz="0" w:space="0" w:color="auto"/>
          </w:divBdr>
          <w:divsChild>
            <w:div w:id="14317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7601">
      <w:bodyDiv w:val="1"/>
      <w:marLeft w:val="0"/>
      <w:marRight w:val="0"/>
      <w:marTop w:val="0"/>
      <w:marBottom w:val="0"/>
      <w:divBdr>
        <w:top w:val="none" w:sz="0" w:space="0" w:color="auto"/>
        <w:left w:val="none" w:sz="0" w:space="0" w:color="auto"/>
        <w:bottom w:val="none" w:sz="0" w:space="0" w:color="auto"/>
        <w:right w:val="none" w:sz="0" w:space="0" w:color="auto"/>
      </w:divBdr>
    </w:div>
    <w:div w:id="679115501">
      <w:bodyDiv w:val="1"/>
      <w:marLeft w:val="0"/>
      <w:marRight w:val="0"/>
      <w:marTop w:val="0"/>
      <w:marBottom w:val="0"/>
      <w:divBdr>
        <w:top w:val="none" w:sz="0" w:space="0" w:color="auto"/>
        <w:left w:val="none" w:sz="0" w:space="0" w:color="auto"/>
        <w:bottom w:val="none" w:sz="0" w:space="0" w:color="auto"/>
        <w:right w:val="none" w:sz="0" w:space="0" w:color="auto"/>
      </w:divBdr>
      <w:divsChild>
        <w:div w:id="66807629">
          <w:marLeft w:val="0"/>
          <w:marRight w:val="0"/>
          <w:marTop w:val="0"/>
          <w:marBottom w:val="0"/>
          <w:divBdr>
            <w:top w:val="none" w:sz="0" w:space="0" w:color="auto"/>
            <w:left w:val="none" w:sz="0" w:space="0" w:color="auto"/>
            <w:bottom w:val="none" w:sz="0" w:space="0" w:color="auto"/>
            <w:right w:val="none" w:sz="0" w:space="0" w:color="auto"/>
          </w:divBdr>
          <w:divsChild>
            <w:div w:id="691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3552">
      <w:bodyDiv w:val="1"/>
      <w:marLeft w:val="0"/>
      <w:marRight w:val="0"/>
      <w:marTop w:val="0"/>
      <w:marBottom w:val="0"/>
      <w:divBdr>
        <w:top w:val="none" w:sz="0" w:space="0" w:color="auto"/>
        <w:left w:val="none" w:sz="0" w:space="0" w:color="auto"/>
        <w:bottom w:val="none" w:sz="0" w:space="0" w:color="auto"/>
        <w:right w:val="none" w:sz="0" w:space="0" w:color="auto"/>
      </w:divBdr>
      <w:divsChild>
        <w:div w:id="1452241986">
          <w:marLeft w:val="0"/>
          <w:marRight w:val="0"/>
          <w:marTop w:val="0"/>
          <w:marBottom w:val="0"/>
          <w:divBdr>
            <w:top w:val="none" w:sz="0" w:space="0" w:color="auto"/>
            <w:left w:val="none" w:sz="0" w:space="0" w:color="auto"/>
            <w:bottom w:val="none" w:sz="0" w:space="0" w:color="auto"/>
            <w:right w:val="none" w:sz="0" w:space="0" w:color="auto"/>
          </w:divBdr>
          <w:divsChild>
            <w:div w:id="918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5992">
      <w:bodyDiv w:val="1"/>
      <w:marLeft w:val="0"/>
      <w:marRight w:val="0"/>
      <w:marTop w:val="0"/>
      <w:marBottom w:val="0"/>
      <w:divBdr>
        <w:top w:val="none" w:sz="0" w:space="0" w:color="auto"/>
        <w:left w:val="none" w:sz="0" w:space="0" w:color="auto"/>
        <w:bottom w:val="none" w:sz="0" w:space="0" w:color="auto"/>
        <w:right w:val="none" w:sz="0" w:space="0" w:color="auto"/>
      </w:divBdr>
    </w:div>
    <w:div w:id="949557112">
      <w:bodyDiv w:val="1"/>
      <w:marLeft w:val="0"/>
      <w:marRight w:val="0"/>
      <w:marTop w:val="0"/>
      <w:marBottom w:val="0"/>
      <w:divBdr>
        <w:top w:val="none" w:sz="0" w:space="0" w:color="auto"/>
        <w:left w:val="none" w:sz="0" w:space="0" w:color="auto"/>
        <w:bottom w:val="none" w:sz="0" w:space="0" w:color="auto"/>
        <w:right w:val="none" w:sz="0" w:space="0" w:color="auto"/>
      </w:divBdr>
    </w:div>
    <w:div w:id="976959690">
      <w:bodyDiv w:val="1"/>
      <w:marLeft w:val="0"/>
      <w:marRight w:val="0"/>
      <w:marTop w:val="0"/>
      <w:marBottom w:val="0"/>
      <w:divBdr>
        <w:top w:val="none" w:sz="0" w:space="0" w:color="auto"/>
        <w:left w:val="none" w:sz="0" w:space="0" w:color="auto"/>
        <w:bottom w:val="none" w:sz="0" w:space="0" w:color="auto"/>
        <w:right w:val="none" w:sz="0" w:space="0" w:color="auto"/>
      </w:divBdr>
      <w:divsChild>
        <w:div w:id="1840192298">
          <w:marLeft w:val="0"/>
          <w:marRight w:val="0"/>
          <w:marTop w:val="0"/>
          <w:marBottom w:val="0"/>
          <w:divBdr>
            <w:top w:val="none" w:sz="0" w:space="0" w:color="auto"/>
            <w:left w:val="none" w:sz="0" w:space="0" w:color="auto"/>
            <w:bottom w:val="none" w:sz="0" w:space="0" w:color="auto"/>
            <w:right w:val="none" w:sz="0" w:space="0" w:color="auto"/>
          </w:divBdr>
          <w:divsChild>
            <w:div w:id="1738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5238">
      <w:bodyDiv w:val="1"/>
      <w:marLeft w:val="0"/>
      <w:marRight w:val="0"/>
      <w:marTop w:val="0"/>
      <w:marBottom w:val="0"/>
      <w:divBdr>
        <w:top w:val="none" w:sz="0" w:space="0" w:color="auto"/>
        <w:left w:val="none" w:sz="0" w:space="0" w:color="auto"/>
        <w:bottom w:val="none" w:sz="0" w:space="0" w:color="auto"/>
        <w:right w:val="none" w:sz="0" w:space="0" w:color="auto"/>
      </w:divBdr>
      <w:divsChild>
        <w:div w:id="1010066394">
          <w:marLeft w:val="0"/>
          <w:marRight w:val="0"/>
          <w:marTop w:val="0"/>
          <w:marBottom w:val="0"/>
          <w:divBdr>
            <w:top w:val="none" w:sz="0" w:space="0" w:color="auto"/>
            <w:left w:val="none" w:sz="0" w:space="0" w:color="auto"/>
            <w:bottom w:val="none" w:sz="0" w:space="0" w:color="auto"/>
            <w:right w:val="none" w:sz="0" w:space="0" w:color="auto"/>
          </w:divBdr>
          <w:divsChild>
            <w:div w:id="5705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5350">
      <w:bodyDiv w:val="1"/>
      <w:marLeft w:val="0"/>
      <w:marRight w:val="0"/>
      <w:marTop w:val="0"/>
      <w:marBottom w:val="0"/>
      <w:divBdr>
        <w:top w:val="none" w:sz="0" w:space="0" w:color="auto"/>
        <w:left w:val="none" w:sz="0" w:space="0" w:color="auto"/>
        <w:bottom w:val="none" w:sz="0" w:space="0" w:color="auto"/>
        <w:right w:val="none" w:sz="0" w:space="0" w:color="auto"/>
      </w:divBdr>
      <w:divsChild>
        <w:div w:id="877812700">
          <w:marLeft w:val="0"/>
          <w:marRight w:val="0"/>
          <w:marTop w:val="0"/>
          <w:marBottom w:val="0"/>
          <w:divBdr>
            <w:top w:val="none" w:sz="0" w:space="0" w:color="auto"/>
            <w:left w:val="none" w:sz="0" w:space="0" w:color="auto"/>
            <w:bottom w:val="none" w:sz="0" w:space="0" w:color="auto"/>
            <w:right w:val="none" w:sz="0" w:space="0" w:color="auto"/>
          </w:divBdr>
          <w:divsChild>
            <w:div w:id="782067243">
              <w:marLeft w:val="0"/>
              <w:marRight w:val="0"/>
              <w:marTop w:val="0"/>
              <w:marBottom w:val="0"/>
              <w:divBdr>
                <w:top w:val="none" w:sz="0" w:space="0" w:color="auto"/>
                <w:left w:val="none" w:sz="0" w:space="0" w:color="auto"/>
                <w:bottom w:val="none" w:sz="0" w:space="0" w:color="auto"/>
                <w:right w:val="none" w:sz="0" w:space="0" w:color="auto"/>
              </w:divBdr>
            </w:div>
          </w:divsChild>
        </w:div>
        <w:div w:id="1800411384">
          <w:marLeft w:val="0"/>
          <w:marRight w:val="0"/>
          <w:marTop w:val="0"/>
          <w:marBottom w:val="0"/>
          <w:divBdr>
            <w:top w:val="none" w:sz="0" w:space="0" w:color="auto"/>
            <w:left w:val="none" w:sz="0" w:space="0" w:color="auto"/>
            <w:bottom w:val="none" w:sz="0" w:space="0" w:color="auto"/>
            <w:right w:val="none" w:sz="0" w:space="0" w:color="auto"/>
          </w:divBdr>
          <w:divsChild>
            <w:div w:id="6675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2308">
      <w:bodyDiv w:val="1"/>
      <w:marLeft w:val="0"/>
      <w:marRight w:val="0"/>
      <w:marTop w:val="0"/>
      <w:marBottom w:val="0"/>
      <w:divBdr>
        <w:top w:val="none" w:sz="0" w:space="0" w:color="auto"/>
        <w:left w:val="none" w:sz="0" w:space="0" w:color="auto"/>
        <w:bottom w:val="none" w:sz="0" w:space="0" w:color="auto"/>
        <w:right w:val="none" w:sz="0" w:space="0" w:color="auto"/>
      </w:divBdr>
      <w:divsChild>
        <w:div w:id="889879056">
          <w:marLeft w:val="0"/>
          <w:marRight w:val="0"/>
          <w:marTop w:val="0"/>
          <w:marBottom w:val="0"/>
          <w:divBdr>
            <w:top w:val="none" w:sz="0" w:space="0" w:color="auto"/>
            <w:left w:val="none" w:sz="0" w:space="0" w:color="auto"/>
            <w:bottom w:val="none" w:sz="0" w:space="0" w:color="auto"/>
            <w:right w:val="none" w:sz="0" w:space="0" w:color="auto"/>
          </w:divBdr>
          <w:divsChild>
            <w:div w:id="765536107">
              <w:marLeft w:val="0"/>
              <w:marRight w:val="0"/>
              <w:marTop w:val="0"/>
              <w:marBottom w:val="0"/>
              <w:divBdr>
                <w:top w:val="none" w:sz="0" w:space="0" w:color="auto"/>
                <w:left w:val="none" w:sz="0" w:space="0" w:color="auto"/>
                <w:bottom w:val="none" w:sz="0" w:space="0" w:color="auto"/>
                <w:right w:val="none" w:sz="0" w:space="0" w:color="auto"/>
              </w:divBdr>
            </w:div>
          </w:divsChild>
        </w:div>
        <w:div w:id="1572229261">
          <w:marLeft w:val="0"/>
          <w:marRight w:val="0"/>
          <w:marTop w:val="0"/>
          <w:marBottom w:val="0"/>
          <w:divBdr>
            <w:top w:val="none" w:sz="0" w:space="0" w:color="auto"/>
            <w:left w:val="none" w:sz="0" w:space="0" w:color="auto"/>
            <w:bottom w:val="none" w:sz="0" w:space="0" w:color="auto"/>
            <w:right w:val="none" w:sz="0" w:space="0" w:color="auto"/>
          </w:divBdr>
          <w:divsChild>
            <w:div w:id="16012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737">
      <w:bodyDiv w:val="1"/>
      <w:marLeft w:val="0"/>
      <w:marRight w:val="0"/>
      <w:marTop w:val="0"/>
      <w:marBottom w:val="0"/>
      <w:divBdr>
        <w:top w:val="none" w:sz="0" w:space="0" w:color="auto"/>
        <w:left w:val="none" w:sz="0" w:space="0" w:color="auto"/>
        <w:bottom w:val="none" w:sz="0" w:space="0" w:color="auto"/>
        <w:right w:val="none" w:sz="0" w:space="0" w:color="auto"/>
      </w:divBdr>
      <w:divsChild>
        <w:div w:id="1662469120">
          <w:marLeft w:val="0"/>
          <w:marRight w:val="0"/>
          <w:marTop w:val="0"/>
          <w:marBottom w:val="0"/>
          <w:divBdr>
            <w:top w:val="none" w:sz="0" w:space="0" w:color="auto"/>
            <w:left w:val="none" w:sz="0" w:space="0" w:color="auto"/>
            <w:bottom w:val="none" w:sz="0" w:space="0" w:color="auto"/>
            <w:right w:val="none" w:sz="0" w:space="0" w:color="auto"/>
          </w:divBdr>
          <w:divsChild>
            <w:div w:id="3421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4696">
      <w:bodyDiv w:val="1"/>
      <w:marLeft w:val="0"/>
      <w:marRight w:val="0"/>
      <w:marTop w:val="0"/>
      <w:marBottom w:val="0"/>
      <w:divBdr>
        <w:top w:val="none" w:sz="0" w:space="0" w:color="auto"/>
        <w:left w:val="none" w:sz="0" w:space="0" w:color="auto"/>
        <w:bottom w:val="none" w:sz="0" w:space="0" w:color="auto"/>
        <w:right w:val="none" w:sz="0" w:space="0" w:color="auto"/>
      </w:divBdr>
    </w:div>
    <w:div w:id="1293175298">
      <w:bodyDiv w:val="1"/>
      <w:marLeft w:val="0"/>
      <w:marRight w:val="0"/>
      <w:marTop w:val="0"/>
      <w:marBottom w:val="0"/>
      <w:divBdr>
        <w:top w:val="none" w:sz="0" w:space="0" w:color="auto"/>
        <w:left w:val="none" w:sz="0" w:space="0" w:color="auto"/>
        <w:bottom w:val="none" w:sz="0" w:space="0" w:color="auto"/>
        <w:right w:val="none" w:sz="0" w:space="0" w:color="auto"/>
      </w:divBdr>
      <w:divsChild>
        <w:div w:id="1285500076">
          <w:marLeft w:val="0"/>
          <w:marRight w:val="0"/>
          <w:marTop w:val="0"/>
          <w:marBottom w:val="0"/>
          <w:divBdr>
            <w:top w:val="none" w:sz="0" w:space="0" w:color="auto"/>
            <w:left w:val="none" w:sz="0" w:space="0" w:color="auto"/>
            <w:bottom w:val="none" w:sz="0" w:space="0" w:color="auto"/>
            <w:right w:val="none" w:sz="0" w:space="0" w:color="auto"/>
          </w:divBdr>
          <w:divsChild>
            <w:div w:id="359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965">
      <w:bodyDiv w:val="1"/>
      <w:marLeft w:val="0"/>
      <w:marRight w:val="0"/>
      <w:marTop w:val="0"/>
      <w:marBottom w:val="0"/>
      <w:divBdr>
        <w:top w:val="none" w:sz="0" w:space="0" w:color="auto"/>
        <w:left w:val="none" w:sz="0" w:space="0" w:color="auto"/>
        <w:bottom w:val="none" w:sz="0" w:space="0" w:color="auto"/>
        <w:right w:val="none" w:sz="0" w:space="0" w:color="auto"/>
      </w:divBdr>
    </w:div>
    <w:div w:id="1306202529">
      <w:bodyDiv w:val="1"/>
      <w:marLeft w:val="0"/>
      <w:marRight w:val="0"/>
      <w:marTop w:val="0"/>
      <w:marBottom w:val="0"/>
      <w:divBdr>
        <w:top w:val="none" w:sz="0" w:space="0" w:color="auto"/>
        <w:left w:val="none" w:sz="0" w:space="0" w:color="auto"/>
        <w:bottom w:val="none" w:sz="0" w:space="0" w:color="auto"/>
        <w:right w:val="none" w:sz="0" w:space="0" w:color="auto"/>
      </w:divBdr>
      <w:divsChild>
        <w:div w:id="918444981">
          <w:marLeft w:val="0"/>
          <w:marRight w:val="0"/>
          <w:marTop w:val="0"/>
          <w:marBottom w:val="0"/>
          <w:divBdr>
            <w:top w:val="none" w:sz="0" w:space="0" w:color="auto"/>
            <w:left w:val="none" w:sz="0" w:space="0" w:color="auto"/>
            <w:bottom w:val="none" w:sz="0" w:space="0" w:color="auto"/>
            <w:right w:val="none" w:sz="0" w:space="0" w:color="auto"/>
          </w:divBdr>
          <w:divsChild>
            <w:div w:id="19471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5285">
      <w:bodyDiv w:val="1"/>
      <w:marLeft w:val="0"/>
      <w:marRight w:val="0"/>
      <w:marTop w:val="0"/>
      <w:marBottom w:val="0"/>
      <w:divBdr>
        <w:top w:val="none" w:sz="0" w:space="0" w:color="auto"/>
        <w:left w:val="none" w:sz="0" w:space="0" w:color="auto"/>
        <w:bottom w:val="none" w:sz="0" w:space="0" w:color="auto"/>
        <w:right w:val="none" w:sz="0" w:space="0" w:color="auto"/>
      </w:divBdr>
    </w:div>
    <w:div w:id="1420443159">
      <w:bodyDiv w:val="1"/>
      <w:marLeft w:val="0"/>
      <w:marRight w:val="0"/>
      <w:marTop w:val="0"/>
      <w:marBottom w:val="0"/>
      <w:divBdr>
        <w:top w:val="none" w:sz="0" w:space="0" w:color="auto"/>
        <w:left w:val="none" w:sz="0" w:space="0" w:color="auto"/>
        <w:bottom w:val="none" w:sz="0" w:space="0" w:color="auto"/>
        <w:right w:val="none" w:sz="0" w:space="0" w:color="auto"/>
      </w:divBdr>
      <w:divsChild>
        <w:div w:id="739136542">
          <w:marLeft w:val="0"/>
          <w:marRight w:val="0"/>
          <w:marTop w:val="0"/>
          <w:marBottom w:val="0"/>
          <w:divBdr>
            <w:top w:val="none" w:sz="0" w:space="0" w:color="auto"/>
            <w:left w:val="none" w:sz="0" w:space="0" w:color="auto"/>
            <w:bottom w:val="none" w:sz="0" w:space="0" w:color="auto"/>
            <w:right w:val="none" w:sz="0" w:space="0" w:color="auto"/>
          </w:divBdr>
          <w:divsChild>
            <w:div w:id="487552963">
              <w:marLeft w:val="0"/>
              <w:marRight w:val="0"/>
              <w:marTop w:val="0"/>
              <w:marBottom w:val="0"/>
              <w:divBdr>
                <w:top w:val="none" w:sz="0" w:space="0" w:color="auto"/>
                <w:left w:val="none" w:sz="0" w:space="0" w:color="auto"/>
                <w:bottom w:val="none" w:sz="0" w:space="0" w:color="auto"/>
                <w:right w:val="none" w:sz="0" w:space="0" w:color="auto"/>
              </w:divBdr>
            </w:div>
          </w:divsChild>
        </w:div>
        <w:div w:id="1611812954">
          <w:marLeft w:val="0"/>
          <w:marRight w:val="0"/>
          <w:marTop w:val="0"/>
          <w:marBottom w:val="0"/>
          <w:divBdr>
            <w:top w:val="none" w:sz="0" w:space="0" w:color="auto"/>
            <w:left w:val="none" w:sz="0" w:space="0" w:color="auto"/>
            <w:bottom w:val="none" w:sz="0" w:space="0" w:color="auto"/>
            <w:right w:val="none" w:sz="0" w:space="0" w:color="auto"/>
          </w:divBdr>
          <w:divsChild>
            <w:div w:id="19633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3030">
      <w:bodyDiv w:val="1"/>
      <w:marLeft w:val="0"/>
      <w:marRight w:val="0"/>
      <w:marTop w:val="0"/>
      <w:marBottom w:val="0"/>
      <w:divBdr>
        <w:top w:val="none" w:sz="0" w:space="0" w:color="auto"/>
        <w:left w:val="none" w:sz="0" w:space="0" w:color="auto"/>
        <w:bottom w:val="none" w:sz="0" w:space="0" w:color="auto"/>
        <w:right w:val="none" w:sz="0" w:space="0" w:color="auto"/>
      </w:divBdr>
      <w:divsChild>
        <w:div w:id="1477334761">
          <w:marLeft w:val="0"/>
          <w:marRight w:val="0"/>
          <w:marTop w:val="0"/>
          <w:marBottom w:val="0"/>
          <w:divBdr>
            <w:top w:val="none" w:sz="0" w:space="0" w:color="auto"/>
            <w:left w:val="none" w:sz="0" w:space="0" w:color="auto"/>
            <w:bottom w:val="none" w:sz="0" w:space="0" w:color="auto"/>
            <w:right w:val="none" w:sz="0" w:space="0" w:color="auto"/>
          </w:divBdr>
          <w:divsChild>
            <w:div w:id="873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6250">
      <w:bodyDiv w:val="1"/>
      <w:marLeft w:val="0"/>
      <w:marRight w:val="0"/>
      <w:marTop w:val="0"/>
      <w:marBottom w:val="0"/>
      <w:divBdr>
        <w:top w:val="none" w:sz="0" w:space="0" w:color="auto"/>
        <w:left w:val="none" w:sz="0" w:space="0" w:color="auto"/>
        <w:bottom w:val="none" w:sz="0" w:space="0" w:color="auto"/>
        <w:right w:val="none" w:sz="0" w:space="0" w:color="auto"/>
      </w:divBdr>
    </w:div>
    <w:div w:id="1516072326">
      <w:bodyDiv w:val="1"/>
      <w:marLeft w:val="0"/>
      <w:marRight w:val="0"/>
      <w:marTop w:val="0"/>
      <w:marBottom w:val="0"/>
      <w:divBdr>
        <w:top w:val="none" w:sz="0" w:space="0" w:color="auto"/>
        <w:left w:val="none" w:sz="0" w:space="0" w:color="auto"/>
        <w:bottom w:val="none" w:sz="0" w:space="0" w:color="auto"/>
        <w:right w:val="none" w:sz="0" w:space="0" w:color="auto"/>
      </w:divBdr>
      <w:divsChild>
        <w:div w:id="950629256">
          <w:marLeft w:val="0"/>
          <w:marRight w:val="0"/>
          <w:marTop w:val="0"/>
          <w:marBottom w:val="0"/>
          <w:divBdr>
            <w:top w:val="none" w:sz="0" w:space="0" w:color="auto"/>
            <w:left w:val="none" w:sz="0" w:space="0" w:color="auto"/>
            <w:bottom w:val="none" w:sz="0" w:space="0" w:color="auto"/>
            <w:right w:val="none" w:sz="0" w:space="0" w:color="auto"/>
          </w:divBdr>
          <w:divsChild>
            <w:div w:id="1418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379">
      <w:bodyDiv w:val="1"/>
      <w:marLeft w:val="0"/>
      <w:marRight w:val="0"/>
      <w:marTop w:val="0"/>
      <w:marBottom w:val="0"/>
      <w:divBdr>
        <w:top w:val="none" w:sz="0" w:space="0" w:color="auto"/>
        <w:left w:val="none" w:sz="0" w:space="0" w:color="auto"/>
        <w:bottom w:val="none" w:sz="0" w:space="0" w:color="auto"/>
        <w:right w:val="none" w:sz="0" w:space="0" w:color="auto"/>
      </w:divBdr>
      <w:divsChild>
        <w:div w:id="746221101">
          <w:marLeft w:val="0"/>
          <w:marRight w:val="0"/>
          <w:marTop w:val="0"/>
          <w:marBottom w:val="0"/>
          <w:divBdr>
            <w:top w:val="none" w:sz="0" w:space="0" w:color="auto"/>
            <w:left w:val="none" w:sz="0" w:space="0" w:color="auto"/>
            <w:bottom w:val="none" w:sz="0" w:space="0" w:color="auto"/>
            <w:right w:val="none" w:sz="0" w:space="0" w:color="auto"/>
          </w:divBdr>
          <w:divsChild>
            <w:div w:id="10288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2925">
      <w:bodyDiv w:val="1"/>
      <w:marLeft w:val="0"/>
      <w:marRight w:val="0"/>
      <w:marTop w:val="0"/>
      <w:marBottom w:val="0"/>
      <w:divBdr>
        <w:top w:val="none" w:sz="0" w:space="0" w:color="auto"/>
        <w:left w:val="none" w:sz="0" w:space="0" w:color="auto"/>
        <w:bottom w:val="none" w:sz="0" w:space="0" w:color="auto"/>
        <w:right w:val="none" w:sz="0" w:space="0" w:color="auto"/>
      </w:divBdr>
      <w:divsChild>
        <w:div w:id="1967151339">
          <w:marLeft w:val="0"/>
          <w:marRight w:val="0"/>
          <w:marTop w:val="0"/>
          <w:marBottom w:val="0"/>
          <w:divBdr>
            <w:top w:val="none" w:sz="0" w:space="0" w:color="auto"/>
            <w:left w:val="none" w:sz="0" w:space="0" w:color="auto"/>
            <w:bottom w:val="none" w:sz="0" w:space="0" w:color="auto"/>
            <w:right w:val="none" w:sz="0" w:space="0" w:color="auto"/>
          </w:divBdr>
          <w:divsChild>
            <w:div w:id="13888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4563">
      <w:bodyDiv w:val="1"/>
      <w:marLeft w:val="0"/>
      <w:marRight w:val="0"/>
      <w:marTop w:val="0"/>
      <w:marBottom w:val="0"/>
      <w:divBdr>
        <w:top w:val="none" w:sz="0" w:space="0" w:color="auto"/>
        <w:left w:val="none" w:sz="0" w:space="0" w:color="auto"/>
        <w:bottom w:val="none" w:sz="0" w:space="0" w:color="auto"/>
        <w:right w:val="none" w:sz="0" w:space="0" w:color="auto"/>
      </w:divBdr>
    </w:div>
    <w:div w:id="1662201291">
      <w:bodyDiv w:val="1"/>
      <w:marLeft w:val="0"/>
      <w:marRight w:val="0"/>
      <w:marTop w:val="0"/>
      <w:marBottom w:val="0"/>
      <w:divBdr>
        <w:top w:val="none" w:sz="0" w:space="0" w:color="auto"/>
        <w:left w:val="none" w:sz="0" w:space="0" w:color="auto"/>
        <w:bottom w:val="none" w:sz="0" w:space="0" w:color="auto"/>
        <w:right w:val="none" w:sz="0" w:space="0" w:color="auto"/>
      </w:divBdr>
    </w:div>
    <w:div w:id="1676953281">
      <w:bodyDiv w:val="1"/>
      <w:marLeft w:val="0"/>
      <w:marRight w:val="0"/>
      <w:marTop w:val="0"/>
      <w:marBottom w:val="0"/>
      <w:divBdr>
        <w:top w:val="none" w:sz="0" w:space="0" w:color="auto"/>
        <w:left w:val="none" w:sz="0" w:space="0" w:color="auto"/>
        <w:bottom w:val="none" w:sz="0" w:space="0" w:color="auto"/>
        <w:right w:val="none" w:sz="0" w:space="0" w:color="auto"/>
      </w:divBdr>
    </w:div>
    <w:div w:id="1678265252">
      <w:bodyDiv w:val="1"/>
      <w:marLeft w:val="0"/>
      <w:marRight w:val="0"/>
      <w:marTop w:val="0"/>
      <w:marBottom w:val="0"/>
      <w:divBdr>
        <w:top w:val="none" w:sz="0" w:space="0" w:color="auto"/>
        <w:left w:val="none" w:sz="0" w:space="0" w:color="auto"/>
        <w:bottom w:val="none" w:sz="0" w:space="0" w:color="auto"/>
        <w:right w:val="none" w:sz="0" w:space="0" w:color="auto"/>
      </w:divBdr>
    </w:div>
    <w:div w:id="1743067437">
      <w:bodyDiv w:val="1"/>
      <w:marLeft w:val="0"/>
      <w:marRight w:val="0"/>
      <w:marTop w:val="0"/>
      <w:marBottom w:val="0"/>
      <w:divBdr>
        <w:top w:val="none" w:sz="0" w:space="0" w:color="auto"/>
        <w:left w:val="none" w:sz="0" w:space="0" w:color="auto"/>
        <w:bottom w:val="none" w:sz="0" w:space="0" w:color="auto"/>
        <w:right w:val="none" w:sz="0" w:space="0" w:color="auto"/>
      </w:divBdr>
    </w:div>
    <w:div w:id="1796097601">
      <w:bodyDiv w:val="1"/>
      <w:marLeft w:val="0"/>
      <w:marRight w:val="0"/>
      <w:marTop w:val="0"/>
      <w:marBottom w:val="0"/>
      <w:divBdr>
        <w:top w:val="none" w:sz="0" w:space="0" w:color="auto"/>
        <w:left w:val="none" w:sz="0" w:space="0" w:color="auto"/>
        <w:bottom w:val="none" w:sz="0" w:space="0" w:color="auto"/>
        <w:right w:val="none" w:sz="0" w:space="0" w:color="auto"/>
      </w:divBdr>
    </w:div>
    <w:div w:id="1923945615">
      <w:bodyDiv w:val="1"/>
      <w:marLeft w:val="0"/>
      <w:marRight w:val="0"/>
      <w:marTop w:val="0"/>
      <w:marBottom w:val="0"/>
      <w:divBdr>
        <w:top w:val="none" w:sz="0" w:space="0" w:color="auto"/>
        <w:left w:val="none" w:sz="0" w:space="0" w:color="auto"/>
        <w:bottom w:val="none" w:sz="0" w:space="0" w:color="auto"/>
        <w:right w:val="none" w:sz="0" w:space="0" w:color="auto"/>
      </w:divBdr>
      <w:divsChild>
        <w:div w:id="1875533523">
          <w:marLeft w:val="0"/>
          <w:marRight w:val="0"/>
          <w:marTop w:val="0"/>
          <w:marBottom w:val="0"/>
          <w:divBdr>
            <w:top w:val="none" w:sz="0" w:space="0" w:color="auto"/>
            <w:left w:val="none" w:sz="0" w:space="0" w:color="auto"/>
            <w:bottom w:val="none" w:sz="0" w:space="0" w:color="auto"/>
            <w:right w:val="none" w:sz="0" w:space="0" w:color="auto"/>
          </w:divBdr>
          <w:divsChild>
            <w:div w:id="1656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5794">
      <w:bodyDiv w:val="1"/>
      <w:marLeft w:val="0"/>
      <w:marRight w:val="0"/>
      <w:marTop w:val="0"/>
      <w:marBottom w:val="0"/>
      <w:divBdr>
        <w:top w:val="none" w:sz="0" w:space="0" w:color="auto"/>
        <w:left w:val="none" w:sz="0" w:space="0" w:color="auto"/>
        <w:bottom w:val="none" w:sz="0" w:space="0" w:color="auto"/>
        <w:right w:val="none" w:sz="0" w:space="0" w:color="auto"/>
      </w:divBdr>
      <w:divsChild>
        <w:div w:id="843670311">
          <w:marLeft w:val="0"/>
          <w:marRight w:val="0"/>
          <w:marTop w:val="0"/>
          <w:marBottom w:val="0"/>
          <w:divBdr>
            <w:top w:val="none" w:sz="0" w:space="0" w:color="auto"/>
            <w:left w:val="none" w:sz="0" w:space="0" w:color="auto"/>
            <w:bottom w:val="none" w:sz="0" w:space="0" w:color="auto"/>
            <w:right w:val="none" w:sz="0" w:space="0" w:color="auto"/>
          </w:divBdr>
          <w:divsChild>
            <w:div w:id="15882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0272">
      <w:bodyDiv w:val="1"/>
      <w:marLeft w:val="0"/>
      <w:marRight w:val="0"/>
      <w:marTop w:val="0"/>
      <w:marBottom w:val="0"/>
      <w:divBdr>
        <w:top w:val="none" w:sz="0" w:space="0" w:color="auto"/>
        <w:left w:val="none" w:sz="0" w:space="0" w:color="auto"/>
        <w:bottom w:val="none" w:sz="0" w:space="0" w:color="auto"/>
        <w:right w:val="none" w:sz="0" w:space="0" w:color="auto"/>
      </w:divBdr>
      <w:divsChild>
        <w:div w:id="990863140">
          <w:marLeft w:val="0"/>
          <w:marRight w:val="0"/>
          <w:marTop w:val="0"/>
          <w:marBottom w:val="0"/>
          <w:divBdr>
            <w:top w:val="none" w:sz="0" w:space="0" w:color="auto"/>
            <w:left w:val="none" w:sz="0" w:space="0" w:color="auto"/>
            <w:bottom w:val="none" w:sz="0" w:space="0" w:color="auto"/>
            <w:right w:val="none" w:sz="0" w:space="0" w:color="auto"/>
          </w:divBdr>
          <w:divsChild>
            <w:div w:id="1741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8457">
      <w:bodyDiv w:val="1"/>
      <w:marLeft w:val="0"/>
      <w:marRight w:val="0"/>
      <w:marTop w:val="0"/>
      <w:marBottom w:val="0"/>
      <w:divBdr>
        <w:top w:val="none" w:sz="0" w:space="0" w:color="auto"/>
        <w:left w:val="none" w:sz="0" w:space="0" w:color="auto"/>
        <w:bottom w:val="none" w:sz="0" w:space="0" w:color="auto"/>
        <w:right w:val="none" w:sz="0" w:space="0" w:color="auto"/>
      </w:divBdr>
      <w:divsChild>
        <w:div w:id="1551259320">
          <w:marLeft w:val="0"/>
          <w:marRight w:val="0"/>
          <w:marTop w:val="0"/>
          <w:marBottom w:val="0"/>
          <w:divBdr>
            <w:top w:val="none" w:sz="0" w:space="0" w:color="auto"/>
            <w:left w:val="none" w:sz="0" w:space="0" w:color="auto"/>
            <w:bottom w:val="none" w:sz="0" w:space="0" w:color="auto"/>
            <w:right w:val="none" w:sz="0" w:space="0" w:color="auto"/>
          </w:divBdr>
          <w:divsChild>
            <w:div w:id="224531630">
              <w:marLeft w:val="0"/>
              <w:marRight w:val="0"/>
              <w:marTop w:val="0"/>
              <w:marBottom w:val="0"/>
              <w:divBdr>
                <w:top w:val="none" w:sz="0" w:space="0" w:color="auto"/>
                <w:left w:val="none" w:sz="0" w:space="0" w:color="auto"/>
                <w:bottom w:val="none" w:sz="0" w:space="0" w:color="auto"/>
                <w:right w:val="none" w:sz="0" w:space="0" w:color="auto"/>
              </w:divBdr>
              <w:divsChild>
                <w:div w:id="1457986636">
                  <w:marLeft w:val="0"/>
                  <w:marRight w:val="0"/>
                  <w:marTop w:val="0"/>
                  <w:marBottom w:val="0"/>
                  <w:divBdr>
                    <w:top w:val="none" w:sz="0" w:space="0" w:color="auto"/>
                    <w:left w:val="none" w:sz="0" w:space="0" w:color="auto"/>
                    <w:bottom w:val="none" w:sz="0" w:space="0" w:color="auto"/>
                    <w:right w:val="none" w:sz="0" w:space="0" w:color="auto"/>
                  </w:divBdr>
                  <w:divsChild>
                    <w:div w:id="1692411385">
                      <w:marLeft w:val="0"/>
                      <w:marRight w:val="0"/>
                      <w:marTop w:val="0"/>
                      <w:marBottom w:val="0"/>
                      <w:divBdr>
                        <w:top w:val="none" w:sz="0" w:space="0" w:color="auto"/>
                        <w:left w:val="none" w:sz="0" w:space="0" w:color="auto"/>
                        <w:bottom w:val="none" w:sz="0" w:space="0" w:color="auto"/>
                        <w:right w:val="none" w:sz="0" w:space="0" w:color="auto"/>
                      </w:divBdr>
                      <w:divsChild>
                        <w:div w:id="859201465">
                          <w:marLeft w:val="0"/>
                          <w:marRight w:val="0"/>
                          <w:marTop w:val="0"/>
                          <w:marBottom w:val="0"/>
                          <w:divBdr>
                            <w:top w:val="none" w:sz="0" w:space="0" w:color="auto"/>
                            <w:left w:val="none" w:sz="0" w:space="0" w:color="auto"/>
                            <w:bottom w:val="none" w:sz="0" w:space="0" w:color="auto"/>
                            <w:right w:val="none" w:sz="0" w:space="0" w:color="auto"/>
                          </w:divBdr>
                          <w:divsChild>
                            <w:div w:id="513030162">
                              <w:marLeft w:val="0"/>
                              <w:marRight w:val="0"/>
                              <w:marTop w:val="0"/>
                              <w:marBottom w:val="0"/>
                              <w:divBdr>
                                <w:top w:val="none" w:sz="0" w:space="0" w:color="auto"/>
                                <w:left w:val="none" w:sz="0" w:space="0" w:color="auto"/>
                                <w:bottom w:val="none" w:sz="0" w:space="0" w:color="auto"/>
                                <w:right w:val="none" w:sz="0" w:space="0" w:color="auto"/>
                              </w:divBdr>
                              <w:divsChild>
                                <w:div w:id="69818478">
                                  <w:marLeft w:val="0"/>
                                  <w:marRight w:val="0"/>
                                  <w:marTop w:val="0"/>
                                  <w:marBottom w:val="0"/>
                                  <w:divBdr>
                                    <w:top w:val="none" w:sz="0" w:space="0" w:color="auto"/>
                                    <w:left w:val="none" w:sz="0" w:space="0" w:color="auto"/>
                                    <w:bottom w:val="none" w:sz="0" w:space="0" w:color="auto"/>
                                    <w:right w:val="none" w:sz="0" w:space="0" w:color="auto"/>
                                  </w:divBdr>
                                  <w:divsChild>
                                    <w:div w:id="174904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0095">
          <w:marLeft w:val="0"/>
          <w:marRight w:val="0"/>
          <w:marTop w:val="0"/>
          <w:marBottom w:val="0"/>
          <w:divBdr>
            <w:top w:val="none" w:sz="0" w:space="0" w:color="auto"/>
            <w:left w:val="none" w:sz="0" w:space="0" w:color="auto"/>
            <w:bottom w:val="none" w:sz="0" w:space="0" w:color="auto"/>
            <w:right w:val="none" w:sz="0" w:space="0" w:color="auto"/>
          </w:divBdr>
          <w:divsChild>
            <w:div w:id="1031030495">
              <w:marLeft w:val="0"/>
              <w:marRight w:val="0"/>
              <w:marTop w:val="0"/>
              <w:marBottom w:val="0"/>
              <w:divBdr>
                <w:top w:val="none" w:sz="0" w:space="0" w:color="auto"/>
                <w:left w:val="none" w:sz="0" w:space="0" w:color="auto"/>
                <w:bottom w:val="none" w:sz="0" w:space="0" w:color="auto"/>
                <w:right w:val="none" w:sz="0" w:space="0" w:color="auto"/>
              </w:divBdr>
              <w:divsChild>
                <w:div w:id="1516075525">
                  <w:marLeft w:val="0"/>
                  <w:marRight w:val="0"/>
                  <w:marTop w:val="0"/>
                  <w:marBottom w:val="0"/>
                  <w:divBdr>
                    <w:top w:val="none" w:sz="0" w:space="0" w:color="auto"/>
                    <w:left w:val="none" w:sz="0" w:space="0" w:color="auto"/>
                    <w:bottom w:val="none" w:sz="0" w:space="0" w:color="auto"/>
                    <w:right w:val="none" w:sz="0" w:space="0" w:color="auto"/>
                  </w:divBdr>
                  <w:divsChild>
                    <w:div w:id="2054649710">
                      <w:marLeft w:val="0"/>
                      <w:marRight w:val="0"/>
                      <w:marTop w:val="0"/>
                      <w:marBottom w:val="0"/>
                      <w:divBdr>
                        <w:top w:val="none" w:sz="0" w:space="0" w:color="auto"/>
                        <w:left w:val="none" w:sz="0" w:space="0" w:color="auto"/>
                        <w:bottom w:val="none" w:sz="0" w:space="0" w:color="auto"/>
                        <w:right w:val="none" w:sz="0" w:space="0" w:color="auto"/>
                      </w:divBdr>
                      <w:divsChild>
                        <w:div w:id="743261832">
                          <w:marLeft w:val="0"/>
                          <w:marRight w:val="0"/>
                          <w:marTop w:val="0"/>
                          <w:marBottom w:val="0"/>
                          <w:divBdr>
                            <w:top w:val="none" w:sz="0" w:space="0" w:color="auto"/>
                            <w:left w:val="none" w:sz="0" w:space="0" w:color="auto"/>
                            <w:bottom w:val="none" w:sz="0" w:space="0" w:color="auto"/>
                            <w:right w:val="none" w:sz="0" w:space="0" w:color="auto"/>
                          </w:divBdr>
                          <w:divsChild>
                            <w:div w:id="1609580266">
                              <w:marLeft w:val="0"/>
                              <w:marRight w:val="0"/>
                              <w:marTop w:val="0"/>
                              <w:marBottom w:val="0"/>
                              <w:divBdr>
                                <w:top w:val="none" w:sz="0" w:space="0" w:color="auto"/>
                                <w:left w:val="none" w:sz="0" w:space="0" w:color="auto"/>
                                <w:bottom w:val="none" w:sz="0" w:space="0" w:color="auto"/>
                                <w:right w:val="none" w:sz="0" w:space="0" w:color="auto"/>
                              </w:divBdr>
                              <w:divsChild>
                                <w:div w:id="77558267">
                                  <w:marLeft w:val="0"/>
                                  <w:marRight w:val="0"/>
                                  <w:marTop w:val="0"/>
                                  <w:marBottom w:val="0"/>
                                  <w:divBdr>
                                    <w:top w:val="none" w:sz="0" w:space="0" w:color="auto"/>
                                    <w:left w:val="none" w:sz="0" w:space="0" w:color="auto"/>
                                    <w:bottom w:val="none" w:sz="0" w:space="0" w:color="auto"/>
                                    <w:right w:val="none" w:sz="0" w:space="0" w:color="auto"/>
                                  </w:divBdr>
                                  <w:divsChild>
                                    <w:div w:id="2020737828">
                                      <w:marLeft w:val="0"/>
                                      <w:marRight w:val="0"/>
                                      <w:marTop w:val="0"/>
                                      <w:marBottom w:val="0"/>
                                      <w:divBdr>
                                        <w:top w:val="none" w:sz="0" w:space="0" w:color="auto"/>
                                        <w:left w:val="none" w:sz="0" w:space="0" w:color="auto"/>
                                        <w:bottom w:val="none" w:sz="0" w:space="0" w:color="auto"/>
                                        <w:right w:val="none" w:sz="0" w:space="0" w:color="auto"/>
                                      </w:divBdr>
                                      <w:divsChild>
                                        <w:div w:id="1756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01578">
          <w:marLeft w:val="0"/>
          <w:marRight w:val="0"/>
          <w:marTop w:val="0"/>
          <w:marBottom w:val="0"/>
          <w:divBdr>
            <w:top w:val="none" w:sz="0" w:space="0" w:color="auto"/>
            <w:left w:val="none" w:sz="0" w:space="0" w:color="auto"/>
            <w:bottom w:val="none" w:sz="0" w:space="0" w:color="auto"/>
            <w:right w:val="none" w:sz="0" w:space="0" w:color="auto"/>
          </w:divBdr>
          <w:divsChild>
            <w:div w:id="1970822126">
              <w:marLeft w:val="0"/>
              <w:marRight w:val="0"/>
              <w:marTop w:val="0"/>
              <w:marBottom w:val="0"/>
              <w:divBdr>
                <w:top w:val="none" w:sz="0" w:space="0" w:color="auto"/>
                <w:left w:val="none" w:sz="0" w:space="0" w:color="auto"/>
                <w:bottom w:val="none" w:sz="0" w:space="0" w:color="auto"/>
                <w:right w:val="none" w:sz="0" w:space="0" w:color="auto"/>
              </w:divBdr>
              <w:divsChild>
                <w:div w:id="1702705532">
                  <w:marLeft w:val="0"/>
                  <w:marRight w:val="0"/>
                  <w:marTop w:val="0"/>
                  <w:marBottom w:val="0"/>
                  <w:divBdr>
                    <w:top w:val="none" w:sz="0" w:space="0" w:color="auto"/>
                    <w:left w:val="none" w:sz="0" w:space="0" w:color="auto"/>
                    <w:bottom w:val="none" w:sz="0" w:space="0" w:color="auto"/>
                    <w:right w:val="none" w:sz="0" w:space="0" w:color="auto"/>
                  </w:divBdr>
                  <w:divsChild>
                    <w:div w:id="1922136245">
                      <w:marLeft w:val="0"/>
                      <w:marRight w:val="0"/>
                      <w:marTop w:val="0"/>
                      <w:marBottom w:val="0"/>
                      <w:divBdr>
                        <w:top w:val="none" w:sz="0" w:space="0" w:color="auto"/>
                        <w:left w:val="none" w:sz="0" w:space="0" w:color="auto"/>
                        <w:bottom w:val="none" w:sz="0" w:space="0" w:color="auto"/>
                        <w:right w:val="none" w:sz="0" w:space="0" w:color="auto"/>
                      </w:divBdr>
                      <w:divsChild>
                        <w:div w:id="1753625196">
                          <w:marLeft w:val="0"/>
                          <w:marRight w:val="0"/>
                          <w:marTop w:val="0"/>
                          <w:marBottom w:val="0"/>
                          <w:divBdr>
                            <w:top w:val="none" w:sz="0" w:space="0" w:color="auto"/>
                            <w:left w:val="none" w:sz="0" w:space="0" w:color="auto"/>
                            <w:bottom w:val="none" w:sz="0" w:space="0" w:color="auto"/>
                            <w:right w:val="none" w:sz="0" w:space="0" w:color="auto"/>
                          </w:divBdr>
                          <w:divsChild>
                            <w:div w:id="1246845427">
                              <w:marLeft w:val="0"/>
                              <w:marRight w:val="0"/>
                              <w:marTop w:val="0"/>
                              <w:marBottom w:val="0"/>
                              <w:divBdr>
                                <w:top w:val="none" w:sz="0" w:space="0" w:color="auto"/>
                                <w:left w:val="none" w:sz="0" w:space="0" w:color="auto"/>
                                <w:bottom w:val="none" w:sz="0" w:space="0" w:color="auto"/>
                                <w:right w:val="none" w:sz="0" w:space="0" w:color="auto"/>
                              </w:divBdr>
                              <w:divsChild>
                                <w:div w:id="1464422467">
                                  <w:marLeft w:val="0"/>
                                  <w:marRight w:val="0"/>
                                  <w:marTop w:val="0"/>
                                  <w:marBottom w:val="0"/>
                                  <w:divBdr>
                                    <w:top w:val="none" w:sz="0" w:space="0" w:color="auto"/>
                                    <w:left w:val="none" w:sz="0" w:space="0" w:color="auto"/>
                                    <w:bottom w:val="none" w:sz="0" w:space="0" w:color="auto"/>
                                    <w:right w:val="none" w:sz="0" w:space="0" w:color="auto"/>
                                  </w:divBdr>
                                  <w:divsChild>
                                    <w:div w:id="1056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511132">
          <w:marLeft w:val="0"/>
          <w:marRight w:val="0"/>
          <w:marTop w:val="0"/>
          <w:marBottom w:val="0"/>
          <w:divBdr>
            <w:top w:val="none" w:sz="0" w:space="0" w:color="auto"/>
            <w:left w:val="none" w:sz="0" w:space="0" w:color="auto"/>
            <w:bottom w:val="none" w:sz="0" w:space="0" w:color="auto"/>
            <w:right w:val="none" w:sz="0" w:space="0" w:color="auto"/>
          </w:divBdr>
          <w:divsChild>
            <w:div w:id="705251156">
              <w:marLeft w:val="0"/>
              <w:marRight w:val="0"/>
              <w:marTop w:val="0"/>
              <w:marBottom w:val="0"/>
              <w:divBdr>
                <w:top w:val="none" w:sz="0" w:space="0" w:color="auto"/>
                <w:left w:val="none" w:sz="0" w:space="0" w:color="auto"/>
                <w:bottom w:val="none" w:sz="0" w:space="0" w:color="auto"/>
                <w:right w:val="none" w:sz="0" w:space="0" w:color="auto"/>
              </w:divBdr>
              <w:divsChild>
                <w:div w:id="564725862">
                  <w:marLeft w:val="0"/>
                  <w:marRight w:val="0"/>
                  <w:marTop w:val="0"/>
                  <w:marBottom w:val="0"/>
                  <w:divBdr>
                    <w:top w:val="none" w:sz="0" w:space="0" w:color="auto"/>
                    <w:left w:val="none" w:sz="0" w:space="0" w:color="auto"/>
                    <w:bottom w:val="none" w:sz="0" w:space="0" w:color="auto"/>
                    <w:right w:val="none" w:sz="0" w:space="0" w:color="auto"/>
                  </w:divBdr>
                  <w:divsChild>
                    <w:div w:id="1679697553">
                      <w:marLeft w:val="0"/>
                      <w:marRight w:val="0"/>
                      <w:marTop w:val="0"/>
                      <w:marBottom w:val="0"/>
                      <w:divBdr>
                        <w:top w:val="none" w:sz="0" w:space="0" w:color="auto"/>
                        <w:left w:val="none" w:sz="0" w:space="0" w:color="auto"/>
                        <w:bottom w:val="none" w:sz="0" w:space="0" w:color="auto"/>
                        <w:right w:val="none" w:sz="0" w:space="0" w:color="auto"/>
                      </w:divBdr>
                      <w:divsChild>
                        <w:div w:id="1444501446">
                          <w:marLeft w:val="0"/>
                          <w:marRight w:val="0"/>
                          <w:marTop w:val="0"/>
                          <w:marBottom w:val="0"/>
                          <w:divBdr>
                            <w:top w:val="none" w:sz="0" w:space="0" w:color="auto"/>
                            <w:left w:val="none" w:sz="0" w:space="0" w:color="auto"/>
                            <w:bottom w:val="none" w:sz="0" w:space="0" w:color="auto"/>
                            <w:right w:val="none" w:sz="0" w:space="0" w:color="auto"/>
                          </w:divBdr>
                          <w:divsChild>
                            <w:div w:id="1943679695">
                              <w:marLeft w:val="0"/>
                              <w:marRight w:val="0"/>
                              <w:marTop w:val="0"/>
                              <w:marBottom w:val="0"/>
                              <w:divBdr>
                                <w:top w:val="none" w:sz="0" w:space="0" w:color="auto"/>
                                <w:left w:val="none" w:sz="0" w:space="0" w:color="auto"/>
                                <w:bottom w:val="none" w:sz="0" w:space="0" w:color="auto"/>
                                <w:right w:val="none" w:sz="0" w:space="0" w:color="auto"/>
                              </w:divBdr>
                              <w:divsChild>
                                <w:div w:id="1450853294">
                                  <w:marLeft w:val="0"/>
                                  <w:marRight w:val="0"/>
                                  <w:marTop w:val="0"/>
                                  <w:marBottom w:val="0"/>
                                  <w:divBdr>
                                    <w:top w:val="none" w:sz="0" w:space="0" w:color="auto"/>
                                    <w:left w:val="none" w:sz="0" w:space="0" w:color="auto"/>
                                    <w:bottom w:val="none" w:sz="0" w:space="0" w:color="auto"/>
                                    <w:right w:val="none" w:sz="0" w:space="0" w:color="auto"/>
                                  </w:divBdr>
                                  <w:divsChild>
                                    <w:div w:id="6368825">
                                      <w:marLeft w:val="0"/>
                                      <w:marRight w:val="0"/>
                                      <w:marTop w:val="0"/>
                                      <w:marBottom w:val="0"/>
                                      <w:divBdr>
                                        <w:top w:val="none" w:sz="0" w:space="0" w:color="auto"/>
                                        <w:left w:val="none" w:sz="0" w:space="0" w:color="auto"/>
                                        <w:bottom w:val="none" w:sz="0" w:space="0" w:color="auto"/>
                                        <w:right w:val="none" w:sz="0" w:space="0" w:color="auto"/>
                                      </w:divBdr>
                                      <w:divsChild>
                                        <w:div w:id="8464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486153">
          <w:marLeft w:val="0"/>
          <w:marRight w:val="0"/>
          <w:marTop w:val="0"/>
          <w:marBottom w:val="0"/>
          <w:divBdr>
            <w:top w:val="none" w:sz="0" w:space="0" w:color="auto"/>
            <w:left w:val="none" w:sz="0" w:space="0" w:color="auto"/>
            <w:bottom w:val="none" w:sz="0" w:space="0" w:color="auto"/>
            <w:right w:val="none" w:sz="0" w:space="0" w:color="auto"/>
          </w:divBdr>
          <w:divsChild>
            <w:div w:id="1235822781">
              <w:marLeft w:val="0"/>
              <w:marRight w:val="0"/>
              <w:marTop w:val="0"/>
              <w:marBottom w:val="0"/>
              <w:divBdr>
                <w:top w:val="none" w:sz="0" w:space="0" w:color="auto"/>
                <w:left w:val="none" w:sz="0" w:space="0" w:color="auto"/>
                <w:bottom w:val="none" w:sz="0" w:space="0" w:color="auto"/>
                <w:right w:val="none" w:sz="0" w:space="0" w:color="auto"/>
              </w:divBdr>
              <w:divsChild>
                <w:div w:id="1868709918">
                  <w:marLeft w:val="0"/>
                  <w:marRight w:val="0"/>
                  <w:marTop w:val="0"/>
                  <w:marBottom w:val="0"/>
                  <w:divBdr>
                    <w:top w:val="none" w:sz="0" w:space="0" w:color="auto"/>
                    <w:left w:val="none" w:sz="0" w:space="0" w:color="auto"/>
                    <w:bottom w:val="none" w:sz="0" w:space="0" w:color="auto"/>
                    <w:right w:val="none" w:sz="0" w:space="0" w:color="auto"/>
                  </w:divBdr>
                  <w:divsChild>
                    <w:div w:id="1360815644">
                      <w:marLeft w:val="0"/>
                      <w:marRight w:val="0"/>
                      <w:marTop w:val="0"/>
                      <w:marBottom w:val="0"/>
                      <w:divBdr>
                        <w:top w:val="none" w:sz="0" w:space="0" w:color="auto"/>
                        <w:left w:val="none" w:sz="0" w:space="0" w:color="auto"/>
                        <w:bottom w:val="none" w:sz="0" w:space="0" w:color="auto"/>
                        <w:right w:val="none" w:sz="0" w:space="0" w:color="auto"/>
                      </w:divBdr>
                      <w:divsChild>
                        <w:div w:id="1003625266">
                          <w:marLeft w:val="0"/>
                          <w:marRight w:val="0"/>
                          <w:marTop w:val="0"/>
                          <w:marBottom w:val="0"/>
                          <w:divBdr>
                            <w:top w:val="none" w:sz="0" w:space="0" w:color="auto"/>
                            <w:left w:val="none" w:sz="0" w:space="0" w:color="auto"/>
                            <w:bottom w:val="none" w:sz="0" w:space="0" w:color="auto"/>
                            <w:right w:val="none" w:sz="0" w:space="0" w:color="auto"/>
                          </w:divBdr>
                          <w:divsChild>
                            <w:div w:id="63648646">
                              <w:marLeft w:val="0"/>
                              <w:marRight w:val="0"/>
                              <w:marTop w:val="0"/>
                              <w:marBottom w:val="0"/>
                              <w:divBdr>
                                <w:top w:val="none" w:sz="0" w:space="0" w:color="auto"/>
                                <w:left w:val="none" w:sz="0" w:space="0" w:color="auto"/>
                                <w:bottom w:val="none" w:sz="0" w:space="0" w:color="auto"/>
                                <w:right w:val="none" w:sz="0" w:space="0" w:color="auto"/>
                              </w:divBdr>
                              <w:divsChild>
                                <w:div w:id="23098526">
                                  <w:marLeft w:val="0"/>
                                  <w:marRight w:val="0"/>
                                  <w:marTop w:val="0"/>
                                  <w:marBottom w:val="0"/>
                                  <w:divBdr>
                                    <w:top w:val="none" w:sz="0" w:space="0" w:color="auto"/>
                                    <w:left w:val="none" w:sz="0" w:space="0" w:color="auto"/>
                                    <w:bottom w:val="none" w:sz="0" w:space="0" w:color="auto"/>
                                    <w:right w:val="none" w:sz="0" w:space="0" w:color="auto"/>
                                  </w:divBdr>
                                  <w:divsChild>
                                    <w:div w:id="19115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23238">
          <w:marLeft w:val="0"/>
          <w:marRight w:val="0"/>
          <w:marTop w:val="0"/>
          <w:marBottom w:val="0"/>
          <w:divBdr>
            <w:top w:val="none" w:sz="0" w:space="0" w:color="auto"/>
            <w:left w:val="none" w:sz="0" w:space="0" w:color="auto"/>
            <w:bottom w:val="none" w:sz="0" w:space="0" w:color="auto"/>
            <w:right w:val="none" w:sz="0" w:space="0" w:color="auto"/>
          </w:divBdr>
          <w:divsChild>
            <w:div w:id="1126387391">
              <w:marLeft w:val="0"/>
              <w:marRight w:val="0"/>
              <w:marTop w:val="0"/>
              <w:marBottom w:val="0"/>
              <w:divBdr>
                <w:top w:val="none" w:sz="0" w:space="0" w:color="auto"/>
                <w:left w:val="none" w:sz="0" w:space="0" w:color="auto"/>
                <w:bottom w:val="none" w:sz="0" w:space="0" w:color="auto"/>
                <w:right w:val="none" w:sz="0" w:space="0" w:color="auto"/>
              </w:divBdr>
              <w:divsChild>
                <w:div w:id="909387437">
                  <w:marLeft w:val="0"/>
                  <w:marRight w:val="0"/>
                  <w:marTop w:val="0"/>
                  <w:marBottom w:val="0"/>
                  <w:divBdr>
                    <w:top w:val="none" w:sz="0" w:space="0" w:color="auto"/>
                    <w:left w:val="none" w:sz="0" w:space="0" w:color="auto"/>
                    <w:bottom w:val="none" w:sz="0" w:space="0" w:color="auto"/>
                    <w:right w:val="none" w:sz="0" w:space="0" w:color="auto"/>
                  </w:divBdr>
                  <w:divsChild>
                    <w:div w:id="2105958595">
                      <w:marLeft w:val="0"/>
                      <w:marRight w:val="0"/>
                      <w:marTop w:val="0"/>
                      <w:marBottom w:val="0"/>
                      <w:divBdr>
                        <w:top w:val="none" w:sz="0" w:space="0" w:color="auto"/>
                        <w:left w:val="none" w:sz="0" w:space="0" w:color="auto"/>
                        <w:bottom w:val="none" w:sz="0" w:space="0" w:color="auto"/>
                        <w:right w:val="none" w:sz="0" w:space="0" w:color="auto"/>
                      </w:divBdr>
                      <w:divsChild>
                        <w:div w:id="781073612">
                          <w:marLeft w:val="0"/>
                          <w:marRight w:val="0"/>
                          <w:marTop w:val="0"/>
                          <w:marBottom w:val="0"/>
                          <w:divBdr>
                            <w:top w:val="none" w:sz="0" w:space="0" w:color="auto"/>
                            <w:left w:val="none" w:sz="0" w:space="0" w:color="auto"/>
                            <w:bottom w:val="none" w:sz="0" w:space="0" w:color="auto"/>
                            <w:right w:val="none" w:sz="0" w:space="0" w:color="auto"/>
                          </w:divBdr>
                          <w:divsChild>
                            <w:div w:id="1564288080">
                              <w:marLeft w:val="0"/>
                              <w:marRight w:val="0"/>
                              <w:marTop w:val="0"/>
                              <w:marBottom w:val="0"/>
                              <w:divBdr>
                                <w:top w:val="none" w:sz="0" w:space="0" w:color="auto"/>
                                <w:left w:val="none" w:sz="0" w:space="0" w:color="auto"/>
                                <w:bottom w:val="none" w:sz="0" w:space="0" w:color="auto"/>
                                <w:right w:val="none" w:sz="0" w:space="0" w:color="auto"/>
                              </w:divBdr>
                              <w:divsChild>
                                <w:div w:id="444808539">
                                  <w:marLeft w:val="0"/>
                                  <w:marRight w:val="0"/>
                                  <w:marTop w:val="0"/>
                                  <w:marBottom w:val="0"/>
                                  <w:divBdr>
                                    <w:top w:val="none" w:sz="0" w:space="0" w:color="auto"/>
                                    <w:left w:val="none" w:sz="0" w:space="0" w:color="auto"/>
                                    <w:bottom w:val="none" w:sz="0" w:space="0" w:color="auto"/>
                                    <w:right w:val="none" w:sz="0" w:space="0" w:color="auto"/>
                                  </w:divBdr>
                                  <w:divsChild>
                                    <w:div w:id="1248227700">
                                      <w:marLeft w:val="0"/>
                                      <w:marRight w:val="0"/>
                                      <w:marTop w:val="0"/>
                                      <w:marBottom w:val="0"/>
                                      <w:divBdr>
                                        <w:top w:val="none" w:sz="0" w:space="0" w:color="auto"/>
                                        <w:left w:val="none" w:sz="0" w:space="0" w:color="auto"/>
                                        <w:bottom w:val="none" w:sz="0" w:space="0" w:color="auto"/>
                                        <w:right w:val="none" w:sz="0" w:space="0" w:color="auto"/>
                                      </w:divBdr>
                                      <w:divsChild>
                                        <w:div w:id="849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151471">
          <w:marLeft w:val="0"/>
          <w:marRight w:val="0"/>
          <w:marTop w:val="0"/>
          <w:marBottom w:val="0"/>
          <w:divBdr>
            <w:top w:val="none" w:sz="0" w:space="0" w:color="auto"/>
            <w:left w:val="none" w:sz="0" w:space="0" w:color="auto"/>
            <w:bottom w:val="none" w:sz="0" w:space="0" w:color="auto"/>
            <w:right w:val="none" w:sz="0" w:space="0" w:color="auto"/>
          </w:divBdr>
          <w:divsChild>
            <w:div w:id="1159465978">
              <w:marLeft w:val="0"/>
              <w:marRight w:val="0"/>
              <w:marTop w:val="0"/>
              <w:marBottom w:val="0"/>
              <w:divBdr>
                <w:top w:val="none" w:sz="0" w:space="0" w:color="auto"/>
                <w:left w:val="none" w:sz="0" w:space="0" w:color="auto"/>
                <w:bottom w:val="none" w:sz="0" w:space="0" w:color="auto"/>
                <w:right w:val="none" w:sz="0" w:space="0" w:color="auto"/>
              </w:divBdr>
              <w:divsChild>
                <w:div w:id="312873683">
                  <w:marLeft w:val="0"/>
                  <w:marRight w:val="0"/>
                  <w:marTop w:val="0"/>
                  <w:marBottom w:val="0"/>
                  <w:divBdr>
                    <w:top w:val="none" w:sz="0" w:space="0" w:color="auto"/>
                    <w:left w:val="none" w:sz="0" w:space="0" w:color="auto"/>
                    <w:bottom w:val="none" w:sz="0" w:space="0" w:color="auto"/>
                    <w:right w:val="none" w:sz="0" w:space="0" w:color="auto"/>
                  </w:divBdr>
                  <w:divsChild>
                    <w:div w:id="1381636165">
                      <w:marLeft w:val="0"/>
                      <w:marRight w:val="0"/>
                      <w:marTop w:val="0"/>
                      <w:marBottom w:val="0"/>
                      <w:divBdr>
                        <w:top w:val="none" w:sz="0" w:space="0" w:color="auto"/>
                        <w:left w:val="none" w:sz="0" w:space="0" w:color="auto"/>
                        <w:bottom w:val="none" w:sz="0" w:space="0" w:color="auto"/>
                        <w:right w:val="none" w:sz="0" w:space="0" w:color="auto"/>
                      </w:divBdr>
                      <w:divsChild>
                        <w:div w:id="621810845">
                          <w:marLeft w:val="0"/>
                          <w:marRight w:val="0"/>
                          <w:marTop w:val="0"/>
                          <w:marBottom w:val="0"/>
                          <w:divBdr>
                            <w:top w:val="none" w:sz="0" w:space="0" w:color="auto"/>
                            <w:left w:val="none" w:sz="0" w:space="0" w:color="auto"/>
                            <w:bottom w:val="none" w:sz="0" w:space="0" w:color="auto"/>
                            <w:right w:val="none" w:sz="0" w:space="0" w:color="auto"/>
                          </w:divBdr>
                          <w:divsChild>
                            <w:div w:id="1953970728">
                              <w:marLeft w:val="0"/>
                              <w:marRight w:val="0"/>
                              <w:marTop w:val="0"/>
                              <w:marBottom w:val="0"/>
                              <w:divBdr>
                                <w:top w:val="none" w:sz="0" w:space="0" w:color="auto"/>
                                <w:left w:val="none" w:sz="0" w:space="0" w:color="auto"/>
                                <w:bottom w:val="none" w:sz="0" w:space="0" w:color="auto"/>
                                <w:right w:val="none" w:sz="0" w:space="0" w:color="auto"/>
                              </w:divBdr>
                              <w:divsChild>
                                <w:div w:id="864560881">
                                  <w:marLeft w:val="0"/>
                                  <w:marRight w:val="0"/>
                                  <w:marTop w:val="0"/>
                                  <w:marBottom w:val="0"/>
                                  <w:divBdr>
                                    <w:top w:val="none" w:sz="0" w:space="0" w:color="auto"/>
                                    <w:left w:val="none" w:sz="0" w:space="0" w:color="auto"/>
                                    <w:bottom w:val="none" w:sz="0" w:space="0" w:color="auto"/>
                                    <w:right w:val="none" w:sz="0" w:space="0" w:color="auto"/>
                                  </w:divBdr>
                                  <w:divsChild>
                                    <w:div w:id="12956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426824">
      <w:bodyDiv w:val="1"/>
      <w:marLeft w:val="0"/>
      <w:marRight w:val="0"/>
      <w:marTop w:val="0"/>
      <w:marBottom w:val="0"/>
      <w:divBdr>
        <w:top w:val="none" w:sz="0" w:space="0" w:color="auto"/>
        <w:left w:val="none" w:sz="0" w:space="0" w:color="auto"/>
        <w:bottom w:val="none" w:sz="0" w:space="0" w:color="auto"/>
        <w:right w:val="none" w:sz="0" w:space="0" w:color="auto"/>
      </w:divBdr>
      <w:divsChild>
        <w:div w:id="31348025">
          <w:marLeft w:val="0"/>
          <w:marRight w:val="0"/>
          <w:marTop w:val="0"/>
          <w:marBottom w:val="0"/>
          <w:divBdr>
            <w:top w:val="none" w:sz="0" w:space="0" w:color="auto"/>
            <w:left w:val="none" w:sz="0" w:space="0" w:color="auto"/>
            <w:bottom w:val="none" w:sz="0" w:space="0" w:color="auto"/>
            <w:right w:val="none" w:sz="0" w:space="0" w:color="auto"/>
          </w:divBdr>
          <w:divsChild>
            <w:div w:id="1124273733">
              <w:marLeft w:val="0"/>
              <w:marRight w:val="0"/>
              <w:marTop w:val="0"/>
              <w:marBottom w:val="0"/>
              <w:divBdr>
                <w:top w:val="none" w:sz="0" w:space="0" w:color="auto"/>
                <w:left w:val="none" w:sz="0" w:space="0" w:color="auto"/>
                <w:bottom w:val="none" w:sz="0" w:space="0" w:color="auto"/>
                <w:right w:val="none" w:sz="0" w:space="0" w:color="auto"/>
              </w:divBdr>
              <w:divsChild>
                <w:div w:id="279920392">
                  <w:marLeft w:val="0"/>
                  <w:marRight w:val="0"/>
                  <w:marTop w:val="0"/>
                  <w:marBottom w:val="0"/>
                  <w:divBdr>
                    <w:top w:val="none" w:sz="0" w:space="0" w:color="auto"/>
                    <w:left w:val="none" w:sz="0" w:space="0" w:color="auto"/>
                    <w:bottom w:val="none" w:sz="0" w:space="0" w:color="auto"/>
                    <w:right w:val="none" w:sz="0" w:space="0" w:color="auto"/>
                  </w:divBdr>
                  <w:divsChild>
                    <w:div w:id="1784380215">
                      <w:marLeft w:val="0"/>
                      <w:marRight w:val="0"/>
                      <w:marTop w:val="0"/>
                      <w:marBottom w:val="0"/>
                      <w:divBdr>
                        <w:top w:val="none" w:sz="0" w:space="0" w:color="auto"/>
                        <w:left w:val="none" w:sz="0" w:space="0" w:color="auto"/>
                        <w:bottom w:val="none" w:sz="0" w:space="0" w:color="auto"/>
                        <w:right w:val="none" w:sz="0" w:space="0" w:color="auto"/>
                      </w:divBdr>
                      <w:divsChild>
                        <w:div w:id="2119595639">
                          <w:marLeft w:val="0"/>
                          <w:marRight w:val="0"/>
                          <w:marTop w:val="0"/>
                          <w:marBottom w:val="0"/>
                          <w:divBdr>
                            <w:top w:val="none" w:sz="0" w:space="0" w:color="auto"/>
                            <w:left w:val="none" w:sz="0" w:space="0" w:color="auto"/>
                            <w:bottom w:val="none" w:sz="0" w:space="0" w:color="auto"/>
                            <w:right w:val="none" w:sz="0" w:space="0" w:color="auto"/>
                          </w:divBdr>
                          <w:divsChild>
                            <w:div w:id="33626500">
                              <w:marLeft w:val="0"/>
                              <w:marRight w:val="0"/>
                              <w:marTop w:val="0"/>
                              <w:marBottom w:val="0"/>
                              <w:divBdr>
                                <w:top w:val="none" w:sz="0" w:space="0" w:color="auto"/>
                                <w:left w:val="none" w:sz="0" w:space="0" w:color="auto"/>
                                <w:bottom w:val="none" w:sz="0" w:space="0" w:color="auto"/>
                                <w:right w:val="none" w:sz="0" w:space="0" w:color="auto"/>
                              </w:divBdr>
                              <w:divsChild>
                                <w:div w:id="402029994">
                                  <w:marLeft w:val="0"/>
                                  <w:marRight w:val="0"/>
                                  <w:marTop w:val="0"/>
                                  <w:marBottom w:val="0"/>
                                  <w:divBdr>
                                    <w:top w:val="none" w:sz="0" w:space="0" w:color="auto"/>
                                    <w:left w:val="none" w:sz="0" w:space="0" w:color="auto"/>
                                    <w:bottom w:val="none" w:sz="0" w:space="0" w:color="auto"/>
                                    <w:right w:val="none" w:sz="0" w:space="0" w:color="auto"/>
                                  </w:divBdr>
                                  <w:divsChild>
                                    <w:div w:id="1272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97200">
          <w:marLeft w:val="0"/>
          <w:marRight w:val="0"/>
          <w:marTop w:val="0"/>
          <w:marBottom w:val="0"/>
          <w:divBdr>
            <w:top w:val="none" w:sz="0" w:space="0" w:color="auto"/>
            <w:left w:val="none" w:sz="0" w:space="0" w:color="auto"/>
            <w:bottom w:val="none" w:sz="0" w:space="0" w:color="auto"/>
            <w:right w:val="none" w:sz="0" w:space="0" w:color="auto"/>
          </w:divBdr>
          <w:divsChild>
            <w:div w:id="1568954891">
              <w:marLeft w:val="0"/>
              <w:marRight w:val="0"/>
              <w:marTop w:val="0"/>
              <w:marBottom w:val="0"/>
              <w:divBdr>
                <w:top w:val="none" w:sz="0" w:space="0" w:color="auto"/>
                <w:left w:val="none" w:sz="0" w:space="0" w:color="auto"/>
                <w:bottom w:val="none" w:sz="0" w:space="0" w:color="auto"/>
                <w:right w:val="none" w:sz="0" w:space="0" w:color="auto"/>
              </w:divBdr>
              <w:divsChild>
                <w:div w:id="1433820499">
                  <w:marLeft w:val="0"/>
                  <w:marRight w:val="0"/>
                  <w:marTop w:val="0"/>
                  <w:marBottom w:val="0"/>
                  <w:divBdr>
                    <w:top w:val="none" w:sz="0" w:space="0" w:color="auto"/>
                    <w:left w:val="none" w:sz="0" w:space="0" w:color="auto"/>
                    <w:bottom w:val="none" w:sz="0" w:space="0" w:color="auto"/>
                    <w:right w:val="none" w:sz="0" w:space="0" w:color="auto"/>
                  </w:divBdr>
                  <w:divsChild>
                    <w:div w:id="66927796">
                      <w:marLeft w:val="0"/>
                      <w:marRight w:val="0"/>
                      <w:marTop w:val="0"/>
                      <w:marBottom w:val="0"/>
                      <w:divBdr>
                        <w:top w:val="none" w:sz="0" w:space="0" w:color="auto"/>
                        <w:left w:val="none" w:sz="0" w:space="0" w:color="auto"/>
                        <w:bottom w:val="none" w:sz="0" w:space="0" w:color="auto"/>
                        <w:right w:val="none" w:sz="0" w:space="0" w:color="auto"/>
                      </w:divBdr>
                      <w:divsChild>
                        <w:div w:id="549265644">
                          <w:marLeft w:val="0"/>
                          <w:marRight w:val="0"/>
                          <w:marTop w:val="0"/>
                          <w:marBottom w:val="0"/>
                          <w:divBdr>
                            <w:top w:val="none" w:sz="0" w:space="0" w:color="auto"/>
                            <w:left w:val="none" w:sz="0" w:space="0" w:color="auto"/>
                            <w:bottom w:val="none" w:sz="0" w:space="0" w:color="auto"/>
                            <w:right w:val="none" w:sz="0" w:space="0" w:color="auto"/>
                          </w:divBdr>
                          <w:divsChild>
                            <w:div w:id="940995690">
                              <w:marLeft w:val="0"/>
                              <w:marRight w:val="0"/>
                              <w:marTop w:val="0"/>
                              <w:marBottom w:val="0"/>
                              <w:divBdr>
                                <w:top w:val="none" w:sz="0" w:space="0" w:color="auto"/>
                                <w:left w:val="none" w:sz="0" w:space="0" w:color="auto"/>
                                <w:bottom w:val="none" w:sz="0" w:space="0" w:color="auto"/>
                                <w:right w:val="none" w:sz="0" w:space="0" w:color="auto"/>
                              </w:divBdr>
                              <w:divsChild>
                                <w:div w:id="1326012824">
                                  <w:marLeft w:val="0"/>
                                  <w:marRight w:val="0"/>
                                  <w:marTop w:val="0"/>
                                  <w:marBottom w:val="0"/>
                                  <w:divBdr>
                                    <w:top w:val="none" w:sz="0" w:space="0" w:color="auto"/>
                                    <w:left w:val="none" w:sz="0" w:space="0" w:color="auto"/>
                                    <w:bottom w:val="none" w:sz="0" w:space="0" w:color="auto"/>
                                    <w:right w:val="none" w:sz="0" w:space="0" w:color="auto"/>
                                  </w:divBdr>
                                  <w:divsChild>
                                    <w:div w:id="176971498">
                                      <w:marLeft w:val="0"/>
                                      <w:marRight w:val="0"/>
                                      <w:marTop w:val="0"/>
                                      <w:marBottom w:val="0"/>
                                      <w:divBdr>
                                        <w:top w:val="none" w:sz="0" w:space="0" w:color="auto"/>
                                        <w:left w:val="none" w:sz="0" w:space="0" w:color="auto"/>
                                        <w:bottom w:val="none" w:sz="0" w:space="0" w:color="auto"/>
                                        <w:right w:val="none" w:sz="0" w:space="0" w:color="auto"/>
                                      </w:divBdr>
                                      <w:divsChild>
                                        <w:div w:id="4203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150515">
          <w:marLeft w:val="0"/>
          <w:marRight w:val="0"/>
          <w:marTop w:val="0"/>
          <w:marBottom w:val="0"/>
          <w:divBdr>
            <w:top w:val="none" w:sz="0" w:space="0" w:color="auto"/>
            <w:left w:val="none" w:sz="0" w:space="0" w:color="auto"/>
            <w:bottom w:val="none" w:sz="0" w:space="0" w:color="auto"/>
            <w:right w:val="none" w:sz="0" w:space="0" w:color="auto"/>
          </w:divBdr>
          <w:divsChild>
            <w:div w:id="419834633">
              <w:marLeft w:val="0"/>
              <w:marRight w:val="0"/>
              <w:marTop w:val="0"/>
              <w:marBottom w:val="0"/>
              <w:divBdr>
                <w:top w:val="none" w:sz="0" w:space="0" w:color="auto"/>
                <w:left w:val="none" w:sz="0" w:space="0" w:color="auto"/>
                <w:bottom w:val="none" w:sz="0" w:space="0" w:color="auto"/>
                <w:right w:val="none" w:sz="0" w:space="0" w:color="auto"/>
              </w:divBdr>
              <w:divsChild>
                <w:div w:id="580023138">
                  <w:marLeft w:val="0"/>
                  <w:marRight w:val="0"/>
                  <w:marTop w:val="0"/>
                  <w:marBottom w:val="0"/>
                  <w:divBdr>
                    <w:top w:val="none" w:sz="0" w:space="0" w:color="auto"/>
                    <w:left w:val="none" w:sz="0" w:space="0" w:color="auto"/>
                    <w:bottom w:val="none" w:sz="0" w:space="0" w:color="auto"/>
                    <w:right w:val="none" w:sz="0" w:space="0" w:color="auto"/>
                  </w:divBdr>
                  <w:divsChild>
                    <w:div w:id="1762145925">
                      <w:marLeft w:val="0"/>
                      <w:marRight w:val="0"/>
                      <w:marTop w:val="0"/>
                      <w:marBottom w:val="0"/>
                      <w:divBdr>
                        <w:top w:val="none" w:sz="0" w:space="0" w:color="auto"/>
                        <w:left w:val="none" w:sz="0" w:space="0" w:color="auto"/>
                        <w:bottom w:val="none" w:sz="0" w:space="0" w:color="auto"/>
                        <w:right w:val="none" w:sz="0" w:space="0" w:color="auto"/>
                      </w:divBdr>
                      <w:divsChild>
                        <w:div w:id="1184126941">
                          <w:marLeft w:val="0"/>
                          <w:marRight w:val="0"/>
                          <w:marTop w:val="0"/>
                          <w:marBottom w:val="0"/>
                          <w:divBdr>
                            <w:top w:val="none" w:sz="0" w:space="0" w:color="auto"/>
                            <w:left w:val="none" w:sz="0" w:space="0" w:color="auto"/>
                            <w:bottom w:val="none" w:sz="0" w:space="0" w:color="auto"/>
                            <w:right w:val="none" w:sz="0" w:space="0" w:color="auto"/>
                          </w:divBdr>
                          <w:divsChild>
                            <w:div w:id="1224482093">
                              <w:marLeft w:val="0"/>
                              <w:marRight w:val="0"/>
                              <w:marTop w:val="0"/>
                              <w:marBottom w:val="0"/>
                              <w:divBdr>
                                <w:top w:val="none" w:sz="0" w:space="0" w:color="auto"/>
                                <w:left w:val="none" w:sz="0" w:space="0" w:color="auto"/>
                                <w:bottom w:val="none" w:sz="0" w:space="0" w:color="auto"/>
                                <w:right w:val="none" w:sz="0" w:space="0" w:color="auto"/>
                              </w:divBdr>
                              <w:divsChild>
                                <w:div w:id="489950554">
                                  <w:marLeft w:val="0"/>
                                  <w:marRight w:val="0"/>
                                  <w:marTop w:val="0"/>
                                  <w:marBottom w:val="0"/>
                                  <w:divBdr>
                                    <w:top w:val="none" w:sz="0" w:space="0" w:color="auto"/>
                                    <w:left w:val="none" w:sz="0" w:space="0" w:color="auto"/>
                                    <w:bottom w:val="none" w:sz="0" w:space="0" w:color="auto"/>
                                    <w:right w:val="none" w:sz="0" w:space="0" w:color="auto"/>
                                  </w:divBdr>
                                  <w:divsChild>
                                    <w:div w:id="6991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561877">
          <w:marLeft w:val="0"/>
          <w:marRight w:val="0"/>
          <w:marTop w:val="0"/>
          <w:marBottom w:val="0"/>
          <w:divBdr>
            <w:top w:val="none" w:sz="0" w:space="0" w:color="auto"/>
            <w:left w:val="none" w:sz="0" w:space="0" w:color="auto"/>
            <w:bottom w:val="none" w:sz="0" w:space="0" w:color="auto"/>
            <w:right w:val="none" w:sz="0" w:space="0" w:color="auto"/>
          </w:divBdr>
          <w:divsChild>
            <w:div w:id="1440834646">
              <w:marLeft w:val="0"/>
              <w:marRight w:val="0"/>
              <w:marTop w:val="0"/>
              <w:marBottom w:val="0"/>
              <w:divBdr>
                <w:top w:val="none" w:sz="0" w:space="0" w:color="auto"/>
                <w:left w:val="none" w:sz="0" w:space="0" w:color="auto"/>
                <w:bottom w:val="none" w:sz="0" w:space="0" w:color="auto"/>
                <w:right w:val="none" w:sz="0" w:space="0" w:color="auto"/>
              </w:divBdr>
              <w:divsChild>
                <w:div w:id="1580797351">
                  <w:marLeft w:val="0"/>
                  <w:marRight w:val="0"/>
                  <w:marTop w:val="0"/>
                  <w:marBottom w:val="0"/>
                  <w:divBdr>
                    <w:top w:val="none" w:sz="0" w:space="0" w:color="auto"/>
                    <w:left w:val="none" w:sz="0" w:space="0" w:color="auto"/>
                    <w:bottom w:val="none" w:sz="0" w:space="0" w:color="auto"/>
                    <w:right w:val="none" w:sz="0" w:space="0" w:color="auto"/>
                  </w:divBdr>
                  <w:divsChild>
                    <w:div w:id="21446302">
                      <w:marLeft w:val="0"/>
                      <w:marRight w:val="0"/>
                      <w:marTop w:val="0"/>
                      <w:marBottom w:val="0"/>
                      <w:divBdr>
                        <w:top w:val="none" w:sz="0" w:space="0" w:color="auto"/>
                        <w:left w:val="none" w:sz="0" w:space="0" w:color="auto"/>
                        <w:bottom w:val="none" w:sz="0" w:space="0" w:color="auto"/>
                        <w:right w:val="none" w:sz="0" w:space="0" w:color="auto"/>
                      </w:divBdr>
                      <w:divsChild>
                        <w:div w:id="591209574">
                          <w:marLeft w:val="0"/>
                          <w:marRight w:val="0"/>
                          <w:marTop w:val="0"/>
                          <w:marBottom w:val="0"/>
                          <w:divBdr>
                            <w:top w:val="none" w:sz="0" w:space="0" w:color="auto"/>
                            <w:left w:val="none" w:sz="0" w:space="0" w:color="auto"/>
                            <w:bottom w:val="none" w:sz="0" w:space="0" w:color="auto"/>
                            <w:right w:val="none" w:sz="0" w:space="0" w:color="auto"/>
                          </w:divBdr>
                          <w:divsChild>
                            <w:div w:id="214852482">
                              <w:marLeft w:val="0"/>
                              <w:marRight w:val="0"/>
                              <w:marTop w:val="0"/>
                              <w:marBottom w:val="0"/>
                              <w:divBdr>
                                <w:top w:val="none" w:sz="0" w:space="0" w:color="auto"/>
                                <w:left w:val="none" w:sz="0" w:space="0" w:color="auto"/>
                                <w:bottom w:val="none" w:sz="0" w:space="0" w:color="auto"/>
                                <w:right w:val="none" w:sz="0" w:space="0" w:color="auto"/>
                              </w:divBdr>
                              <w:divsChild>
                                <w:div w:id="805776571">
                                  <w:marLeft w:val="0"/>
                                  <w:marRight w:val="0"/>
                                  <w:marTop w:val="0"/>
                                  <w:marBottom w:val="0"/>
                                  <w:divBdr>
                                    <w:top w:val="none" w:sz="0" w:space="0" w:color="auto"/>
                                    <w:left w:val="none" w:sz="0" w:space="0" w:color="auto"/>
                                    <w:bottom w:val="none" w:sz="0" w:space="0" w:color="auto"/>
                                    <w:right w:val="none" w:sz="0" w:space="0" w:color="auto"/>
                                  </w:divBdr>
                                  <w:divsChild>
                                    <w:div w:id="351691968">
                                      <w:marLeft w:val="0"/>
                                      <w:marRight w:val="0"/>
                                      <w:marTop w:val="0"/>
                                      <w:marBottom w:val="0"/>
                                      <w:divBdr>
                                        <w:top w:val="none" w:sz="0" w:space="0" w:color="auto"/>
                                        <w:left w:val="none" w:sz="0" w:space="0" w:color="auto"/>
                                        <w:bottom w:val="none" w:sz="0" w:space="0" w:color="auto"/>
                                        <w:right w:val="none" w:sz="0" w:space="0" w:color="auto"/>
                                      </w:divBdr>
                                      <w:divsChild>
                                        <w:div w:id="1984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235613">
          <w:marLeft w:val="0"/>
          <w:marRight w:val="0"/>
          <w:marTop w:val="0"/>
          <w:marBottom w:val="0"/>
          <w:divBdr>
            <w:top w:val="none" w:sz="0" w:space="0" w:color="auto"/>
            <w:left w:val="none" w:sz="0" w:space="0" w:color="auto"/>
            <w:bottom w:val="none" w:sz="0" w:space="0" w:color="auto"/>
            <w:right w:val="none" w:sz="0" w:space="0" w:color="auto"/>
          </w:divBdr>
          <w:divsChild>
            <w:div w:id="1604026268">
              <w:marLeft w:val="0"/>
              <w:marRight w:val="0"/>
              <w:marTop w:val="0"/>
              <w:marBottom w:val="0"/>
              <w:divBdr>
                <w:top w:val="none" w:sz="0" w:space="0" w:color="auto"/>
                <w:left w:val="none" w:sz="0" w:space="0" w:color="auto"/>
                <w:bottom w:val="none" w:sz="0" w:space="0" w:color="auto"/>
                <w:right w:val="none" w:sz="0" w:space="0" w:color="auto"/>
              </w:divBdr>
              <w:divsChild>
                <w:div w:id="1507548883">
                  <w:marLeft w:val="0"/>
                  <w:marRight w:val="0"/>
                  <w:marTop w:val="0"/>
                  <w:marBottom w:val="0"/>
                  <w:divBdr>
                    <w:top w:val="none" w:sz="0" w:space="0" w:color="auto"/>
                    <w:left w:val="none" w:sz="0" w:space="0" w:color="auto"/>
                    <w:bottom w:val="none" w:sz="0" w:space="0" w:color="auto"/>
                    <w:right w:val="none" w:sz="0" w:space="0" w:color="auto"/>
                  </w:divBdr>
                  <w:divsChild>
                    <w:div w:id="254561644">
                      <w:marLeft w:val="0"/>
                      <w:marRight w:val="0"/>
                      <w:marTop w:val="0"/>
                      <w:marBottom w:val="0"/>
                      <w:divBdr>
                        <w:top w:val="none" w:sz="0" w:space="0" w:color="auto"/>
                        <w:left w:val="none" w:sz="0" w:space="0" w:color="auto"/>
                        <w:bottom w:val="none" w:sz="0" w:space="0" w:color="auto"/>
                        <w:right w:val="none" w:sz="0" w:space="0" w:color="auto"/>
                      </w:divBdr>
                      <w:divsChild>
                        <w:div w:id="227302413">
                          <w:marLeft w:val="0"/>
                          <w:marRight w:val="0"/>
                          <w:marTop w:val="0"/>
                          <w:marBottom w:val="0"/>
                          <w:divBdr>
                            <w:top w:val="none" w:sz="0" w:space="0" w:color="auto"/>
                            <w:left w:val="none" w:sz="0" w:space="0" w:color="auto"/>
                            <w:bottom w:val="none" w:sz="0" w:space="0" w:color="auto"/>
                            <w:right w:val="none" w:sz="0" w:space="0" w:color="auto"/>
                          </w:divBdr>
                          <w:divsChild>
                            <w:div w:id="1607541512">
                              <w:marLeft w:val="0"/>
                              <w:marRight w:val="0"/>
                              <w:marTop w:val="0"/>
                              <w:marBottom w:val="0"/>
                              <w:divBdr>
                                <w:top w:val="none" w:sz="0" w:space="0" w:color="auto"/>
                                <w:left w:val="none" w:sz="0" w:space="0" w:color="auto"/>
                                <w:bottom w:val="none" w:sz="0" w:space="0" w:color="auto"/>
                                <w:right w:val="none" w:sz="0" w:space="0" w:color="auto"/>
                              </w:divBdr>
                              <w:divsChild>
                                <w:div w:id="97524170">
                                  <w:marLeft w:val="0"/>
                                  <w:marRight w:val="0"/>
                                  <w:marTop w:val="0"/>
                                  <w:marBottom w:val="0"/>
                                  <w:divBdr>
                                    <w:top w:val="none" w:sz="0" w:space="0" w:color="auto"/>
                                    <w:left w:val="none" w:sz="0" w:space="0" w:color="auto"/>
                                    <w:bottom w:val="none" w:sz="0" w:space="0" w:color="auto"/>
                                    <w:right w:val="none" w:sz="0" w:space="0" w:color="auto"/>
                                  </w:divBdr>
                                  <w:divsChild>
                                    <w:div w:id="17214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098581">
          <w:marLeft w:val="0"/>
          <w:marRight w:val="0"/>
          <w:marTop w:val="0"/>
          <w:marBottom w:val="0"/>
          <w:divBdr>
            <w:top w:val="none" w:sz="0" w:space="0" w:color="auto"/>
            <w:left w:val="none" w:sz="0" w:space="0" w:color="auto"/>
            <w:bottom w:val="none" w:sz="0" w:space="0" w:color="auto"/>
            <w:right w:val="none" w:sz="0" w:space="0" w:color="auto"/>
          </w:divBdr>
          <w:divsChild>
            <w:div w:id="2073692458">
              <w:marLeft w:val="0"/>
              <w:marRight w:val="0"/>
              <w:marTop w:val="0"/>
              <w:marBottom w:val="0"/>
              <w:divBdr>
                <w:top w:val="none" w:sz="0" w:space="0" w:color="auto"/>
                <w:left w:val="none" w:sz="0" w:space="0" w:color="auto"/>
                <w:bottom w:val="none" w:sz="0" w:space="0" w:color="auto"/>
                <w:right w:val="none" w:sz="0" w:space="0" w:color="auto"/>
              </w:divBdr>
              <w:divsChild>
                <w:div w:id="314838871">
                  <w:marLeft w:val="0"/>
                  <w:marRight w:val="0"/>
                  <w:marTop w:val="0"/>
                  <w:marBottom w:val="0"/>
                  <w:divBdr>
                    <w:top w:val="none" w:sz="0" w:space="0" w:color="auto"/>
                    <w:left w:val="none" w:sz="0" w:space="0" w:color="auto"/>
                    <w:bottom w:val="none" w:sz="0" w:space="0" w:color="auto"/>
                    <w:right w:val="none" w:sz="0" w:space="0" w:color="auto"/>
                  </w:divBdr>
                  <w:divsChild>
                    <w:div w:id="1395578">
                      <w:marLeft w:val="0"/>
                      <w:marRight w:val="0"/>
                      <w:marTop w:val="0"/>
                      <w:marBottom w:val="0"/>
                      <w:divBdr>
                        <w:top w:val="none" w:sz="0" w:space="0" w:color="auto"/>
                        <w:left w:val="none" w:sz="0" w:space="0" w:color="auto"/>
                        <w:bottom w:val="none" w:sz="0" w:space="0" w:color="auto"/>
                        <w:right w:val="none" w:sz="0" w:space="0" w:color="auto"/>
                      </w:divBdr>
                      <w:divsChild>
                        <w:div w:id="1791583966">
                          <w:marLeft w:val="0"/>
                          <w:marRight w:val="0"/>
                          <w:marTop w:val="0"/>
                          <w:marBottom w:val="0"/>
                          <w:divBdr>
                            <w:top w:val="none" w:sz="0" w:space="0" w:color="auto"/>
                            <w:left w:val="none" w:sz="0" w:space="0" w:color="auto"/>
                            <w:bottom w:val="none" w:sz="0" w:space="0" w:color="auto"/>
                            <w:right w:val="none" w:sz="0" w:space="0" w:color="auto"/>
                          </w:divBdr>
                          <w:divsChild>
                            <w:div w:id="3553520">
                              <w:marLeft w:val="0"/>
                              <w:marRight w:val="0"/>
                              <w:marTop w:val="0"/>
                              <w:marBottom w:val="0"/>
                              <w:divBdr>
                                <w:top w:val="none" w:sz="0" w:space="0" w:color="auto"/>
                                <w:left w:val="none" w:sz="0" w:space="0" w:color="auto"/>
                                <w:bottom w:val="none" w:sz="0" w:space="0" w:color="auto"/>
                                <w:right w:val="none" w:sz="0" w:space="0" w:color="auto"/>
                              </w:divBdr>
                              <w:divsChild>
                                <w:div w:id="1424718373">
                                  <w:marLeft w:val="0"/>
                                  <w:marRight w:val="0"/>
                                  <w:marTop w:val="0"/>
                                  <w:marBottom w:val="0"/>
                                  <w:divBdr>
                                    <w:top w:val="none" w:sz="0" w:space="0" w:color="auto"/>
                                    <w:left w:val="none" w:sz="0" w:space="0" w:color="auto"/>
                                    <w:bottom w:val="none" w:sz="0" w:space="0" w:color="auto"/>
                                    <w:right w:val="none" w:sz="0" w:space="0" w:color="auto"/>
                                  </w:divBdr>
                                  <w:divsChild>
                                    <w:div w:id="1820657183">
                                      <w:marLeft w:val="0"/>
                                      <w:marRight w:val="0"/>
                                      <w:marTop w:val="0"/>
                                      <w:marBottom w:val="0"/>
                                      <w:divBdr>
                                        <w:top w:val="none" w:sz="0" w:space="0" w:color="auto"/>
                                        <w:left w:val="none" w:sz="0" w:space="0" w:color="auto"/>
                                        <w:bottom w:val="none" w:sz="0" w:space="0" w:color="auto"/>
                                        <w:right w:val="none" w:sz="0" w:space="0" w:color="auto"/>
                                      </w:divBdr>
                                      <w:divsChild>
                                        <w:div w:id="3423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572741">
          <w:marLeft w:val="0"/>
          <w:marRight w:val="0"/>
          <w:marTop w:val="0"/>
          <w:marBottom w:val="0"/>
          <w:divBdr>
            <w:top w:val="none" w:sz="0" w:space="0" w:color="auto"/>
            <w:left w:val="none" w:sz="0" w:space="0" w:color="auto"/>
            <w:bottom w:val="none" w:sz="0" w:space="0" w:color="auto"/>
            <w:right w:val="none" w:sz="0" w:space="0" w:color="auto"/>
          </w:divBdr>
          <w:divsChild>
            <w:div w:id="1750540369">
              <w:marLeft w:val="0"/>
              <w:marRight w:val="0"/>
              <w:marTop w:val="0"/>
              <w:marBottom w:val="0"/>
              <w:divBdr>
                <w:top w:val="none" w:sz="0" w:space="0" w:color="auto"/>
                <w:left w:val="none" w:sz="0" w:space="0" w:color="auto"/>
                <w:bottom w:val="none" w:sz="0" w:space="0" w:color="auto"/>
                <w:right w:val="none" w:sz="0" w:space="0" w:color="auto"/>
              </w:divBdr>
              <w:divsChild>
                <w:div w:id="1908344441">
                  <w:marLeft w:val="0"/>
                  <w:marRight w:val="0"/>
                  <w:marTop w:val="0"/>
                  <w:marBottom w:val="0"/>
                  <w:divBdr>
                    <w:top w:val="none" w:sz="0" w:space="0" w:color="auto"/>
                    <w:left w:val="none" w:sz="0" w:space="0" w:color="auto"/>
                    <w:bottom w:val="none" w:sz="0" w:space="0" w:color="auto"/>
                    <w:right w:val="none" w:sz="0" w:space="0" w:color="auto"/>
                  </w:divBdr>
                  <w:divsChild>
                    <w:div w:id="1406415932">
                      <w:marLeft w:val="0"/>
                      <w:marRight w:val="0"/>
                      <w:marTop w:val="0"/>
                      <w:marBottom w:val="0"/>
                      <w:divBdr>
                        <w:top w:val="none" w:sz="0" w:space="0" w:color="auto"/>
                        <w:left w:val="none" w:sz="0" w:space="0" w:color="auto"/>
                        <w:bottom w:val="none" w:sz="0" w:space="0" w:color="auto"/>
                        <w:right w:val="none" w:sz="0" w:space="0" w:color="auto"/>
                      </w:divBdr>
                      <w:divsChild>
                        <w:div w:id="864682590">
                          <w:marLeft w:val="0"/>
                          <w:marRight w:val="0"/>
                          <w:marTop w:val="0"/>
                          <w:marBottom w:val="0"/>
                          <w:divBdr>
                            <w:top w:val="none" w:sz="0" w:space="0" w:color="auto"/>
                            <w:left w:val="none" w:sz="0" w:space="0" w:color="auto"/>
                            <w:bottom w:val="none" w:sz="0" w:space="0" w:color="auto"/>
                            <w:right w:val="none" w:sz="0" w:space="0" w:color="auto"/>
                          </w:divBdr>
                          <w:divsChild>
                            <w:div w:id="1394548783">
                              <w:marLeft w:val="0"/>
                              <w:marRight w:val="0"/>
                              <w:marTop w:val="0"/>
                              <w:marBottom w:val="0"/>
                              <w:divBdr>
                                <w:top w:val="none" w:sz="0" w:space="0" w:color="auto"/>
                                <w:left w:val="none" w:sz="0" w:space="0" w:color="auto"/>
                                <w:bottom w:val="none" w:sz="0" w:space="0" w:color="auto"/>
                                <w:right w:val="none" w:sz="0" w:space="0" w:color="auto"/>
                              </w:divBdr>
                              <w:divsChild>
                                <w:div w:id="1459838851">
                                  <w:marLeft w:val="0"/>
                                  <w:marRight w:val="0"/>
                                  <w:marTop w:val="0"/>
                                  <w:marBottom w:val="0"/>
                                  <w:divBdr>
                                    <w:top w:val="none" w:sz="0" w:space="0" w:color="auto"/>
                                    <w:left w:val="none" w:sz="0" w:space="0" w:color="auto"/>
                                    <w:bottom w:val="none" w:sz="0" w:space="0" w:color="auto"/>
                                    <w:right w:val="none" w:sz="0" w:space="0" w:color="auto"/>
                                  </w:divBdr>
                                  <w:divsChild>
                                    <w:div w:id="1001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371376">
      <w:bodyDiv w:val="1"/>
      <w:marLeft w:val="0"/>
      <w:marRight w:val="0"/>
      <w:marTop w:val="0"/>
      <w:marBottom w:val="0"/>
      <w:divBdr>
        <w:top w:val="none" w:sz="0" w:space="0" w:color="auto"/>
        <w:left w:val="none" w:sz="0" w:space="0" w:color="auto"/>
        <w:bottom w:val="none" w:sz="0" w:space="0" w:color="auto"/>
        <w:right w:val="none" w:sz="0" w:space="0" w:color="auto"/>
      </w:divBdr>
      <w:divsChild>
        <w:div w:id="1655179471">
          <w:marLeft w:val="0"/>
          <w:marRight w:val="0"/>
          <w:marTop w:val="0"/>
          <w:marBottom w:val="0"/>
          <w:divBdr>
            <w:top w:val="none" w:sz="0" w:space="0" w:color="auto"/>
            <w:left w:val="none" w:sz="0" w:space="0" w:color="auto"/>
            <w:bottom w:val="none" w:sz="0" w:space="0" w:color="auto"/>
            <w:right w:val="none" w:sz="0" w:space="0" w:color="auto"/>
          </w:divBdr>
          <w:divsChild>
            <w:div w:id="1577662290">
              <w:marLeft w:val="0"/>
              <w:marRight w:val="0"/>
              <w:marTop w:val="0"/>
              <w:marBottom w:val="0"/>
              <w:divBdr>
                <w:top w:val="none" w:sz="0" w:space="0" w:color="auto"/>
                <w:left w:val="none" w:sz="0" w:space="0" w:color="auto"/>
                <w:bottom w:val="none" w:sz="0" w:space="0" w:color="auto"/>
                <w:right w:val="none" w:sz="0" w:space="0" w:color="auto"/>
              </w:divBdr>
            </w:div>
          </w:divsChild>
        </w:div>
        <w:div w:id="570694334">
          <w:marLeft w:val="0"/>
          <w:marRight w:val="0"/>
          <w:marTop w:val="0"/>
          <w:marBottom w:val="0"/>
          <w:divBdr>
            <w:top w:val="none" w:sz="0" w:space="0" w:color="auto"/>
            <w:left w:val="none" w:sz="0" w:space="0" w:color="auto"/>
            <w:bottom w:val="none" w:sz="0" w:space="0" w:color="auto"/>
            <w:right w:val="none" w:sz="0" w:space="0" w:color="auto"/>
          </w:divBdr>
          <w:divsChild>
            <w:div w:id="5789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6/j.clwat.2025.100078" TargetMode="External"/><Relationship Id="rId26" Type="http://schemas.openxmlformats.org/officeDocument/2006/relationships/hyperlink" Target="https://doi.org/10.1016/j.landurbplan.2020.103842" TargetMode="External"/><Relationship Id="rId3" Type="http://schemas.openxmlformats.org/officeDocument/2006/relationships/settings" Target="settings.xml"/><Relationship Id="rId21" Type="http://schemas.openxmlformats.org/officeDocument/2006/relationships/hyperlink" Target="https://doi.org/10.3390/w10030307"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3390/w12020419" TargetMode="External"/><Relationship Id="rId25" Type="http://schemas.openxmlformats.org/officeDocument/2006/relationships/hyperlink" Target="https://doi.org/10.1007/978-3-642-38598-8_1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scitotenv.2017.06.157" TargetMode="External"/><Relationship Id="rId20" Type="http://schemas.openxmlformats.org/officeDocument/2006/relationships/hyperlink" Target="https://doi.org/10.1007/s44367-024-00002-y"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45/3603379"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3390/s24165406"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2166/wpt.2024.145"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16/j.cities.2024.104998" TargetMode="External"/><Relationship Id="rId27" Type="http://schemas.openxmlformats.org/officeDocument/2006/relationships/hyperlink" Target="https://jetp-id.org/storage/official-jetp-cipp-2023-vshare_f_en-1700532655.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456</TotalTime>
  <Pages>13</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1084</cp:lastModifiedBy>
  <cp:revision>11</cp:revision>
  <dcterms:created xsi:type="dcterms:W3CDTF">2025-06-25T08:21:00Z</dcterms:created>
  <dcterms:modified xsi:type="dcterms:W3CDTF">2025-07-09T10:31:00Z</dcterms:modified>
</cp:coreProperties>
</file>