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AE30B" w14:textId="77777777" w:rsidR="007A7326" w:rsidRDefault="007A7326">
      <w:pPr>
        <w:rPr>
          <w:rFonts w:ascii="Times New Roman" w:hAnsi="Times New Roman" w:cs="Times New Roman"/>
        </w:rPr>
      </w:pPr>
    </w:p>
    <w:p w14:paraId="3601664F" w14:textId="05F7EA07" w:rsidR="007A7326" w:rsidRDefault="007A7326" w:rsidP="007A7326">
      <w:pPr>
        <w:jc w:val="center"/>
        <w:rPr>
          <w:rFonts w:ascii="Times New Roman" w:hAnsi="Times New Roman" w:cs="Times New Roman"/>
          <w:b/>
          <w:bCs/>
          <w:sz w:val="28"/>
          <w:szCs w:val="28"/>
        </w:rPr>
      </w:pPr>
      <w:r w:rsidRPr="007A7326">
        <w:rPr>
          <w:rFonts w:ascii="Times New Roman" w:hAnsi="Times New Roman" w:cs="Times New Roman"/>
          <w:b/>
          <w:bCs/>
          <w:sz w:val="28"/>
          <w:szCs w:val="28"/>
        </w:rPr>
        <w:t xml:space="preserve">Impact of District Road Rehabilitation on Vehicle Operating Costs and Accessibility in </w:t>
      </w:r>
      <w:proofErr w:type="spellStart"/>
      <w:r w:rsidRPr="007A7326">
        <w:rPr>
          <w:rFonts w:ascii="Times New Roman" w:hAnsi="Times New Roman" w:cs="Times New Roman"/>
          <w:b/>
          <w:bCs/>
          <w:sz w:val="28"/>
          <w:szCs w:val="28"/>
        </w:rPr>
        <w:t>Garoga</w:t>
      </w:r>
      <w:proofErr w:type="spellEnd"/>
      <w:r w:rsidRPr="007A7326">
        <w:rPr>
          <w:rFonts w:ascii="Times New Roman" w:hAnsi="Times New Roman" w:cs="Times New Roman"/>
          <w:b/>
          <w:bCs/>
          <w:sz w:val="28"/>
          <w:szCs w:val="28"/>
        </w:rPr>
        <w:t xml:space="preserve"> Subdistrict, North Tapanuli, Indonesia</w:t>
      </w:r>
    </w:p>
    <w:p w14:paraId="37EC1C54" w14:textId="77777777" w:rsidR="007D5297" w:rsidRPr="007A7326" w:rsidRDefault="007D5297" w:rsidP="007A7326">
      <w:pPr>
        <w:jc w:val="center"/>
        <w:rPr>
          <w:rFonts w:ascii="Times New Roman" w:hAnsi="Times New Roman" w:cs="Times New Roman"/>
          <w:b/>
          <w:bCs/>
          <w:sz w:val="28"/>
          <w:szCs w:val="28"/>
        </w:rPr>
      </w:pPr>
    </w:p>
    <w:p w14:paraId="25E88E15" w14:textId="77777777" w:rsidR="007A7326" w:rsidRDefault="007A7326">
      <w:pPr>
        <w:rPr>
          <w:rFonts w:ascii="Times New Roman" w:hAnsi="Times New Roman" w:cs="Times New Roman"/>
        </w:rPr>
      </w:pPr>
    </w:p>
    <w:p w14:paraId="35727710" w14:textId="4D5887A1" w:rsidR="007A7326" w:rsidRPr="007A7326" w:rsidRDefault="007A7326" w:rsidP="007A7326">
      <w:pPr>
        <w:jc w:val="center"/>
        <w:rPr>
          <w:rFonts w:ascii="Times New Roman" w:hAnsi="Times New Roman" w:cs="Times New Roman"/>
          <w:b/>
          <w:bCs/>
        </w:rPr>
      </w:pPr>
      <w:r>
        <w:rPr>
          <w:rFonts w:ascii="Times New Roman" w:hAnsi="Times New Roman" w:cs="Times New Roman"/>
          <w:b/>
          <w:bCs/>
        </w:rPr>
        <w:t>Abstract</w:t>
      </w:r>
    </w:p>
    <w:p w14:paraId="71908240" w14:textId="0A78E3E9" w:rsidR="007A7326" w:rsidRPr="007A7326" w:rsidRDefault="007A7326" w:rsidP="007A7326">
      <w:pPr>
        <w:jc w:val="both"/>
        <w:rPr>
          <w:rFonts w:ascii="Times New Roman" w:hAnsi="Times New Roman" w:cs="Times New Roman"/>
        </w:rPr>
      </w:pPr>
      <w:r w:rsidRPr="007A7326">
        <w:rPr>
          <w:rFonts w:ascii="Times New Roman" w:hAnsi="Times New Roman" w:cs="Times New Roman"/>
        </w:rPr>
        <w:t xml:space="preserve">This study investigates the effects of district road rehabilitation on vehicle operating costs (VOC) and accessibility in </w:t>
      </w:r>
      <w:proofErr w:type="spellStart"/>
      <w:r w:rsidRPr="007A7326">
        <w:rPr>
          <w:rFonts w:ascii="Times New Roman" w:hAnsi="Times New Roman" w:cs="Times New Roman"/>
        </w:rPr>
        <w:t>Garoga</w:t>
      </w:r>
      <w:proofErr w:type="spellEnd"/>
      <w:r w:rsidRPr="007A7326">
        <w:rPr>
          <w:rFonts w:ascii="Times New Roman" w:hAnsi="Times New Roman" w:cs="Times New Roman"/>
        </w:rPr>
        <w:t xml:space="preserve"> Subdistrict, North Tapanuli Regency, Indonesia—a region characterized by critical rural transport challenges. Inadequate road conditions contribute to increased VOC and hinder regional connectivity, impacting both economic productivity and public service delivery.</w:t>
      </w:r>
      <w:r>
        <w:rPr>
          <w:rFonts w:ascii="Times New Roman" w:hAnsi="Times New Roman" w:cs="Times New Roman"/>
        </w:rPr>
        <w:t xml:space="preserve"> </w:t>
      </w:r>
      <w:r w:rsidRPr="007A7326">
        <w:rPr>
          <w:rFonts w:ascii="Times New Roman" w:hAnsi="Times New Roman" w:cs="Times New Roman"/>
        </w:rPr>
        <w:t>The research employs a comparative analysis of road segments before and after rehabilitation. Data were collected through field traffic surveys and analyzed using the Indonesian Ministry of Public Works’ VOC estimation guideline Pd-T-15-2005-B. To quantify accessibility changes, an Accessibility Index was calculated by integrating average travel times with population-weighted distribution across service nodes.</w:t>
      </w:r>
      <w:r>
        <w:rPr>
          <w:rFonts w:ascii="Times New Roman" w:hAnsi="Times New Roman" w:cs="Times New Roman"/>
        </w:rPr>
        <w:t xml:space="preserve"> </w:t>
      </w:r>
      <w:r w:rsidRPr="007A7326">
        <w:rPr>
          <w:rFonts w:ascii="Times New Roman" w:hAnsi="Times New Roman" w:cs="Times New Roman"/>
        </w:rPr>
        <w:t>Results show a significant decrease in VOC across all vehicle categories after road improvements. Major reductions were observed in fuel consumption, engine oil usage, spare part replacement, maintenance labor, and tire wear costs. Additionally, the accessibility index demonstrated substantial improvement, indicating enhanced community mobility, reduced travel times to key public facilities, and improved access to economic opportunities.</w:t>
      </w:r>
      <w:r>
        <w:rPr>
          <w:rFonts w:ascii="Times New Roman" w:hAnsi="Times New Roman" w:cs="Times New Roman"/>
        </w:rPr>
        <w:t xml:space="preserve"> </w:t>
      </w:r>
      <w:r w:rsidRPr="007A7326">
        <w:rPr>
          <w:rFonts w:ascii="Times New Roman" w:hAnsi="Times New Roman" w:cs="Times New Roman"/>
        </w:rPr>
        <w:t>The study concludes that road infrastructure rehabilitation not only reduces transportation costs but also enhances spatial equity by improving access to essential services. These findings support the strategic value of sustained investments in rural road networks for inclusive regional development and transportation policy optimization.</w:t>
      </w:r>
    </w:p>
    <w:p w14:paraId="4FE1BC19" w14:textId="77777777" w:rsidR="007A7326" w:rsidRPr="007A7326" w:rsidRDefault="007A7326" w:rsidP="007A7326">
      <w:pPr>
        <w:rPr>
          <w:rFonts w:ascii="Times New Roman" w:hAnsi="Times New Roman" w:cs="Times New Roman"/>
        </w:rPr>
      </w:pPr>
      <w:r w:rsidRPr="007A7326">
        <w:rPr>
          <w:rFonts w:ascii="Times New Roman" w:hAnsi="Times New Roman" w:cs="Times New Roman"/>
          <w:b/>
          <w:bCs/>
        </w:rPr>
        <w:t>Keywords:</w:t>
      </w:r>
      <w:r w:rsidRPr="007A7326">
        <w:rPr>
          <w:rFonts w:ascii="Times New Roman" w:hAnsi="Times New Roman" w:cs="Times New Roman"/>
        </w:rPr>
        <w:t xml:space="preserve"> road rehabilitation, vehicle operating cost, accessibility, rural infrastructure, Pd-T-15-2005-B, Indonesia</w:t>
      </w:r>
    </w:p>
    <w:p w14:paraId="70B39927" w14:textId="77777777" w:rsidR="007A7326" w:rsidRDefault="007A7326">
      <w:pPr>
        <w:rPr>
          <w:rFonts w:ascii="Times New Roman" w:hAnsi="Times New Roman" w:cs="Times New Roman"/>
        </w:rPr>
      </w:pPr>
    </w:p>
    <w:p w14:paraId="7843C676" w14:textId="7BDF212E" w:rsidR="007A7326" w:rsidRPr="007A7326" w:rsidRDefault="007A7326" w:rsidP="007A7326">
      <w:pPr>
        <w:pStyle w:val="ListParagraph"/>
        <w:numPr>
          <w:ilvl w:val="0"/>
          <w:numId w:val="1"/>
        </w:numPr>
        <w:rPr>
          <w:rFonts w:ascii="Times New Roman" w:hAnsi="Times New Roman" w:cs="Times New Roman"/>
          <w:b/>
          <w:bCs/>
        </w:rPr>
      </w:pPr>
      <w:r>
        <w:rPr>
          <w:rFonts w:ascii="Times New Roman" w:hAnsi="Times New Roman" w:cs="Times New Roman"/>
          <w:b/>
          <w:bCs/>
        </w:rPr>
        <w:t>INTRODUCTION</w:t>
      </w:r>
    </w:p>
    <w:p w14:paraId="32E54F7F" w14:textId="77777777" w:rsidR="007A7326" w:rsidRPr="007A7326" w:rsidRDefault="007A7326" w:rsidP="007A7326">
      <w:pPr>
        <w:jc w:val="both"/>
      </w:pPr>
      <w:r>
        <w:rPr>
          <w:rFonts w:ascii="Times New Roman" w:hAnsi="Times New Roman" w:cs="Times New Roman"/>
        </w:rPr>
        <w:t xml:space="preserve">Axa </w:t>
      </w:r>
      <w:r w:rsidRPr="007A7326">
        <w:t xml:space="preserve">Rural infrastructure, particularly road networks, plays a pivotal role in facilitating regional development by enhancing mobility, reducing transport costs, and increasing access to essential services. In developing nations such as Indonesia, road connectivity remains a critical determinant of spatial equity and economic inclusivity. Many rural regions, including </w:t>
      </w:r>
      <w:proofErr w:type="spellStart"/>
      <w:r w:rsidRPr="007A7326">
        <w:t>Garoga</w:t>
      </w:r>
      <w:proofErr w:type="spellEnd"/>
      <w:r w:rsidRPr="007A7326">
        <w:t xml:space="preserve"> Subdistrict in North Tapanuli, suffer from inadequate road conditions that limit residents' ability to access markets, healthcare, and education (Kamaludin &amp; </w:t>
      </w:r>
      <w:proofErr w:type="spellStart"/>
      <w:r w:rsidRPr="007A7326">
        <w:t>Qibthiyyah</w:t>
      </w:r>
      <w:proofErr w:type="spellEnd"/>
      <w:r w:rsidRPr="007A7326">
        <w:t>, 2022).</w:t>
      </w:r>
    </w:p>
    <w:p w14:paraId="22278551" w14:textId="77777777" w:rsidR="007A7326" w:rsidRPr="007A7326" w:rsidRDefault="007A7326" w:rsidP="007A7326">
      <w:pPr>
        <w:jc w:val="both"/>
        <w:rPr>
          <w:rFonts w:ascii="Times New Roman" w:hAnsi="Times New Roman" w:cs="Times New Roman"/>
        </w:rPr>
      </w:pPr>
      <w:r w:rsidRPr="007A7326">
        <w:rPr>
          <w:rFonts w:ascii="Times New Roman" w:hAnsi="Times New Roman" w:cs="Times New Roman"/>
        </w:rPr>
        <w:t xml:space="preserve">Accessibility, as defined by Cervero (1990), refers to the ease with which people can reach desired services and destinations. It encompasses physical, economic, and temporal </w:t>
      </w:r>
      <w:r w:rsidRPr="007A7326">
        <w:rPr>
          <w:rFonts w:ascii="Times New Roman" w:hAnsi="Times New Roman" w:cs="Times New Roman"/>
        </w:rPr>
        <w:lastRenderedPageBreak/>
        <w:t>dimensions. In the context of rural development, accessibility is not merely a function of distance but is shaped by the quality and availability of transportation infrastructure. Empirical evidence indicates that improved road conditions can increase agricultural productivity, reduce travel time, and foster non-farm employment opportunities (Cervero, 1990).</w:t>
      </w:r>
    </w:p>
    <w:p w14:paraId="61324785" w14:textId="77777777" w:rsidR="007A7326" w:rsidRPr="007A7326" w:rsidRDefault="007A7326" w:rsidP="007A7326">
      <w:pPr>
        <w:jc w:val="both"/>
        <w:rPr>
          <w:rFonts w:ascii="Times New Roman" w:hAnsi="Times New Roman" w:cs="Times New Roman"/>
        </w:rPr>
      </w:pPr>
      <w:r w:rsidRPr="007A7326">
        <w:rPr>
          <w:rFonts w:ascii="Times New Roman" w:hAnsi="Times New Roman" w:cs="Times New Roman"/>
        </w:rPr>
        <w:t>Vehicle Operating Costs (VOC) serve as a quantifiable proxy for the quality and efficiency of road infrastructure. VOC includes fuel consumption, oil use, tire wear, maintenance, and depreciation costs incurred during vehicle operation. Poor road surfaces, particularly those with potholes, cracks, or uneven gradients, contribute significantly to higher VOC (Cahyono &amp; Wibowo, 2021). Conversely, investments in road rehabilitation have been shown to reduce VOC substantially, thus enhancing cost-efficiency for both commercial and personal transport.</w:t>
      </w:r>
    </w:p>
    <w:p w14:paraId="60EEA403" w14:textId="7A86AF9A" w:rsidR="007A7326" w:rsidRPr="007A7326" w:rsidRDefault="007A7326" w:rsidP="007A7326">
      <w:pPr>
        <w:jc w:val="both"/>
        <w:rPr>
          <w:rFonts w:ascii="Times New Roman" w:hAnsi="Times New Roman" w:cs="Times New Roman"/>
        </w:rPr>
      </w:pPr>
      <w:r w:rsidRPr="007A7326">
        <w:rPr>
          <w:rFonts w:ascii="Times New Roman" w:hAnsi="Times New Roman" w:cs="Times New Roman"/>
        </w:rPr>
        <w:t>In Indonesia, the Ministry of Public Works and Housing has established the Pd-T-15-2005-B guideline to standardize the calculation of VOC, which incorporates vehicle-specific parameters, road conditions, and traffic flow characteristics. This methodological framework has been widely applied in both policy and academic evaluations of transport efficiency. For instance, analysis conducted on toll and non-toll routes in Java found a marked reduction in VOC following surface improvements, validating the economic rationale for infrastructure upgrades (Cahyono &amp; Wibowo, 2021</w:t>
      </w:r>
      <w:r w:rsidR="003F6100">
        <w:rPr>
          <w:rFonts w:ascii="Times New Roman" w:hAnsi="Times New Roman" w:cs="Times New Roman"/>
        </w:rPr>
        <w:t xml:space="preserve">; </w:t>
      </w:r>
      <w:proofErr w:type="spellStart"/>
      <w:r w:rsidR="003F6100" w:rsidRPr="003F6100">
        <w:rPr>
          <w:rFonts w:ascii="Times New Roman" w:hAnsi="Times New Roman" w:cs="Times New Roman"/>
        </w:rPr>
        <w:t>Kalimanto</w:t>
      </w:r>
      <w:proofErr w:type="spellEnd"/>
      <w:r w:rsidR="003F6100" w:rsidRPr="003F6100">
        <w:rPr>
          <w:rFonts w:ascii="Times New Roman" w:hAnsi="Times New Roman" w:cs="Times New Roman"/>
        </w:rPr>
        <w:t xml:space="preserve"> &amp; </w:t>
      </w:r>
      <w:proofErr w:type="spellStart"/>
      <w:r w:rsidR="003F6100" w:rsidRPr="003F6100">
        <w:rPr>
          <w:rFonts w:ascii="Times New Roman" w:hAnsi="Times New Roman" w:cs="Times New Roman"/>
        </w:rPr>
        <w:t>Hadiwardoyo</w:t>
      </w:r>
      <w:proofErr w:type="spellEnd"/>
      <w:r w:rsidR="003F6100" w:rsidRPr="003F6100">
        <w:rPr>
          <w:rFonts w:ascii="Times New Roman" w:hAnsi="Times New Roman" w:cs="Times New Roman"/>
        </w:rPr>
        <w:t>, 2019</w:t>
      </w:r>
      <w:r w:rsidRPr="007A7326">
        <w:rPr>
          <w:rFonts w:ascii="Times New Roman" w:hAnsi="Times New Roman" w:cs="Times New Roman"/>
        </w:rPr>
        <w:t>).</w:t>
      </w:r>
    </w:p>
    <w:p w14:paraId="3E16FA1B" w14:textId="65793CEB" w:rsidR="007A7326" w:rsidRPr="007A7326" w:rsidRDefault="007A7326" w:rsidP="007A7326">
      <w:pPr>
        <w:jc w:val="both"/>
        <w:rPr>
          <w:rFonts w:ascii="Times New Roman" w:hAnsi="Times New Roman" w:cs="Times New Roman"/>
        </w:rPr>
      </w:pPr>
      <w:r w:rsidRPr="007A7326">
        <w:rPr>
          <w:rFonts w:ascii="Times New Roman" w:hAnsi="Times New Roman" w:cs="Times New Roman"/>
        </w:rPr>
        <w:t xml:space="preserve">Improved accessibility also correlates with better socio-economic outcomes. Studies show that road connectivity enhances educational attainment, maternal health, and income diversification in rural areas (Kamaludin &amp; </w:t>
      </w:r>
      <w:proofErr w:type="spellStart"/>
      <w:r w:rsidRPr="007A7326">
        <w:rPr>
          <w:rFonts w:ascii="Times New Roman" w:hAnsi="Times New Roman" w:cs="Times New Roman"/>
        </w:rPr>
        <w:t>Qibthiyyah</w:t>
      </w:r>
      <w:proofErr w:type="spellEnd"/>
      <w:r w:rsidRPr="007A7326">
        <w:rPr>
          <w:rFonts w:ascii="Times New Roman" w:hAnsi="Times New Roman" w:cs="Times New Roman"/>
        </w:rPr>
        <w:t xml:space="preserve">, 2022). In regions like </w:t>
      </w:r>
      <w:proofErr w:type="spellStart"/>
      <w:r w:rsidRPr="007A7326">
        <w:rPr>
          <w:rFonts w:ascii="Times New Roman" w:hAnsi="Times New Roman" w:cs="Times New Roman"/>
        </w:rPr>
        <w:t>Garoga</w:t>
      </w:r>
      <w:proofErr w:type="spellEnd"/>
      <w:r w:rsidRPr="007A7326">
        <w:rPr>
          <w:rFonts w:ascii="Times New Roman" w:hAnsi="Times New Roman" w:cs="Times New Roman"/>
        </w:rPr>
        <w:t>, where topographical and climatic factors further constrain access, road improvements serve as a vital intervention to reduce spatial marginalization</w:t>
      </w:r>
      <w:r w:rsidR="003F6100">
        <w:rPr>
          <w:rFonts w:ascii="Times New Roman" w:hAnsi="Times New Roman" w:cs="Times New Roman"/>
        </w:rPr>
        <w:t xml:space="preserve"> </w:t>
      </w:r>
      <w:r w:rsidR="003F6100" w:rsidRPr="003F6100">
        <w:rPr>
          <w:rFonts w:ascii="Times New Roman" w:hAnsi="Times New Roman" w:cs="Times New Roman"/>
        </w:rPr>
        <w:t>(</w:t>
      </w:r>
      <w:proofErr w:type="spellStart"/>
      <w:r w:rsidR="003F6100" w:rsidRPr="003F6100">
        <w:rPr>
          <w:rFonts w:ascii="Times New Roman" w:hAnsi="Times New Roman" w:cs="Times New Roman"/>
        </w:rPr>
        <w:t>Shiboub</w:t>
      </w:r>
      <w:proofErr w:type="spellEnd"/>
      <w:r w:rsidR="003F6100" w:rsidRPr="003F6100">
        <w:rPr>
          <w:rFonts w:ascii="Times New Roman" w:hAnsi="Times New Roman" w:cs="Times New Roman"/>
        </w:rPr>
        <w:t xml:space="preserve"> &amp; Assaf, 2022)</w:t>
      </w:r>
      <w:r w:rsidRPr="007A7326">
        <w:rPr>
          <w:rFonts w:ascii="Times New Roman" w:hAnsi="Times New Roman" w:cs="Times New Roman"/>
        </w:rPr>
        <w:t>.</w:t>
      </w:r>
    </w:p>
    <w:p w14:paraId="1285B0AF" w14:textId="690DE8F9" w:rsidR="007A7326" w:rsidRPr="007A7326" w:rsidRDefault="007A7326" w:rsidP="007A7326">
      <w:pPr>
        <w:jc w:val="both"/>
        <w:rPr>
          <w:rFonts w:ascii="Times New Roman" w:hAnsi="Times New Roman" w:cs="Times New Roman"/>
        </w:rPr>
      </w:pPr>
      <w:r w:rsidRPr="007A7326">
        <w:rPr>
          <w:rFonts w:ascii="Times New Roman" w:hAnsi="Times New Roman" w:cs="Times New Roman"/>
        </w:rPr>
        <w:t>Moreover, infrastructure quality is instrumental in shaping migration patterns and labor mobility. Households in remote villages often face limited employment opportunities due to restricted access to urban job markets. Enhanced rural accessibility can trigger a structural shift by enabling rural-urban linkages and supporting entrepreneurship in peripheral regions (Cervero, 1990</w:t>
      </w:r>
      <w:r w:rsidR="003F6100">
        <w:rPr>
          <w:rFonts w:ascii="Times New Roman" w:hAnsi="Times New Roman" w:cs="Times New Roman"/>
        </w:rPr>
        <w:t xml:space="preserve">; </w:t>
      </w:r>
      <w:proofErr w:type="spellStart"/>
      <w:r w:rsidR="003F6100" w:rsidRPr="003F6100">
        <w:rPr>
          <w:rFonts w:ascii="Times New Roman" w:hAnsi="Times New Roman" w:cs="Times New Roman"/>
        </w:rPr>
        <w:t>Asomani</w:t>
      </w:r>
      <w:proofErr w:type="spellEnd"/>
      <w:r w:rsidR="003F6100" w:rsidRPr="003F6100">
        <w:rPr>
          <w:rFonts w:ascii="Times New Roman" w:hAnsi="Times New Roman" w:cs="Times New Roman"/>
        </w:rPr>
        <w:t>-Boateng et al., 2015</w:t>
      </w:r>
      <w:r w:rsidRPr="007A7326">
        <w:rPr>
          <w:rFonts w:ascii="Times New Roman" w:hAnsi="Times New Roman" w:cs="Times New Roman"/>
        </w:rPr>
        <w:t>). This reinforces the strategic importance of road investment in national development agendas.</w:t>
      </w:r>
    </w:p>
    <w:p w14:paraId="2DD7D901" w14:textId="573FC741" w:rsidR="007A7326" w:rsidRPr="007A7326" w:rsidRDefault="007A7326" w:rsidP="007A7326">
      <w:pPr>
        <w:jc w:val="both"/>
        <w:rPr>
          <w:rFonts w:ascii="Times New Roman" w:hAnsi="Times New Roman" w:cs="Times New Roman"/>
        </w:rPr>
      </w:pPr>
      <w:r w:rsidRPr="007A7326">
        <w:rPr>
          <w:rFonts w:ascii="Times New Roman" w:hAnsi="Times New Roman" w:cs="Times New Roman"/>
        </w:rPr>
        <w:t>The economic impact of road infrastructure is often assessed through its influence on transportation margins—the difference between producer prices and consumer prices</w:t>
      </w:r>
      <w:r w:rsidR="003F6100">
        <w:rPr>
          <w:rFonts w:ascii="Times New Roman" w:hAnsi="Times New Roman" w:cs="Times New Roman"/>
        </w:rPr>
        <w:t xml:space="preserve"> </w:t>
      </w:r>
      <w:r w:rsidR="003F6100" w:rsidRPr="003F6100">
        <w:rPr>
          <w:rFonts w:ascii="Times New Roman" w:hAnsi="Times New Roman" w:cs="Times New Roman"/>
        </w:rPr>
        <w:t>(</w:t>
      </w:r>
      <w:proofErr w:type="spellStart"/>
      <w:r w:rsidR="003F6100" w:rsidRPr="003F6100">
        <w:rPr>
          <w:rFonts w:ascii="Times New Roman" w:hAnsi="Times New Roman" w:cs="Times New Roman"/>
        </w:rPr>
        <w:t>Trestanto</w:t>
      </w:r>
      <w:proofErr w:type="spellEnd"/>
      <w:r w:rsidR="003F6100" w:rsidRPr="003F6100">
        <w:rPr>
          <w:rFonts w:ascii="Times New Roman" w:hAnsi="Times New Roman" w:cs="Times New Roman"/>
        </w:rPr>
        <w:t xml:space="preserve"> et al., 2024)</w:t>
      </w:r>
      <w:r w:rsidRPr="007A7326">
        <w:rPr>
          <w:rFonts w:ascii="Times New Roman" w:hAnsi="Times New Roman" w:cs="Times New Roman"/>
        </w:rPr>
        <w:t xml:space="preserve">. High transport margins are indicative of market inefficiencies, often caused by poor road quality. Research shows that reducing transportation costs through road improvement translates into higher agricultural income and lower consumer prices (Kamaludin &amp; </w:t>
      </w:r>
      <w:proofErr w:type="spellStart"/>
      <w:r w:rsidRPr="007A7326">
        <w:rPr>
          <w:rFonts w:ascii="Times New Roman" w:hAnsi="Times New Roman" w:cs="Times New Roman"/>
        </w:rPr>
        <w:t>Qibthiyyah</w:t>
      </w:r>
      <w:proofErr w:type="spellEnd"/>
      <w:r w:rsidRPr="007A7326">
        <w:rPr>
          <w:rFonts w:ascii="Times New Roman" w:hAnsi="Times New Roman" w:cs="Times New Roman"/>
        </w:rPr>
        <w:t>, 2022</w:t>
      </w:r>
      <w:r w:rsidR="003F6100">
        <w:rPr>
          <w:rFonts w:ascii="Times New Roman" w:hAnsi="Times New Roman" w:cs="Times New Roman"/>
        </w:rPr>
        <w:t xml:space="preserve">; </w:t>
      </w:r>
      <w:r w:rsidR="003F6100" w:rsidRPr="003F6100">
        <w:rPr>
          <w:rFonts w:ascii="Times New Roman" w:hAnsi="Times New Roman" w:cs="Times New Roman"/>
        </w:rPr>
        <w:t>Jimi-Oni &amp; Oluwatobi, 2017</w:t>
      </w:r>
      <w:r w:rsidRPr="007A7326">
        <w:rPr>
          <w:rFonts w:ascii="Times New Roman" w:hAnsi="Times New Roman" w:cs="Times New Roman"/>
        </w:rPr>
        <w:t>).</w:t>
      </w:r>
    </w:p>
    <w:p w14:paraId="4CACD461" w14:textId="77777777" w:rsidR="007A7326" w:rsidRPr="007A7326" w:rsidRDefault="007A7326" w:rsidP="007A7326">
      <w:pPr>
        <w:jc w:val="both"/>
        <w:rPr>
          <w:rFonts w:ascii="Times New Roman" w:hAnsi="Times New Roman" w:cs="Times New Roman"/>
        </w:rPr>
      </w:pPr>
      <w:r w:rsidRPr="007A7326">
        <w:rPr>
          <w:rFonts w:ascii="Times New Roman" w:hAnsi="Times New Roman" w:cs="Times New Roman"/>
        </w:rPr>
        <w:t>Beyond economic efficiency, improved road infrastructure enhances disaster response, public safety, and social resilience. In remote areas vulnerable to natural disasters or climate variability, functional roads are crucial for emergency logistics and healthcare delivery. Accessibility thus intersects with multiple dimensions of sustainable development, from poverty reduction to resilience building (Cervero, 1990).</w:t>
      </w:r>
    </w:p>
    <w:p w14:paraId="1D5C5EFD" w14:textId="77777777" w:rsidR="007A7326" w:rsidRPr="007A7326" w:rsidRDefault="007A7326" w:rsidP="007A7326">
      <w:pPr>
        <w:jc w:val="both"/>
        <w:rPr>
          <w:rFonts w:ascii="Times New Roman" w:hAnsi="Times New Roman" w:cs="Times New Roman"/>
        </w:rPr>
      </w:pPr>
      <w:r w:rsidRPr="007A7326">
        <w:rPr>
          <w:rFonts w:ascii="Times New Roman" w:hAnsi="Times New Roman" w:cs="Times New Roman"/>
        </w:rPr>
        <w:lastRenderedPageBreak/>
        <w:t xml:space="preserve">Despite its importance, rural infrastructure often receives less policy attention compared to urban projects. This imbalance results in underinvestment in high-need areas and perpetuates cycles of poverty and underdevelopment. Empirical studies emphasize the need for location-sensitive investment strategies that account for geographic, demographic, and economic disparities (Kamaludin &amp; </w:t>
      </w:r>
      <w:proofErr w:type="spellStart"/>
      <w:r w:rsidRPr="007A7326">
        <w:rPr>
          <w:rFonts w:ascii="Times New Roman" w:hAnsi="Times New Roman" w:cs="Times New Roman"/>
        </w:rPr>
        <w:t>Qibthiyyah</w:t>
      </w:r>
      <w:proofErr w:type="spellEnd"/>
      <w:r w:rsidRPr="007A7326">
        <w:rPr>
          <w:rFonts w:ascii="Times New Roman" w:hAnsi="Times New Roman" w:cs="Times New Roman"/>
        </w:rPr>
        <w:t>, 2022).</w:t>
      </w:r>
    </w:p>
    <w:p w14:paraId="7BB4C9E7" w14:textId="77777777" w:rsidR="007A7326" w:rsidRPr="007A7326" w:rsidRDefault="007A7326" w:rsidP="007A7326">
      <w:pPr>
        <w:jc w:val="both"/>
        <w:rPr>
          <w:rFonts w:ascii="Times New Roman" w:hAnsi="Times New Roman" w:cs="Times New Roman"/>
        </w:rPr>
      </w:pPr>
      <w:r w:rsidRPr="007A7326">
        <w:rPr>
          <w:rFonts w:ascii="Times New Roman" w:hAnsi="Times New Roman" w:cs="Times New Roman"/>
        </w:rPr>
        <w:t xml:space="preserve">Given these factors, this study aims to examine the dual impact of road rehabilitation on Vehicle Operating Costs and accessibility in </w:t>
      </w:r>
      <w:proofErr w:type="spellStart"/>
      <w:r w:rsidRPr="007A7326">
        <w:rPr>
          <w:rFonts w:ascii="Times New Roman" w:hAnsi="Times New Roman" w:cs="Times New Roman"/>
        </w:rPr>
        <w:t>Garoga</w:t>
      </w:r>
      <w:proofErr w:type="spellEnd"/>
      <w:r w:rsidRPr="007A7326">
        <w:rPr>
          <w:rFonts w:ascii="Times New Roman" w:hAnsi="Times New Roman" w:cs="Times New Roman"/>
        </w:rPr>
        <w:t xml:space="preserve"> Subdistrict. By integrating cost modeling with accessibility metrics, this research contributes to the empirical understanding of rural infrastructure performance and informs future transportation policy.</w:t>
      </w:r>
    </w:p>
    <w:p w14:paraId="316E85EA" w14:textId="080339C0" w:rsidR="007A7326" w:rsidRPr="007A7326" w:rsidRDefault="007A7326" w:rsidP="007A7326">
      <w:pPr>
        <w:pStyle w:val="ListParagraph"/>
        <w:numPr>
          <w:ilvl w:val="0"/>
          <w:numId w:val="1"/>
        </w:numPr>
        <w:rPr>
          <w:rFonts w:ascii="Times New Roman" w:hAnsi="Times New Roman" w:cs="Times New Roman"/>
          <w:b/>
          <w:bCs/>
        </w:rPr>
      </w:pPr>
      <w:r>
        <w:rPr>
          <w:rFonts w:ascii="Times New Roman" w:hAnsi="Times New Roman" w:cs="Times New Roman"/>
          <w:b/>
          <w:bCs/>
        </w:rPr>
        <w:t>Methods</w:t>
      </w:r>
    </w:p>
    <w:p w14:paraId="54B43F92" w14:textId="77777777" w:rsidR="00F07E85" w:rsidRPr="00F07E85" w:rsidRDefault="00F07E85" w:rsidP="00F07E85">
      <w:pPr>
        <w:jc w:val="both"/>
        <w:rPr>
          <w:rFonts w:ascii="Times New Roman" w:hAnsi="Times New Roman" w:cs="Times New Roman"/>
          <w:b/>
          <w:bCs/>
        </w:rPr>
      </w:pPr>
      <w:r w:rsidRPr="00F07E85">
        <w:rPr>
          <w:rFonts w:ascii="Times New Roman" w:hAnsi="Times New Roman" w:cs="Times New Roman"/>
          <w:b/>
          <w:bCs/>
        </w:rPr>
        <w:t>Study Area</w:t>
      </w:r>
    </w:p>
    <w:p w14:paraId="21F7B136" w14:textId="77777777" w:rsidR="00F07E85" w:rsidRPr="00F07E85" w:rsidRDefault="00F07E85" w:rsidP="00F07E85">
      <w:pPr>
        <w:jc w:val="both"/>
        <w:rPr>
          <w:rFonts w:ascii="Times New Roman" w:hAnsi="Times New Roman" w:cs="Times New Roman"/>
        </w:rPr>
      </w:pPr>
      <w:r w:rsidRPr="00F07E85">
        <w:rPr>
          <w:rFonts w:ascii="Times New Roman" w:hAnsi="Times New Roman" w:cs="Times New Roman"/>
        </w:rPr>
        <w:t xml:space="preserve">This study was conducted in </w:t>
      </w:r>
      <w:proofErr w:type="spellStart"/>
      <w:r w:rsidRPr="00F07E85">
        <w:rPr>
          <w:rFonts w:ascii="Times New Roman" w:hAnsi="Times New Roman" w:cs="Times New Roman"/>
          <w:b/>
          <w:bCs/>
        </w:rPr>
        <w:t>Garoga</w:t>
      </w:r>
      <w:proofErr w:type="spellEnd"/>
      <w:r w:rsidRPr="00F07E85">
        <w:rPr>
          <w:rFonts w:ascii="Times New Roman" w:hAnsi="Times New Roman" w:cs="Times New Roman"/>
          <w:b/>
          <w:bCs/>
        </w:rPr>
        <w:t xml:space="preserve"> Subdistrict</w:t>
      </w:r>
      <w:r w:rsidRPr="00F07E85">
        <w:rPr>
          <w:rFonts w:ascii="Times New Roman" w:hAnsi="Times New Roman" w:cs="Times New Roman"/>
        </w:rPr>
        <w:t xml:space="preserve">, located in North Tapanuli Regency, North Sumatra, Indonesia. The region is characterized by hilly topography, rural settlement patterns, and limited road infrastructure. Several key district road segments were selected for evaluation, including routes connecting </w:t>
      </w:r>
      <w:proofErr w:type="spellStart"/>
      <w:r w:rsidRPr="00F07E85">
        <w:rPr>
          <w:rFonts w:ascii="Times New Roman" w:hAnsi="Times New Roman" w:cs="Times New Roman"/>
        </w:rPr>
        <w:t>Garoga</w:t>
      </w:r>
      <w:proofErr w:type="spellEnd"/>
      <w:r w:rsidRPr="00F07E85">
        <w:rPr>
          <w:rFonts w:ascii="Times New Roman" w:hAnsi="Times New Roman" w:cs="Times New Roman"/>
        </w:rPr>
        <w:t xml:space="preserve"> to Pea Raja, </w:t>
      </w:r>
      <w:proofErr w:type="spellStart"/>
      <w:r w:rsidRPr="00F07E85">
        <w:rPr>
          <w:rFonts w:ascii="Times New Roman" w:hAnsi="Times New Roman" w:cs="Times New Roman"/>
        </w:rPr>
        <w:t>Rianiate</w:t>
      </w:r>
      <w:proofErr w:type="spellEnd"/>
      <w:r w:rsidRPr="00F07E85">
        <w:rPr>
          <w:rFonts w:ascii="Times New Roman" w:hAnsi="Times New Roman" w:cs="Times New Roman"/>
        </w:rPr>
        <w:t xml:space="preserve">, </w:t>
      </w:r>
      <w:proofErr w:type="spellStart"/>
      <w:r w:rsidRPr="00F07E85">
        <w:rPr>
          <w:rFonts w:ascii="Times New Roman" w:hAnsi="Times New Roman" w:cs="Times New Roman"/>
        </w:rPr>
        <w:t>Pargawahan</w:t>
      </w:r>
      <w:proofErr w:type="spellEnd"/>
      <w:r w:rsidRPr="00F07E85">
        <w:rPr>
          <w:rFonts w:ascii="Times New Roman" w:hAnsi="Times New Roman" w:cs="Times New Roman"/>
        </w:rPr>
        <w:t xml:space="preserve">, Lobu Tonga, and </w:t>
      </w:r>
      <w:proofErr w:type="spellStart"/>
      <w:r w:rsidRPr="00F07E85">
        <w:rPr>
          <w:rFonts w:ascii="Times New Roman" w:hAnsi="Times New Roman" w:cs="Times New Roman"/>
        </w:rPr>
        <w:t>Lumban</w:t>
      </w:r>
      <w:proofErr w:type="spellEnd"/>
      <w:r w:rsidRPr="00F07E85">
        <w:rPr>
          <w:rFonts w:ascii="Times New Roman" w:hAnsi="Times New Roman" w:cs="Times New Roman"/>
        </w:rPr>
        <w:t xml:space="preserve"> </w:t>
      </w:r>
      <w:proofErr w:type="spellStart"/>
      <w:r w:rsidRPr="00F07E85">
        <w:rPr>
          <w:rFonts w:ascii="Times New Roman" w:hAnsi="Times New Roman" w:cs="Times New Roman"/>
        </w:rPr>
        <w:t>Pinasa</w:t>
      </w:r>
      <w:proofErr w:type="spellEnd"/>
      <w:r w:rsidRPr="00F07E85">
        <w:rPr>
          <w:rFonts w:ascii="Times New Roman" w:hAnsi="Times New Roman" w:cs="Times New Roman"/>
        </w:rPr>
        <w:t>–</w:t>
      </w:r>
      <w:proofErr w:type="spellStart"/>
      <w:r w:rsidRPr="00F07E85">
        <w:rPr>
          <w:rFonts w:ascii="Times New Roman" w:hAnsi="Times New Roman" w:cs="Times New Roman"/>
        </w:rPr>
        <w:t>Parsosoran</w:t>
      </w:r>
      <w:proofErr w:type="spellEnd"/>
      <w:r w:rsidRPr="00F07E85">
        <w:rPr>
          <w:rFonts w:ascii="Times New Roman" w:hAnsi="Times New Roman" w:cs="Times New Roman"/>
        </w:rPr>
        <w:t>–</w:t>
      </w:r>
      <w:proofErr w:type="spellStart"/>
      <w:r w:rsidRPr="00F07E85">
        <w:rPr>
          <w:rFonts w:ascii="Times New Roman" w:hAnsi="Times New Roman" w:cs="Times New Roman"/>
        </w:rPr>
        <w:t>Gotting</w:t>
      </w:r>
      <w:proofErr w:type="spellEnd"/>
      <w:r w:rsidRPr="00F07E85">
        <w:rPr>
          <w:rFonts w:ascii="Times New Roman" w:hAnsi="Times New Roman" w:cs="Times New Roman"/>
        </w:rPr>
        <w:t xml:space="preserve"> Salak.</w:t>
      </w:r>
    </w:p>
    <w:p w14:paraId="3656310C" w14:textId="77777777" w:rsidR="00F07E85" w:rsidRPr="00F07E85" w:rsidRDefault="00F07E85" w:rsidP="00F07E85">
      <w:pPr>
        <w:jc w:val="both"/>
        <w:rPr>
          <w:rFonts w:ascii="Times New Roman" w:hAnsi="Times New Roman" w:cs="Times New Roman"/>
          <w:b/>
          <w:bCs/>
        </w:rPr>
      </w:pPr>
      <w:r w:rsidRPr="00F07E85">
        <w:rPr>
          <w:rFonts w:ascii="Times New Roman" w:hAnsi="Times New Roman" w:cs="Times New Roman"/>
          <w:b/>
          <w:bCs/>
        </w:rPr>
        <w:t>Research Design</w:t>
      </w:r>
    </w:p>
    <w:p w14:paraId="23A45754" w14:textId="77777777" w:rsidR="00F07E85" w:rsidRPr="00F07E85" w:rsidRDefault="00F07E85" w:rsidP="00F07E85">
      <w:pPr>
        <w:jc w:val="both"/>
        <w:rPr>
          <w:rFonts w:ascii="Times New Roman" w:hAnsi="Times New Roman" w:cs="Times New Roman"/>
        </w:rPr>
      </w:pPr>
      <w:r w:rsidRPr="00F07E85">
        <w:rPr>
          <w:rFonts w:ascii="Times New Roman" w:hAnsi="Times New Roman" w:cs="Times New Roman"/>
        </w:rPr>
        <w:t xml:space="preserve">The study employed a </w:t>
      </w:r>
      <w:r w:rsidRPr="00F07E85">
        <w:rPr>
          <w:rFonts w:ascii="Times New Roman" w:hAnsi="Times New Roman" w:cs="Times New Roman"/>
          <w:b/>
          <w:bCs/>
        </w:rPr>
        <w:t>quasi-experimental before-and-after design</w:t>
      </w:r>
      <w:r w:rsidRPr="00F07E85">
        <w:rPr>
          <w:rFonts w:ascii="Times New Roman" w:hAnsi="Times New Roman" w:cs="Times New Roman"/>
        </w:rPr>
        <w:t xml:space="preserve"> to assess the impact of road rehabilitation. Data were collected from the same road segments </w:t>
      </w:r>
      <w:r w:rsidRPr="00F07E85">
        <w:rPr>
          <w:rFonts w:ascii="Times New Roman" w:hAnsi="Times New Roman" w:cs="Times New Roman"/>
          <w:b/>
          <w:bCs/>
        </w:rPr>
        <w:t>prior to</w:t>
      </w:r>
      <w:r w:rsidRPr="00F07E85">
        <w:rPr>
          <w:rFonts w:ascii="Times New Roman" w:hAnsi="Times New Roman" w:cs="Times New Roman"/>
        </w:rPr>
        <w:t xml:space="preserve"> and </w:t>
      </w:r>
      <w:r w:rsidRPr="00F07E85">
        <w:rPr>
          <w:rFonts w:ascii="Times New Roman" w:hAnsi="Times New Roman" w:cs="Times New Roman"/>
          <w:b/>
          <w:bCs/>
        </w:rPr>
        <w:t>after rehabilitation interventions</w:t>
      </w:r>
      <w:r w:rsidRPr="00F07E85">
        <w:rPr>
          <w:rFonts w:ascii="Times New Roman" w:hAnsi="Times New Roman" w:cs="Times New Roman"/>
        </w:rPr>
        <w:t>. This enabled a comparative analysis of changes in Vehicle Operating Costs (VOC) and accessibility scores.</w:t>
      </w:r>
    </w:p>
    <w:p w14:paraId="72B6ED4E" w14:textId="77777777" w:rsidR="00F07E85" w:rsidRPr="00F07E85" w:rsidRDefault="00F07E85" w:rsidP="00F07E85">
      <w:pPr>
        <w:jc w:val="both"/>
        <w:rPr>
          <w:rFonts w:ascii="Times New Roman" w:hAnsi="Times New Roman" w:cs="Times New Roman"/>
          <w:b/>
          <w:bCs/>
        </w:rPr>
      </w:pPr>
      <w:r w:rsidRPr="00F07E85">
        <w:rPr>
          <w:rFonts w:ascii="Times New Roman" w:hAnsi="Times New Roman" w:cs="Times New Roman"/>
          <w:b/>
          <w:bCs/>
        </w:rPr>
        <w:t>Data Collection</w:t>
      </w:r>
    </w:p>
    <w:p w14:paraId="6EBAC796" w14:textId="77777777" w:rsidR="00F07E85" w:rsidRPr="00F07E85" w:rsidRDefault="00F07E85" w:rsidP="00F07E85">
      <w:pPr>
        <w:jc w:val="both"/>
        <w:rPr>
          <w:rFonts w:ascii="Times New Roman" w:hAnsi="Times New Roman" w:cs="Times New Roman"/>
        </w:rPr>
      </w:pPr>
      <w:r w:rsidRPr="00F07E85">
        <w:rPr>
          <w:rFonts w:ascii="Times New Roman" w:hAnsi="Times New Roman" w:cs="Times New Roman"/>
        </w:rPr>
        <w:t xml:space="preserve">Primary data were collected through field traffic surveys, which included measurements of road conditions, vehicle types, speed, fuel usage, and distance. Secondary data, such as population statistics and spatial service center locations, were obtained from the </w:t>
      </w:r>
      <w:r w:rsidRPr="00F07E85">
        <w:rPr>
          <w:rFonts w:ascii="Times New Roman" w:hAnsi="Times New Roman" w:cs="Times New Roman"/>
          <w:b/>
          <w:bCs/>
        </w:rPr>
        <w:t>Central Bureau of Statistics (BPS)</w:t>
      </w:r>
      <w:r w:rsidRPr="00F07E85">
        <w:rPr>
          <w:rFonts w:ascii="Times New Roman" w:hAnsi="Times New Roman" w:cs="Times New Roman"/>
        </w:rPr>
        <w:t xml:space="preserve"> and the </w:t>
      </w:r>
      <w:r w:rsidRPr="00F07E85">
        <w:rPr>
          <w:rFonts w:ascii="Times New Roman" w:hAnsi="Times New Roman" w:cs="Times New Roman"/>
          <w:b/>
          <w:bCs/>
        </w:rPr>
        <w:t>Department of Public Works and Spatial Planning (DPUTR)</w:t>
      </w:r>
      <w:r w:rsidRPr="00F07E85">
        <w:rPr>
          <w:rFonts w:ascii="Times New Roman" w:hAnsi="Times New Roman" w:cs="Times New Roman"/>
        </w:rPr>
        <w:t xml:space="preserve"> of North Tapanuli.</w:t>
      </w:r>
    </w:p>
    <w:p w14:paraId="0E87C83F" w14:textId="77777777" w:rsidR="00F07E85" w:rsidRPr="00F07E85" w:rsidRDefault="00F07E85" w:rsidP="00F07E85">
      <w:pPr>
        <w:jc w:val="both"/>
        <w:rPr>
          <w:rFonts w:ascii="Times New Roman" w:hAnsi="Times New Roman" w:cs="Times New Roman"/>
          <w:b/>
          <w:bCs/>
        </w:rPr>
      </w:pPr>
      <w:r w:rsidRPr="00F07E85">
        <w:rPr>
          <w:rFonts w:ascii="Times New Roman" w:hAnsi="Times New Roman" w:cs="Times New Roman"/>
          <w:b/>
          <w:bCs/>
        </w:rPr>
        <w:t>VOC Calculation</w:t>
      </w:r>
    </w:p>
    <w:p w14:paraId="0A19CB04" w14:textId="77777777" w:rsidR="00F07E85" w:rsidRPr="00F07E85" w:rsidRDefault="00F07E85" w:rsidP="00F07E85">
      <w:pPr>
        <w:jc w:val="both"/>
        <w:rPr>
          <w:rFonts w:ascii="Times New Roman" w:hAnsi="Times New Roman" w:cs="Times New Roman"/>
        </w:rPr>
      </w:pPr>
      <w:r w:rsidRPr="00F07E85">
        <w:rPr>
          <w:rFonts w:ascii="Times New Roman" w:hAnsi="Times New Roman" w:cs="Times New Roman"/>
        </w:rPr>
        <w:t xml:space="preserve">The </w:t>
      </w:r>
      <w:r w:rsidRPr="00F07E85">
        <w:rPr>
          <w:rFonts w:ascii="Times New Roman" w:hAnsi="Times New Roman" w:cs="Times New Roman"/>
          <w:b/>
          <w:bCs/>
        </w:rPr>
        <w:t>Vehicle Operating Costs (VOC)</w:t>
      </w:r>
      <w:r w:rsidRPr="00F07E85">
        <w:rPr>
          <w:rFonts w:ascii="Times New Roman" w:hAnsi="Times New Roman" w:cs="Times New Roman"/>
        </w:rPr>
        <w:t xml:space="preserve"> were computed using the Indonesian Ministry of Public Works and Housing guideline: </w:t>
      </w:r>
      <w:r w:rsidRPr="00F07E85">
        <w:rPr>
          <w:rFonts w:ascii="Times New Roman" w:hAnsi="Times New Roman" w:cs="Times New Roman"/>
          <w:b/>
          <w:bCs/>
        </w:rPr>
        <w:t>Pd-T-15-2005-B</w:t>
      </w:r>
      <w:r w:rsidRPr="00F07E85">
        <w:rPr>
          <w:rFonts w:ascii="Times New Roman" w:hAnsi="Times New Roman" w:cs="Times New Roman"/>
        </w:rPr>
        <w:t>. The model calculates VOC as a function of:</w:t>
      </w:r>
    </w:p>
    <w:p w14:paraId="1A8E1FCA" w14:textId="77777777" w:rsidR="00F07E85" w:rsidRPr="00F07E85" w:rsidRDefault="00F07E85" w:rsidP="00F07E85">
      <w:pPr>
        <w:numPr>
          <w:ilvl w:val="0"/>
          <w:numId w:val="2"/>
        </w:numPr>
        <w:jc w:val="both"/>
        <w:rPr>
          <w:rFonts w:ascii="Times New Roman" w:hAnsi="Times New Roman" w:cs="Times New Roman"/>
        </w:rPr>
      </w:pPr>
      <w:r w:rsidRPr="00F07E85">
        <w:rPr>
          <w:rFonts w:ascii="Times New Roman" w:hAnsi="Times New Roman" w:cs="Times New Roman"/>
        </w:rPr>
        <w:t>Fuel consumption</w:t>
      </w:r>
    </w:p>
    <w:p w14:paraId="596638DC" w14:textId="77777777" w:rsidR="00F07E85" w:rsidRPr="00F07E85" w:rsidRDefault="00F07E85" w:rsidP="00F07E85">
      <w:pPr>
        <w:numPr>
          <w:ilvl w:val="0"/>
          <w:numId w:val="2"/>
        </w:numPr>
        <w:jc w:val="both"/>
        <w:rPr>
          <w:rFonts w:ascii="Times New Roman" w:hAnsi="Times New Roman" w:cs="Times New Roman"/>
        </w:rPr>
      </w:pPr>
      <w:r w:rsidRPr="00F07E85">
        <w:rPr>
          <w:rFonts w:ascii="Times New Roman" w:hAnsi="Times New Roman" w:cs="Times New Roman"/>
        </w:rPr>
        <w:t>Engine oil usage</w:t>
      </w:r>
    </w:p>
    <w:p w14:paraId="41A03DC4" w14:textId="77777777" w:rsidR="00F07E85" w:rsidRPr="00F07E85" w:rsidRDefault="00F07E85" w:rsidP="00F07E85">
      <w:pPr>
        <w:numPr>
          <w:ilvl w:val="0"/>
          <w:numId w:val="2"/>
        </w:numPr>
        <w:jc w:val="both"/>
        <w:rPr>
          <w:rFonts w:ascii="Times New Roman" w:hAnsi="Times New Roman" w:cs="Times New Roman"/>
        </w:rPr>
      </w:pPr>
      <w:r w:rsidRPr="00F07E85">
        <w:rPr>
          <w:rFonts w:ascii="Times New Roman" w:hAnsi="Times New Roman" w:cs="Times New Roman"/>
        </w:rPr>
        <w:t>Spare part wear</w:t>
      </w:r>
    </w:p>
    <w:p w14:paraId="3B6E6CFB" w14:textId="77777777" w:rsidR="00F07E85" w:rsidRPr="00F07E85" w:rsidRDefault="00F07E85" w:rsidP="00F07E85">
      <w:pPr>
        <w:numPr>
          <w:ilvl w:val="0"/>
          <w:numId w:val="2"/>
        </w:numPr>
        <w:jc w:val="both"/>
        <w:rPr>
          <w:rFonts w:ascii="Times New Roman" w:hAnsi="Times New Roman" w:cs="Times New Roman"/>
        </w:rPr>
      </w:pPr>
      <w:r w:rsidRPr="00F07E85">
        <w:rPr>
          <w:rFonts w:ascii="Times New Roman" w:hAnsi="Times New Roman" w:cs="Times New Roman"/>
        </w:rPr>
        <w:t>Tire depreciation</w:t>
      </w:r>
    </w:p>
    <w:p w14:paraId="1657BECA" w14:textId="77777777" w:rsidR="00F07E85" w:rsidRPr="00F07E85" w:rsidRDefault="00F07E85" w:rsidP="00F07E85">
      <w:pPr>
        <w:numPr>
          <w:ilvl w:val="0"/>
          <w:numId w:val="2"/>
        </w:numPr>
        <w:jc w:val="both"/>
        <w:rPr>
          <w:rFonts w:ascii="Times New Roman" w:hAnsi="Times New Roman" w:cs="Times New Roman"/>
        </w:rPr>
      </w:pPr>
      <w:r w:rsidRPr="00F07E85">
        <w:rPr>
          <w:rFonts w:ascii="Times New Roman" w:hAnsi="Times New Roman" w:cs="Times New Roman"/>
        </w:rPr>
        <w:t>Maintenance labor costs</w:t>
      </w:r>
    </w:p>
    <w:p w14:paraId="3F3F0A8C" w14:textId="77777777" w:rsidR="00F07E85" w:rsidRPr="00F07E85" w:rsidRDefault="00F07E85" w:rsidP="00F07E85">
      <w:pPr>
        <w:jc w:val="both"/>
        <w:rPr>
          <w:rFonts w:ascii="Times New Roman" w:hAnsi="Times New Roman" w:cs="Times New Roman"/>
        </w:rPr>
      </w:pPr>
      <w:r w:rsidRPr="00F07E85">
        <w:rPr>
          <w:rFonts w:ascii="Times New Roman" w:hAnsi="Times New Roman" w:cs="Times New Roman"/>
        </w:rPr>
        <w:lastRenderedPageBreak/>
        <w:t>The VOC formula used was:</w:t>
      </w:r>
    </w:p>
    <w:p w14:paraId="70847B6B" w14:textId="42216490" w:rsidR="00F07E85" w:rsidRPr="00F07E85" w:rsidRDefault="00F07E85" w:rsidP="00F07E85">
      <w:pPr>
        <w:jc w:val="center"/>
        <w:rPr>
          <w:rFonts w:ascii="Times New Roman" w:hAnsi="Times New Roman" w:cs="Times New Roman"/>
        </w:rPr>
      </w:pPr>
      <w:r w:rsidRPr="00F07E85">
        <w:rPr>
          <w:rFonts w:ascii="Times New Roman" w:hAnsi="Times New Roman" w:cs="Times New Roman"/>
        </w:rPr>
        <w:t>VOC=Fuel </w:t>
      </w:r>
      <w:proofErr w:type="spellStart"/>
      <w:r w:rsidRPr="00F07E85">
        <w:rPr>
          <w:rFonts w:ascii="Times New Roman" w:hAnsi="Times New Roman" w:cs="Times New Roman"/>
        </w:rPr>
        <w:t>Cost+Oil</w:t>
      </w:r>
      <w:proofErr w:type="spellEnd"/>
      <w:r w:rsidRPr="00F07E85">
        <w:rPr>
          <w:rFonts w:ascii="Times New Roman" w:hAnsi="Times New Roman" w:cs="Times New Roman"/>
        </w:rPr>
        <w:t> </w:t>
      </w:r>
      <w:proofErr w:type="spellStart"/>
      <w:r w:rsidRPr="00F07E85">
        <w:rPr>
          <w:rFonts w:ascii="Times New Roman" w:hAnsi="Times New Roman" w:cs="Times New Roman"/>
        </w:rPr>
        <w:t>Cost+Spare</w:t>
      </w:r>
      <w:proofErr w:type="spellEnd"/>
      <w:r w:rsidRPr="00F07E85">
        <w:rPr>
          <w:rFonts w:ascii="Times New Roman" w:hAnsi="Times New Roman" w:cs="Times New Roman"/>
        </w:rPr>
        <w:t> </w:t>
      </w:r>
      <w:proofErr w:type="spellStart"/>
      <w:r w:rsidRPr="00F07E85">
        <w:rPr>
          <w:rFonts w:ascii="Times New Roman" w:hAnsi="Times New Roman" w:cs="Times New Roman"/>
        </w:rPr>
        <w:t>Parts+Labor+Tires</w:t>
      </w:r>
      <w:proofErr w:type="spellEnd"/>
    </w:p>
    <w:p w14:paraId="257F9A8E" w14:textId="77777777" w:rsidR="00F07E85" w:rsidRPr="00F07E85" w:rsidRDefault="00F07E85" w:rsidP="00F07E85">
      <w:pPr>
        <w:jc w:val="both"/>
        <w:rPr>
          <w:rFonts w:ascii="Times New Roman" w:hAnsi="Times New Roman" w:cs="Times New Roman"/>
        </w:rPr>
      </w:pPr>
      <w:r w:rsidRPr="00F07E85">
        <w:rPr>
          <w:rFonts w:ascii="Times New Roman" w:hAnsi="Times New Roman" w:cs="Times New Roman"/>
        </w:rPr>
        <w:t>Each component was estimated per vehicle type and per kilometer, based on technical parameters (e.g., vehicle weight, road roughness, gradient) and price inputs from market surveys.</w:t>
      </w:r>
    </w:p>
    <w:p w14:paraId="2B58F59B" w14:textId="77777777" w:rsidR="00F07E85" w:rsidRPr="00F07E85" w:rsidRDefault="00F07E85" w:rsidP="00F07E85">
      <w:pPr>
        <w:jc w:val="both"/>
        <w:rPr>
          <w:rFonts w:ascii="Times New Roman" w:hAnsi="Times New Roman" w:cs="Times New Roman"/>
          <w:b/>
          <w:bCs/>
        </w:rPr>
      </w:pPr>
      <w:r w:rsidRPr="00F07E85">
        <w:rPr>
          <w:rFonts w:ascii="Times New Roman" w:hAnsi="Times New Roman" w:cs="Times New Roman"/>
          <w:b/>
          <w:bCs/>
        </w:rPr>
        <w:t>Accessibility Analysis</w:t>
      </w:r>
    </w:p>
    <w:p w14:paraId="0ED301BF" w14:textId="77777777" w:rsidR="00F07E85" w:rsidRPr="00F07E85" w:rsidRDefault="00F07E85" w:rsidP="00F07E85">
      <w:pPr>
        <w:jc w:val="both"/>
        <w:rPr>
          <w:rFonts w:ascii="Times New Roman" w:hAnsi="Times New Roman" w:cs="Times New Roman"/>
        </w:rPr>
      </w:pPr>
      <w:r w:rsidRPr="00F07E85">
        <w:rPr>
          <w:rFonts w:ascii="Times New Roman" w:hAnsi="Times New Roman" w:cs="Times New Roman"/>
        </w:rPr>
        <w:t xml:space="preserve">To evaluate changes in accessibility, we applied a </w:t>
      </w:r>
      <w:r w:rsidRPr="00F07E85">
        <w:rPr>
          <w:rFonts w:ascii="Times New Roman" w:hAnsi="Times New Roman" w:cs="Times New Roman"/>
          <w:b/>
          <w:bCs/>
        </w:rPr>
        <w:t>node-based Accessibility Index (AI)</w:t>
      </w:r>
      <w:r w:rsidRPr="00F07E85">
        <w:rPr>
          <w:rFonts w:ascii="Times New Roman" w:hAnsi="Times New Roman" w:cs="Times New Roman"/>
        </w:rPr>
        <w:t xml:space="preserve"> model. The index measures the average travel time from each village node to a set of key public facilities (e.g., markets, schools, health centers), weighted by population:</w:t>
      </w:r>
    </w:p>
    <w:p w14:paraId="4FF6A5F9" w14:textId="255A7867" w:rsidR="00F07E85" w:rsidRPr="00F07E85" w:rsidRDefault="00F07E85" w:rsidP="00F07E85">
      <w:pPr>
        <w:jc w:val="center"/>
        <w:rPr>
          <w:rFonts w:ascii="Times New Roman" w:hAnsi="Times New Roman" w:cs="Times New Roman"/>
        </w:rPr>
      </w:pPr>
      <w:r w:rsidRPr="00F07E85">
        <w:rPr>
          <w:rFonts w:ascii="Times New Roman" w:hAnsi="Times New Roman" w:cs="Times New Roman"/>
          <w:noProof/>
        </w:rPr>
        <w:drawing>
          <wp:inline distT="0" distB="0" distL="0" distR="0" wp14:anchorId="2FA5A2D3" wp14:editId="547EF3C4">
            <wp:extent cx="933450" cy="373380"/>
            <wp:effectExtent l="0" t="0" r="0" b="7620"/>
            <wp:docPr id="1288575941" name="Picture 1" descr="A black symbol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75941" name="Picture 1" descr="A black symbol with white text&#10;&#10;AI-generated content may be incorrect."/>
                    <pic:cNvPicPr/>
                  </pic:nvPicPr>
                  <pic:blipFill>
                    <a:blip r:embed="rId7"/>
                    <a:stretch>
                      <a:fillRect/>
                    </a:stretch>
                  </pic:blipFill>
                  <pic:spPr>
                    <a:xfrm>
                      <a:off x="0" y="0"/>
                      <a:ext cx="936058" cy="374423"/>
                    </a:xfrm>
                    <a:prstGeom prst="rect">
                      <a:avLst/>
                    </a:prstGeom>
                  </pic:spPr>
                </pic:pic>
              </a:graphicData>
            </a:graphic>
          </wp:inline>
        </w:drawing>
      </w:r>
    </w:p>
    <w:p w14:paraId="444A1407" w14:textId="77777777" w:rsidR="00F07E85" w:rsidRPr="00F07E85" w:rsidRDefault="00F07E85" w:rsidP="00F07E85">
      <w:pPr>
        <w:jc w:val="both"/>
        <w:rPr>
          <w:rFonts w:ascii="Times New Roman" w:hAnsi="Times New Roman" w:cs="Times New Roman"/>
        </w:rPr>
      </w:pPr>
      <w:r w:rsidRPr="00F07E85">
        <w:rPr>
          <w:rFonts w:ascii="Times New Roman" w:hAnsi="Times New Roman" w:cs="Times New Roman"/>
        </w:rPr>
        <w:t>Where:</w:t>
      </w:r>
    </w:p>
    <w:p w14:paraId="68EF30D3" w14:textId="7385750A" w:rsidR="00F07E85" w:rsidRPr="00F07E85" w:rsidRDefault="00F07E85" w:rsidP="00F07E85">
      <w:pPr>
        <w:numPr>
          <w:ilvl w:val="0"/>
          <w:numId w:val="3"/>
        </w:numPr>
        <w:jc w:val="both"/>
        <w:rPr>
          <w:rFonts w:ascii="Times New Roman" w:hAnsi="Times New Roman" w:cs="Times New Roman"/>
        </w:rPr>
      </w:pPr>
      <w:r w:rsidRPr="00F07E85">
        <w:rPr>
          <w:rFonts w:ascii="Times New Roman" w:hAnsi="Times New Roman" w:cs="Times New Roman"/>
        </w:rPr>
        <w:t xml:space="preserve">Li ​: Accessibility score of </w:t>
      </w:r>
      <w:proofErr w:type="gramStart"/>
      <w:r w:rsidRPr="00F07E85">
        <w:rPr>
          <w:rFonts w:ascii="Times New Roman" w:hAnsi="Times New Roman" w:cs="Times New Roman"/>
        </w:rPr>
        <w:t>node</w:t>
      </w:r>
      <w:proofErr w:type="gramEnd"/>
      <w:r w:rsidRPr="00F07E85">
        <w:rPr>
          <w:rFonts w:ascii="Times New Roman" w:hAnsi="Times New Roman" w:cs="Times New Roman"/>
        </w:rPr>
        <w:t xml:space="preserve"> </w:t>
      </w:r>
      <w:proofErr w:type="spellStart"/>
      <w:r w:rsidRPr="00F07E85">
        <w:rPr>
          <w:rFonts w:ascii="Times New Roman" w:hAnsi="Times New Roman" w:cs="Times New Roman"/>
        </w:rPr>
        <w:t>i</w:t>
      </w:r>
      <w:proofErr w:type="spellEnd"/>
    </w:p>
    <w:p w14:paraId="3B30F827" w14:textId="4229B720" w:rsidR="00F07E85" w:rsidRPr="00F07E85" w:rsidRDefault="00F07E85" w:rsidP="00F07E85">
      <w:pPr>
        <w:numPr>
          <w:ilvl w:val="0"/>
          <w:numId w:val="3"/>
        </w:numPr>
        <w:jc w:val="both"/>
        <w:rPr>
          <w:rFonts w:ascii="Times New Roman" w:hAnsi="Times New Roman" w:cs="Times New Roman"/>
        </w:rPr>
      </w:pPr>
      <w:proofErr w:type="spellStart"/>
      <w:r w:rsidRPr="00F07E85">
        <w:rPr>
          <w:rFonts w:ascii="Times New Roman" w:hAnsi="Times New Roman" w:cs="Times New Roman"/>
        </w:rPr>
        <w:t>Pj</w:t>
      </w:r>
      <w:proofErr w:type="spellEnd"/>
      <w:r w:rsidRPr="00F07E85">
        <w:rPr>
          <w:rFonts w:ascii="Times New Roman" w:hAnsi="Times New Roman" w:cs="Times New Roman"/>
        </w:rPr>
        <w:t xml:space="preserve"> ​: Population at destination node j</w:t>
      </w:r>
    </w:p>
    <w:p w14:paraId="60ACC06A" w14:textId="0AFA9EE8" w:rsidR="00F07E85" w:rsidRPr="00F07E85" w:rsidRDefault="00F07E85" w:rsidP="00F07E85">
      <w:pPr>
        <w:numPr>
          <w:ilvl w:val="0"/>
          <w:numId w:val="3"/>
        </w:numPr>
        <w:jc w:val="both"/>
        <w:rPr>
          <w:rFonts w:ascii="Times New Roman" w:hAnsi="Times New Roman" w:cs="Times New Roman"/>
        </w:rPr>
      </w:pPr>
      <w:proofErr w:type="spellStart"/>
      <w:r w:rsidRPr="00F07E85">
        <w:rPr>
          <w:rFonts w:ascii="Times New Roman" w:hAnsi="Times New Roman" w:cs="Times New Roman"/>
        </w:rPr>
        <w:t>Tij</w:t>
      </w:r>
      <w:proofErr w:type="spellEnd"/>
      <w:r w:rsidRPr="00F07E85">
        <w:rPr>
          <w:rFonts w:ascii="Times New Roman" w:hAnsi="Times New Roman" w:cs="Times New Roman"/>
        </w:rPr>
        <w:t xml:space="preserve"> ​: Travel time from node </w:t>
      </w:r>
      <w:r>
        <w:rPr>
          <w:rFonts w:ascii="Times New Roman" w:hAnsi="Times New Roman" w:cs="Times New Roman"/>
        </w:rPr>
        <w:t xml:space="preserve">I </w:t>
      </w:r>
      <w:r w:rsidRPr="00F07E85">
        <w:rPr>
          <w:rFonts w:ascii="Times New Roman" w:hAnsi="Times New Roman" w:cs="Times New Roman"/>
        </w:rPr>
        <w:t>to j</w:t>
      </w:r>
    </w:p>
    <w:p w14:paraId="5E5E90F3" w14:textId="77777777" w:rsidR="00F07E85" w:rsidRPr="00F07E85" w:rsidRDefault="00F07E85" w:rsidP="00F07E85">
      <w:pPr>
        <w:jc w:val="both"/>
        <w:rPr>
          <w:rFonts w:ascii="Times New Roman" w:hAnsi="Times New Roman" w:cs="Times New Roman"/>
        </w:rPr>
      </w:pPr>
      <w:r w:rsidRPr="00F07E85">
        <w:rPr>
          <w:rFonts w:ascii="Times New Roman" w:hAnsi="Times New Roman" w:cs="Times New Roman"/>
        </w:rPr>
        <w:t xml:space="preserve">Accessibility scores were calculated both </w:t>
      </w:r>
      <w:r w:rsidRPr="00F07E85">
        <w:rPr>
          <w:rFonts w:ascii="Times New Roman" w:hAnsi="Times New Roman" w:cs="Times New Roman"/>
          <w:b/>
          <w:bCs/>
        </w:rPr>
        <w:t>before</w:t>
      </w:r>
      <w:r w:rsidRPr="00F07E85">
        <w:rPr>
          <w:rFonts w:ascii="Times New Roman" w:hAnsi="Times New Roman" w:cs="Times New Roman"/>
        </w:rPr>
        <w:t xml:space="preserve"> and </w:t>
      </w:r>
      <w:r w:rsidRPr="00F07E85">
        <w:rPr>
          <w:rFonts w:ascii="Times New Roman" w:hAnsi="Times New Roman" w:cs="Times New Roman"/>
          <w:b/>
          <w:bCs/>
        </w:rPr>
        <w:t>after road improvements</w:t>
      </w:r>
      <w:r w:rsidRPr="00F07E85">
        <w:rPr>
          <w:rFonts w:ascii="Times New Roman" w:hAnsi="Times New Roman" w:cs="Times New Roman"/>
        </w:rPr>
        <w:t>, using GIS-based network modeling and real travel time data collected during the surveys.</w:t>
      </w:r>
    </w:p>
    <w:p w14:paraId="6CEBB070" w14:textId="77777777" w:rsidR="00F07E85" w:rsidRPr="00F07E85" w:rsidRDefault="00F07E85" w:rsidP="00F07E85">
      <w:pPr>
        <w:jc w:val="both"/>
        <w:rPr>
          <w:rFonts w:ascii="Times New Roman" w:hAnsi="Times New Roman" w:cs="Times New Roman"/>
          <w:b/>
          <w:bCs/>
        </w:rPr>
      </w:pPr>
      <w:r w:rsidRPr="00F07E85">
        <w:rPr>
          <w:rFonts w:ascii="Times New Roman" w:hAnsi="Times New Roman" w:cs="Times New Roman"/>
          <w:b/>
          <w:bCs/>
        </w:rPr>
        <w:t>Statistical Analysis</w:t>
      </w:r>
    </w:p>
    <w:p w14:paraId="28DCA3B0" w14:textId="2F070051" w:rsidR="00F07E85" w:rsidRPr="00F07E85" w:rsidRDefault="00F07E85" w:rsidP="00F07E85">
      <w:pPr>
        <w:jc w:val="both"/>
        <w:rPr>
          <w:rFonts w:ascii="Times New Roman" w:hAnsi="Times New Roman" w:cs="Times New Roman"/>
        </w:rPr>
      </w:pPr>
      <w:r w:rsidRPr="00F07E85">
        <w:rPr>
          <w:rFonts w:ascii="Times New Roman" w:hAnsi="Times New Roman" w:cs="Times New Roman"/>
        </w:rPr>
        <w:t xml:space="preserve">To assess the significance of observed changes, </w:t>
      </w:r>
      <w:r w:rsidRPr="00F07E85">
        <w:rPr>
          <w:rFonts w:ascii="Times New Roman" w:hAnsi="Times New Roman" w:cs="Times New Roman"/>
          <w:b/>
          <w:bCs/>
        </w:rPr>
        <w:t>paired sample t-tests</w:t>
      </w:r>
      <w:r w:rsidRPr="00F07E85">
        <w:rPr>
          <w:rFonts w:ascii="Times New Roman" w:hAnsi="Times New Roman" w:cs="Times New Roman"/>
        </w:rPr>
        <w:t xml:space="preserve"> were conducted on VOC and accessibility values before and after road rehabilitation. A 95% confidence level (α = 0.05) was used to determine statistical significance. Analyses were performed using SPSS software version 25</w:t>
      </w:r>
      <w:r>
        <w:rPr>
          <w:rFonts w:ascii="Times New Roman" w:hAnsi="Times New Roman" w:cs="Times New Roman"/>
        </w:rPr>
        <w:t>.</w:t>
      </w:r>
    </w:p>
    <w:p w14:paraId="38718639" w14:textId="107F081D" w:rsidR="007A7326" w:rsidRPr="00F07E85" w:rsidRDefault="00F07E85" w:rsidP="007D5297">
      <w:pPr>
        <w:pStyle w:val="ListParagraph"/>
        <w:numPr>
          <w:ilvl w:val="0"/>
          <w:numId w:val="1"/>
        </w:numPr>
        <w:ind w:left="709"/>
        <w:rPr>
          <w:rFonts w:ascii="Times New Roman" w:hAnsi="Times New Roman" w:cs="Times New Roman"/>
          <w:b/>
          <w:bCs/>
        </w:rPr>
      </w:pPr>
      <w:r>
        <w:rPr>
          <w:rFonts w:ascii="Times New Roman" w:hAnsi="Times New Roman" w:cs="Times New Roman"/>
          <w:b/>
          <w:bCs/>
        </w:rPr>
        <w:t>Results and Discussion</w:t>
      </w:r>
    </w:p>
    <w:p w14:paraId="0F7D7041" w14:textId="77777777" w:rsidR="007D5297" w:rsidRPr="007D5297" w:rsidRDefault="007D5297" w:rsidP="007D5297">
      <w:pPr>
        <w:rPr>
          <w:rFonts w:ascii="Times New Roman" w:hAnsi="Times New Roman" w:cs="Times New Roman"/>
          <w:b/>
          <w:bCs/>
        </w:rPr>
      </w:pPr>
      <w:r w:rsidRPr="007D5297">
        <w:rPr>
          <w:rFonts w:ascii="Times New Roman" w:hAnsi="Times New Roman" w:cs="Times New Roman"/>
          <w:b/>
          <w:bCs/>
        </w:rPr>
        <w:t>1. Impact of Road Rehabilitation on Vehicle Operating Costs (VOC)</w:t>
      </w:r>
    </w:p>
    <w:p w14:paraId="5A482F66" w14:textId="77777777" w:rsidR="007D5297" w:rsidRPr="007D5297" w:rsidRDefault="007D5297" w:rsidP="007D5297">
      <w:pPr>
        <w:jc w:val="both"/>
        <w:rPr>
          <w:rFonts w:ascii="Times New Roman" w:hAnsi="Times New Roman" w:cs="Times New Roman"/>
        </w:rPr>
      </w:pPr>
      <w:r w:rsidRPr="007D5297">
        <w:rPr>
          <w:rFonts w:ascii="Times New Roman" w:hAnsi="Times New Roman" w:cs="Times New Roman"/>
        </w:rPr>
        <w:t xml:space="preserve">A comparative analysis was conducted to evaluate the changes in VOC before and after road rehabilitation across three major vehicle categories: motorcycles, passenger cars, and freight trucks. As shown in </w:t>
      </w:r>
      <w:r w:rsidRPr="007D5297">
        <w:rPr>
          <w:rFonts w:ascii="Times New Roman" w:hAnsi="Times New Roman" w:cs="Times New Roman"/>
          <w:b/>
          <w:bCs/>
        </w:rPr>
        <w:t>Table 1</w:t>
      </w:r>
      <w:r w:rsidRPr="007D5297">
        <w:rPr>
          <w:rFonts w:ascii="Times New Roman" w:hAnsi="Times New Roman" w:cs="Times New Roman"/>
        </w:rPr>
        <w:t>, there was a clear decline in VOC across all categories:</w:t>
      </w:r>
    </w:p>
    <w:p w14:paraId="1E4F4854" w14:textId="77777777" w:rsidR="007D5297" w:rsidRPr="007D5297" w:rsidRDefault="007D5297" w:rsidP="007D5297">
      <w:pPr>
        <w:jc w:val="center"/>
        <w:rPr>
          <w:rFonts w:ascii="Times New Roman" w:hAnsi="Times New Roman" w:cs="Times New Roman"/>
        </w:rPr>
      </w:pPr>
      <w:r w:rsidRPr="007D5297">
        <w:rPr>
          <w:rFonts w:ascii="Times New Roman" w:hAnsi="Times New Roman" w:cs="Times New Roman"/>
          <w:b/>
          <w:bCs/>
        </w:rPr>
        <w:t xml:space="preserve">Table 1. </w:t>
      </w:r>
      <w:r w:rsidRPr="007D5297">
        <w:rPr>
          <w:rFonts w:ascii="Times New Roman" w:hAnsi="Times New Roman" w:cs="Times New Roman"/>
        </w:rPr>
        <w:t>Vehicle Operating Costs Before and After Rehabilitation</w:t>
      </w:r>
    </w:p>
    <w:tbl>
      <w:tblPr>
        <w:tblStyle w:val="TableGrid"/>
        <w:tblW w:w="0" w:type="auto"/>
        <w:jc w:val="center"/>
        <w:tblLook w:val="04A0" w:firstRow="1" w:lastRow="0" w:firstColumn="1" w:lastColumn="0" w:noHBand="0" w:noVBand="1"/>
      </w:tblPr>
      <w:tblGrid>
        <w:gridCol w:w="1583"/>
        <w:gridCol w:w="2540"/>
        <w:gridCol w:w="2394"/>
      </w:tblGrid>
      <w:tr w:rsidR="007D5297" w:rsidRPr="007D5297" w14:paraId="435D666E" w14:textId="77777777" w:rsidTr="007D5297">
        <w:trPr>
          <w:jc w:val="center"/>
        </w:trPr>
        <w:tc>
          <w:tcPr>
            <w:tcW w:w="0" w:type="auto"/>
            <w:hideMark/>
          </w:tcPr>
          <w:p w14:paraId="6296840C" w14:textId="77777777" w:rsidR="007D5297" w:rsidRPr="007D5297" w:rsidRDefault="007D5297" w:rsidP="007D5297">
            <w:pPr>
              <w:spacing w:after="160" w:line="278" w:lineRule="auto"/>
              <w:rPr>
                <w:rFonts w:ascii="Times New Roman" w:hAnsi="Times New Roman" w:cs="Times New Roman"/>
                <w:b/>
                <w:bCs/>
              </w:rPr>
            </w:pPr>
            <w:r w:rsidRPr="007D5297">
              <w:rPr>
                <w:rFonts w:ascii="Times New Roman" w:hAnsi="Times New Roman" w:cs="Times New Roman"/>
                <w:b/>
                <w:bCs/>
              </w:rPr>
              <w:t>Vehicle Type</w:t>
            </w:r>
          </w:p>
        </w:tc>
        <w:tc>
          <w:tcPr>
            <w:tcW w:w="0" w:type="auto"/>
            <w:hideMark/>
          </w:tcPr>
          <w:p w14:paraId="4354AFC7" w14:textId="77777777" w:rsidR="007D5297" w:rsidRPr="007D5297" w:rsidRDefault="007D5297" w:rsidP="007D5297">
            <w:pPr>
              <w:spacing w:after="160" w:line="278" w:lineRule="auto"/>
              <w:rPr>
                <w:rFonts w:ascii="Times New Roman" w:hAnsi="Times New Roman" w:cs="Times New Roman"/>
                <w:b/>
                <w:bCs/>
              </w:rPr>
            </w:pPr>
            <w:r w:rsidRPr="007D5297">
              <w:rPr>
                <w:rFonts w:ascii="Times New Roman" w:hAnsi="Times New Roman" w:cs="Times New Roman"/>
                <w:b/>
                <w:bCs/>
              </w:rPr>
              <w:t>VOC Before (IDR/km)</w:t>
            </w:r>
          </w:p>
        </w:tc>
        <w:tc>
          <w:tcPr>
            <w:tcW w:w="0" w:type="auto"/>
            <w:hideMark/>
          </w:tcPr>
          <w:p w14:paraId="22E842F5" w14:textId="77777777" w:rsidR="007D5297" w:rsidRPr="007D5297" w:rsidRDefault="007D5297" w:rsidP="007D5297">
            <w:pPr>
              <w:spacing w:after="160" w:line="278" w:lineRule="auto"/>
              <w:rPr>
                <w:rFonts w:ascii="Times New Roman" w:hAnsi="Times New Roman" w:cs="Times New Roman"/>
                <w:b/>
                <w:bCs/>
              </w:rPr>
            </w:pPr>
            <w:r w:rsidRPr="007D5297">
              <w:rPr>
                <w:rFonts w:ascii="Times New Roman" w:hAnsi="Times New Roman" w:cs="Times New Roman"/>
                <w:b/>
                <w:bCs/>
              </w:rPr>
              <w:t>VOC After (IDR/km)</w:t>
            </w:r>
          </w:p>
        </w:tc>
      </w:tr>
      <w:tr w:rsidR="007D5297" w:rsidRPr="007D5297" w14:paraId="34399395" w14:textId="77777777" w:rsidTr="007D5297">
        <w:trPr>
          <w:jc w:val="center"/>
        </w:trPr>
        <w:tc>
          <w:tcPr>
            <w:tcW w:w="0" w:type="auto"/>
            <w:hideMark/>
          </w:tcPr>
          <w:p w14:paraId="712F50FE"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Motorcycle</w:t>
            </w:r>
          </w:p>
        </w:tc>
        <w:tc>
          <w:tcPr>
            <w:tcW w:w="0" w:type="auto"/>
            <w:hideMark/>
          </w:tcPr>
          <w:p w14:paraId="3F43019B"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533.10</w:t>
            </w:r>
          </w:p>
        </w:tc>
        <w:tc>
          <w:tcPr>
            <w:tcW w:w="0" w:type="auto"/>
            <w:hideMark/>
          </w:tcPr>
          <w:p w14:paraId="08A16F5A"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441.85</w:t>
            </w:r>
          </w:p>
        </w:tc>
      </w:tr>
      <w:tr w:rsidR="007D5297" w:rsidRPr="007D5297" w14:paraId="2E27576E" w14:textId="77777777" w:rsidTr="007D5297">
        <w:trPr>
          <w:jc w:val="center"/>
        </w:trPr>
        <w:tc>
          <w:tcPr>
            <w:tcW w:w="0" w:type="auto"/>
            <w:hideMark/>
          </w:tcPr>
          <w:p w14:paraId="1FDF8456"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Passenger Car</w:t>
            </w:r>
          </w:p>
        </w:tc>
        <w:tc>
          <w:tcPr>
            <w:tcW w:w="0" w:type="auto"/>
            <w:hideMark/>
          </w:tcPr>
          <w:p w14:paraId="5CE49C79"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1,393.52</w:t>
            </w:r>
          </w:p>
        </w:tc>
        <w:tc>
          <w:tcPr>
            <w:tcW w:w="0" w:type="auto"/>
            <w:hideMark/>
          </w:tcPr>
          <w:p w14:paraId="4953C7DD"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1,198.13</w:t>
            </w:r>
          </w:p>
        </w:tc>
      </w:tr>
      <w:tr w:rsidR="007D5297" w:rsidRPr="007D5297" w14:paraId="12A7F8D3" w14:textId="77777777" w:rsidTr="007D5297">
        <w:trPr>
          <w:jc w:val="center"/>
        </w:trPr>
        <w:tc>
          <w:tcPr>
            <w:tcW w:w="0" w:type="auto"/>
            <w:hideMark/>
          </w:tcPr>
          <w:p w14:paraId="3651F140"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Freight Truck</w:t>
            </w:r>
          </w:p>
        </w:tc>
        <w:tc>
          <w:tcPr>
            <w:tcW w:w="0" w:type="auto"/>
            <w:hideMark/>
          </w:tcPr>
          <w:p w14:paraId="00A0F95F"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2,054.77</w:t>
            </w:r>
          </w:p>
        </w:tc>
        <w:tc>
          <w:tcPr>
            <w:tcW w:w="0" w:type="auto"/>
            <w:hideMark/>
          </w:tcPr>
          <w:p w14:paraId="3A8B722D"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1,727.25</w:t>
            </w:r>
          </w:p>
        </w:tc>
      </w:tr>
    </w:tbl>
    <w:p w14:paraId="057B7B27" w14:textId="77777777" w:rsidR="007D5297" w:rsidRDefault="007D5297" w:rsidP="007D5297">
      <w:pPr>
        <w:jc w:val="both"/>
        <w:rPr>
          <w:rFonts w:ascii="Times New Roman" w:hAnsi="Times New Roman" w:cs="Times New Roman"/>
        </w:rPr>
      </w:pPr>
    </w:p>
    <w:p w14:paraId="510178BD" w14:textId="2F91BFE5" w:rsidR="007D5297" w:rsidRPr="007D5297" w:rsidRDefault="007D5297" w:rsidP="007D5297">
      <w:pPr>
        <w:jc w:val="both"/>
        <w:rPr>
          <w:rFonts w:ascii="Times New Roman" w:hAnsi="Times New Roman" w:cs="Times New Roman"/>
        </w:rPr>
      </w:pPr>
      <w:r w:rsidRPr="007D5297">
        <w:rPr>
          <w:rFonts w:ascii="Times New Roman" w:hAnsi="Times New Roman" w:cs="Times New Roman"/>
        </w:rPr>
        <w:lastRenderedPageBreak/>
        <w:t>These reductions, ranging from 15% to nearly 20%, are primarily attributed to smoother asphalt surfaces that reduce mechanical resistance, minimize tire and spare part wear, and lower fuel consumption. These findings reinforce national-level research (Cahyono &amp; Wibowo, 2021) which emphasizes VOC as a sensitive indicator of pavement quality.</w:t>
      </w:r>
    </w:p>
    <w:p w14:paraId="4081CC71" w14:textId="77777777" w:rsidR="007D5297" w:rsidRPr="007D5297" w:rsidRDefault="007D5297" w:rsidP="007D5297">
      <w:pPr>
        <w:jc w:val="both"/>
        <w:rPr>
          <w:rFonts w:ascii="Times New Roman" w:hAnsi="Times New Roman" w:cs="Times New Roman"/>
        </w:rPr>
      </w:pPr>
      <w:r w:rsidRPr="007D5297">
        <w:rPr>
          <w:rFonts w:ascii="Times New Roman" w:hAnsi="Times New Roman" w:cs="Times New Roman"/>
        </w:rPr>
        <w:t>Notably, freight trucks experienced the largest absolute cost savings per kilometer. This is consistent with the load-dependent sensitivity of VOC models, wherein heavier vehicles are disproportionately affected by poor surface conditions. The VOC reduction not only has implications for logistics operators but also potentially lowers the cost of goods in local markets through decreased transport margins.</w:t>
      </w:r>
    </w:p>
    <w:p w14:paraId="4E8CE676" w14:textId="77777777" w:rsidR="007D5297" w:rsidRPr="007D5297" w:rsidRDefault="007D5297" w:rsidP="007D5297">
      <w:pPr>
        <w:rPr>
          <w:rFonts w:ascii="Times New Roman" w:hAnsi="Times New Roman" w:cs="Times New Roman"/>
          <w:b/>
          <w:bCs/>
        </w:rPr>
      </w:pPr>
      <w:r w:rsidRPr="007D5297">
        <w:rPr>
          <w:rFonts w:ascii="Times New Roman" w:hAnsi="Times New Roman" w:cs="Times New Roman"/>
          <w:b/>
          <w:bCs/>
        </w:rPr>
        <w:t>2. Improvement in Accessibility Index</w:t>
      </w:r>
    </w:p>
    <w:p w14:paraId="0E722DCA" w14:textId="77777777" w:rsidR="007D5297" w:rsidRPr="007D5297" w:rsidRDefault="007D5297" w:rsidP="007D5297">
      <w:pPr>
        <w:rPr>
          <w:rFonts w:ascii="Times New Roman" w:hAnsi="Times New Roman" w:cs="Times New Roman"/>
        </w:rPr>
      </w:pPr>
      <w:r w:rsidRPr="007D5297">
        <w:rPr>
          <w:rFonts w:ascii="Times New Roman" w:hAnsi="Times New Roman" w:cs="Times New Roman"/>
        </w:rPr>
        <w:t xml:space="preserve">Accessibility was assessed using a weighted node-based index incorporating population and travel time to key service centers. </w:t>
      </w:r>
      <w:r w:rsidRPr="007D5297">
        <w:rPr>
          <w:rFonts w:ascii="Times New Roman" w:hAnsi="Times New Roman" w:cs="Times New Roman"/>
          <w:b/>
          <w:bCs/>
        </w:rPr>
        <w:t>Table 2</w:t>
      </w:r>
      <w:r w:rsidRPr="007D5297">
        <w:rPr>
          <w:rFonts w:ascii="Times New Roman" w:hAnsi="Times New Roman" w:cs="Times New Roman"/>
        </w:rPr>
        <w:t xml:space="preserve"> presents the accessibility scores before and after the interventions.</w:t>
      </w:r>
    </w:p>
    <w:p w14:paraId="4D534798" w14:textId="77777777" w:rsidR="007D5297" w:rsidRPr="007D5297" w:rsidRDefault="007D5297" w:rsidP="007D5297">
      <w:pPr>
        <w:jc w:val="center"/>
        <w:rPr>
          <w:rFonts w:ascii="Times New Roman" w:hAnsi="Times New Roman" w:cs="Times New Roman"/>
        </w:rPr>
      </w:pPr>
      <w:r w:rsidRPr="007D5297">
        <w:rPr>
          <w:rFonts w:ascii="Times New Roman" w:hAnsi="Times New Roman" w:cs="Times New Roman"/>
          <w:b/>
          <w:bCs/>
        </w:rPr>
        <w:t xml:space="preserve">Table 2. </w:t>
      </w:r>
      <w:r w:rsidRPr="007D5297">
        <w:rPr>
          <w:rFonts w:ascii="Times New Roman" w:hAnsi="Times New Roman" w:cs="Times New Roman"/>
        </w:rPr>
        <w:t>Accessibility Index Before and After Road Improvements</w:t>
      </w:r>
    </w:p>
    <w:tbl>
      <w:tblPr>
        <w:tblStyle w:val="TableGrid"/>
        <w:tblW w:w="0" w:type="auto"/>
        <w:jc w:val="center"/>
        <w:tblLook w:val="04A0" w:firstRow="1" w:lastRow="0" w:firstColumn="1" w:lastColumn="0" w:noHBand="0" w:noVBand="1"/>
      </w:tblPr>
      <w:tblGrid>
        <w:gridCol w:w="1543"/>
        <w:gridCol w:w="2232"/>
        <w:gridCol w:w="2089"/>
      </w:tblGrid>
      <w:tr w:rsidR="007D5297" w:rsidRPr="007D5297" w14:paraId="04B665D5" w14:textId="77777777" w:rsidTr="007D5297">
        <w:trPr>
          <w:jc w:val="center"/>
        </w:trPr>
        <w:tc>
          <w:tcPr>
            <w:tcW w:w="0" w:type="auto"/>
            <w:hideMark/>
          </w:tcPr>
          <w:p w14:paraId="0EEE6851" w14:textId="77777777" w:rsidR="007D5297" w:rsidRPr="007D5297" w:rsidRDefault="007D5297" w:rsidP="007D5297">
            <w:pPr>
              <w:spacing w:after="160" w:line="278" w:lineRule="auto"/>
              <w:rPr>
                <w:rFonts w:ascii="Times New Roman" w:hAnsi="Times New Roman" w:cs="Times New Roman"/>
                <w:b/>
                <w:bCs/>
              </w:rPr>
            </w:pPr>
            <w:r w:rsidRPr="007D5297">
              <w:rPr>
                <w:rFonts w:ascii="Times New Roman" w:hAnsi="Times New Roman" w:cs="Times New Roman"/>
                <w:b/>
                <w:bCs/>
              </w:rPr>
              <w:t>Route</w:t>
            </w:r>
          </w:p>
        </w:tc>
        <w:tc>
          <w:tcPr>
            <w:tcW w:w="0" w:type="auto"/>
            <w:hideMark/>
          </w:tcPr>
          <w:p w14:paraId="6B249396" w14:textId="77777777" w:rsidR="007D5297" w:rsidRPr="007D5297" w:rsidRDefault="007D5297" w:rsidP="007D5297">
            <w:pPr>
              <w:spacing w:after="160" w:line="278" w:lineRule="auto"/>
              <w:rPr>
                <w:rFonts w:ascii="Times New Roman" w:hAnsi="Times New Roman" w:cs="Times New Roman"/>
                <w:b/>
                <w:bCs/>
              </w:rPr>
            </w:pPr>
            <w:r w:rsidRPr="007D5297">
              <w:rPr>
                <w:rFonts w:ascii="Times New Roman" w:hAnsi="Times New Roman" w:cs="Times New Roman"/>
                <w:b/>
                <w:bCs/>
              </w:rPr>
              <w:t>Accessibility Before</w:t>
            </w:r>
          </w:p>
        </w:tc>
        <w:tc>
          <w:tcPr>
            <w:tcW w:w="0" w:type="auto"/>
            <w:hideMark/>
          </w:tcPr>
          <w:p w14:paraId="753EC91D" w14:textId="77777777" w:rsidR="007D5297" w:rsidRPr="007D5297" w:rsidRDefault="007D5297" w:rsidP="007D5297">
            <w:pPr>
              <w:spacing w:after="160" w:line="278" w:lineRule="auto"/>
              <w:rPr>
                <w:rFonts w:ascii="Times New Roman" w:hAnsi="Times New Roman" w:cs="Times New Roman"/>
                <w:b/>
                <w:bCs/>
              </w:rPr>
            </w:pPr>
            <w:r w:rsidRPr="007D5297">
              <w:rPr>
                <w:rFonts w:ascii="Times New Roman" w:hAnsi="Times New Roman" w:cs="Times New Roman"/>
                <w:b/>
                <w:bCs/>
              </w:rPr>
              <w:t>Accessibility After</w:t>
            </w:r>
          </w:p>
        </w:tc>
      </w:tr>
      <w:tr w:rsidR="007D5297" w:rsidRPr="007D5297" w14:paraId="76350D0D" w14:textId="77777777" w:rsidTr="007D5297">
        <w:trPr>
          <w:jc w:val="center"/>
        </w:trPr>
        <w:tc>
          <w:tcPr>
            <w:tcW w:w="0" w:type="auto"/>
            <w:hideMark/>
          </w:tcPr>
          <w:p w14:paraId="646D5F70"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Pea Raja</w:t>
            </w:r>
          </w:p>
        </w:tc>
        <w:tc>
          <w:tcPr>
            <w:tcW w:w="0" w:type="auto"/>
            <w:hideMark/>
          </w:tcPr>
          <w:p w14:paraId="52F33B54"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0.032</w:t>
            </w:r>
          </w:p>
        </w:tc>
        <w:tc>
          <w:tcPr>
            <w:tcW w:w="0" w:type="auto"/>
            <w:hideMark/>
          </w:tcPr>
          <w:p w14:paraId="5837F814"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0.054</w:t>
            </w:r>
          </w:p>
        </w:tc>
      </w:tr>
      <w:tr w:rsidR="007D5297" w:rsidRPr="007D5297" w14:paraId="3E121923" w14:textId="77777777" w:rsidTr="007D5297">
        <w:trPr>
          <w:jc w:val="center"/>
        </w:trPr>
        <w:tc>
          <w:tcPr>
            <w:tcW w:w="0" w:type="auto"/>
            <w:hideMark/>
          </w:tcPr>
          <w:p w14:paraId="6C429A3D" w14:textId="77777777" w:rsidR="007D5297" w:rsidRPr="007D5297" w:rsidRDefault="007D5297" w:rsidP="007D5297">
            <w:pPr>
              <w:spacing w:after="160" w:line="278" w:lineRule="auto"/>
              <w:rPr>
                <w:rFonts w:ascii="Times New Roman" w:hAnsi="Times New Roman" w:cs="Times New Roman"/>
              </w:rPr>
            </w:pPr>
            <w:proofErr w:type="spellStart"/>
            <w:r w:rsidRPr="007D5297">
              <w:rPr>
                <w:rFonts w:ascii="Times New Roman" w:hAnsi="Times New Roman" w:cs="Times New Roman"/>
              </w:rPr>
              <w:t>Rianiate</w:t>
            </w:r>
            <w:proofErr w:type="spellEnd"/>
          </w:p>
        </w:tc>
        <w:tc>
          <w:tcPr>
            <w:tcW w:w="0" w:type="auto"/>
            <w:hideMark/>
          </w:tcPr>
          <w:p w14:paraId="5224135D"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0.031</w:t>
            </w:r>
          </w:p>
        </w:tc>
        <w:tc>
          <w:tcPr>
            <w:tcW w:w="0" w:type="auto"/>
            <w:hideMark/>
          </w:tcPr>
          <w:p w14:paraId="4D07C4B4"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0.050</w:t>
            </w:r>
          </w:p>
        </w:tc>
      </w:tr>
      <w:tr w:rsidR="007D5297" w:rsidRPr="007D5297" w14:paraId="4AFE040E" w14:textId="77777777" w:rsidTr="007D5297">
        <w:trPr>
          <w:jc w:val="center"/>
        </w:trPr>
        <w:tc>
          <w:tcPr>
            <w:tcW w:w="0" w:type="auto"/>
            <w:hideMark/>
          </w:tcPr>
          <w:p w14:paraId="575B3532" w14:textId="77777777" w:rsidR="007D5297" w:rsidRPr="007D5297" w:rsidRDefault="007D5297" w:rsidP="007D5297">
            <w:pPr>
              <w:spacing w:after="160" w:line="278" w:lineRule="auto"/>
              <w:rPr>
                <w:rFonts w:ascii="Times New Roman" w:hAnsi="Times New Roman" w:cs="Times New Roman"/>
              </w:rPr>
            </w:pPr>
            <w:proofErr w:type="spellStart"/>
            <w:r w:rsidRPr="007D5297">
              <w:rPr>
                <w:rFonts w:ascii="Times New Roman" w:hAnsi="Times New Roman" w:cs="Times New Roman"/>
              </w:rPr>
              <w:t>Pargawahan</w:t>
            </w:r>
            <w:proofErr w:type="spellEnd"/>
          </w:p>
        </w:tc>
        <w:tc>
          <w:tcPr>
            <w:tcW w:w="0" w:type="auto"/>
            <w:hideMark/>
          </w:tcPr>
          <w:p w14:paraId="6114A511"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0.035</w:t>
            </w:r>
          </w:p>
        </w:tc>
        <w:tc>
          <w:tcPr>
            <w:tcW w:w="0" w:type="auto"/>
            <w:hideMark/>
          </w:tcPr>
          <w:p w14:paraId="700D5836"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0.056</w:t>
            </w:r>
          </w:p>
        </w:tc>
      </w:tr>
      <w:tr w:rsidR="007D5297" w:rsidRPr="007D5297" w14:paraId="1B51429E" w14:textId="77777777" w:rsidTr="007D5297">
        <w:trPr>
          <w:jc w:val="center"/>
        </w:trPr>
        <w:tc>
          <w:tcPr>
            <w:tcW w:w="0" w:type="auto"/>
            <w:hideMark/>
          </w:tcPr>
          <w:p w14:paraId="0DEE716B"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Lobu Tonga</w:t>
            </w:r>
          </w:p>
        </w:tc>
        <w:tc>
          <w:tcPr>
            <w:tcW w:w="0" w:type="auto"/>
            <w:hideMark/>
          </w:tcPr>
          <w:p w14:paraId="0F81D1AB"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0.034</w:t>
            </w:r>
          </w:p>
        </w:tc>
        <w:tc>
          <w:tcPr>
            <w:tcW w:w="0" w:type="auto"/>
            <w:hideMark/>
          </w:tcPr>
          <w:p w14:paraId="02553EA7"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0.057</w:t>
            </w:r>
          </w:p>
        </w:tc>
      </w:tr>
      <w:tr w:rsidR="007D5297" w:rsidRPr="007D5297" w14:paraId="46C54F84" w14:textId="77777777" w:rsidTr="007D5297">
        <w:trPr>
          <w:jc w:val="center"/>
        </w:trPr>
        <w:tc>
          <w:tcPr>
            <w:tcW w:w="0" w:type="auto"/>
            <w:hideMark/>
          </w:tcPr>
          <w:p w14:paraId="177578DA" w14:textId="77777777" w:rsidR="007D5297" w:rsidRPr="007D5297" w:rsidRDefault="007D5297" w:rsidP="007D5297">
            <w:pPr>
              <w:spacing w:after="160" w:line="278" w:lineRule="auto"/>
              <w:rPr>
                <w:rFonts w:ascii="Times New Roman" w:hAnsi="Times New Roman" w:cs="Times New Roman"/>
              </w:rPr>
            </w:pPr>
            <w:proofErr w:type="spellStart"/>
            <w:r w:rsidRPr="007D5297">
              <w:rPr>
                <w:rFonts w:ascii="Times New Roman" w:hAnsi="Times New Roman" w:cs="Times New Roman"/>
              </w:rPr>
              <w:t>Gotting</w:t>
            </w:r>
            <w:proofErr w:type="spellEnd"/>
            <w:r w:rsidRPr="007D5297">
              <w:rPr>
                <w:rFonts w:ascii="Times New Roman" w:hAnsi="Times New Roman" w:cs="Times New Roman"/>
              </w:rPr>
              <w:t xml:space="preserve"> Salak</w:t>
            </w:r>
          </w:p>
        </w:tc>
        <w:tc>
          <w:tcPr>
            <w:tcW w:w="0" w:type="auto"/>
            <w:hideMark/>
          </w:tcPr>
          <w:p w14:paraId="10A9F853"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0.038</w:t>
            </w:r>
          </w:p>
        </w:tc>
        <w:tc>
          <w:tcPr>
            <w:tcW w:w="0" w:type="auto"/>
            <w:hideMark/>
          </w:tcPr>
          <w:p w14:paraId="63A8334F"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0.058</w:t>
            </w:r>
          </w:p>
        </w:tc>
      </w:tr>
    </w:tbl>
    <w:p w14:paraId="207AF3A6" w14:textId="77777777" w:rsidR="007D5297" w:rsidRDefault="007D5297" w:rsidP="007D5297">
      <w:pPr>
        <w:jc w:val="both"/>
        <w:rPr>
          <w:rFonts w:ascii="Times New Roman" w:hAnsi="Times New Roman" w:cs="Times New Roman"/>
        </w:rPr>
      </w:pPr>
    </w:p>
    <w:p w14:paraId="1A88516C" w14:textId="173D29D8" w:rsidR="007D5297" w:rsidRPr="007D5297" w:rsidRDefault="007D5297" w:rsidP="007D5297">
      <w:pPr>
        <w:jc w:val="both"/>
        <w:rPr>
          <w:rFonts w:ascii="Times New Roman" w:hAnsi="Times New Roman" w:cs="Times New Roman"/>
        </w:rPr>
      </w:pPr>
      <w:r w:rsidRPr="007D5297">
        <w:rPr>
          <w:rFonts w:ascii="Times New Roman" w:hAnsi="Times New Roman" w:cs="Times New Roman"/>
        </w:rPr>
        <w:t xml:space="preserve">Across all routes, accessibility improved by </w:t>
      </w:r>
      <w:r w:rsidRPr="007D5297">
        <w:rPr>
          <w:rFonts w:ascii="Times New Roman" w:hAnsi="Times New Roman" w:cs="Times New Roman"/>
          <w:b/>
          <w:bCs/>
        </w:rPr>
        <w:t>at least 50%</w:t>
      </w:r>
      <w:r w:rsidRPr="007D5297">
        <w:rPr>
          <w:rFonts w:ascii="Times New Roman" w:hAnsi="Times New Roman" w:cs="Times New Roman"/>
        </w:rPr>
        <w:t xml:space="preserve">, with the most significant gains seen in </w:t>
      </w:r>
      <w:proofErr w:type="spellStart"/>
      <w:r w:rsidRPr="007D5297">
        <w:rPr>
          <w:rFonts w:ascii="Times New Roman" w:hAnsi="Times New Roman" w:cs="Times New Roman"/>
        </w:rPr>
        <w:t>Gotting</w:t>
      </w:r>
      <w:proofErr w:type="spellEnd"/>
      <w:r w:rsidRPr="007D5297">
        <w:rPr>
          <w:rFonts w:ascii="Times New Roman" w:hAnsi="Times New Roman" w:cs="Times New Roman"/>
        </w:rPr>
        <w:t xml:space="preserve"> Salak and </w:t>
      </w:r>
      <w:proofErr w:type="spellStart"/>
      <w:r w:rsidRPr="007D5297">
        <w:rPr>
          <w:rFonts w:ascii="Times New Roman" w:hAnsi="Times New Roman" w:cs="Times New Roman"/>
        </w:rPr>
        <w:t>Pargawahan</w:t>
      </w:r>
      <w:proofErr w:type="spellEnd"/>
      <w:r w:rsidRPr="007D5297">
        <w:rPr>
          <w:rFonts w:ascii="Times New Roman" w:hAnsi="Times New Roman" w:cs="Times New Roman"/>
        </w:rPr>
        <w:t>. These improvements translate into shorter travel times, enhanced reach to health and educational facilities, and improved emergency response capabilities.</w:t>
      </w:r>
    </w:p>
    <w:p w14:paraId="7AA8673C" w14:textId="77777777" w:rsidR="007D5297" w:rsidRPr="007D5297" w:rsidRDefault="007D5297" w:rsidP="007D5297">
      <w:pPr>
        <w:jc w:val="both"/>
        <w:rPr>
          <w:rFonts w:ascii="Times New Roman" w:hAnsi="Times New Roman" w:cs="Times New Roman"/>
        </w:rPr>
      </w:pPr>
      <w:r w:rsidRPr="007D5297">
        <w:rPr>
          <w:rFonts w:ascii="Times New Roman" w:hAnsi="Times New Roman" w:cs="Times New Roman"/>
        </w:rPr>
        <w:t xml:space="preserve">The increases in accessibility align with the findings by Kamaludin &amp; </w:t>
      </w:r>
      <w:proofErr w:type="spellStart"/>
      <w:r w:rsidRPr="007D5297">
        <w:rPr>
          <w:rFonts w:ascii="Times New Roman" w:hAnsi="Times New Roman" w:cs="Times New Roman"/>
        </w:rPr>
        <w:t>Qibthiyyah</w:t>
      </w:r>
      <w:proofErr w:type="spellEnd"/>
      <w:r w:rsidRPr="007D5297">
        <w:rPr>
          <w:rFonts w:ascii="Times New Roman" w:hAnsi="Times New Roman" w:cs="Times New Roman"/>
        </w:rPr>
        <w:t xml:space="preserve"> (2022), who emphasize that upgraded rural roads can transform local economies by expanding service access zones and reducing spatial inequality.</w:t>
      </w:r>
    </w:p>
    <w:p w14:paraId="298D622F" w14:textId="77777777" w:rsidR="007D5297" w:rsidRPr="007D5297" w:rsidRDefault="007D5297" w:rsidP="007D5297">
      <w:pPr>
        <w:rPr>
          <w:rFonts w:ascii="Times New Roman" w:hAnsi="Times New Roman" w:cs="Times New Roman"/>
          <w:b/>
          <w:bCs/>
        </w:rPr>
      </w:pPr>
      <w:r w:rsidRPr="007D5297">
        <w:rPr>
          <w:rFonts w:ascii="Times New Roman" w:hAnsi="Times New Roman" w:cs="Times New Roman"/>
          <w:b/>
          <w:bCs/>
        </w:rPr>
        <w:t>3. Statistical Significance of Improvements</w:t>
      </w:r>
    </w:p>
    <w:p w14:paraId="2FFC6271" w14:textId="77777777" w:rsidR="007D5297" w:rsidRPr="007D5297" w:rsidRDefault="007D5297" w:rsidP="007D5297">
      <w:pPr>
        <w:jc w:val="both"/>
        <w:rPr>
          <w:rFonts w:ascii="Times New Roman" w:hAnsi="Times New Roman" w:cs="Times New Roman"/>
        </w:rPr>
      </w:pPr>
      <w:r w:rsidRPr="007D5297">
        <w:rPr>
          <w:rFonts w:ascii="Times New Roman" w:hAnsi="Times New Roman" w:cs="Times New Roman"/>
        </w:rPr>
        <w:t>To validate these observed improvements, a paired t-test was conducted on both VOC and accessibility scores pre- and post-rehabilitation. The results yielded p-values &lt; 0.05 in both cases, indicating that the reductions in VOC and improvements in accessibility are statistically significant and not due to random variation.</w:t>
      </w:r>
    </w:p>
    <w:p w14:paraId="005959D4" w14:textId="77777777" w:rsidR="007D5297" w:rsidRPr="007D5297" w:rsidRDefault="007D5297" w:rsidP="007D5297">
      <w:pPr>
        <w:jc w:val="both"/>
        <w:rPr>
          <w:rFonts w:ascii="Times New Roman" w:hAnsi="Times New Roman" w:cs="Times New Roman"/>
        </w:rPr>
      </w:pPr>
      <w:r w:rsidRPr="007D5297">
        <w:rPr>
          <w:rFonts w:ascii="Times New Roman" w:hAnsi="Times New Roman" w:cs="Times New Roman"/>
        </w:rPr>
        <w:t xml:space="preserve">This confirms that infrastructure rehabilitation has a measurable and robust effect on both transport efficiency and spatial development. These results are consistent with global findings </w:t>
      </w:r>
      <w:r w:rsidRPr="007D5297">
        <w:rPr>
          <w:rFonts w:ascii="Times New Roman" w:hAnsi="Times New Roman" w:cs="Times New Roman"/>
        </w:rPr>
        <w:lastRenderedPageBreak/>
        <w:t>(Cervero, 1990) which highlight transportation investments as central to reducing rural isolation.</w:t>
      </w:r>
    </w:p>
    <w:p w14:paraId="7ED7C625" w14:textId="77777777" w:rsidR="007D5297" w:rsidRPr="007D5297" w:rsidRDefault="007D5297" w:rsidP="007D5297">
      <w:pPr>
        <w:rPr>
          <w:rFonts w:ascii="Times New Roman" w:hAnsi="Times New Roman" w:cs="Times New Roman"/>
          <w:b/>
          <w:bCs/>
        </w:rPr>
      </w:pPr>
      <w:r w:rsidRPr="007D5297">
        <w:rPr>
          <w:rFonts w:ascii="Times New Roman" w:hAnsi="Times New Roman" w:cs="Times New Roman"/>
          <w:b/>
          <w:bCs/>
        </w:rPr>
        <w:t>4. Broader Implications</w:t>
      </w:r>
    </w:p>
    <w:p w14:paraId="50086FE7" w14:textId="2324E7B2" w:rsidR="007D5297" w:rsidRPr="007D5297" w:rsidRDefault="007D5297" w:rsidP="007D5297">
      <w:pPr>
        <w:jc w:val="both"/>
        <w:rPr>
          <w:rFonts w:ascii="Times New Roman" w:hAnsi="Times New Roman" w:cs="Times New Roman"/>
        </w:rPr>
      </w:pPr>
      <w:r w:rsidRPr="007D5297">
        <w:rPr>
          <w:rFonts w:ascii="Times New Roman" w:hAnsi="Times New Roman" w:cs="Times New Roman"/>
        </w:rPr>
        <w:t>These findings have direct implications for regional planning and rural development strategies. Lower VOC translates into increased disposable income for drivers and operators, while enhanced accessibility supports education, health, and market integration.</w:t>
      </w:r>
      <w:r>
        <w:rPr>
          <w:rFonts w:ascii="Times New Roman" w:hAnsi="Times New Roman" w:cs="Times New Roman"/>
        </w:rPr>
        <w:t xml:space="preserve"> </w:t>
      </w:r>
      <w:r w:rsidRPr="007D5297">
        <w:rPr>
          <w:rFonts w:ascii="Times New Roman" w:hAnsi="Times New Roman" w:cs="Times New Roman"/>
        </w:rPr>
        <w:t xml:space="preserve">Moreover, the results support prioritizing road investments in subdistricts with high population densities but low baseline accessibility—thereby maximizing the socio-economic return on infrastructure expenditure. The case of </w:t>
      </w:r>
      <w:proofErr w:type="spellStart"/>
      <w:r w:rsidRPr="007D5297">
        <w:rPr>
          <w:rFonts w:ascii="Times New Roman" w:hAnsi="Times New Roman" w:cs="Times New Roman"/>
        </w:rPr>
        <w:t>Garoga</w:t>
      </w:r>
      <w:proofErr w:type="spellEnd"/>
      <w:r w:rsidRPr="007D5297">
        <w:rPr>
          <w:rFonts w:ascii="Times New Roman" w:hAnsi="Times New Roman" w:cs="Times New Roman"/>
        </w:rPr>
        <w:t xml:space="preserve"> Subdistrict illustrates how localized infrastructure upgrades can catalyze broader development outcomes.</w:t>
      </w:r>
    </w:p>
    <w:p w14:paraId="6EB9E25B" w14:textId="77777777" w:rsidR="007D5297" w:rsidRPr="007D5297" w:rsidRDefault="007D5297" w:rsidP="007D5297">
      <w:pPr>
        <w:rPr>
          <w:rFonts w:ascii="Times New Roman" w:hAnsi="Times New Roman" w:cs="Times New Roman"/>
          <w:b/>
          <w:bCs/>
        </w:rPr>
      </w:pPr>
      <w:r w:rsidRPr="007D5297">
        <w:rPr>
          <w:rFonts w:ascii="Times New Roman" w:hAnsi="Times New Roman" w:cs="Times New Roman"/>
          <w:b/>
          <w:bCs/>
        </w:rPr>
        <w:t>5. Policy Recommendations</w:t>
      </w:r>
    </w:p>
    <w:p w14:paraId="6C2DBD69" w14:textId="77777777" w:rsidR="007D5297" w:rsidRPr="007D5297" w:rsidRDefault="007D5297" w:rsidP="007D5297">
      <w:pPr>
        <w:rPr>
          <w:rFonts w:ascii="Times New Roman" w:hAnsi="Times New Roman" w:cs="Times New Roman"/>
        </w:rPr>
      </w:pPr>
      <w:r w:rsidRPr="007D5297">
        <w:rPr>
          <w:rFonts w:ascii="Times New Roman" w:hAnsi="Times New Roman" w:cs="Times New Roman"/>
        </w:rPr>
        <w:t>Given the measurable benefits demonstrated, it is recommended that:</w:t>
      </w:r>
    </w:p>
    <w:p w14:paraId="31C844D4" w14:textId="77777777" w:rsidR="007D5297" w:rsidRPr="007D5297" w:rsidRDefault="007D5297" w:rsidP="007D5297">
      <w:pPr>
        <w:numPr>
          <w:ilvl w:val="0"/>
          <w:numId w:val="4"/>
        </w:numPr>
        <w:rPr>
          <w:rFonts w:ascii="Times New Roman" w:hAnsi="Times New Roman" w:cs="Times New Roman"/>
        </w:rPr>
      </w:pPr>
      <w:r w:rsidRPr="007D5297">
        <w:rPr>
          <w:rFonts w:ascii="Times New Roman" w:hAnsi="Times New Roman" w:cs="Times New Roman"/>
        </w:rPr>
        <w:t xml:space="preserve">Future rural infrastructure programs integrate </w:t>
      </w:r>
      <w:r w:rsidRPr="007D5297">
        <w:rPr>
          <w:rFonts w:ascii="Times New Roman" w:hAnsi="Times New Roman" w:cs="Times New Roman"/>
          <w:b/>
          <w:bCs/>
        </w:rPr>
        <w:t>VOC and accessibility metrics</w:t>
      </w:r>
      <w:r w:rsidRPr="007D5297">
        <w:rPr>
          <w:rFonts w:ascii="Times New Roman" w:hAnsi="Times New Roman" w:cs="Times New Roman"/>
        </w:rPr>
        <w:t xml:space="preserve"> in project appraisal frameworks.</w:t>
      </w:r>
    </w:p>
    <w:p w14:paraId="6B055134" w14:textId="77777777" w:rsidR="007D5297" w:rsidRPr="007D5297" w:rsidRDefault="007D5297" w:rsidP="007D5297">
      <w:pPr>
        <w:numPr>
          <w:ilvl w:val="0"/>
          <w:numId w:val="4"/>
        </w:numPr>
        <w:rPr>
          <w:rFonts w:ascii="Times New Roman" w:hAnsi="Times New Roman" w:cs="Times New Roman"/>
        </w:rPr>
      </w:pPr>
      <w:r w:rsidRPr="007D5297">
        <w:rPr>
          <w:rFonts w:ascii="Times New Roman" w:hAnsi="Times New Roman" w:cs="Times New Roman"/>
        </w:rPr>
        <w:t xml:space="preserve">Investment prioritization should consider </w:t>
      </w:r>
      <w:r w:rsidRPr="007D5297">
        <w:rPr>
          <w:rFonts w:ascii="Times New Roman" w:hAnsi="Times New Roman" w:cs="Times New Roman"/>
          <w:b/>
          <w:bCs/>
        </w:rPr>
        <w:t>accessibility deprivation indices</w:t>
      </w:r>
      <w:r w:rsidRPr="007D5297">
        <w:rPr>
          <w:rFonts w:ascii="Times New Roman" w:hAnsi="Times New Roman" w:cs="Times New Roman"/>
        </w:rPr>
        <w:t xml:space="preserve"> in rural planning.</w:t>
      </w:r>
    </w:p>
    <w:p w14:paraId="46093013" w14:textId="77777777" w:rsidR="007D5297" w:rsidRPr="007D5297" w:rsidRDefault="007D5297" w:rsidP="007D5297">
      <w:pPr>
        <w:numPr>
          <w:ilvl w:val="0"/>
          <w:numId w:val="4"/>
        </w:numPr>
        <w:rPr>
          <w:rFonts w:ascii="Times New Roman" w:hAnsi="Times New Roman" w:cs="Times New Roman"/>
        </w:rPr>
      </w:pPr>
      <w:r w:rsidRPr="007D5297">
        <w:rPr>
          <w:rFonts w:ascii="Times New Roman" w:hAnsi="Times New Roman" w:cs="Times New Roman"/>
        </w:rPr>
        <w:t>Maintenance programs must be sustained to preserve post-rehabilitation gains in efficiency and equity.</w:t>
      </w:r>
    </w:p>
    <w:p w14:paraId="3AC68B69" w14:textId="345A875E" w:rsidR="007A7326" w:rsidRPr="007D5297" w:rsidRDefault="007D5297" w:rsidP="007D5297">
      <w:pPr>
        <w:pStyle w:val="ListParagraph"/>
        <w:numPr>
          <w:ilvl w:val="0"/>
          <w:numId w:val="1"/>
        </w:numPr>
        <w:rPr>
          <w:rFonts w:ascii="Times New Roman" w:hAnsi="Times New Roman" w:cs="Times New Roman"/>
          <w:b/>
          <w:bCs/>
        </w:rPr>
      </w:pPr>
      <w:r>
        <w:rPr>
          <w:rFonts w:ascii="Times New Roman" w:hAnsi="Times New Roman" w:cs="Times New Roman"/>
          <w:b/>
          <w:bCs/>
        </w:rPr>
        <w:t>Conclusion and Recommendations</w:t>
      </w:r>
    </w:p>
    <w:p w14:paraId="196D6568" w14:textId="2D5EF91D" w:rsidR="007D5297" w:rsidRPr="007D5297" w:rsidRDefault="007D5297" w:rsidP="007D5297">
      <w:pPr>
        <w:jc w:val="both"/>
      </w:pPr>
      <w:r w:rsidRPr="007D5297">
        <w:t xml:space="preserve">This study has demonstrated the dual benefits of district road rehabilitation in </w:t>
      </w:r>
      <w:proofErr w:type="spellStart"/>
      <w:r w:rsidRPr="007D5297">
        <w:t>Garoga</w:t>
      </w:r>
      <w:proofErr w:type="spellEnd"/>
      <w:r w:rsidRPr="007D5297">
        <w:t xml:space="preserve"> Subdistrict, North Tapanuli, Indonesia. Quantitative analysis revealed significant reductions in Vehicle Operating Costs (VOC) across all vehicle categories, ranging from 15% to 20% post-rehabilitation. These savings were attributed to improved surface quality, which decreased mechanical strain, fuel consumption, and spare part wear.</w:t>
      </w:r>
    </w:p>
    <w:p w14:paraId="14D80161" w14:textId="77777777" w:rsidR="007D5297" w:rsidRPr="007D5297" w:rsidRDefault="007D5297" w:rsidP="007D5297">
      <w:pPr>
        <w:jc w:val="both"/>
        <w:rPr>
          <w:rFonts w:ascii="Times New Roman" w:hAnsi="Times New Roman" w:cs="Times New Roman"/>
        </w:rPr>
      </w:pPr>
      <w:r w:rsidRPr="007D5297">
        <w:rPr>
          <w:rFonts w:ascii="Times New Roman" w:hAnsi="Times New Roman" w:cs="Times New Roman"/>
        </w:rPr>
        <w:t>Simultaneously, the accessibility index showed a marked increase across all five evaluated routes, with improvements exceeding 60% in some cases. This expansion of spatial accessibility indicates enhanced public mobility, better access to health and educational services, and a strengthened integration of peripheral communities into regional economies.</w:t>
      </w:r>
    </w:p>
    <w:p w14:paraId="3DB99B5D" w14:textId="77777777" w:rsidR="007D5297" w:rsidRPr="007D5297" w:rsidRDefault="007D5297" w:rsidP="007D5297">
      <w:pPr>
        <w:jc w:val="both"/>
        <w:rPr>
          <w:rFonts w:ascii="Times New Roman" w:hAnsi="Times New Roman" w:cs="Times New Roman"/>
        </w:rPr>
      </w:pPr>
      <w:r w:rsidRPr="007D5297">
        <w:rPr>
          <w:rFonts w:ascii="Times New Roman" w:hAnsi="Times New Roman" w:cs="Times New Roman"/>
        </w:rPr>
        <w:t>Statistical validation confirmed that the improvements in VOC and accessibility were significant at the 95% confidence level. These findings align with existing literature emphasizing infrastructure as a catalyst for rural transformation, and reinforce the critical role of road investment in equitable development planning</w:t>
      </w:r>
    </w:p>
    <w:p w14:paraId="1EB36184" w14:textId="77777777" w:rsidR="007D5297" w:rsidRPr="007D5297" w:rsidRDefault="007D5297" w:rsidP="007D5297">
      <w:pPr>
        <w:jc w:val="both"/>
        <w:rPr>
          <w:rFonts w:ascii="Times New Roman" w:hAnsi="Times New Roman" w:cs="Times New Roman"/>
        </w:rPr>
      </w:pPr>
      <w:r w:rsidRPr="007D5297">
        <w:rPr>
          <w:rFonts w:ascii="Times New Roman" w:hAnsi="Times New Roman" w:cs="Times New Roman"/>
        </w:rPr>
        <w:t xml:space="preserve">Based on the findings, it is recommended that future infrastructure planning in rural Indonesia adopt a data-driven approach that integrates both </w:t>
      </w:r>
      <w:r w:rsidRPr="007D5297">
        <w:rPr>
          <w:rFonts w:ascii="Times New Roman" w:hAnsi="Times New Roman" w:cs="Times New Roman"/>
          <w:b/>
          <w:bCs/>
        </w:rPr>
        <w:t>Vehicle Operating Cost (VOC)</w:t>
      </w:r>
      <w:r w:rsidRPr="007D5297">
        <w:rPr>
          <w:rFonts w:ascii="Times New Roman" w:hAnsi="Times New Roman" w:cs="Times New Roman"/>
        </w:rPr>
        <w:t xml:space="preserve"> and </w:t>
      </w:r>
      <w:r w:rsidRPr="007D5297">
        <w:rPr>
          <w:rFonts w:ascii="Times New Roman" w:hAnsi="Times New Roman" w:cs="Times New Roman"/>
          <w:b/>
          <w:bCs/>
        </w:rPr>
        <w:t>Accessibility Index</w:t>
      </w:r>
      <w:r w:rsidRPr="007D5297">
        <w:rPr>
          <w:rFonts w:ascii="Times New Roman" w:hAnsi="Times New Roman" w:cs="Times New Roman"/>
        </w:rPr>
        <w:t xml:space="preserve"> metrics into project selection and appraisal frameworks. Government agencies, particularly at the regency and provincial levels, should use tools like the Pd-T-15-2005-B guideline and spatial accessibility models to prioritize interventions that yield the </w:t>
      </w:r>
      <w:r w:rsidRPr="007D5297">
        <w:rPr>
          <w:rFonts w:ascii="Times New Roman" w:hAnsi="Times New Roman" w:cs="Times New Roman"/>
        </w:rPr>
        <w:lastRenderedPageBreak/>
        <w:t xml:space="preserve">highest cost-efficiency and social inclusion benefits. Roads serving densely populated but isolated communities—such as those observed in </w:t>
      </w:r>
      <w:proofErr w:type="spellStart"/>
      <w:r w:rsidRPr="007D5297">
        <w:rPr>
          <w:rFonts w:ascii="Times New Roman" w:hAnsi="Times New Roman" w:cs="Times New Roman"/>
        </w:rPr>
        <w:t>Garoga</w:t>
      </w:r>
      <w:proofErr w:type="spellEnd"/>
      <w:r w:rsidRPr="007D5297">
        <w:rPr>
          <w:rFonts w:ascii="Times New Roman" w:hAnsi="Times New Roman" w:cs="Times New Roman"/>
        </w:rPr>
        <w:t xml:space="preserve"> Subdistrict—should be prioritized to maximize return on investment in terms of mobility, service access, and economic integration.</w:t>
      </w:r>
    </w:p>
    <w:p w14:paraId="62B0D127" w14:textId="77777777" w:rsidR="007D5297" w:rsidRPr="007D5297" w:rsidRDefault="007D5297" w:rsidP="007D5297">
      <w:pPr>
        <w:jc w:val="both"/>
        <w:rPr>
          <w:rFonts w:ascii="Times New Roman" w:hAnsi="Times New Roman" w:cs="Times New Roman"/>
        </w:rPr>
      </w:pPr>
      <w:r w:rsidRPr="007D5297">
        <w:rPr>
          <w:rFonts w:ascii="Times New Roman" w:hAnsi="Times New Roman" w:cs="Times New Roman"/>
        </w:rPr>
        <w:t xml:space="preserve">Additionally, sustainability must be a central consideration in rural road programs. Without adequate post-construction maintenance, the efficiency gains from rehabilitation will deteriorate rapidly. Therefore, local governments are encouraged to establish </w:t>
      </w:r>
      <w:r w:rsidRPr="007D5297">
        <w:rPr>
          <w:rFonts w:ascii="Times New Roman" w:hAnsi="Times New Roman" w:cs="Times New Roman"/>
          <w:b/>
          <w:bCs/>
        </w:rPr>
        <w:t>routine maintenance schedules</w:t>
      </w:r>
      <w:r w:rsidRPr="007D5297">
        <w:rPr>
          <w:rFonts w:ascii="Times New Roman" w:hAnsi="Times New Roman" w:cs="Times New Roman"/>
        </w:rPr>
        <w:t xml:space="preserve">, ensure proper drainage management, and involve communities in reporting infrastructure damage. A </w:t>
      </w:r>
      <w:r w:rsidRPr="007D5297">
        <w:rPr>
          <w:rFonts w:ascii="Times New Roman" w:hAnsi="Times New Roman" w:cs="Times New Roman"/>
          <w:b/>
          <w:bCs/>
        </w:rPr>
        <w:t>multi-sectoral coordination strategy</w:t>
      </w:r>
      <w:r w:rsidRPr="007D5297">
        <w:rPr>
          <w:rFonts w:ascii="Times New Roman" w:hAnsi="Times New Roman" w:cs="Times New Roman"/>
        </w:rPr>
        <w:t xml:space="preserve"> is also advised, whereby improvements in transportation are planned alongside education, health, and agricultural service delivery. This integrated approach can create synergistic development effects, reducing rural-urban disparities and supporting long-term resilience in underserved regions.</w:t>
      </w:r>
    </w:p>
    <w:p w14:paraId="5B74EA79" w14:textId="77777777" w:rsidR="007D5297" w:rsidRDefault="007D5297">
      <w:pPr>
        <w:rPr>
          <w:rFonts w:ascii="Times New Roman" w:hAnsi="Times New Roman" w:cs="Times New Roman"/>
          <w:b/>
          <w:bCs/>
        </w:rPr>
      </w:pPr>
    </w:p>
    <w:p w14:paraId="20C4E9C6" w14:textId="7DCA7845" w:rsidR="007A7326" w:rsidRPr="007D5297" w:rsidRDefault="007D5297">
      <w:pPr>
        <w:rPr>
          <w:rFonts w:ascii="Times New Roman" w:hAnsi="Times New Roman" w:cs="Times New Roman"/>
          <w:b/>
          <w:bCs/>
        </w:rPr>
      </w:pPr>
      <w:r>
        <w:rPr>
          <w:rFonts w:ascii="Times New Roman" w:hAnsi="Times New Roman" w:cs="Times New Roman"/>
          <w:b/>
          <w:bCs/>
        </w:rPr>
        <w:t>References</w:t>
      </w:r>
    </w:p>
    <w:p w14:paraId="7264AC42" w14:textId="2EC0986E" w:rsidR="007D5297" w:rsidRPr="007D5297" w:rsidRDefault="007D5297" w:rsidP="007D5297">
      <w:pPr>
        <w:ind w:left="851" w:hanging="851"/>
        <w:jc w:val="both"/>
        <w:rPr>
          <w:rFonts w:ascii="Times New Roman" w:hAnsi="Times New Roman" w:cs="Times New Roman"/>
        </w:rPr>
      </w:pPr>
      <w:r w:rsidRPr="007D5297">
        <w:rPr>
          <w:rFonts w:ascii="Times New Roman" w:hAnsi="Times New Roman" w:cs="Times New Roman"/>
        </w:rPr>
        <w:t xml:space="preserve">Cahyono, M. S. D., &amp; Wibowo, L. S. B. (2021). </w:t>
      </w:r>
      <w:r w:rsidRPr="007D5297">
        <w:rPr>
          <w:rFonts w:ascii="Times New Roman" w:hAnsi="Times New Roman" w:cs="Times New Roman"/>
          <w:i/>
          <w:iCs/>
        </w:rPr>
        <w:t>Comparison analysis of Vehicle Operating Cost (VOC) between new toll road plan with existing road</w:t>
      </w:r>
      <w:r w:rsidRPr="007D5297">
        <w:rPr>
          <w:rFonts w:ascii="Times New Roman" w:hAnsi="Times New Roman" w:cs="Times New Roman"/>
        </w:rPr>
        <w:t>. IOP Conference Series: Materials Science and Engineering, 1098(2), 022082. https://doi.org/10.1088/1757-899X/1098/2/022082</w:t>
      </w:r>
    </w:p>
    <w:p w14:paraId="1B315EAF" w14:textId="479CE5D6" w:rsidR="007D5297" w:rsidRPr="007D5297" w:rsidRDefault="007D5297" w:rsidP="007D5297">
      <w:pPr>
        <w:ind w:left="851" w:hanging="851"/>
        <w:jc w:val="both"/>
        <w:rPr>
          <w:rFonts w:ascii="Times New Roman" w:hAnsi="Times New Roman" w:cs="Times New Roman"/>
        </w:rPr>
      </w:pPr>
      <w:r w:rsidRPr="007D5297">
        <w:rPr>
          <w:rFonts w:ascii="Times New Roman" w:hAnsi="Times New Roman" w:cs="Times New Roman"/>
        </w:rPr>
        <w:t xml:space="preserve">Cervero, R. (1990). </w:t>
      </w:r>
      <w:r w:rsidRPr="007D5297">
        <w:rPr>
          <w:rFonts w:ascii="Times New Roman" w:hAnsi="Times New Roman" w:cs="Times New Roman"/>
          <w:i/>
          <w:iCs/>
        </w:rPr>
        <w:t>Accessibility and third world rural development</w:t>
      </w:r>
      <w:r w:rsidRPr="007D5297">
        <w:rPr>
          <w:rFonts w:ascii="Times New Roman" w:hAnsi="Times New Roman" w:cs="Times New Roman"/>
        </w:rPr>
        <w:t xml:space="preserve">. Retrieved from </w:t>
      </w:r>
      <w:hyperlink r:id="rId8" w:tgtFrame="_new" w:history="1">
        <w:r w:rsidRPr="007D5297">
          <w:rPr>
            <w:rStyle w:val="Hyperlink"/>
            <w:rFonts w:ascii="Times New Roman" w:hAnsi="Times New Roman" w:cs="Times New Roman"/>
          </w:rPr>
          <w:t>https://scispace.com/papers/accessibility-and-third-world-rural-development-46rjp0qn5q</w:t>
        </w:r>
      </w:hyperlink>
    </w:p>
    <w:p w14:paraId="500A190B" w14:textId="6E6FD55A" w:rsidR="007D5297" w:rsidRPr="007D5297" w:rsidRDefault="007D5297" w:rsidP="007D5297">
      <w:pPr>
        <w:ind w:left="851" w:hanging="851"/>
        <w:jc w:val="both"/>
        <w:rPr>
          <w:rFonts w:ascii="Times New Roman" w:hAnsi="Times New Roman" w:cs="Times New Roman"/>
        </w:rPr>
      </w:pPr>
      <w:r w:rsidRPr="007D5297">
        <w:rPr>
          <w:rFonts w:ascii="Times New Roman" w:hAnsi="Times New Roman" w:cs="Times New Roman"/>
          <w:lang w:val="fi-FI"/>
        </w:rPr>
        <w:t xml:space="preserve">Kamaludin, A. S., &amp; Qibthiyyah, R. M. (2022). </w:t>
      </w:r>
      <w:r w:rsidRPr="007D5297">
        <w:rPr>
          <w:rFonts w:ascii="Times New Roman" w:hAnsi="Times New Roman" w:cs="Times New Roman"/>
          <w:i/>
          <w:iCs/>
        </w:rPr>
        <w:t>Village road quality and accessibility on transforming rural development</w:t>
      </w:r>
      <w:r w:rsidRPr="007D5297">
        <w:rPr>
          <w:rFonts w:ascii="Times New Roman" w:hAnsi="Times New Roman" w:cs="Times New Roman"/>
        </w:rPr>
        <w:t>. Journal of Agribusiness and Rural Development Research, 8(2), 103–120. https://doi.org/10.18196/agraris.v8i2.13618</w:t>
      </w:r>
    </w:p>
    <w:p w14:paraId="2E6FA10D" w14:textId="19F2421A" w:rsidR="007D5297" w:rsidRDefault="007D5297" w:rsidP="007D5297">
      <w:pPr>
        <w:ind w:left="851" w:hanging="851"/>
        <w:jc w:val="both"/>
        <w:rPr>
          <w:rFonts w:ascii="Times New Roman" w:hAnsi="Times New Roman" w:cs="Times New Roman"/>
        </w:rPr>
      </w:pPr>
      <w:r w:rsidRPr="007D5297">
        <w:rPr>
          <w:rFonts w:ascii="Times New Roman" w:hAnsi="Times New Roman" w:cs="Times New Roman"/>
        </w:rPr>
        <w:t xml:space="preserve">Ministry of Public Works and Housing. (2005). </w:t>
      </w:r>
      <w:proofErr w:type="spellStart"/>
      <w:r w:rsidRPr="007D5297">
        <w:rPr>
          <w:rFonts w:ascii="Times New Roman" w:hAnsi="Times New Roman" w:cs="Times New Roman"/>
          <w:i/>
          <w:iCs/>
        </w:rPr>
        <w:t>Pedoman</w:t>
      </w:r>
      <w:proofErr w:type="spellEnd"/>
      <w:r w:rsidRPr="007D5297">
        <w:rPr>
          <w:rFonts w:ascii="Times New Roman" w:hAnsi="Times New Roman" w:cs="Times New Roman"/>
          <w:i/>
          <w:iCs/>
        </w:rPr>
        <w:t xml:space="preserve"> </w:t>
      </w:r>
      <w:proofErr w:type="spellStart"/>
      <w:r w:rsidRPr="007D5297">
        <w:rPr>
          <w:rFonts w:ascii="Times New Roman" w:hAnsi="Times New Roman" w:cs="Times New Roman"/>
          <w:i/>
          <w:iCs/>
        </w:rPr>
        <w:t>perhitungan</w:t>
      </w:r>
      <w:proofErr w:type="spellEnd"/>
      <w:r w:rsidRPr="007D5297">
        <w:rPr>
          <w:rFonts w:ascii="Times New Roman" w:hAnsi="Times New Roman" w:cs="Times New Roman"/>
          <w:i/>
          <w:iCs/>
        </w:rPr>
        <w:t xml:space="preserve"> </w:t>
      </w:r>
      <w:proofErr w:type="spellStart"/>
      <w:r w:rsidRPr="007D5297">
        <w:rPr>
          <w:rFonts w:ascii="Times New Roman" w:hAnsi="Times New Roman" w:cs="Times New Roman"/>
          <w:i/>
          <w:iCs/>
        </w:rPr>
        <w:t>biaya</w:t>
      </w:r>
      <w:proofErr w:type="spellEnd"/>
      <w:r w:rsidRPr="007D5297">
        <w:rPr>
          <w:rFonts w:ascii="Times New Roman" w:hAnsi="Times New Roman" w:cs="Times New Roman"/>
          <w:i/>
          <w:iCs/>
        </w:rPr>
        <w:t xml:space="preserve"> </w:t>
      </w:r>
      <w:proofErr w:type="spellStart"/>
      <w:r w:rsidRPr="007D5297">
        <w:rPr>
          <w:rFonts w:ascii="Times New Roman" w:hAnsi="Times New Roman" w:cs="Times New Roman"/>
          <w:i/>
          <w:iCs/>
        </w:rPr>
        <w:t>operasional</w:t>
      </w:r>
      <w:proofErr w:type="spellEnd"/>
      <w:r w:rsidRPr="007D5297">
        <w:rPr>
          <w:rFonts w:ascii="Times New Roman" w:hAnsi="Times New Roman" w:cs="Times New Roman"/>
          <w:i/>
          <w:iCs/>
        </w:rPr>
        <w:t xml:space="preserve"> </w:t>
      </w:r>
      <w:proofErr w:type="spellStart"/>
      <w:r w:rsidRPr="007D5297">
        <w:rPr>
          <w:rFonts w:ascii="Times New Roman" w:hAnsi="Times New Roman" w:cs="Times New Roman"/>
          <w:i/>
          <w:iCs/>
        </w:rPr>
        <w:t>kendaraan</w:t>
      </w:r>
      <w:proofErr w:type="spellEnd"/>
      <w:r w:rsidRPr="007D5297">
        <w:rPr>
          <w:rFonts w:ascii="Times New Roman" w:hAnsi="Times New Roman" w:cs="Times New Roman"/>
          <w:i/>
          <w:iCs/>
        </w:rPr>
        <w:t xml:space="preserve"> (Pd-T-15-2005-B)</w:t>
      </w:r>
      <w:r w:rsidRPr="007D5297">
        <w:rPr>
          <w:rFonts w:ascii="Times New Roman" w:hAnsi="Times New Roman" w:cs="Times New Roman"/>
        </w:rPr>
        <w:t xml:space="preserve">. Jakarta: </w:t>
      </w:r>
      <w:proofErr w:type="spellStart"/>
      <w:r w:rsidRPr="007D5297">
        <w:rPr>
          <w:rFonts w:ascii="Times New Roman" w:hAnsi="Times New Roman" w:cs="Times New Roman"/>
        </w:rPr>
        <w:t>Direktorat</w:t>
      </w:r>
      <w:proofErr w:type="spellEnd"/>
      <w:r w:rsidRPr="007D5297">
        <w:rPr>
          <w:rFonts w:ascii="Times New Roman" w:hAnsi="Times New Roman" w:cs="Times New Roman"/>
        </w:rPr>
        <w:t xml:space="preserve"> </w:t>
      </w:r>
      <w:proofErr w:type="spellStart"/>
      <w:r w:rsidRPr="007D5297">
        <w:rPr>
          <w:rFonts w:ascii="Times New Roman" w:hAnsi="Times New Roman" w:cs="Times New Roman"/>
        </w:rPr>
        <w:t>Jenderal</w:t>
      </w:r>
      <w:proofErr w:type="spellEnd"/>
      <w:r w:rsidRPr="007D5297">
        <w:rPr>
          <w:rFonts w:ascii="Times New Roman" w:hAnsi="Times New Roman" w:cs="Times New Roman"/>
        </w:rPr>
        <w:t xml:space="preserve"> Bina Marga.</w:t>
      </w:r>
    </w:p>
    <w:p w14:paraId="7DDE97F0" w14:textId="1531F795" w:rsidR="003F6100" w:rsidRDefault="003F6100" w:rsidP="007D5297">
      <w:pPr>
        <w:ind w:left="851" w:hanging="851"/>
        <w:jc w:val="both"/>
        <w:rPr>
          <w:rFonts w:ascii="Times New Roman" w:hAnsi="Times New Roman" w:cs="Times New Roman"/>
        </w:rPr>
      </w:pPr>
      <w:proofErr w:type="spellStart"/>
      <w:r w:rsidRPr="003F6100">
        <w:rPr>
          <w:rFonts w:ascii="Times New Roman" w:hAnsi="Times New Roman" w:cs="Times New Roman"/>
        </w:rPr>
        <w:t>Kalimanto</w:t>
      </w:r>
      <w:proofErr w:type="spellEnd"/>
      <w:r w:rsidRPr="003F6100">
        <w:rPr>
          <w:rFonts w:ascii="Times New Roman" w:hAnsi="Times New Roman" w:cs="Times New Roman"/>
        </w:rPr>
        <w:t xml:space="preserve">, D., &amp; </w:t>
      </w:r>
      <w:proofErr w:type="spellStart"/>
      <w:r w:rsidRPr="003F6100">
        <w:rPr>
          <w:rFonts w:ascii="Times New Roman" w:hAnsi="Times New Roman" w:cs="Times New Roman"/>
        </w:rPr>
        <w:t>Hadiwardoyo</w:t>
      </w:r>
      <w:proofErr w:type="spellEnd"/>
      <w:r w:rsidRPr="003F6100">
        <w:rPr>
          <w:rFonts w:ascii="Times New Roman" w:hAnsi="Times New Roman" w:cs="Times New Roman"/>
        </w:rPr>
        <w:t>, S. P. (2019, December). Impact of road rehabilitation zone on travel time to road user cost. In IOP Conference Series: Materials Science and Engineering (Vol. 673, No. 1, p. 012114). IOP Publishing.</w:t>
      </w:r>
    </w:p>
    <w:p w14:paraId="38F3DD94" w14:textId="6E80E5C7" w:rsidR="003F6100" w:rsidRDefault="003F6100" w:rsidP="007D5297">
      <w:pPr>
        <w:ind w:left="851" w:hanging="851"/>
        <w:jc w:val="both"/>
        <w:rPr>
          <w:rFonts w:ascii="Times New Roman" w:hAnsi="Times New Roman" w:cs="Times New Roman"/>
        </w:rPr>
      </w:pPr>
      <w:proofErr w:type="spellStart"/>
      <w:r w:rsidRPr="003F6100">
        <w:rPr>
          <w:rFonts w:ascii="Times New Roman" w:hAnsi="Times New Roman" w:cs="Times New Roman"/>
        </w:rPr>
        <w:t>Shiboub</w:t>
      </w:r>
      <w:proofErr w:type="spellEnd"/>
      <w:r w:rsidRPr="003F6100">
        <w:rPr>
          <w:rFonts w:ascii="Times New Roman" w:hAnsi="Times New Roman" w:cs="Times New Roman"/>
        </w:rPr>
        <w:t>, I., &amp; Assaf, G. J. (2022). System dynamic model for sustainable road rehabilitation integrating technical, economic, and environmental considerations. Journal of Management in Engineering, 38(5), 04022041.</w:t>
      </w:r>
    </w:p>
    <w:p w14:paraId="61FBED04" w14:textId="0AED73B9" w:rsidR="003F6100" w:rsidRDefault="003F6100" w:rsidP="007D5297">
      <w:pPr>
        <w:ind w:left="851" w:hanging="851"/>
        <w:jc w:val="both"/>
        <w:rPr>
          <w:rFonts w:ascii="Times New Roman" w:hAnsi="Times New Roman" w:cs="Times New Roman"/>
        </w:rPr>
      </w:pPr>
      <w:proofErr w:type="spellStart"/>
      <w:r w:rsidRPr="003F6100">
        <w:rPr>
          <w:rFonts w:ascii="Times New Roman" w:hAnsi="Times New Roman" w:cs="Times New Roman"/>
        </w:rPr>
        <w:t>Asomani</w:t>
      </w:r>
      <w:proofErr w:type="spellEnd"/>
      <w:r w:rsidRPr="003F6100">
        <w:rPr>
          <w:rFonts w:ascii="Times New Roman" w:hAnsi="Times New Roman" w:cs="Times New Roman"/>
        </w:rPr>
        <w:t xml:space="preserve">-Boateng, R., Fricano, R. J., &amp; </w:t>
      </w:r>
      <w:proofErr w:type="spellStart"/>
      <w:r w:rsidRPr="003F6100">
        <w:rPr>
          <w:rFonts w:ascii="Times New Roman" w:hAnsi="Times New Roman" w:cs="Times New Roman"/>
        </w:rPr>
        <w:t>Adarkwa</w:t>
      </w:r>
      <w:proofErr w:type="spellEnd"/>
      <w:r w:rsidRPr="003F6100">
        <w:rPr>
          <w:rFonts w:ascii="Times New Roman" w:hAnsi="Times New Roman" w:cs="Times New Roman"/>
        </w:rPr>
        <w:t>, F. (2015). Assessing the socio-economic impacts of rural road improvements in Ghana: A case study of transport sector program support (II). Case studies on transport policy, 3(4), 355-366.</w:t>
      </w:r>
    </w:p>
    <w:p w14:paraId="527D3601" w14:textId="2CFDBD6F" w:rsidR="003F6100" w:rsidRDefault="003F6100" w:rsidP="007D5297">
      <w:pPr>
        <w:ind w:left="851" w:hanging="851"/>
        <w:jc w:val="both"/>
        <w:rPr>
          <w:rFonts w:ascii="Times New Roman" w:hAnsi="Times New Roman" w:cs="Times New Roman"/>
        </w:rPr>
      </w:pPr>
      <w:proofErr w:type="spellStart"/>
      <w:r w:rsidRPr="003F6100">
        <w:rPr>
          <w:rFonts w:ascii="Times New Roman" w:hAnsi="Times New Roman" w:cs="Times New Roman"/>
        </w:rPr>
        <w:t>Trestanto</w:t>
      </w:r>
      <w:proofErr w:type="spellEnd"/>
      <w:r w:rsidRPr="003F6100">
        <w:rPr>
          <w:rFonts w:ascii="Times New Roman" w:hAnsi="Times New Roman" w:cs="Times New Roman"/>
        </w:rPr>
        <w:t xml:space="preserve">, F., </w:t>
      </w:r>
      <w:proofErr w:type="spellStart"/>
      <w:r w:rsidRPr="003F6100">
        <w:rPr>
          <w:rFonts w:ascii="Times New Roman" w:hAnsi="Times New Roman" w:cs="Times New Roman"/>
        </w:rPr>
        <w:t>Hadiwardoyo</w:t>
      </w:r>
      <w:proofErr w:type="spellEnd"/>
      <w:r w:rsidRPr="003F6100">
        <w:rPr>
          <w:rFonts w:ascii="Times New Roman" w:hAnsi="Times New Roman" w:cs="Times New Roman"/>
        </w:rPr>
        <w:t xml:space="preserve">, S. P., </w:t>
      </w:r>
      <w:proofErr w:type="spellStart"/>
      <w:r w:rsidRPr="003F6100">
        <w:rPr>
          <w:rFonts w:ascii="Times New Roman" w:hAnsi="Times New Roman" w:cs="Times New Roman"/>
        </w:rPr>
        <w:t>Sumabrata</w:t>
      </w:r>
      <w:proofErr w:type="spellEnd"/>
      <w:r w:rsidRPr="003F6100">
        <w:rPr>
          <w:rFonts w:ascii="Times New Roman" w:hAnsi="Times New Roman" w:cs="Times New Roman"/>
        </w:rPr>
        <w:t xml:space="preserve">, J., &amp; </w:t>
      </w:r>
      <w:proofErr w:type="spellStart"/>
      <w:r w:rsidRPr="003F6100">
        <w:rPr>
          <w:rFonts w:ascii="Times New Roman" w:hAnsi="Times New Roman" w:cs="Times New Roman"/>
        </w:rPr>
        <w:t>Lumingkewas</w:t>
      </w:r>
      <w:proofErr w:type="spellEnd"/>
      <w:r w:rsidRPr="003F6100">
        <w:rPr>
          <w:rFonts w:ascii="Times New Roman" w:hAnsi="Times New Roman" w:cs="Times New Roman"/>
        </w:rPr>
        <w:t xml:space="preserve">, R. H. (2024). Road Repair Delay Costs in Improving the Road Rehabilitation Strategy through a Comprehensive </w:t>
      </w:r>
      <w:r w:rsidRPr="003F6100">
        <w:rPr>
          <w:rFonts w:ascii="Times New Roman" w:hAnsi="Times New Roman" w:cs="Times New Roman"/>
        </w:rPr>
        <w:lastRenderedPageBreak/>
        <w:t>Road User Cost Model. International Journal of Engineering and Technology Innovation, 14(3), 254-270.</w:t>
      </w:r>
    </w:p>
    <w:p w14:paraId="1D5908FE" w14:textId="1FF09402" w:rsidR="003F6100" w:rsidRPr="007D5297" w:rsidRDefault="003F6100" w:rsidP="007D5297">
      <w:pPr>
        <w:ind w:left="851" w:hanging="851"/>
        <w:jc w:val="both"/>
        <w:rPr>
          <w:rFonts w:ascii="Times New Roman" w:hAnsi="Times New Roman" w:cs="Times New Roman"/>
        </w:rPr>
      </w:pPr>
      <w:r w:rsidRPr="003F6100">
        <w:rPr>
          <w:rFonts w:ascii="Times New Roman" w:hAnsi="Times New Roman" w:cs="Times New Roman"/>
        </w:rPr>
        <w:t>Jimi-Oni, M., &amp; Oluwatobi, A. O. (2017). Impact of Road Rehabilitation on Property Value: A Case of Lasu-</w:t>
      </w:r>
      <w:proofErr w:type="spellStart"/>
      <w:r w:rsidRPr="003F6100">
        <w:rPr>
          <w:rFonts w:ascii="Times New Roman" w:hAnsi="Times New Roman" w:cs="Times New Roman"/>
        </w:rPr>
        <w:t>Isheri</w:t>
      </w:r>
      <w:proofErr w:type="spellEnd"/>
      <w:r w:rsidRPr="003F6100">
        <w:rPr>
          <w:rFonts w:ascii="Times New Roman" w:hAnsi="Times New Roman" w:cs="Times New Roman"/>
        </w:rPr>
        <w:t xml:space="preserve"> Road, </w:t>
      </w:r>
      <w:proofErr w:type="spellStart"/>
      <w:r w:rsidRPr="003F6100">
        <w:rPr>
          <w:rFonts w:ascii="Times New Roman" w:hAnsi="Times New Roman" w:cs="Times New Roman"/>
        </w:rPr>
        <w:t>Igando</w:t>
      </w:r>
      <w:proofErr w:type="spellEnd"/>
      <w:r w:rsidRPr="003F6100">
        <w:rPr>
          <w:rFonts w:ascii="Times New Roman" w:hAnsi="Times New Roman" w:cs="Times New Roman"/>
        </w:rPr>
        <w:t>, Lagos State. Covenant Journal of Research in the Built Environment.</w:t>
      </w:r>
    </w:p>
    <w:p w14:paraId="397F2A4F" w14:textId="77777777" w:rsidR="007A7326" w:rsidRDefault="007A7326">
      <w:pPr>
        <w:rPr>
          <w:rFonts w:ascii="Times New Roman" w:hAnsi="Times New Roman" w:cs="Times New Roman"/>
        </w:rPr>
      </w:pPr>
    </w:p>
    <w:p w14:paraId="7B0A9EAE" w14:textId="77777777" w:rsidR="007A7326" w:rsidRDefault="007A7326">
      <w:pPr>
        <w:rPr>
          <w:rFonts w:ascii="Times New Roman" w:hAnsi="Times New Roman" w:cs="Times New Roman"/>
        </w:rPr>
      </w:pPr>
    </w:p>
    <w:p w14:paraId="17ACB9D0" w14:textId="77777777" w:rsidR="007A7326" w:rsidRDefault="007A7326">
      <w:pPr>
        <w:rPr>
          <w:rFonts w:ascii="Times New Roman" w:hAnsi="Times New Roman" w:cs="Times New Roman"/>
        </w:rPr>
      </w:pPr>
    </w:p>
    <w:p w14:paraId="1ED4BA9C" w14:textId="77777777" w:rsidR="007A7326" w:rsidRDefault="007A7326">
      <w:pPr>
        <w:rPr>
          <w:rFonts w:ascii="Times New Roman" w:hAnsi="Times New Roman" w:cs="Times New Roman"/>
        </w:rPr>
      </w:pPr>
    </w:p>
    <w:p w14:paraId="5CBF977B" w14:textId="77777777" w:rsidR="007A7326" w:rsidRDefault="007A7326">
      <w:pPr>
        <w:rPr>
          <w:rFonts w:ascii="Times New Roman" w:hAnsi="Times New Roman" w:cs="Times New Roman"/>
        </w:rPr>
      </w:pPr>
    </w:p>
    <w:p w14:paraId="0A5E231A" w14:textId="77777777" w:rsidR="007A7326" w:rsidRDefault="007A7326">
      <w:pPr>
        <w:rPr>
          <w:rFonts w:ascii="Times New Roman" w:hAnsi="Times New Roman" w:cs="Times New Roman"/>
        </w:rPr>
      </w:pPr>
    </w:p>
    <w:p w14:paraId="28933661" w14:textId="77777777" w:rsidR="007A7326" w:rsidRDefault="007A7326">
      <w:pPr>
        <w:rPr>
          <w:rFonts w:ascii="Times New Roman" w:hAnsi="Times New Roman" w:cs="Times New Roman"/>
        </w:rPr>
      </w:pPr>
    </w:p>
    <w:p w14:paraId="59254E11" w14:textId="77777777" w:rsidR="007A7326" w:rsidRDefault="007A7326">
      <w:pPr>
        <w:rPr>
          <w:rFonts w:ascii="Times New Roman" w:hAnsi="Times New Roman" w:cs="Times New Roman"/>
        </w:rPr>
      </w:pPr>
    </w:p>
    <w:p w14:paraId="743690C9" w14:textId="77777777" w:rsidR="007A7326" w:rsidRDefault="007A7326">
      <w:pPr>
        <w:rPr>
          <w:rFonts w:ascii="Times New Roman" w:hAnsi="Times New Roman" w:cs="Times New Roman"/>
        </w:rPr>
      </w:pPr>
    </w:p>
    <w:p w14:paraId="55EB61C3" w14:textId="77777777" w:rsidR="007A7326" w:rsidRDefault="007A7326">
      <w:pPr>
        <w:rPr>
          <w:rFonts w:ascii="Times New Roman" w:hAnsi="Times New Roman" w:cs="Times New Roman"/>
        </w:rPr>
      </w:pPr>
    </w:p>
    <w:p w14:paraId="566776C6" w14:textId="77777777" w:rsidR="007A7326" w:rsidRDefault="007A7326">
      <w:pPr>
        <w:rPr>
          <w:rFonts w:ascii="Times New Roman" w:hAnsi="Times New Roman" w:cs="Times New Roman"/>
        </w:rPr>
      </w:pPr>
    </w:p>
    <w:p w14:paraId="0F82EDE9" w14:textId="77777777" w:rsidR="007A7326" w:rsidRDefault="007A7326">
      <w:pPr>
        <w:rPr>
          <w:rFonts w:ascii="Times New Roman" w:hAnsi="Times New Roman" w:cs="Times New Roman"/>
        </w:rPr>
      </w:pPr>
    </w:p>
    <w:p w14:paraId="375A6924" w14:textId="77777777" w:rsidR="007A7326" w:rsidRDefault="007A7326">
      <w:pPr>
        <w:rPr>
          <w:rFonts w:ascii="Times New Roman" w:hAnsi="Times New Roman" w:cs="Times New Roman"/>
        </w:rPr>
      </w:pPr>
    </w:p>
    <w:p w14:paraId="30B454FF" w14:textId="77777777" w:rsidR="007A7326" w:rsidRDefault="007A7326">
      <w:pPr>
        <w:rPr>
          <w:rFonts w:ascii="Times New Roman" w:hAnsi="Times New Roman" w:cs="Times New Roman"/>
        </w:rPr>
      </w:pPr>
    </w:p>
    <w:p w14:paraId="19250658" w14:textId="77777777" w:rsidR="007A7326" w:rsidRDefault="007A7326">
      <w:pPr>
        <w:rPr>
          <w:rFonts w:ascii="Times New Roman" w:hAnsi="Times New Roman" w:cs="Times New Roman"/>
        </w:rPr>
      </w:pPr>
    </w:p>
    <w:p w14:paraId="5B9CB2B8" w14:textId="77777777" w:rsidR="007A7326" w:rsidRDefault="007A7326">
      <w:pPr>
        <w:rPr>
          <w:rFonts w:ascii="Times New Roman" w:hAnsi="Times New Roman" w:cs="Times New Roman"/>
        </w:rPr>
      </w:pPr>
    </w:p>
    <w:p w14:paraId="65E27723" w14:textId="77777777" w:rsidR="007A7326" w:rsidRDefault="007A7326">
      <w:pPr>
        <w:rPr>
          <w:rFonts w:ascii="Times New Roman" w:hAnsi="Times New Roman" w:cs="Times New Roman"/>
        </w:rPr>
      </w:pPr>
    </w:p>
    <w:p w14:paraId="1F644168" w14:textId="77777777" w:rsidR="007A7326" w:rsidRDefault="007A7326">
      <w:pPr>
        <w:rPr>
          <w:rFonts w:ascii="Times New Roman" w:hAnsi="Times New Roman" w:cs="Times New Roman"/>
        </w:rPr>
      </w:pPr>
    </w:p>
    <w:p w14:paraId="54650FEB" w14:textId="77777777" w:rsidR="007A7326" w:rsidRDefault="007A7326">
      <w:pPr>
        <w:rPr>
          <w:rFonts w:ascii="Times New Roman" w:hAnsi="Times New Roman" w:cs="Times New Roman"/>
        </w:rPr>
      </w:pPr>
    </w:p>
    <w:p w14:paraId="2E999BFF" w14:textId="77777777" w:rsidR="007A7326" w:rsidRDefault="007A7326">
      <w:pPr>
        <w:rPr>
          <w:rFonts w:ascii="Times New Roman" w:hAnsi="Times New Roman" w:cs="Times New Roman"/>
        </w:rPr>
      </w:pPr>
    </w:p>
    <w:p w14:paraId="339722AF" w14:textId="77777777" w:rsidR="007A7326" w:rsidRPr="007A7326" w:rsidRDefault="007A7326">
      <w:pPr>
        <w:rPr>
          <w:rFonts w:ascii="Times New Roman" w:hAnsi="Times New Roman" w:cs="Times New Roman"/>
        </w:rPr>
      </w:pPr>
    </w:p>
    <w:sectPr w:rsidR="007A7326" w:rsidRPr="007A7326" w:rsidSect="007A7326">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474BB" w14:textId="77777777" w:rsidR="0076372B" w:rsidRDefault="0076372B" w:rsidP="002A5497">
      <w:pPr>
        <w:spacing w:after="0" w:line="240" w:lineRule="auto"/>
      </w:pPr>
      <w:r>
        <w:separator/>
      </w:r>
    </w:p>
  </w:endnote>
  <w:endnote w:type="continuationSeparator" w:id="0">
    <w:p w14:paraId="4E75EEAB" w14:textId="77777777" w:rsidR="0076372B" w:rsidRDefault="0076372B" w:rsidP="002A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02FE4" w14:textId="77777777" w:rsidR="002A5497" w:rsidRDefault="002A5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7F12D" w14:textId="77777777" w:rsidR="002A5497" w:rsidRDefault="002A5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5EE2F" w14:textId="77777777" w:rsidR="002A5497" w:rsidRDefault="002A5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3F8C9" w14:textId="77777777" w:rsidR="0076372B" w:rsidRDefault="0076372B" w:rsidP="002A5497">
      <w:pPr>
        <w:spacing w:after="0" w:line="240" w:lineRule="auto"/>
      </w:pPr>
      <w:r>
        <w:separator/>
      </w:r>
    </w:p>
  </w:footnote>
  <w:footnote w:type="continuationSeparator" w:id="0">
    <w:p w14:paraId="7A6213CA" w14:textId="77777777" w:rsidR="0076372B" w:rsidRDefault="0076372B" w:rsidP="002A5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D9E2" w14:textId="435F42CD" w:rsidR="002A5497" w:rsidRDefault="002A5497">
    <w:pPr>
      <w:pStyle w:val="Header"/>
    </w:pPr>
    <w:r>
      <w:rPr>
        <w:noProof/>
      </w:rPr>
      <w:pict w14:anchorId="134B1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512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C2166" w14:textId="73AC6B7C" w:rsidR="002A5497" w:rsidRDefault="002A5497">
    <w:pPr>
      <w:pStyle w:val="Header"/>
    </w:pPr>
    <w:r>
      <w:rPr>
        <w:noProof/>
      </w:rPr>
      <w:pict w14:anchorId="41A50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512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B76A" w14:textId="1E3C7E93" w:rsidR="002A5497" w:rsidRDefault="002A5497">
    <w:pPr>
      <w:pStyle w:val="Header"/>
    </w:pPr>
    <w:r>
      <w:rPr>
        <w:noProof/>
      </w:rPr>
      <w:pict w14:anchorId="70EBB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512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6538"/>
    <w:multiLevelType w:val="hybridMultilevel"/>
    <w:tmpl w:val="DCD2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90121"/>
    <w:multiLevelType w:val="multilevel"/>
    <w:tmpl w:val="E178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90D5D"/>
    <w:multiLevelType w:val="multilevel"/>
    <w:tmpl w:val="B13C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A5BC5"/>
    <w:multiLevelType w:val="multilevel"/>
    <w:tmpl w:val="E2C8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D005E0"/>
    <w:multiLevelType w:val="hybridMultilevel"/>
    <w:tmpl w:val="9188AFBE"/>
    <w:lvl w:ilvl="0" w:tplc="261A3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39604">
    <w:abstractNumId w:val="4"/>
  </w:num>
  <w:num w:numId="2" w16cid:durableId="422386714">
    <w:abstractNumId w:val="3"/>
  </w:num>
  <w:num w:numId="3" w16cid:durableId="362366982">
    <w:abstractNumId w:val="1"/>
  </w:num>
  <w:num w:numId="4" w16cid:durableId="1078165422">
    <w:abstractNumId w:val="2"/>
  </w:num>
  <w:num w:numId="5" w16cid:durableId="381709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26"/>
    <w:rsid w:val="000E2567"/>
    <w:rsid w:val="002A5497"/>
    <w:rsid w:val="003F6100"/>
    <w:rsid w:val="005D33BB"/>
    <w:rsid w:val="006122F2"/>
    <w:rsid w:val="0076372B"/>
    <w:rsid w:val="007A7326"/>
    <w:rsid w:val="007D5297"/>
    <w:rsid w:val="008D4247"/>
    <w:rsid w:val="00AB2ACA"/>
    <w:rsid w:val="00F07E85"/>
    <w:rsid w:val="00F9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16824"/>
  <w15:chartTrackingRefBased/>
  <w15:docId w15:val="{5F9C79A9-BCE8-40E4-9AE5-EF66AF80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326"/>
    <w:rPr>
      <w:rFonts w:eastAsiaTheme="majorEastAsia" w:cstheme="majorBidi"/>
      <w:color w:val="272727" w:themeColor="text1" w:themeTint="D8"/>
    </w:rPr>
  </w:style>
  <w:style w:type="paragraph" w:styleId="Title">
    <w:name w:val="Title"/>
    <w:basedOn w:val="Normal"/>
    <w:next w:val="Normal"/>
    <w:link w:val="TitleChar"/>
    <w:uiPriority w:val="10"/>
    <w:qFormat/>
    <w:rsid w:val="007A7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326"/>
    <w:pPr>
      <w:spacing w:before="160"/>
      <w:jc w:val="center"/>
    </w:pPr>
    <w:rPr>
      <w:i/>
      <w:iCs/>
      <w:color w:val="404040" w:themeColor="text1" w:themeTint="BF"/>
    </w:rPr>
  </w:style>
  <w:style w:type="character" w:customStyle="1" w:styleId="QuoteChar">
    <w:name w:val="Quote Char"/>
    <w:basedOn w:val="DefaultParagraphFont"/>
    <w:link w:val="Quote"/>
    <w:uiPriority w:val="29"/>
    <w:rsid w:val="007A7326"/>
    <w:rPr>
      <w:i/>
      <w:iCs/>
      <w:color w:val="404040" w:themeColor="text1" w:themeTint="BF"/>
    </w:rPr>
  </w:style>
  <w:style w:type="paragraph" w:styleId="ListParagraph">
    <w:name w:val="List Paragraph"/>
    <w:basedOn w:val="Normal"/>
    <w:uiPriority w:val="34"/>
    <w:qFormat/>
    <w:rsid w:val="007A7326"/>
    <w:pPr>
      <w:ind w:left="720"/>
      <w:contextualSpacing/>
    </w:pPr>
  </w:style>
  <w:style w:type="character" w:styleId="IntenseEmphasis">
    <w:name w:val="Intense Emphasis"/>
    <w:basedOn w:val="DefaultParagraphFont"/>
    <w:uiPriority w:val="21"/>
    <w:qFormat/>
    <w:rsid w:val="007A7326"/>
    <w:rPr>
      <w:i/>
      <w:iCs/>
      <w:color w:val="0F4761" w:themeColor="accent1" w:themeShade="BF"/>
    </w:rPr>
  </w:style>
  <w:style w:type="paragraph" w:styleId="IntenseQuote">
    <w:name w:val="Intense Quote"/>
    <w:basedOn w:val="Normal"/>
    <w:next w:val="Normal"/>
    <w:link w:val="IntenseQuoteChar"/>
    <w:uiPriority w:val="30"/>
    <w:qFormat/>
    <w:rsid w:val="007A7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326"/>
    <w:rPr>
      <w:i/>
      <w:iCs/>
      <w:color w:val="0F4761" w:themeColor="accent1" w:themeShade="BF"/>
    </w:rPr>
  </w:style>
  <w:style w:type="character" w:styleId="IntenseReference">
    <w:name w:val="Intense Reference"/>
    <w:basedOn w:val="DefaultParagraphFont"/>
    <w:uiPriority w:val="32"/>
    <w:qFormat/>
    <w:rsid w:val="007A7326"/>
    <w:rPr>
      <w:b/>
      <w:bCs/>
      <w:smallCaps/>
      <w:color w:val="0F4761" w:themeColor="accent1" w:themeShade="BF"/>
      <w:spacing w:val="5"/>
    </w:rPr>
  </w:style>
  <w:style w:type="paragraph" w:styleId="NormalWeb">
    <w:name w:val="Normal (Web)"/>
    <w:basedOn w:val="Normal"/>
    <w:uiPriority w:val="99"/>
    <w:semiHidden/>
    <w:unhideWhenUsed/>
    <w:rsid w:val="007A7326"/>
    <w:rPr>
      <w:rFonts w:ascii="Times New Roman" w:hAnsi="Times New Roman" w:cs="Times New Roman"/>
    </w:rPr>
  </w:style>
  <w:style w:type="table" w:styleId="TableGrid">
    <w:name w:val="Table Grid"/>
    <w:basedOn w:val="TableNormal"/>
    <w:uiPriority w:val="39"/>
    <w:rsid w:val="007D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5297"/>
    <w:rPr>
      <w:color w:val="467886" w:themeColor="hyperlink"/>
      <w:u w:val="single"/>
    </w:rPr>
  </w:style>
  <w:style w:type="character" w:styleId="UnresolvedMention">
    <w:name w:val="Unresolved Mention"/>
    <w:basedOn w:val="DefaultParagraphFont"/>
    <w:uiPriority w:val="99"/>
    <w:semiHidden/>
    <w:unhideWhenUsed/>
    <w:rsid w:val="007D5297"/>
    <w:rPr>
      <w:color w:val="605E5C"/>
      <w:shd w:val="clear" w:color="auto" w:fill="E1DFDD"/>
    </w:rPr>
  </w:style>
  <w:style w:type="paragraph" w:styleId="Header">
    <w:name w:val="header"/>
    <w:basedOn w:val="Normal"/>
    <w:link w:val="HeaderChar"/>
    <w:uiPriority w:val="99"/>
    <w:unhideWhenUsed/>
    <w:rsid w:val="002A5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497"/>
  </w:style>
  <w:style w:type="paragraph" w:styleId="Footer">
    <w:name w:val="footer"/>
    <w:basedOn w:val="Normal"/>
    <w:link w:val="FooterChar"/>
    <w:uiPriority w:val="99"/>
    <w:unhideWhenUsed/>
    <w:rsid w:val="002A5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1863">
      <w:bodyDiv w:val="1"/>
      <w:marLeft w:val="0"/>
      <w:marRight w:val="0"/>
      <w:marTop w:val="0"/>
      <w:marBottom w:val="0"/>
      <w:divBdr>
        <w:top w:val="none" w:sz="0" w:space="0" w:color="auto"/>
        <w:left w:val="none" w:sz="0" w:space="0" w:color="auto"/>
        <w:bottom w:val="none" w:sz="0" w:space="0" w:color="auto"/>
        <w:right w:val="none" w:sz="0" w:space="0" w:color="auto"/>
      </w:divBdr>
    </w:div>
    <w:div w:id="272323021">
      <w:bodyDiv w:val="1"/>
      <w:marLeft w:val="0"/>
      <w:marRight w:val="0"/>
      <w:marTop w:val="0"/>
      <w:marBottom w:val="0"/>
      <w:divBdr>
        <w:top w:val="none" w:sz="0" w:space="0" w:color="auto"/>
        <w:left w:val="none" w:sz="0" w:space="0" w:color="auto"/>
        <w:bottom w:val="none" w:sz="0" w:space="0" w:color="auto"/>
        <w:right w:val="none" w:sz="0" w:space="0" w:color="auto"/>
      </w:divBdr>
    </w:div>
    <w:div w:id="334766924">
      <w:bodyDiv w:val="1"/>
      <w:marLeft w:val="0"/>
      <w:marRight w:val="0"/>
      <w:marTop w:val="0"/>
      <w:marBottom w:val="0"/>
      <w:divBdr>
        <w:top w:val="none" w:sz="0" w:space="0" w:color="auto"/>
        <w:left w:val="none" w:sz="0" w:space="0" w:color="auto"/>
        <w:bottom w:val="none" w:sz="0" w:space="0" w:color="auto"/>
        <w:right w:val="none" w:sz="0" w:space="0" w:color="auto"/>
      </w:divBdr>
    </w:div>
    <w:div w:id="338392341">
      <w:bodyDiv w:val="1"/>
      <w:marLeft w:val="0"/>
      <w:marRight w:val="0"/>
      <w:marTop w:val="0"/>
      <w:marBottom w:val="0"/>
      <w:divBdr>
        <w:top w:val="none" w:sz="0" w:space="0" w:color="auto"/>
        <w:left w:val="none" w:sz="0" w:space="0" w:color="auto"/>
        <w:bottom w:val="none" w:sz="0" w:space="0" w:color="auto"/>
        <w:right w:val="none" w:sz="0" w:space="0" w:color="auto"/>
      </w:divBdr>
    </w:div>
    <w:div w:id="375591805">
      <w:bodyDiv w:val="1"/>
      <w:marLeft w:val="0"/>
      <w:marRight w:val="0"/>
      <w:marTop w:val="0"/>
      <w:marBottom w:val="0"/>
      <w:divBdr>
        <w:top w:val="none" w:sz="0" w:space="0" w:color="auto"/>
        <w:left w:val="none" w:sz="0" w:space="0" w:color="auto"/>
        <w:bottom w:val="none" w:sz="0" w:space="0" w:color="auto"/>
        <w:right w:val="none" w:sz="0" w:space="0" w:color="auto"/>
      </w:divBdr>
    </w:div>
    <w:div w:id="547500185">
      <w:bodyDiv w:val="1"/>
      <w:marLeft w:val="0"/>
      <w:marRight w:val="0"/>
      <w:marTop w:val="0"/>
      <w:marBottom w:val="0"/>
      <w:divBdr>
        <w:top w:val="none" w:sz="0" w:space="0" w:color="auto"/>
        <w:left w:val="none" w:sz="0" w:space="0" w:color="auto"/>
        <w:bottom w:val="none" w:sz="0" w:space="0" w:color="auto"/>
        <w:right w:val="none" w:sz="0" w:space="0" w:color="auto"/>
      </w:divBdr>
    </w:div>
    <w:div w:id="621308382">
      <w:bodyDiv w:val="1"/>
      <w:marLeft w:val="0"/>
      <w:marRight w:val="0"/>
      <w:marTop w:val="0"/>
      <w:marBottom w:val="0"/>
      <w:divBdr>
        <w:top w:val="none" w:sz="0" w:space="0" w:color="auto"/>
        <w:left w:val="none" w:sz="0" w:space="0" w:color="auto"/>
        <w:bottom w:val="none" w:sz="0" w:space="0" w:color="auto"/>
        <w:right w:val="none" w:sz="0" w:space="0" w:color="auto"/>
      </w:divBdr>
    </w:div>
    <w:div w:id="830489784">
      <w:bodyDiv w:val="1"/>
      <w:marLeft w:val="0"/>
      <w:marRight w:val="0"/>
      <w:marTop w:val="0"/>
      <w:marBottom w:val="0"/>
      <w:divBdr>
        <w:top w:val="none" w:sz="0" w:space="0" w:color="auto"/>
        <w:left w:val="none" w:sz="0" w:space="0" w:color="auto"/>
        <w:bottom w:val="none" w:sz="0" w:space="0" w:color="auto"/>
        <w:right w:val="none" w:sz="0" w:space="0" w:color="auto"/>
      </w:divBdr>
    </w:div>
    <w:div w:id="991443607">
      <w:bodyDiv w:val="1"/>
      <w:marLeft w:val="0"/>
      <w:marRight w:val="0"/>
      <w:marTop w:val="0"/>
      <w:marBottom w:val="0"/>
      <w:divBdr>
        <w:top w:val="none" w:sz="0" w:space="0" w:color="auto"/>
        <w:left w:val="none" w:sz="0" w:space="0" w:color="auto"/>
        <w:bottom w:val="none" w:sz="0" w:space="0" w:color="auto"/>
        <w:right w:val="none" w:sz="0" w:space="0" w:color="auto"/>
      </w:divBdr>
    </w:div>
    <w:div w:id="1656764626">
      <w:bodyDiv w:val="1"/>
      <w:marLeft w:val="0"/>
      <w:marRight w:val="0"/>
      <w:marTop w:val="0"/>
      <w:marBottom w:val="0"/>
      <w:divBdr>
        <w:top w:val="none" w:sz="0" w:space="0" w:color="auto"/>
        <w:left w:val="none" w:sz="0" w:space="0" w:color="auto"/>
        <w:bottom w:val="none" w:sz="0" w:space="0" w:color="auto"/>
        <w:right w:val="none" w:sz="0" w:space="0" w:color="auto"/>
      </w:divBdr>
    </w:div>
    <w:div w:id="1677220416">
      <w:bodyDiv w:val="1"/>
      <w:marLeft w:val="0"/>
      <w:marRight w:val="0"/>
      <w:marTop w:val="0"/>
      <w:marBottom w:val="0"/>
      <w:divBdr>
        <w:top w:val="none" w:sz="0" w:space="0" w:color="auto"/>
        <w:left w:val="none" w:sz="0" w:space="0" w:color="auto"/>
        <w:bottom w:val="none" w:sz="0" w:space="0" w:color="auto"/>
        <w:right w:val="none" w:sz="0" w:space="0" w:color="auto"/>
      </w:divBdr>
    </w:div>
    <w:div w:id="1758360690">
      <w:bodyDiv w:val="1"/>
      <w:marLeft w:val="0"/>
      <w:marRight w:val="0"/>
      <w:marTop w:val="0"/>
      <w:marBottom w:val="0"/>
      <w:divBdr>
        <w:top w:val="none" w:sz="0" w:space="0" w:color="auto"/>
        <w:left w:val="none" w:sz="0" w:space="0" w:color="auto"/>
        <w:bottom w:val="none" w:sz="0" w:space="0" w:color="auto"/>
        <w:right w:val="none" w:sz="0" w:space="0" w:color="auto"/>
      </w:divBdr>
    </w:div>
    <w:div w:id="1766345589">
      <w:bodyDiv w:val="1"/>
      <w:marLeft w:val="0"/>
      <w:marRight w:val="0"/>
      <w:marTop w:val="0"/>
      <w:marBottom w:val="0"/>
      <w:divBdr>
        <w:top w:val="none" w:sz="0" w:space="0" w:color="auto"/>
        <w:left w:val="none" w:sz="0" w:space="0" w:color="auto"/>
        <w:bottom w:val="none" w:sz="0" w:space="0" w:color="auto"/>
        <w:right w:val="none" w:sz="0" w:space="0" w:color="auto"/>
      </w:divBdr>
    </w:div>
    <w:div w:id="1912233173">
      <w:bodyDiv w:val="1"/>
      <w:marLeft w:val="0"/>
      <w:marRight w:val="0"/>
      <w:marTop w:val="0"/>
      <w:marBottom w:val="0"/>
      <w:divBdr>
        <w:top w:val="none" w:sz="0" w:space="0" w:color="auto"/>
        <w:left w:val="none" w:sz="0" w:space="0" w:color="auto"/>
        <w:bottom w:val="none" w:sz="0" w:space="0" w:color="auto"/>
        <w:right w:val="none" w:sz="0" w:space="0" w:color="auto"/>
      </w:divBdr>
    </w:div>
    <w:div w:id="1931280655">
      <w:bodyDiv w:val="1"/>
      <w:marLeft w:val="0"/>
      <w:marRight w:val="0"/>
      <w:marTop w:val="0"/>
      <w:marBottom w:val="0"/>
      <w:divBdr>
        <w:top w:val="none" w:sz="0" w:space="0" w:color="auto"/>
        <w:left w:val="none" w:sz="0" w:space="0" w:color="auto"/>
        <w:bottom w:val="none" w:sz="0" w:space="0" w:color="auto"/>
        <w:right w:val="none" w:sz="0" w:space="0" w:color="auto"/>
      </w:divBdr>
    </w:div>
    <w:div w:id="2013946855">
      <w:bodyDiv w:val="1"/>
      <w:marLeft w:val="0"/>
      <w:marRight w:val="0"/>
      <w:marTop w:val="0"/>
      <w:marBottom w:val="0"/>
      <w:divBdr>
        <w:top w:val="none" w:sz="0" w:space="0" w:color="auto"/>
        <w:left w:val="none" w:sz="0" w:space="0" w:color="auto"/>
        <w:bottom w:val="none" w:sz="0" w:space="0" w:color="auto"/>
        <w:right w:val="none" w:sz="0" w:space="0" w:color="auto"/>
      </w:divBdr>
      <w:divsChild>
        <w:div w:id="2039087346">
          <w:marLeft w:val="0"/>
          <w:marRight w:val="0"/>
          <w:marTop w:val="0"/>
          <w:marBottom w:val="0"/>
          <w:divBdr>
            <w:top w:val="none" w:sz="0" w:space="0" w:color="auto"/>
            <w:left w:val="none" w:sz="0" w:space="0" w:color="auto"/>
            <w:bottom w:val="none" w:sz="0" w:space="0" w:color="auto"/>
            <w:right w:val="none" w:sz="0" w:space="0" w:color="auto"/>
          </w:divBdr>
          <w:divsChild>
            <w:div w:id="546337890">
              <w:marLeft w:val="0"/>
              <w:marRight w:val="0"/>
              <w:marTop w:val="0"/>
              <w:marBottom w:val="0"/>
              <w:divBdr>
                <w:top w:val="none" w:sz="0" w:space="0" w:color="auto"/>
                <w:left w:val="none" w:sz="0" w:space="0" w:color="auto"/>
                <w:bottom w:val="none" w:sz="0" w:space="0" w:color="auto"/>
                <w:right w:val="none" w:sz="0" w:space="0" w:color="auto"/>
              </w:divBdr>
            </w:div>
          </w:divsChild>
        </w:div>
        <w:div w:id="216474608">
          <w:marLeft w:val="0"/>
          <w:marRight w:val="0"/>
          <w:marTop w:val="0"/>
          <w:marBottom w:val="0"/>
          <w:divBdr>
            <w:top w:val="none" w:sz="0" w:space="0" w:color="auto"/>
            <w:left w:val="none" w:sz="0" w:space="0" w:color="auto"/>
            <w:bottom w:val="none" w:sz="0" w:space="0" w:color="auto"/>
            <w:right w:val="none" w:sz="0" w:space="0" w:color="auto"/>
          </w:divBdr>
          <w:divsChild>
            <w:div w:id="12216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7326">
      <w:bodyDiv w:val="1"/>
      <w:marLeft w:val="0"/>
      <w:marRight w:val="0"/>
      <w:marTop w:val="0"/>
      <w:marBottom w:val="0"/>
      <w:divBdr>
        <w:top w:val="none" w:sz="0" w:space="0" w:color="auto"/>
        <w:left w:val="none" w:sz="0" w:space="0" w:color="auto"/>
        <w:bottom w:val="none" w:sz="0" w:space="0" w:color="auto"/>
        <w:right w:val="none" w:sz="0" w:space="0" w:color="auto"/>
      </w:divBdr>
      <w:divsChild>
        <w:div w:id="1846749850">
          <w:marLeft w:val="0"/>
          <w:marRight w:val="0"/>
          <w:marTop w:val="0"/>
          <w:marBottom w:val="0"/>
          <w:divBdr>
            <w:top w:val="none" w:sz="0" w:space="0" w:color="auto"/>
            <w:left w:val="none" w:sz="0" w:space="0" w:color="auto"/>
            <w:bottom w:val="none" w:sz="0" w:space="0" w:color="auto"/>
            <w:right w:val="none" w:sz="0" w:space="0" w:color="auto"/>
          </w:divBdr>
          <w:divsChild>
            <w:div w:id="1544634402">
              <w:marLeft w:val="0"/>
              <w:marRight w:val="0"/>
              <w:marTop w:val="0"/>
              <w:marBottom w:val="0"/>
              <w:divBdr>
                <w:top w:val="none" w:sz="0" w:space="0" w:color="auto"/>
                <w:left w:val="none" w:sz="0" w:space="0" w:color="auto"/>
                <w:bottom w:val="none" w:sz="0" w:space="0" w:color="auto"/>
                <w:right w:val="none" w:sz="0" w:space="0" w:color="auto"/>
              </w:divBdr>
            </w:div>
          </w:divsChild>
        </w:div>
        <w:div w:id="982733446">
          <w:marLeft w:val="0"/>
          <w:marRight w:val="0"/>
          <w:marTop w:val="0"/>
          <w:marBottom w:val="0"/>
          <w:divBdr>
            <w:top w:val="none" w:sz="0" w:space="0" w:color="auto"/>
            <w:left w:val="none" w:sz="0" w:space="0" w:color="auto"/>
            <w:bottom w:val="none" w:sz="0" w:space="0" w:color="auto"/>
            <w:right w:val="none" w:sz="0" w:space="0" w:color="auto"/>
          </w:divBdr>
          <w:divsChild>
            <w:div w:id="12665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space.com/papers/accessibility-and-third-world-rural-development-46rjp0qn5q"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2684</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Editor-22</cp:lastModifiedBy>
  <cp:revision>7</cp:revision>
  <dcterms:created xsi:type="dcterms:W3CDTF">2025-06-20T06:28:00Z</dcterms:created>
  <dcterms:modified xsi:type="dcterms:W3CDTF">2025-06-30T11:01:00Z</dcterms:modified>
</cp:coreProperties>
</file>