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Times New Roman" w:hAnsi="Arial" w:cs="Arial"/>
          <w:b/>
          <w:bCs/>
          <w:i/>
          <w:kern w:val="36"/>
          <w:sz w:val="36"/>
          <w:szCs w:val="36"/>
          <w:u w:val="single"/>
        </w:rPr>
      </w:pPr>
      <w:r>
        <w:rPr>
          <w:rFonts w:ascii="Arial" w:eastAsia="Times New Roman" w:hAnsi="Arial" w:cs="Arial"/>
          <w:b/>
          <w:bCs/>
          <w:i/>
          <w:kern w:val="36"/>
          <w:sz w:val="36"/>
          <w:szCs w:val="36"/>
          <w:u w:val="single"/>
        </w:rPr>
        <w:t xml:space="preserve">Original Research Article </w:t>
      </w:r>
    </w:p>
    <w:p>
      <w:pPr>
        <w:rPr>
          <w:b/>
          <w:sz w:val="36"/>
          <w:szCs w:val="36"/>
        </w:rPr>
      </w:pPr>
      <w:r>
        <w:rPr>
          <w:b/>
          <w:sz w:val="36"/>
          <w:szCs w:val="36"/>
        </w:rPr>
        <w:t xml:space="preserve">Assessment of malaria parasite density in asymptomatic adult with type 2 diabetes </w:t>
      </w:r>
    </w:p>
    <w:p>
      <w:r>
        <w:rPr>
          <w:noProof/>
        </w:rPr>
        <w:pict>
          <v:shapetype id="_x0000_t202" coordsize="21600,21600" o:spt="202" path="m,l,21600r21600,l21600,xe">
            <v:stroke joinstyle="miter"/>
            <v:path gradientshapeok="t" o:connecttype="rect"/>
          </v:shapetype>
          <v:shape id="_x0000_s1026" type="#_x0000_t202" style="position:absolute;margin-left:-30pt;margin-top:30.5pt;width:535.7pt;height:288.15pt;z-index:251657216" fillcolor="#eeece1 [3214]">
            <v:shadow on="t" type="perspective" opacity=".5" origin=",.5" offset="0,0" matrix=",,,.5,,-4768371582e-16"/>
            <v:textbox>
              <w:txbxContent>
                <w:p>
                  <w:pPr>
                    <w:spacing w:line="240" w:lineRule="auto"/>
                    <w:jc w:val="both"/>
                    <w:rPr>
                      <w:rFonts w:ascii="Arial" w:hAnsi="Arial" w:cs="Arial"/>
                      <w:sz w:val="20"/>
                      <w:szCs w:val="20"/>
                    </w:rPr>
                  </w:pPr>
                  <w:r>
                    <w:rPr>
                      <w:rFonts w:ascii="Arial" w:hAnsi="Arial" w:cs="Arial"/>
                      <w:b/>
                      <w:sz w:val="20"/>
                      <w:szCs w:val="20"/>
                    </w:rPr>
                    <w:t>Background</w:t>
                  </w:r>
                  <w:r>
                    <w:rPr>
                      <w:rFonts w:ascii="Arial" w:hAnsi="Arial" w:cs="Arial"/>
                      <w:sz w:val="20"/>
                      <w:szCs w:val="20"/>
                    </w:rPr>
                    <w:t xml:space="preserve">: The importance of infection in the regulation of blood glucose is complex, but independent association of infectious agents such as plasmodia with increased glucose level through insulin resistance has been demonstrated in type 2 diabetes. </w:t>
                  </w:r>
                  <w:r>
                    <w:rPr>
                      <w:rFonts w:ascii="Arial" w:eastAsia="Times New Roman" w:hAnsi="Arial" w:cs="Arial"/>
                      <w:sz w:val="20"/>
                      <w:szCs w:val="20"/>
                    </w:rPr>
                    <w:t>The aim of this study was to evaluate malaria parasite density (MPD) of asymptomatic type 2 diabetes mellitus patients.</w:t>
                  </w:r>
                </w:p>
                <w:p>
                  <w:pPr>
                    <w:spacing w:line="240" w:lineRule="auto"/>
                    <w:jc w:val="both"/>
                    <w:rPr>
                      <w:rFonts w:ascii="Arial" w:hAnsi="Arial" w:cs="Arial"/>
                      <w:sz w:val="20"/>
                      <w:szCs w:val="20"/>
                    </w:rPr>
                  </w:pPr>
                  <w:r>
                    <w:rPr>
                      <w:rFonts w:ascii="Arial" w:eastAsia="Calibri" w:hAnsi="Arial" w:cs="Arial"/>
                      <w:b/>
                      <w:sz w:val="20"/>
                      <w:szCs w:val="20"/>
                    </w:rPr>
                    <w:t>Place and Duration of Study:</w:t>
                  </w:r>
                  <w:r>
                    <w:rPr>
                      <w:rFonts w:ascii="Arial" w:hAnsi="Arial" w:cs="Arial"/>
                      <w:sz w:val="20"/>
                      <w:szCs w:val="20"/>
                    </w:rPr>
                    <w:t xml:space="preserve"> </w:t>
                  </w:r>
                  <w:proofErr w:type="spellStart"/>
                  <w:r>
                    <w:rPr>
                      <w:rFonts w:ascii="Arial" w:hAnsi="Arial" w:cs="Arial"/>
                      <w:sz w:val="20"/>
                      <w:szCs w:val="20"/>
                    </w:rPr>
                    <w:t>Haematology</w:t>
                  </w:r>
                  <w:proofErr w:type="spellEnd"/>
                  <w:r>
                    <w:rPr>
                      <w:rFonts w:ascii="Arial" w:hAnsi="Arial" w:cs="Arial"/>
                      <w:sz w:val="20"/>
                      <w:szCs w:val="20"/>
                    </w:rPr>
                    <w:t xml:space="preserve"> unit and Diabetes Outpatient Clinic both of </w:t>
                  </w:r>
                  <w:r>
                    <w:rPr>
                      <w:rFonts w:ascii="Arial" w:hAnsi="Arial" w:cs="Arial"/>
                      <w:bCs/>
                      <w:kern w:val="36"/>
                      <w:sz w:val="20"/>
                      <w:szCs w:val="20"/>
                    </w:rPr>
                    <w:t>Enugu State University Teaching Hospital, between July and November</w:t>
                  </w:r>
                  <w:r>
                    <w:rPr>
                      <w:rFonts w:ascii="Arial" w:hAnsi="Arial" w:cs="Arial"/>
                      <w:sz w:val="20"/>
                      <w:szCs w:val="20"/>
                    </w:rPr>
                    <w:t xml:space="preserve"> 2024.</w:t>
                  </w:r>
                </w:p>
                <w:p>
                  <w:pPr>
                    <w:spacing w:line="240" w:lineRule="auto"/>
                    <w:jc w:val="both"/>
                    <w:rPr>
                      <w:rFonts w:ascii="Arial" w:eastAsia="Calibri" w:hAnsi="Arial" w:cs="Arial"/>
                      <w:b/>
                      <w:sz w:val="20"/>
                      <w:szCs w:val="20"/>
                    </w:rPr>
                  </w:pPr>
                  <w:r>
                    <w:rPr>
                      <w:rFonts w:ascii="Arial" w:eastAsia="Calibri" w:hAnsi="Arial" w:cs="Arial"/>
                      <w:b/>
                      <w:bCs/>
                      <w:sz w:val="20"/>
                      <w:szCs w:val="20"/>
                    </w:rPr>
                    <w:t>Methodology:</w:t>
                  </w:r>
                  <w:r>
                    <w:rPr>
                      <w:rFonts w:ascii="Arial" w:hAnsi="Arial" w:cs="Arial"/>
                      <w:color w:val="000000"/>
                      <w:sz w:val="20"/>
                      <w:szCs w:val="20"/>
                    </w:rPr>
                    <w:t xml:space="preserve"> The study population consisted of</w:t>
                  </w:r>
                  <w:r>
                    <w:rPr>
                      <w:rFonts w:ascii="Arial" w:hAnsi="Arial" w:cs="Arial"/>
                      <w:sz w:val="20"/>
                      <w:szCs w:val="20"/>
                    </w:rPr>
                    <w:t xml:space="preserve"> </w:t>
                  </w:r>
                  <w:r>
                    <w:rPr>
                      <w:rFonts w:ascii="Arial" w:eastAsia="Times New Roman" w:hAnsi="Arial" w:cs="Arial"/>
                      <w:sz w:val="20"/>
                      <w:szCs w:val="20"/>
                    </w:rPr>
                    <w:t>seventy (70) type 2 diabetes mellitus patients and thirty (30) apparently healthy subjects.</w:t>
                  </w:r>
                  <w:r>
                    <w:rPr>
                      <w:rFonts w:ascii="Arial" w:hAnsi="Arial" w:cs="Arial"/>
                      <w:sz w:val="20"/>
                      <w:szCs w:val="20"/>
                    </w:rPr>
                    <w:t xml:space="preserve">  </w:t>
                  </w:r>
                  <w:proofErr w:type="spellStart"/>
                  <w:r>
                    <w:rPr>
                      <w:rFonts w:ascii="Arial" w:eastAsia="Times New Roman" w:hAnsi="Arial" w:cs="Arial"/>
                      <w:sz w:val="20"/>
                      <w:szCs w:val="20"/>
                    </w:rPr>
                    <w:t>Haemoglobin</w:t>
                  </w:r>
                  <w:proofErr w:type="spellEnd"/>
                  <w:r>
                    <w:rPr>
                      <w:rFonts w:ascii="Arial" w:eastAsia="Times New Roman" w:hAnsi="Arial" w:cs="Arial"/>
                      <w:sz w:val="20"/>
                      <w:szCs w:val="20"/>
                    </w:rPr>
                    <w:t xml:space="preserve"> (HGB), packed cell volume (PCV) and red blood cell count (RBC) were</w:t>
                  </w:r>
                  <w:r>
                    <w:rPr>
                      <w:rFonts w:ascii="Arial" w:hAnsi="Arial" w:cs="Arial"/>
                      <w:sz w:val="20"/>
                      <w:szCs w:val="20"/>
                    </w:rPr>
                    <w:t xml:space="preserve"> measured by automated </w:t>
                  </w:r>
                  <w:proofErr w:type="spellStart"/>
                  <w:r>
                    <w:rPr>
                      <w:rFonts w:ascii="Arial" w:hAnsi="Arial" w:cs="Arial"/>
                      <w:sz w:val="20"/>
                      <w:szCs w:val="20"/>
                    </w:rPr>
                    <w:t>haematology</w:t>
                  </w:r>
                  <w:proofErr w:type="spellEnd"/>
                  <w:r>
                    <w:rPr>
                      <w:rFonts w:ascii="Arial" w:hAnsi="Arial" w:cs="Arial"/>
                      <w:sz w:val="20"/>
                      <w:szCs w:val="20"/>
                    </w:rPr>
                    <w:t xml:space="preserve"> analyzer, </w:t>
                  </w:r>
                  <w:r>
                    <w:rPr>
                      <w:rFonts w:ascii="Arial" w:eastAsia="Times New Roman" w:hAnsi="Arial" w:cs="Arial"/>
                      <w:sz w:val="20"/>
                      <w:szCs w:val="20"/>
                    </w:rPr>
                    <w:t>Erythrocyte sedimentation rate (ESR) by</w:t>
                  </w:r>
                  <w:r>
                    <w:rPr>
                      <w:rFonts w:ascii="Arial" w:hAnsi="Arial" w:cs="Arial"/>
                      <w:sz w:val="20"/>
                      <w:szCs w:val="20"/>
                    </w:rPr>
                    <w:t xml:space="preserve"> </w:t>
                  </w:r>
                  <w:proofErr w:type="spellStart"/>
                  <w:r>
                    <w:rPr>
                      <w:rFonts w:ascii="Arial" w:hAnsi="Arial" w:cs="Arial"/>
                      <w:sz w:val="20"/>
                      <w:szCs w:val="20"/>
                    </w:rPr>
                    <w:t>westergren</w:t>
                  </w:r>
                  <w:proofErr w:type="spellEnd"/>
                  <w:r>
                    <w:rPr>
                      <w:rFonts w:ascii="Arial" w:hAnsi="Arial" w:cs="Arial"/>
                      <w:sz w:val="20"/>
                      <w:szCs w:val="20"/>
                    </w:rPr>
                    <w:t xml:space="preserve"> method, </w:t>
                  </w:r>
                  <w:r>
                    <w:rPr>
                      <w:rFonts w:ascii="Arial" w:eastAsia="Times New Roman" w:hAnsi="Arial" w:cs="Arial"/>
                      <w:sz w:val="20"/>
                      <w:szCs w:val="20"/>
                    </w:rPr>
                    <w:t>fasting blood glucose (FBG) by glucose oxidase method and thick and thin blo</w:t>
                  </w:r>
                  <w:bookmarkStart w:id="0" w:name="_GoBack"/>
                  <w:bookmarkEnd w:id="0"/>
                  <w:r>
                    <w:rPr>
                      <w:rFonts w:ascii="Arial" w:eastAsia="Times New Roman" w:hAnsi="Arial" w:cs="Arial"/>
                      <w:sz w:val="20"/>
                      <w:szCs w:val="20"/>
                    </w:rPr>
                    <w:t>od film were determined.</w:t>
                  </w:r>
                  <w:r>
                    <w:rPr>
                      <w:rFonts w:ascii="Arial" w:hAnsi="Arial" w:cs="Arial"/>
                      <w:sz w:val="20"/>
                      <w:szCs w:val="20"/>
                    </w:rPr>
                    <w:t xml:space="preserve"> </w:t>
                  </w:r>
                  <w:r>
                    <w:rPr>
                      <w:rFonts w:ascii="Arial" w:eastAsia="Times New Roman" w:hAnsi="Arial" w:cs="Arial"/>
                      <w:sz w:val="20"/>
                      <w:szCs w:val="20"/>
                    </w:rPr>
                    <w:t xml:space="preserve"> </w:t>
                  </w:r>
                </w:p>
                <w:p>
                  <w:pPr>
                    <w:spacing w:line="240" w:lineRule="auto"/>
                    <w:jc w:val="both"/>
                    <w:rPr>
                      <w:rFonts w:ascii="Arial" w:hAnsi="Arial" w:cs="Arial"/>
                      <w:sz w:val="20"/>
                      <w:szCs w:val="20"/>
                    </w:rPr>
                  </w:pPr>
                  <w:r>
                    <w:rPr>
                      <w:rFonts w:ascii="Arial" w:eastAsia="Calibri" w:hAnsi="Arial" w:cs="Arial"/>
                      <w:b/>
                      <w:bCs/>
                      <w:sz w:val="20"/>
                      <w:szCs w:val="20"/>
                    </w:rPr>
                    <w:t xml:space="preserve">Results: </w:t>
                  </w:r>
                  <w:r>
                    <w:rPr>
                      <w:rFonts w:ascii="Arial" w:eastAsia="Times New Roman" w:hAnsi="Arial" w:cs="Arial"/>
                      <w:sz w:val="20"/>
                      <w:szCs w:val="20"/>
                    </w:rPr>
                    <w:t>Among the 70 type 2 diabetes mellitus patients, 53 had mild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17 had moderate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and none had severe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Malaria parasite density (1346.61 </w:t>
                  </w:r>
                  <w:r>
                    <w:rPr>
                      <w:rFonts w:ascii="Arial" w:eastAsia="Calibri" w:hAnsi="Arial" w:cs="Arial"/>
                      <w:i/>
                      <w:sz w:val="20"/>
                      <w:szCs w:val="20"/>
                    </w:rPr>
                    <w:t>+/-</w:t>
                  </w:r>
                  <w:r>
                    <w:rPr>
                      <w:rFonts w:ascii="Arial" w:eastAsia="Times New Roman" w:hAnsi="Arial" w:cs="Arial"/>
                      <w:sz w:val="20"/>
                      <w:szCs w:val="20"/>
                    </w:rPr>
                    <w:t xml:space="preserve"> 968.50 MPD/µL) and erythrocyte sedimentation rate (35.75 </w:t>
                  </w:r>
                  <w:r>
                    <w:rPr>
                      <w:rFonts w:ascii="Arial" w:eastAsia="Calibri" w:hAnsi="Arial" w:cs="Arial"/>
                      <w:i/>
                      <w:sz w:val="20"/>
                      <w:szCs w:val="20"/>
                    </w:rPr>
                    <w:t>+/-</w:t>
                  </w:r>
                  <w:r>
                    <w:rPr>
                      <w:rFonts w:ascii="Arial" w:eastAsia="Times New Roman" w:hAnsi="Arial" w:cs="Arial"/>
                      <w:sz w:val="20"/>
                      <w:szCs w:val="20"/>
                    </w:rPr>
                    <w:t xml:space="preserve"> 22.82 mm/</w:t>
                  </w:r>
                  <w:proofErr w:type="spellStart"/>
                  <w:r>
                    <w:rPr>
                      <w:rFonts w:ascii="Arial" w:eastAsia="Times New Roman" w:hAnsi="Arial" w:cs="Arial"/>
                      <w:sz w:val="20"/>
                      <w:szCs w:val="20"/>
                    </w:rPr>
                    <w:t>hr</w:t>
                  </w:r>
                  <w:proofErr w:type="spellEnd"/>
                  <w:r>
                    <w:rPr>
                      <w:rFonts w:ascii="Arial" w:eastAsia="Times New Roman" w:hAnsi="Arial" w:cs="Arial"/>
                      <w:sz w:val="20"/>
                      <w:szCs w:val="20"/>
                    </w:rPr>
                    <w:t xml:space="preserve">) were significantly higher in type 2 diabetes mellitus patients compared to apparently healthy control subjects (525.16 </w:t>
                  </w:r>
                  <w:r>
                    <w:rPr>
                      <w:rFonts w:ascii="Arial" w:eastAsia="Calibri" w:hAnsi="Arial" w:cs="Arial"/>
                      <w:i/>
                      <w:sz w:val="20"/>
                      <w:szCs w:val="20"/>
                    </w:rPr>
                    <w:t>+/</w:t>
                  </w:r>
                  <w:proofErr w:type="gramStart"/>
                  <w:r>
                    <w:rPr>
                      <w:rFonts w:ascii="Arial" w:eastAsia="Calibri" w:hAnsi="Arial" w:cs="Arial"/>
                      <w:i/>
                      <w:sz w:val="20"/>
                      <w:szCs w:val="20"/>
                    </w:rPr>
                    <w:t>-</w:t>
                  </w:r>
                  <w:r>
                    <w:rPr>
                      <w:rFonts w:ascii="Arial" w:eastAsia="Times New Roman" w:hAnsi="Arial" w:cs="Arial"/>
                      <w:sz w:val="20"/>
                      <w:szCs w:val="20"/>
                    </w:rPr>
                    <w:t xml:space="preserve">  216.20</w:t>
                  </w:r>
                  <w:proofErr w:type="gramEnd"/>
                  <w:r>
                    <w:rPr>
                      <w:rFonts w:ascii="Arial" w:eastAsia="Times New Roman" w:hAnsi="Arial" w:cs="Arial"/>
                      <w:sz w:val="20"/>
                      <w:szCs w:val="20"/>
                    </w:rPr>
                    <w:t xml:space="preserve"> MPD/µL; 17.51 </w:t>
                  </w:r>
                  <w:r>
                    <w:rPr>
                      <w:rFonts w:ascii="Arial" w:eastAsia="Calibri" w:hAnsi="Arial" w:cs="Arial"/>
                      <w:i/>
                      <w:sz w:val="20"/>
                      <w:szCs w:val="20"/>
                    </w:rPr>
                    <w:t>+/-</w:t>
                  </w:r>
                  <w:r>
                    <w:rPr>
                      <w:rFonts w:ascii="Arial" w:eastAsia="Times New Roman" w:hAnsi="Arial" w:cs="Arial"/>
                      <w:sz w:val="20"/>
                      <w:szCs w:val="20"/>
                    </w:rPr>
                    <w:t xml:space="preserve">  5.26 mm/</w:t>
                  </w:r>
                  <w:proofErr w:type="spellStart"/>
                  <w:r>
                    <w:rPr>
                      <w:rFonts w:ascii="Arial" w:eastAsia="Times New Roman" w:hAnsi="Arial" w:cs="Arial"/>
                      <w:sz w:val="20"/>
                      <w:szCs w:val="20"/>
                    </w:rPr>
                    <w:t>hr</w:t>
                  </w:r>
                  <w:proofErr w:type="spellEnd"/>
                  <w:r>
                    <w:rPr>
                      <w:rFonts w:ascii="Arial" w:eastAsia="Times New Roman" w:hAnsi="Arial" w:cs="Arial"/>
                      <w:sz w:val="20"/>
                      <w:szCs w:val="20"/>
                    </w:rPr>
                    <w:t xml:space="preserve">) (P&lt;0.05). Packed cell volume (36.88 </w:t>
                  </w:r>
                  <w:r>
                    <w:rPr>
                      <w:rFonts w:ascii="Arial" w:eastAsia="Calibri" w:hAnsi="Arial" w:cs="Arial"/>
                      <w:i/>
                      <w:sz w:val="20"/>
                      <w:szCs w:val="20"/>
                    </w:rPr>
                    <w:t>+/-</w:t>
                  </w:r>
                  <w:r>
                    <w:rPr>
                      <w:rFonts w:ascii="Arial" w:eastAsia="Times New Roman" w:hAnsi="Arial" w:cs="Arial"/>
                      <w:sz w:val="20"/>
                      <w:szCs w:val="20"/>
                    </w:rPr>
                    <w:t xml:space="preserve"> 6.62 %) were significantly lower in type 2 diabetes mellitus patients compared to apparently healthy control subjects (39.93 </w:t>
                  </w:r>
                  <w:r>
                    <w:rPr>
                      <w:rFonts w:ascii="Arial" w:eastAsia="Calibri" w:hAnsi="Arial" w:cs="Arial"/>
                      <w:i/>
                      <w:sz w:val="20"/>
                      <w:szCs w:val="20"/>
                    </w:rPr>
                    <w:t>+/-</w:t>
                  </w:r>
                  <w:r>
                    <w:rPr>
                      <w:rFonts w:ascii="Arial" w:eastAsia="Times New Roman" w:hAnsi="Arial" w:cs="Arial"/>
                      <w:sz w:val="20"/>
                      <w:szCs w:val="20"/>
                    </w:rPr>
                    <w:t xml:space="preserve"> 3.90 %) (p= 0.02). There was a significant negative correlation between malaria parasite density (MPD) and fasting blood glucose (</w:t>
                  </w:r>
                  <w:r>
                    <w:rPr>
                      <w:rFonts w:ascii="Arial" w:eastAsia="Times New Roman" w:hAnsi="Arial" w:cs="Arial"/>
                      <w:i/>
                      <w:sz w:val="20"/>
                      <w:szCs w:val="20"/>
                    </w:rPr>
                    <w:t>P</w:t>
                  </w:r>
                  <w:r>
                    <w:rPr>
                      <w:rFonts w:ascii="Arial" w:eastAsia="Times New Roman" w:hAnsi="Arial" w:cs="Arial"/>
                      <w:sz w:val="20"/>
                      <w:szCs w:val="20"/>
                    </w:rPr>
                    <w:t xml:space="preserve">=0.035, </w:t>
                  </w:r>
                  <w:r>
                    <w:rPr>
                      <w:rFonts w:ascii="Arial" w:eastAsia="Times New Roman" w:hAnsi="Arial" w:cs="Arial"/>
                      <w:i/>
                      <w:sz w:val="20"/>
                      <w:szCs w:val="20"/>
                    </w:rPr>
                    <w:t>r</w:t>
                  </w:r>
                  <w:r>
                    <w:rPr>
                      <w:rFonts w:ascii="Arial" w:eastAsia="Times New Roman" w:hAnsi="Arial" w:cs="Arial"/>
                      <w:sz w:val="20"/>
                      <w:szCs w:val="20"/>
                    </w:rPr>
                    <w:t>=0.253).</w:t>
                  </w:r>
                </w:p>
                <w:p>
                  <w:pPr>
                    <w:spacing w:line="240" w:lineRule="auto"/>
                    <w:jc w:val="both"/>
                    <w:rPr>
                      <w:rFonts w:ascii="Arial" w:hAnsi="Arial" w:cs="Arial"/>
                      <w:sz w:val="20"/>
                      <w:szCs w:val="20"/>
                    </w:rPr>
                  </w:pPr>
                  <w:r>
                    <w:rPr>
                      <w:rFonts w:ascii="Arial" w:eastAsia="Calibri" w:hAnsi="Arial" w:cs="Arial"/>
                      <w:b/>
                      <w:bCs/>
                      <w:sz w:val="20"/>
                      <w:szCs w:val="20"/>
                    </w:rPr>
                    <w:t xml:space="preserve">Conclusion: </w:t>
                  </w:r>
                  <w:r>
                    <w:rPr>
                      <w:rFonts w:ascii="Arial" w:hAnsi="Arial" w:cs="Arial"/>
                      <w:sz w:val="20"/>
                      <w:szCs w:val="20"/>
                    </w:rPr>
                    <w:t xml:space="preserve">This study found that in Enugu, Nigeria, type 2 diabetes mellitus patients had mild </w:t>
                  </w:r>
                  <w:proofErr w:type="spellStart"/>
                  <w:r>
                    <w:rPr>
                      <w:rFonts w:ascii="Arial" w:hAnsi="Arial" w:cs="Arial"/>
                      <w:sz w:val="20"/>
                      <w:szCs w:val="20"/>
                    </w:rPr>
                    <w:t>parasitaemia</w:t>
                  </w:r>
                  <w:proofErr w:type="spellEnd"/>
                  <w:r>
                    <w:rPr>
                      <w:rFonts w:ascii="Arial" w:hAnsi="Arial" w:cs="Arial"/>
                      <w:sz w:val="20"/>
                      <w:szCs w:val="20"/>
                    </w:rPr>
                    <w:t>, decreased PCV and that MPD had significant correlation with fasting blood glucose.</w:t>
                  </w:r>
                </w:p>
                <w:p>
                  <w:pPr>
                    <w:spacing w:line="240" w:lineRule="auto"/>
                    <w:jc w:val="both"/>
                    <w:rPr>
                      <w:rFonts w:ascii="Arial" w:eastAsia="Calibri" w:hAnsi="Arial" w:cs="Arial"/>
                      <w:bCs/>
                      <w:sz w:val="20"/>
                      <w:szCs w:val="20"/>
                    </w:rPr>
                  </w:pPr>
                </w:p>
                <w:p>
                  <w:pPr>
                    <w:jc w:val="both"/>
                    <w:rPr>
                      <w:rFonts w:ascii="Arial" w:eastAsia="Calibri" w:hAnsi="Arial" w:cs="Arial"/>
                      <w:bCs/>
                    </w:rPr>
                  </w:pPr>
                </w:p>
                <w:p>
                  <w:pPr>
                    <w:jc w:val="both"/>
                    <w:rPr>
                      <w:rFonts w:ascii="Arial" w:hAnsi="Arial" w:cs="Arial"/>
                    </w:rPr>
                  </w:pPr>
                </w:p>
                <w:p>
                  <w:pPr>
                    <w:pStyle w:val="NormalWeb"/>
                    <w:rPr>
                      <w:rFonts w:ascii="Arial" w:hAnsi="Arial" w:cs="Arial"/>
                      <w:sz w:val="20"/>
                      <w:szCs w:val="20"/>
                    </w:rPr>
                  </w:pPr>
                </w:p>
                <w:p>
                  <w:pPr>
                    <w:pStyle w:val="NormalWeb"/>
                    <w:rPr>
                      <w:rFonts w:ascii="Arial" w:hAnsi="Arial" w:cs="Arial"/>
                      <w:sz w:val="20"/>
                      <w:szCs w:val="20"/>
                    </w:rPr>
                  </w:pPr>
                </w:p>
                <w:p>
                  <w:pPr>
                    <w:pStyle w:val="NormalWeb"/>
                    <w:rPr>
                      <w:rFonts w:ascii="Arial" w:hAnsi="Arial" w:cs="Arial"/>
                      <w:sz w:val="20"/>
                      <w:szCs w:val="20"/>
                    </w:rPr>
                  </w:pPr>
                </w:p>
                <w:p>
                  <w:pPr>
                    <w:pStyle w:val="NormalWeb"/>
                    <w:rPr>
                      <w:rFonts w:ascii="Arial" w:hAnsi="Arial" w:cs="Arial"/>
                      <w:sz w:val="20"/>
                      <w:szCs w:val="20"/>
                    </w:rPr>
                  </w:pPr>
                </w:p>
                <w:p>
                  <w:pPr>
                    <w:pStyle w:val="NormalWeb"/>
                    <w:rPr>
                      <w:rFonts w:ascii="Arial" w:hAnsi="Arial" w:cs="Arial"/>
                      <w:sz w:val="20"/>
                      <w:szCs w:val="20"/>
                    </w:rPr>
                  </w:pPr>
                </w:p>
                <w:p>
                  <w:pPr>
                    <w:pStyle w:val="NormalWeb"/>
                    <w:rPr>
                      <w:rFonts w:ascii="Arial" w:hAnsi="Arial" w:cs="Arial"/>
                      <w:sz w:val="20"/>
                      <w:szCs w:val="20"/>
                    </w:rPr>
                  </w:pPr>
                </w:p>
                <w:p>
                  <w:pPr>
                    <w:pStyle w:val="NormalWeb"/>
                    <w:rPr>
                      <w:rFonts w:ascii="Arial" w:hAnsi="Arial" w:cs="Arial"/>
                      <w:b/>
                      <w:sz w:val="20"/>
                      <w:szCs w:val="20"/>
                    </w:rPr>
                  </w:pPr>
                </w:p>
                <w:p>
                  <w:pPr>
                    <w:jc w:val="both"/>
                    <w:rPr>
                      <w:rFonts w:ascii="Arial" w:hAnsi="Arial" w:cs="Arial"/>
                    </w:rPr>
                  </w:pPr>
                </w:p>
                <w:p>
                  <w:pPr>
                    <w:jc w:val="both"/>
                    <w:rPr>
                      <w:rFonts w:ascii="Arial" w:hAnsi="Arial" w:cs="Arial"/>
                      <w:b/>
                    </w:rPr>
                  </w:pPr>
                </w:p>
              </w:txbxContent>
            </v:textbox>
            <w10:wrap type="square"/>
          </v:shape>
        </w:pict>
      </w:r>
      <w:r>
        <w:rPr>
          <w:rFonts w:ascii="Times New Roman" w:eastAsia="Times New Roman" w:hAnsi="Times New Roman" w:cs="Times New Roman"/>
          <w:b/>
          <w:bCs/>
          <w:kern w:val="36"/>
        </w:rPr>
        <w:t>Abstract</w:t>
      </w:r>
    </w:p>
    <w:p>
      <w:pPr>
        <w:rPr>
          <w:rFonts w:ascii="Times New Roman" w:hAnsi="Times New Roman" w:cs="Times New Roman"/>
          <w:sz w:val="24"/>
          <w:szCs w:val="24"/>
        </w:rPr>
      </w:pPr>
    </w:p>
    <w:p>
      <w:pPr>
        <w:rPr>
          <w:rFonts w:ascii="Arial" w:hAnsi="Arial" w:cs="Arial"/>
          <w:sz w:val="20"/>
          <w:szCs w:val="20"/>
        </w:rPr>
      </w:pPr>
      <w:r>
        <w:rPr>
          <w:rFonts w:ascii="Arial" w:hAnsi="Arial" w:cs="Arial"/>
          <w:sz w:val="20"/>
          <w:szCs w:val="20"/>
        </w:rPr>
        <w:t>Keywords: malaria, parasites, density, diabetes, mellitus, asymptomatic</w:t>
      </w:r>
    </w:p>
    <w:p>
      <w:pPr>
        <w:pStyle w:val="ListParagraph"/>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Introduction</w:t>
      </w:r>
    </w:p>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In spite of the reduction in global malarial cases, malaria still affects millions of people globally. In 2021, 247 million cases of malaria were reported globally, with 619,000 deaths [1]. It has also been reported that out of this number, 194.4 million cases and 407,000 deaths happened in the African region, making malaria the leading cause of death in African. Malaria infection is caused by the </w:t>
      </w:r>
      <w:r>
        <w:rPr>
          <w:rFonts w:ascii="Arial" w:hAnsi="Arial" w:cs="Arial"/>
          <w:i/>
          <w:sz w:val="20"/>
          <w:szCs w:val="20"/>
        </w:rPr>
        <w:t>Plasmodium</w:t>
      </w:r>
      <w:r>
        <w:rPr>
          <w:rFonts w:ascii="Arial" w:hAnsi="Arial" w:cs="Arial"/>
          <w:sz w:val="20"/>
          <w:szCs w:val="20"/>
        </w:rPr>
        <w:t xml:space="preserve"> parasite with over 100 species diagnosed [2]. Out of </w:t>
      </w:r>
      <w:proofErr w:type="gramStart"/>
      <w:r>
        <w:rPr>
          <w:rFonts w:ascii="Arial" w:hAnsi="Arial" w:cs="Arial"/>
          <w:sz w:val="20"/>
          <w:szCs w:val="20"/>
        </w:rPr>
        <w:t>this 100 species</w:t>
      </w:r>
      <w:proofErr w:type="gramEnd"/>
      <w:r>
        <w:rPr>
          <w:rFonts w:ascii="Arial" w:hAnsi="Arial" w:cs="Arial"/>
          <w:sz w:val="20"/>
          <w:szCs w:val="20"/>
        </w:rPr>
        <w:t xml:space="preserve">, only five of them, </w:t>
      </w:r>
      <w:r>
        <w:rPr>
          <w:rFonts w:ascii="Arial" w:hAnsi="Arial" w:cs="Arial"/>
          <w:i/>
          <w:sz w:val="20"/>
          <w:szCs w:val="20"/>
        </w:rPr>
        <w:t xml:space="preserve">Plasmodium falciparum, Plasmodium </w:t>
      </w:r>
      <w:proofErr w:type="spellStart"/>
      <w:r>
        <w:rPr>
          <w:rFonts w:ascii="Arial" w:hAnsi="Arial" w:cs="Arial"/>
          <w:i/>
          <w:sz w:val="20"/>
          <w:szCs w:val="20"/>
        </w:rPr>
        <w:t>malariae</w:t>
      </w:r>
      <w:proofErr w:type="spellEnd"/>
      <w:r>
        <w:rPr>
          <w:rFonts w:ascii="Arial" w:hAnsi="Arial" w:cs="Arial"/>
          <w:i/>
          <w:sz w:val="20"/>
          <w:szCs w:val="20"/>
        </w:rPr>
        <w:t xml:space="preserve">, Plasmodium vivax, Plasmodium </w:t>
      </w:r>
      <w:proofErr w:type="spellStart"/>
      <w:r>
        <w:rPr>
          <w:rFonts w:ascii="Arial" w:hAnsi="Arial" w:cs="Arial"/>
          <w:i/>
          <w:sz w:val="20"/>
          <w:szCs w:val="20"/>
        </w:rPr>
        <w:t>ovale</w:t>
      </w:r>
      <w:proofErr w:type="spellEnd"/>
      <w:r>
        <w:rPr>
          <w:rFonts w:ascii="Arial" w:hAnsi="Arial" w:cs="Arial"/>
          <w:i/>
          <w:sz w:val="20"/>
          <w:szCs w:val="20"/>
        </w:rPr>
        <w:t xml:space="preserve"> </w:t>
      </w:r>
      <w:r>
        <w:rPr>
          <w:rFonts w:ascii="Arial" w:hAnsi="Arial" w:cs="Arial"/>
          <w:sz w:val="20"/>
          <w:szCs w:val="20"/>
        </w:rPr>
        <w:t xml:space="preserve">and </w:t>
      </w:r>
      <w:r>
        <w:rPr>
          <w:rFonts w:ascii="Arial" w:hAnsi="Arial" w:cs="Arial"/>
          <w:i/>
          <w:sz w:val="20"/>
          <w:szCs w:val="20"/>
        </w:rPr>
        <w:t xml:space="preserve">Plasmodium </w:t>
      </w:r>
      <w:proofErr w:type="spellStart"/>
      <w:r>
        <w:rPr>
          <w:rFonts w:ascii="Arial" w:hAnsi="Arial" w:cs="Arial"/>
          <w:i/>
          <w:sz w:val="20"/>
          <w:szCs w:val="20"/>
        </w:rPr>
        <w:t>knowlesi</w:t>
      </w:r>
      <w:proofErr w:type="spellEnd"/>
      <w:r>
        <w:rPr>
          <w:rFonts w:ascii="Arial" w:hAnsi="Arial" w:cs="Arial"/>
          <w:sz w:val="20"/>
          <w:szCs w:val="20"/>
        </w:rPr>
        <w:t xml:space="preserve"> are transmitted to humans [2]. The malaria parasites have a complex lifecycle which requires the female </w:t>
      </w:r>
      <w:proofErr w:type="gramStart"/>
      <w:r>
        <w:rPr>
          <w:rFonts w:ascii="Arial" w:hAnsi="Arial" w:cs="Arial"/>
          <w:sz w:val="20"/>
          <w:szCs w:val="20"/>
        </w:rPr>
        <w:t>anopheles</w:t>
      </w:r>
      <w:proofErr w:type="gramEnd"/>
      <w:r>
        <w:rPr>
          <w:rFonts w:ascii="Arial" w:hAnsi="Arial" w:cs="Arial"/>
          <w:sz w:val="20"/>
          <w:szCs w:val="20"/>
        </w:rPr>
        <w:t xml:space="preserve"> mosquito and the human host [3]. Sporozoites are produced in mosquito, transmitted upon infective bite to the human host. In the humans, the sporozoites attack the liver and develop further into infectious merozoites which then mixed with the red blood cells upon release into the blood stream. In the red blood cells, multiplication continues and the multiplication is responsible for the clinical presentation of malarial disease. Out of the five </w:t>
      </w:r>
      <w:r>
        <w:rPr>
          <w:rFonts w:ascii="Arial" w:hAnsi="Arial" w:cs="Arial"/>
          <w:i/>
          <w:sz w:val="20"/>
          <w:szCs w:val="20"/>
        </w:rPr>
        <w:t>Plasmodial</w:t>
      </w:r>
      <w:r>
        <w:rPr>
          <w:rFonts w:ascii="Arial" w:hAnsi="Arial" w:cs="Arial"/>
          <w:sz w:val="20"/>
          <w:szCs w:val="20"/>
        </w:rPr>
        <w:t xml:space="preserve"> species that cause human malaria, </w:t>
      </w:r>
      <w:r>
        <w:rPr>
          <w:rFonts w:ascii="Arial" w:hAnsi="Arial" w:cs="Arial"/>
          <w:i/>
          <w:sz w:val="20"/>
          <w:szCs w:val="20"/>
        </w:rPr>
        <w:t>Plasmodium falciparum</w:t>
      </w:r>
      <w:r>
        <w:rPr>
          <w:rFonts w:ascii="Arial" w:hAnsi="Arial" w:cs="Arial"/>
          <w:sz w:val="20"/>
          <w:szCs w:val="20"/>
        </w:rPr>
        <w:t xml:space="preserve"> is responsible for more than 95% of the global malaria burden [4]. </w:t>
      </w:r>
      <w:r>
        <w:rPr>
          <w:rFonts w:ascii="Arial" w:eastAsia="Times New Roman" w:hAnsi="Arial" w:cs="Arial"/>
          <w:sz w:val="20"/>
          <w:szCs w:val="20"/>
        </w:rPr>
        <w:t xml:space="preserve">Diabetes is a known metabolic disorder characterized by fasting </w:t>
      </w:r>
      <w:proofErr w:type="spellStart"/>
      <w:r>
        <w:rPr>
          <w:rFonts w:ascii="Arial" w:eastAsia="Times New Roman" w:hAnsi="Arial" w:cs="Arial"/>
          <w:sz w:val="20"/>
          <w:szCs w:val="20"/>
        </w:rPr>
        <w:t>hyperglycaemia</w:t>
      </w:r>
      <w:proofErr w:type="spellEnd"/>
      <w:r>
        <w:rPr>
          <w:rFonts w:ascii="Arial" w:eastAsia="Times New Roman" w:hAnsi="Arial" w:cs="Arial"/>
          <w:sz w:val="20"/>
          <w:szCs w:val="20"/>
        </w:rPr>
        <w:t xml:space="preserve"> and the forming of chronic vascular complications. The </w:t>
      </w:r>
      <w:r>
        <w:rPr>
          <w:rFonts w:ascii="Arial" w:eastAsia="Times New Roman" w:hAnsi="Arial" w:cs="Arial"/>
          <w:sz w:val="20"/>
          <w:szCs w:val="20"/>
        </w:rPr>
        <w:lastRenderedPageBreak/>
        <w:t>incidence of type 2 diabetes mellitus has tripled in the past 15 years in association with malaria especially in Africa. The current report on type 2 diabetes mellitus has established it as a powerful cardiovascular risk factor with yearly mean mortality rate of 5.4% [5-7].</w:t>
      </w:r>
      <w:r>
        <w:rPr>
          <w:rFonts w:ascii="Arial" w:hAnsi="Arial" w:cs="Arial"/>
          <w:sz w:val="20"/>
          <w:szCs w:val="20"/>
        </w:rPr>
        <w:t xml:space="preserve"> </w:t>
      </w:r>
      <w:r>
        <w:rPr>
          <w:rFonts w:ascii="Arial" w:hAnsi="Arial" w:cs="Arial"/>
          <w:color w:val="000000"/>
          <w:sz w:val="20"/>
          <w:szCs w:val="20"/>
        </w:rPr>
        <w:t xml:space="preserve">Glucose being almost a general energy source for all kinds of animals, the </w:t>
      </w:r>
      <w:r>
        <w:rPr>
          <w:rFonts w:ascii="Arial" w:hAnsi="Arial" w:cs="Arial"/>
          <w:i/>
          <w:color w:val="000000"/>
          <w:sz w:val="20"/>
          <w:szCs w:val="20"/>
        </w:rPr>
        <w:t>Plasmodium</w:t>
      </w:r>
      <w:r>
        <w:rPr>
          <w:rFonts w:ascii="Arial" w:hAnsi="Arial" w:cs="Arial"/>
          <w:color w:val="000000"/>
          <w:sz w:val="20"/>
          <w:szCs w:val="20"/>
        </w:rPr>
        <w:t xml:space="preserve"> parasite hardly survives when deprived of glucose [8]. The reliance of the </w:t>
      </w:r>
      <w:r>
        <w:rPr>
          <w:rFonts w:ascii="Arial" w:hAnsi="Arial" w:cs="Arial"/>
          <w:i/>
          <w:color w:val="000000"/>
          <w:sz w:val="20"/>
          <w:szCs w:val="20"/>
        </w:rPr>
        <w:t>Plasmodium</w:t>
      </w:r>
      <w:r>
        <w:rPr>
          <w:rFonts w:ascii="Arial" w:hAnsi="Arial" w:cs="Arial"/>
          <w:color w:val="000000"/>
          <w:sz w:val="20"/>
          <w:szCs w:val="20"/>
        </w:rPr>
        <w:t xml:space="preserve"> parasite on glucose for survival makes it possible to see reduced glucose level in individuals infected with malaria compared to controls as normally observed in critical cases of the disease [9</w:t>
      </w:r>
      <w:proofErr w:type="gramStart"/>
      <w:r>
        <w:rPr>
          <w:rFonts w:ascii="Arial" w:hAnsi="Arial" w:cs="Arial"/>
          <w:color w:val="000000"/>
          <w:sz w:val="20"/>
          <w:szCs w:val="20"/>
        </w:rPr>
        <w:t>].The</w:t>
      </w:r>
      <w:proofErr w:type="gramEnd"/>
      <w:r>
        <w:rPr>
          <w:rFonts w:ascii="Arial" w:hAnsi="Arial" w:cs="Arial"/>
          <w:color w:val="000000"/>
          <w:sz w:val="20"/>
          <w:szCs w:val="20"/>
        </w:rPr>
        <w:t xml:space="preserve"> incidence of patients having lower glucose level to the extent of developing clinical </w:t>
      </w:r>
      <w:proofErr w:type="spellStart"/>
      <w:r>
        <w:rPr>
          <w:rFonts w:ascii="Arial" w:hAnsi="Arial" w:cs="Arial"/>
          <w:color w:val="000000"/>
          <w:sz w:val="20"/>
          <w:szCs w:val="20"/>
        </w:rPr>
        <w:t>hypoglycaemia</w:t>
      </w:r>
      <w:proofErr w:type="spellEnd"/>
      <w:r>
        <w:rPr>
          <w:rFonts w:ascii="Arial" w:hAnsi="Arial" w:cs="Arial"/>
          <w:color w:val="000000"/>
          <w:sz w:val="20"/>
          <w:szCs w:val="20"/>
        </w:rPr>
        <w:t xml:space="preserve"> has been attributed to factors like impairment of gluconeogenesis, malnutrition, glucose consumption by parasite, starvation and hyperinsulinemia [10].</w:t>
      </w:r>
      <w:r>
        <w:rPr>
          <w:rFonts w:ascii="Arial" w:hAnsi="Arial" w:cs="Arial"/>
          <w:sz w:val="20"/>
          <w:szCs w:val="20"/>
        </w:rPr>
        <w:t xml:space="preserve"> </w:t>
      </w:r>
      <w:r>
        <w:rPr>
          <w:rFonts w:ascii="Arial" w:hAnsi="Arial" w:cs="Arial"/>
          <w:color w:val="000000"/>
          <w:sz w:val="20"/>
          <w:szCs w:val="20"/>
        </w:rPr>
        <w:t xml:space="preserve">It has been reported widely that type 2 diabetes mellitus patients, are known to be more endangered to malaria and present a higher </w:t>
      </w:r>
      <w:proofErr w:type="spellStart"/>
      <w:r>
        <w:rPr>
          <w:rFonts w:ascii="Arial" w:hAnsi="Arial" w:cs="Arial"/>
          <w:color w:val="000000"/>
          <w:sz w:val="20"/>
          <w:szCs w:val="20"/>
        </w:rPr>
        <w:t>parasitaemia</w:t>
      </w:r>
      <w:proofErr w:type="spellEnd"/>
      <w:r>
        <w:rPr>
          <w:rFonts w:ascii="Arial" w:hAnsi="Arial" w:cs="Arial"/>
          <w:color w:val="000000"/>
          <w:sz w:val="20"/>
          <w:szCs w:val="20"/>
        </w:rPr>
        <w:t xml:space="preserve"> than controls [11, 12]. High susceptibility to </w:t>
      </w:r>
      <w:r>
        <w:rPr>
          <w:rFonts w:ascii="Arial" w:hAnsi="Arial" w:cs="Arial"/>
          <w:i/>
          <w:color w:val="000000"/>
          <w:sz w:val="20"/>
          <w:szCs w:val="20"/>
        </w:rPr>
        <w:t>Plasmodium</w:t>
      </w:r>
      <w:r>
        <w:rPr>
          <w:rFonts w:ascii="Arial" w:hAnsi="Arial" w:cs="Arial"/>
          <w:i/>
          <w:sz w:val="20"/>
          <w:szCs w:val="20"/>
        </w:rPr>
        <w:t xml:space="preserve"> </w:t>
      </w:r>
      <w:r>
        <w:rPr>
          <w:rFonts w:ascii="Arial" w:hAnsi="Arial" w:cs="Arial"/>
          <w:i/>
          <w:color w:val="000000"/>
          <w:sz w:val="20"/>
          <w:szCs w:val="20"/>
        </w:rPr>
        <w:t>falciparum</w:t>
      </w:r>
      <w:r>
        <w:rPr>
          <w:rFonts w:ascii="Arial" w:hAnsi="Arial" w:cs="Arial"/>
          <w:color w:val="000000"/>
          <w:sz w:val="20"/>
          <w:szCs w:val="20"/>
        </w:rPr>
        <w:t xml:space="preserve"> infection seen in diabetics could be associated to immune defect of diabetics compared with </w:t>
      </w:r>
      <w:proofErr w:type="spellStart"/>
      <w:proofErr w:type="gramStart"/>
      <w:r>
        <w:rPr>
          <w:rFonts w:ascii="Arial" w:hAnsi="Arial" w:cs="Arial"/>
          <w:color w:val="000000"/>
          <w:sz w:val="20"/>
          <w:szCs w:val="20"/>
        </w:rPr>
        <w:t>non diabetic</w:t>
      </w:r>
      <w:proofErr w:type="spellEnd"/>
      <w:proofErr w:type="gramEnd"/>
      <w:r>
        <w:rPr>
          <w:rFonts w:ascii="Arial" w:hAnsi="Arial" w:cs="Arial"/>
          <w:color w:val="000000"/>
          <w:sz w:val="20"/>
          <w:szCs w:val="20"/>
        </w:rPr>
        <w:t xml:space="preserve"> controls subjects. Malaria being one of the notable diseases has long been linked with inflammation [13]. In fact, inflammation is shown to have been supporting the clinical signs and symptoms associated with malaria [14]. The inflammatory activities </w:t>
      </w:r>
      <w:proofErr w:type="gramStart"/>
      <w:r>
        <w:rPr>
          <w:rFonts w:ascii="Arial" w:hAnsi="Arial" w:cs="Arial"/>
          <w:color w:val="000000"/>
          <w:sz w:val="20"/>
          <w:szCs w:val="20"/>
        </w:rPr>
        <w:t>is</w:t>
      </w:r>
      <w:proofErr w:type="gramEnd"/>
      <w:r>
        <w:rPr>
          <w:rFonts w:ascii="Arial" w:hAnsi="Arial" w:cs="Arial"/>
          <w:color w:val="000000"/>
          <w:sz w:val="20"/>
          <w:szCs w:val="20"/>
        </w:rPr>
        <w:t xml:space="preserve"> moderated by many markers like tumor necrosis factor alpha (</w:t>
      </w:r>
      <w:proofErr w:type="spellStart"/>
      <w:r>
        <w:rPr>
          <w:rFonts w:ascii="Arial" w:hAnsi="Arial" w:cs="Arial"/>
          <w:color w:val="000000"/>
          <w:sz w:val="20"/>
          <w:szCs w:val="20"/>
        </w:rPr>
        <w:t>TNFa</w:t>
      </w:r>
      <w:proofErr w:type="spellEnd"/>
      <w:r>
        <w:rPr>
          <w:rFonts w:ascii="Arial" w:hAnsi="Arial" w:cs="Arial"/>
          <w:color w:val="000000"/>
          <w:sz w:val="20"/>
          <w:szCs w:val="20"/>
        </w:rPr>
        <w:t>), interleukins (IL), C-reactive protein (CRP) and interferon gamma (</w:t>
      </w:r>
      <w:proofErr w:type="spellStart"/>
      <w:r>
        <w:rPr>
          <w:rFonts w:ascii="Arial" w:hAnsi="Arial" w:cs="Arial"/>
          <w:color w:val="000000"/>
          <w:sz w:val="20"/>
          <w:szCs w:val="20"/>
        </w:rPr>
        <w:t>IFNg</w:t>
      </w:r>
      <w:proofErr w:type="spellEnd"/>
      <w:r>
        <w:rPr>
          <w:rFonts w:ascii="Arial" w:hAnsi="Arial" w:cs="Arial"/>
          <w:color w:val="000000"/>
          <w:sz w:val="20"/>
          <w:szCs w:val="20"/>
        </w:rPr>
        <w:t>) [15-19].</w:t>
      </w:r>
      <w:r>
        <w:rPr>
          <w:rFonts w:ascii="Arial" w:hAnsi="Arial" w:cs="Arial"/>
          <w:sz w:val="20"/>
          <w:szCs w:val="20"/>
        </w:rPr>
        <w:t xml:space="preserve"> </w:t>
      </w:r>
      <w:r>
        <w:rPr>
          <w:rFonts w:ascii="Arial" w:hAnsi="Arial" w:cs="Arial"/>
          <w:color w:val="000000"/>
          <w:sz w:val="20"/>
          <w:szCs w:val="20"/>
        </w:rPr>
        <w:t>Again, malaria is strongly associated to insulin resistance</w:t>
      </w:r>
      <w:r>
        <w:rPr>
          <w:rFonts w:ascii="Arial" w:hAnsi="Arial" w:cs="Arial"/>
          <w:sz w:val="20"/>
          <w:szCs w:val="20"/>
        </w:rPr>
        <w:t xml:space="preserve"> </w:t>
      </w:r>
      <w:r>
        <w:rPr>
          <w:rFonts w:ascii="Arial" w:hAnsi="Arial" w:cs="Arial"/>
          <w:color w:val="000000"/>
          <w:sz w:val="20"/>
          <w:szCs w:val="20"/>
        </w:rPr>
        <w:t>mediated</w:t>
      </w:r>
      <w:r>
        <w:rPr>
          <w:rFonts w:ascii="Arial" w:hAnsi="Arial" w:cs="Arial"/>
          <w:sz w:val="20"/>
          <w:szCs w:val="20"/>
        </w:rPr>
        <w:t xml:space="preserve"> </w:t>
      </w:r>
      <w:r>
        <w:rPr>
          <w:rFonts w:ascii="Arial" w:hAnsi="Arial" w:cs="Arial"/>
          <w:color w:val="000000"/>
          <w:sz w:val="20"/>
          <w:szCs w:val="20"/>
        </w:rPr>
        <w:t>by inflammation [17, 20].</w:t>
      </w:r>
      <w:r>
        <w:rPr>
          <w:rFonts w:ascii="Arial" w:hAnsi="Arial" w:cs="Arial"/>
          <w:sz w:val="20"/>
          <w:szCs w:val="20"/>
        </w:rPr>
        <w:t xml:space="preserve"> </w:t>
      </w:r>
      <w:r>
        <w:rPr>
          <w:rFonts w:ascii="Arial" w:hAnsi="Arial" w:cs="Arial"/>
          <w:color w:val="000000"/>
          <w:sz w:val="20"/>
          <w:szCs w:val="20"/>
        </w:rPr>
        <w:t>As a matter of fact, insulin resistance is a fundamental risk factor for the development</w:t>
      </w:r>
      <w:r>
        <w:rPr>
          <w:rFonts w:ascii="Arial" w:hAnsi="Arial" w:cs="Arial"/>
          <w:sz w:val="20"/>
          <w:szCs w:val="20"/>
        </w:rPr>
        <w:t xml:space="preserve"> </w:t>
      </w:r>
      <w:r>
        <w:rPr>
          <w:rFonts w:ascii="Arial" w:hAnsi="Arial" w:cs="Arial"/>
          <w:color w:val="000000"/>
          <w:sz w:val="20"/>
          <w:szCs w:val="20"/>
        </w:rPr>
        <w:t>of type 2 diabetes mellitus [21, 22]. Generally, inflammatory markers like C-reactive protein, selected interleukins, tumor necrosis factor alpha and interferon gamma which have been connected in the</w:t>
      </w:r>
      <w:r>
        <w:rPr>
          <w:rFonts w:ascii="Arial" w:hAnsi="Arial" w:cs="Arial"/>
          <w:sz w:val="20"/>
          <w:szCs w:val="20"/>
        </w:rPr>
        <w:t xml:space="preserve"> </w:t>
      </w:r>
      <w:r>
        <w:rPr>
          <w:rFonts w:ascii="Arial" w:hAnsi="Arial" w:cs="Arial"/>
          <w:color w:val="000000"/>
          <w:sz w:val="20"/>
          <w:szCs w:val="20"/>
        </w:rPr>
        <w:t>development of insulin resistance are also</w:t>
      </w:r>
      <w:r>
        <w:rPr>
          <w:rFonts w:ascii="Arial" w:hAnsi="Arial" w:cs="Arial"/>
          <w:sz w:val="20"/>
          <w:szCs w:val="20"/>
        </w:rPr>
        <w:t xml:space="preserve"> </w:t>
      </w:r>
      <w:r>
        <w:rPr>
          <w:rFonts w:ascii="Arial" w:hAnsi="Arial" w:cs="Arial"/>
          <w:color w:val="000000"/>
          <w:sz w:val="20"/>
          <w:szCs w:val="20"/>
        </w:rPr>
        <w:t xml:space="preserve">implicated in the pathogenesis of malaria [9, 18]. </w:t>
      </w:r>
      <w:r>
        <w:rPr>
          <w:rFonts w:ascii="Arial" w:eastAsia="SofiaProLight" w:hAnsi="Arial" w:cs="Arial"/>
          <w:sz w:val="20"/>
          <w:szCs w:val="20"/>
        </w:rPr>
        <w:t xml:space="preserve">The malaria parasite density gives information on the seriousness of malaria infection and on the response to treatment. Parasite counts are done for </w:t>
      </w:r>
      <w:r>
        <w:rPr>
          <w:rFonts w:ascii="Arial" w:eastAsia="SofiaProLight-Italic" w:hAnsi="Arial" w:cs="Arial"/>
          <w:i/>
          <w:iCs/>
          <w:sz w:val="20"/>
          <w:szCs w:val="20"/>
        </w:rPr>
        <w:t>plasmodium falciparum</w:t>
      </w:r>
      <w:r>
        <w:rPr>
          <w:rFonts w:ascii="Arial" w:eastAsia="SofiaProLight" w:hAnsi="Arial" w:cs="Arial"/>
          <w:sz w:val="20"/>
          <w:szCs w:val="20"/>
        </w:rPr>
        <w:t xml:space="preserve">, </w:t>
      </w:r>
      <w:r>
        <w:rPr>
          <w:rFonts w:ascii="Arial" w:eastAsia="SofiaProLight-Italic" w:hAnsi="Arial" w:cs="Arial"/>
          <w:i/>
          <w:iCs/>
          <w:sz w:val="20"/>
          <w:szCs w:val="20"/>
        </w:rPr>
        <w:t>Plasmodium vivax</w:t>
      </w:r>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malariae</w:t>
      </w:r>
      <w:proofErr w:type="spellEnd"/>
      <w:r>
        <w:rPr>
          <w:rFonts w:ascii="Arial" w:eastAsia="SofiaProLight-Italic" w:hAnsi="Arial" w:cs="Arial"/>
          <w:i/>
          <w:iCs/>
          <w:sz w:val="20"/>
          <w:szCs w:val="20"/>
        </w:rPr>
        <w:t xml:space="preserve"> </w:t>
      </w:r>
      <w:r>
        <w:rPr>
          <w:rFonts w:ascii="Arial" w:eastAsia="SofiaProLight" w:hAnsi="Arial" w:cs="Arial"/>
          <w:sz w:val="20"/>
          <w:szCs w:val="20"/>
        </w:rPr>
        <w:t xml:space="preserve">and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ovale</w:t>
      </w:r>
      <w:proofErr w:type="spellEnd"/>
      <w:r>
        <w:rPr>
          <w:rFonts w:ascii="Arial" w:eastAsia="SofiaProLight-Italic" w:hAnsi="Arial" w:cs="Arial"/>
          <w:i/>
          <w:iCs/>
          <w:sz w:val="20"/>
          <w:szCs w:val="20"/>
        </w:rPr>
        <w:t xml:space="preserve"> </w:t>
      </w:r>
      <w:r>
        <w:rPr>
          <w:rFonts w:ascii="Arial" w:eastAsia="SofiaProLight" w:hAnsi="Arial" w:cs="Arial"/>
          <w:sz w:val="20"/>
          <w:szCs w:val="20"/>
        </w:rPr>
        <w:t>asexual stages. Except</w:t>
      </w:r>
      <w:r>
        <w:rPr>
          <w:rFonts w:ascii="Arial" w:hAnsi="Arial" w:cs="Arial"/>
          <w:sz w:val="20"/>
          <w:szCs w:val="20"/>
        </w:rPr>
        <w:t xml:space="preserve"> </w:t>
      </w:r>
      <w:r>
        <w:rPr>
          <w:rFonts w:ascii="Arial" w:eastAsia="SofiaProLight" w:hAnsi="Arial" w:cs="Arial"/>
          <w:sz w:val="20"/>
          <w:szCs w:val="20"/>
        </w:rPr>
        <w:t>there is request, gametocytes are not included in the count, but their presence is always recorded.  Most parasite counts are done on thick blood films. But if thick film is not available or it is spoiled, a thin</w:t>
      </w:r>
      <w:r>
        <w:rPr>
          <w:rFonts w:ascii="Arial" w:hAnsi="Arial" w:cs="Arial"/>
          <w:sz w:val="20"/>
          <w:szCs w:val="20"/>
        </w:rPr>
        <w:t xml:space="preserve"> </w:t>
      </w:r>
      <w:r>
        <w:rPr>
          <w:rFonts w:ascii="Arial" w:eastAsia="SofiaProLight" w:hAnsi="Arial" w:cs="Arial"/>
          <w:sz w:val="20"/>
          <w:szCs w:val="20"/>
        </w:rPr>
        <w:t>film count can be used. A thin film count is also carried out when there are more than 100 parasites in each field of the thick film, which corresponds to more than 80 000 parasites/</w:t>
      </w:r>
      <w:proofErr w:type="spellStart"/>
      <w:r>
        <w:rPr>
          <w:rFonts w:ascii="Arial" w:eastAsia="SofiaProLight" w:hAnsi="Arial" w:cs="Arial"/>
          <w:sz w:val="20"/>
          <w:szCs w:val="20"/>
        </w:rPr>
        <w:t>μL</w:t>
      </w:r>
      <w:proofErr w:type="spellEnd"/>
      <w:r>
        <w:rPr>
          <w:rFonts w:ascii="Arial" w:eastAsia="SofiaProLight" w:hAnsi="Arial" w:cs="Arial"/>
          <w:sz w:val="20"/>
          <w:szCs w:val="20"/>
        </w:rPr>
        <w:t xml:space="preserve"> [23, 24]. Because there is established link between malaria and type 2 diabetes, this study therefore assessed malaria parasite density and some blood parameters in asymptomatic adults with type 2 diabetes.  </w:t>
      </w:r>
    </w:p>
    <w:p>
      <w:pPr>
        <w:pStyle w:val="ListParagraph"/>
        <w:numPr>
          <w:ilvl w:val="0"/>
          <w:numId w:val="2"/>
        </w:numPr>
        <w:spacing w:before="100" w:beforeAutospacing="1" w:after="100" w:afterAutospacing="1" w:line="240" w:lineRule="auto"/>
        <w:outlineLvl w:val="1"/>
        <w:rPr>
          <w:rFonts w:ascii="Arial" w:eastAsia="Times New Roman" w:hAnsi="Arial" w:cs="Arial"/>
          <w:b/>
          <w:bCs/>
          <w:sz w:val="20"/>
          <w:szCs w:val="20"/>
        </w:rPr>
      </w:pPr>
      <w:r>
        <w:rPr>
          <w:rFonts w:ascii="Arial" w:eastAsia="Times New Roman" w:hAnsi="Arial" w:cs="Arial"/>
          <w:b/>
          <w:bCs/>
          <w:sz w:val="20"/>
          <w:szCs w:val="20"/>
        </w:rPr>
        <w:t>Methods</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The study was conducted at </w:t>
      </w:r>
      <w:proofErr w:type="spellStart"/>
      <w:r>
        <w:rPr>
          <w:rFonts w:ascii="Arial" w:hAnsi="Arial" w:cs="Arial"/>
          <w:sz w:val="20"/>
          <w:szCs w:val="20"/>
        </w:rPr>
        <w:t>Haematology</w:t>
      </w:r>
      <w:proofErr w:type="spellEnd"/>
      <w:r>
        <w:rPr>
          <w:rFonts w:ascii="Arial" w:hAnsi="Arial" w:cs="Arial"/>
          <w:sz w:val="20"/>
          <w:szCs w:val="20"/>
        </w:rPr>
        <w:t xml:space="preserve"> unit and Diabetes Outpatient Clinic both of </w:t>
      </w:r>
      <w:r>
        <w:rPr>
          <w:rFonts w:ascii="Arial" w:eastAsia="Times New Roman" w:hAnsi="Arial" w:cs="Arial"/>
          <w:sz w:val="20"/>
          <w:szCs w:val="20"/>
        </w:rPr>
        <w:t xml:space="preserve">the Enugu State University Teaching Hospital, Enugu State, Nigeria from July to November, 2024. </w:t>
      </w:r>
    </w:p>
    <w:p>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2.1 Study design</w:t>
      </w:r>
    </w:p>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This was a case control study involved type 2 diabetes mellitus patients as test subjects and apparently healthy non-diabetic adult as controls.</w:t>
      </w:r>
    </w:p>
    <w:p>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2.2 Inclusion and exclusion criteria</w:t>
      </w:r>
    </w:p>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Diabetic patients who gave consent, with confirmed cases of type 2 diabetes mellitus in the last one year, were recruited as test subjects, while apparently healthy </w:t>
      </w:r>
      <w:proofErr w:type="gramStart"/>
      <w:r>
        <w:rPr>
          <w:rFonts w:ascii="Arial" w:eastAsia="Times New Roman" w:hAnsi="Arial" w:cs="Arial"/>
          <w:sz w:val="20"/>
          <w:szCs w:val="20"/>
        </w:rPr>
        <w:t>non diabetic</w:t>
      </w:r>
      <w:proofErr w:type="gramEnd"/>
      <w:r>
        <w:rPr>
          <w:rFonts w:ascii="Arial" w:eastAsia="Times New Roman" w:hAnsi="Arial" w:cs="Arial"/>
          <w:sz w:val="20"/>
          <w:szCs w:val="20"/>
        </w:rPr>
        <w:t xml:space="preserve"> subject who gave consent were recruited as controls. Individuals who did not give consent and those with chronic system or organ illness and on malaria medication were excluded from the study.</w:t>
      </w:r>
    </w:p>
    <w:p>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2.3 Selection of subjects</w:t>
      </w:r>
    </w:p>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 total of one hundred (100) subjects were enrolled into the study. Seventy (70) individuals with glucose oxidase confirmed diabetes aged 40-60 years, and thirty (30) apparently healthy individuals without diabetes were recruited into the study.</w:t>
      </w:r>
    </w:p>
    <w:p>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2.4 Sample collection</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Five milliliters (5ml) of peripheral blood was collected </w:t>
      </w:r>
      <w:proofErr w:type="spellStart"/>
      <w:r>
        <w:rPr>
          <w:rFonts w:ascii="Arial" w:eastAsia="Times New Roman" w:hAnsi="Arial" w:cs="Arial"/>
          <w:sz w:val="20"/>
          <w:szCs w:val="20"/>
        </w:rPr>
        <w:t>asceptically</w:t>
      </w:r>
      <w:proofErr w:type="spellEnd"/>
      <w:r>
        <w:rPr>
          <w:rFonts w:ascii="Arial" w:eastAsia="Times New Roman" w:hAnsi="Arial" w:cs="Arial"/>
          <w:sz w:val="20"/>
          <w:szCs w:val="20"/>
        </w:rPr>
        <w:t xml:space="preserve"> from the subjects by venipuncture into </w:t>
      </w:r>
      <w:r>
        <w:rPr>
          <w:rStyle w:val="Emphasis"/>
          <w:rFonts w:ascii="Arial" w:hAnsi="Arial" w:cs="Arial"/>
          <w:i w:val="0"/>
          <w:sz w:val="20"/>
          <w:szCs w:val="20"/>
        </w:rPr>
        <w:t>ethylenediaminetetraacetic</w:t>
      </w:r>
      <w:r>
        <w:rPr>
          <w:rStyle w:val="Emphasis"/>
          <w:rFonts w:ascii="Arial" w:hAnsi="Arial" w:cs="Arial"/>
          <w:sz w:val="20"/>
          <w:szCs w:val="20"/>
        </w:rPr>
        <w:t xml:space="preserve"> </w:t>
      </w:r>
      <w:r>
        <w:rPr>
          <w:rStyle w:val="Emphasis"/>
          <w:rFonts w:ascii="Arial" w:hAnsi="Arial" w:cs="Arial"/>
          <w:i w:val="0"/>
          <w:sz w:val="20"/>
          <w:szCs w:val="20"/>
        </w:rPr>
        <w:t>acid</w:t>
      </w:r>
      <w:r>
        <w:rPr>
          <w:rStyle w:val="Emphasis"/>
          <w:rFonts w:ascii="Arial" w:hAnsi="Arial" w:cs="Arial"/>
          <w:sz w:val="20"/>
          <w:szCs w:val="20"/>
        </w:rPr>
        <w:t xml:space="preserve"> </w:t>
      </w:r>
      <w:r>
        <w:rPr>
          <w:rStyle w:val="Emphasis"/>
          <w:rFonts w:ascii="Arial" w:hAnsi="Arial" w:cs="Arial"/>
          <w:i w:val="0"/>
          <w:sz w:val="20"/>
          <w:szCs w:val="20"/>
        </w:rPr>
        <w:t>(EDTA)</w:t>
      </w:r>
      <w:r>
        <w:rPr>
          <w:rFonts w:ascii="Arial" w:eastAsia="Times New Roman" w:hAnsi="Arial" w:cs="Arial"/>
          <w:sz w:val="20"/>
          <w:szCs w:val="20"/>
        </w:rPr>
        <w:t xml:space="preserve"> and fluoride oxalate sample containers. An aliquot of the sample from the syringe was used to prepare thick and thin blood films on an appropriately labeled clean grease-free slide. The EDTA samples were used for </w:t>
      </w:r>
      <w:proofErr w:type="spellStart"/>
      <w:r>
        <w:rPr>
          <w:rFonts w:ascii="Arial" w:eastAsia="Times New Roman" w:hAnsi="Arial" w:cs="Arial"/>
          <w:sz w:val="20"/>
          <w:szCs w:val="20"/>
        </w:rPr>
        <w:t>haemoglobin</w:t>
      </w:r>
      <w:proofErr w:type="spellEnd"/>
      <w:r>
        <w:rPr>
          <w:rFonts w:ascii="Arial" w:eastAsia="Times New Roman" w:hAnsi="Arial" w:cs="Arial"/>
          <w:sz w:val="20"/>
          <w:szCs w:val="20"/>
        </w:rPr>
        <w:t xml:space="preserve"> estimation, packed cell volume and erythrocyte sedimentation rate (ESR). The samples in fluoride oxalate containers were spun at 5000 rpm for 5 min. Plasma were collected and stored at −20 °C in appropriate sample vials for assay of fasting blood sugar.</w:t>
      </w:r>
    </w:p>
    <w:p>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2.5 Laboratory methods</w:t>
      </w:r>
    </w:p>
    <w:p>
      <w:pPr>
        <w:spacing w:before="100" w:beforeAutospacing="1" w:after="100" w:afterAutospacing="1" w:line="240" w:lineRule="auto"/>
        <w:outlineLvl w:val="3"/>
        <w:rPr>
          <w:rFonts w:ascii="Arial" w:eastAsia="Times New Roman" w:hAnsi="Arial" w:cs="Arial"/>
          <w:b/>
          <w:bCs/>
          <w:sz w:val="20"/>
          <w:szCs w:val="20"/>
        </w:rPr>
      </w:pPr>
      <w:r>
        <w:rPr>
          <w:rFonts w:ascii="Arial" w:eastAsia="Times New Roman" w:hAnsi="Arial" w:cs="Arial"/>
          <w:b/>
          <w:bCs/>
          <w:sz w:val="20"/>
          <w:szCs w:val="20"/>
        </w:rPr>
        <w:t>2.5.1 Identification of malaria parasite by Giemsa staining technique</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Giemsa staining procedure was used for identification and quantification of malaria parasites in thick films. A positive smear of malaria parasite was used with each new batch of working Giemsa stain to ensure proper staining results are attained. Thick and thin blood films were allowed to air-dry and thin blood films fixed with absolute alcohol. The blood films were stained using 10% of the Giemsa stock stain for 10 min [25].</w:t>
      </w:r>
    </w:p>
    <w:p>
      <w:pPr>
        <w:spacing w:before="100" w:beforeAutospacing="1" w:after="100" w:afterAutospacing="1" w:line="240" w:lineRule="auto"/>
        <w:outlineLvl w:val="3"/>
        <w:rPr>
          <w:rFonts w:ascii="Arial" w:eastAsia="Times New Roman" w:hAnsi="Arial" w:cs="Arial"/>
          <w:b/>
          <w:bCs/>
          <w:sz w:val="20"/>
          <w:szCs w:val="20"/>
        </w:rPr>
      </w:pPr>
      <w:r>
        <w:rPr>
          <w:rFonts w:ascii="Arial" w:eastAsia="Times New Roman" w:hAnsi="Arial" w:cs="Arial"/>
          <w:b/>
          <w:bCs/>
          <w:sz w:val="20"/>
          <w:szCs w:val="20"/>
        </w:rPr>
        <w:t>2.5.2 Calculation of malaria parasite density</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Malaria parasite densities were recorded as a ratio of parasites to white blood cells in thick smears. </w:t>
      </w:r>
      <w:r>
        <w:rPr>
          <w:rFonts w:ascii="Arial" w:eastAsia="Times New Roman" w:hAnsi="Arial" w:cs="Arial"/>
          <w:i/>
          <w:iCs/>
          <w:sz w:val="20"/>
          <w:szCs w:val="20"/>
        </w:rPr>
        <w:t>Plasmodium</w:t>
      </w:r>
      <w:r>
        <w:rPr>
          <w:rFonts w:ascii="Arial" w:eastAsia="Times New Roman" w:hAnsi="Arial" w:cs="Arial"/>
          <w:sz w:val="20"/>
          <w:szCs w:val="20"/>
        </w:rPr>
        <w:t xml:space="preserve"> parasites were counted against 200 white blood cells (WBCs) on the thick film. A total of 500 WBCs </w:t>
      </w:r>
      <w:proofErr w:type="gramStart"/>
      <w:r>
        <w:rPr>
          <w:rFonts w:ascii="Arial" w:eastAsia="Times New Roman" w:hAnsi="Arial" w:cs="Arial"/>
          <w:sz w:val="20"/>
          <w:szCs w:val="20"/>
        </w:rPr>
        <w:t>were</w:t>
      </w:r>
      <w:proofErr w:type="gramEnd"/>
      <w:r>
        <w:rPr>
          <w:rFonts w:ascii="Arial" w:eastAsia="Times New Roman" w:hAnsi="Arial" w:cs="Arial"/>
          <w:sz w:val="20"/>
          <w:szCs w:val="20"/>
        </w:rPr>
        <w:t xml:space="preserve"> counted where less than nine (9) parasites were counted after counting against 200 WBC. Malaria parasite densities (parasite/</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of whole blood) were then calculated as follows: (number of parasites counted/WBC counted) × WBC count per </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of blood.</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Malaria parasite densities for all individuals were calculated using assumed WBC counts of 8.0 × 10</w:t>
      </w:r>
      <w:r>
        <w:rPr>
          <w:rFonts w:ascii="Arial" w:eastAsia="Times New Roman" w:hAnsi="Arial" w:cs="Arial"/>
          <w:sz w:val="20"/>
          <w:szCs w:val="20"/>
          <w:vertAlign w:val="superscript"/>
        </w:rPr>
        <w:t>9</w:t>
      </w:r>
      <w:r>
        <w:rPr>
          <w:rFonts w:ascii="Arial" w:eastAsia="Times New Roman" w:hAnsi="Arial" w:cs="Arial"/>
          <w:sz w:val="20"/>
          <w:szCs w:val="20"/>
        </w:rPr>
        <w:t>/L of blood, determined by the World Health Organization (WHO) to be used comfortably in facilities which do not have the equipment to determine patients’ absolute full blood count value. Malaria parasite densities of infected subjects were grouped into three categories: mild, moderate and severe. Those categorized with severe malaria had a parasite density of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those with moderate malaria had a parasite density of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while mild malaria had a parasite density of &lt;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[25]</w:t>
      </w:r>
    </w:p>
    <w:p>
      <w:pPr>
        <w:spacing w:before="100" w:beforeAutospacing="1" w:after="100" w:afterAutospacing="1" w:line="240" w:lineRule="auto"/>
        <w:rPr>
          <w:rFonts w:ascii="Arial" w:hAnsi="Arial" w:cs="Arial"/>
          <w:b/>
          <w:sz w:val="20"/>
          <w:szCs w:val="20"/>
        </w:rPr>
      </w:pPr>
      <w:r>
        <w:rPr>
          <w:rFonts w:ascii="Arial" w:hAnsi="Arial" w:cs="Arial"/>
          <w:b/>
          <w:sz w:val="20"/>
          <w:szCs w:val="20"/>
        </w:rPr>
        <w:t>2.5.3 Determination of erythrocyte sedimentation rate (ESR)</w:t>
      </w:r>
    </w:p>
    <w:p>
      <w:pPr>
        <w:spacing w:line="240" w:lineRule="auto"/>
        <w:jc w:val="both"/>
        <w:rPr>
          <w:rFonts w:ascii="Arial" w:hAnsi="Arial" w:cs="Arial"/>
          <w:sz w:val="20"/>
          <w:szCs w:val="20"/>
        </w:rPr>
      </w:pPr>
      <w:r>
        <w:rPr>
          <w:rFonts w:ascii="Arial" w:hAnsi="Arial" w:cs="Arial"/>
          <w:sz w:val="20"/>
          <w:szCs w:val="20"/>
        </w:rPr>
        <w:t>The erythrocyte sedimentation rate is a simple non-specific screening test that indirectly measures the presence of inflammation in the body.</w:t>
      </w:r>
    </w:p>
    <w:p>
      <w:pPr>
        <w:spacing w:line="240" w:lineRule="auto"/>
        <w:rPr>
          <w:rFonts w:ascii="Arial" w:hAnsi="Arial" w:cs="Arial"/>
          <w:sz w:val="20"/>
          <w:szCs w:val="20"/>
        </w:rPr>
      </w:pPr>
      <w:r>
        <w:rPr>
          <w:rFonts w:ascii="Arial" w:hAnsi="Arial" w:cs="Arial"/>
          <w:sz w:val="20"/>
          <w:szCs w:val="20"/>
        </w:rPr>
        <w:t>Principle</w:t>
      </w:r>
    </w:p>
    <w:p>
      <w:pPr>
        <w:spacing w:line="240" w:lineRule="auto"/>
        <w:jc w:val="both"/>
        <w:rPr>
          <w:rFonts w:ascii="Arial" w:hAnsi="Arial" w:cs="Arial"/>
          <w:sz w:val="20"/>
          <w:szCs w:val="20"/>
        </w:rPr>
      </w:pPr>
      <w:r>
        <w:rPr>
          <w:rFonts w:ascii="Arial" w:hAnsi="Arial" w:cs="Arial"/>
          <w:sz w:val="20"/>
          <w:szCs w:val="20"/>
        </w:rPr>
        <w:t>When anticoagulated whole blood is allowed to stand in a narrow vertical tube for a period of time, the red blood cells, under the influence of gravity, settle out from the plasma. The rate at which they settle is measured as the number of millimeters (mm) of clear plasma present at the top of the column after one hour (mm/</w:t>
      </w:r>
      <w:proofErr w:type="spellStart"/>
      <w:r>
        <w:rPr>
          <w:rFonts w:ascii="Arial" w:hAnsi="Arial" w:cs="Arial"/>
          <w:sz w:val="20"/>
          <w:szCs w:val="20"/>
        </w:rPr>
        <w:t>hr</w:t>
      </w:r>
      <w:proofErr w:type="spellEnd"/>
      <w:r>
        <w:rPr>
          <w:rFonts w:ascii="Arial" w:hAnsi="Arial" w:cs="Arial"/>
          <w:sz w:val="20"/>
          <w:szCs w:val="20"/>
        </w:rPr>
        <w:t>) [26].</w:t>
      </w:r>
    </w:p>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Procedure </w:t>
      </w:r>
    </w:p>
    <w:p>
      <w:pPr>
        <w:spacing w:before="100" w:beforeAutospacing="1" w:after="100" w:afterAutospacing="1" w:line="240" w:lineRule="auto"/>
        <w:jc w:val="both"/>
        <w:rPr>
          <w:rFonts w:ascii="Arial" w:eastAsia="Times New Roman" w:hAnsi="Arial" w:cs="Arial"/>
          <w:sz w:val="20"/>
          <w:szCs w:val="20"/>
        </w:rPr>
      </w:pPr>
      <w:r>
        <w:rPr>
          <w:rFonts w:ascii="Arial" w:hAnsi="Arial" w:cs="Arial"/>
          <w:sz w:val="20"/>
          <w:szCs w:val="20"/>
        </w:rPr>
        <w:t>Two (2ml) of venous blood was collected into tube containing 0 .5 ml of sodium citrate.  It was stored for 2 hours at room temperature. The blood was drawn into a Westergren tube to the 200 mm mark. The tube was placed in a rack in a strictly vertical position for 1 hour at room temperature, at which time the distance from the lowest point of the surface meniscus to the upper limit of the red cell sediment was measured. The distance of fall of erythrocytes, expressed as millimeters in 1 hour, was the ESR [26].</w:t>
      </w:r>
    </w:p>
    <w:p>
      <w:pPr>
        <w:autoSpaceDE w:val="0"/>
        <w:autoSpaceDN w:val="0"/>
        <w:adjustRightInd w:val="0"/>
        <w:spacing w:after="0" w:line="240" w:lineRule="auto"/>
        <w:rPr>
          <w:rFonts w:ascii="Arial" w:hAnsi="Arial" w:cs="Arial"/>
          <w:b/>
          <w:sz w:val="20"/>
          <w:szCs w:val="20"/>
        </w:rPr>
      </w:pPr>
      <w:r>
        <w:rPr>
          <w:rFonts w:ascii="Arial" w:hAnsi="Arial" w:cs="Arial"/>
          <w:b/>
          <w:sz w:val="20"/>
          <w:szCs w:val="20"/>
        </w:rPr>
        <w:t>2.5.4 Determination of fasting blood sugar</w:t>
      </w: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Glucose oxidase is one of the most generally used enzymes for glucose detection because it reduces oxygen to hydrogen peroxide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2</w:t>
      </w:r>
      <w:r>
        <w:rPr>
          <w:rFonts w:ascii="Arial" w:hAnsi="Arial" w:cs="Arial"/>
          <w:sz w:val="20"/>
          <w:szCs w:val="20"/>
        </w:rPr>
        <w:t xml:space="preserve">) while also oxidizing glucose to gluconic acid [27]. Glucose is oxidized to gluconic acid, whereas oxygen is simultaneously reduced to hydrogen peroxide by the enzyme glucose oxidase. Hydrogen peroxide is then split to form water and nascent oxygen by the enzyme peroxidase. The nascent oxygen reacts with 4-aminoantipyrine, and in the presence of phenol, this reaction produces </w:t>
      </w:r>
      <w:proofErr w:type="spellStart"/>
      <w:r>
        <w:rPr>
          <w:rFonts w:ascii="Arial" w:hAnsi="Arial" w:cs="Arial"/>
          <w:sz w:val="20"/>
          <w:szCs w:val="20"/>
        </w:rPr>
        <w:t>quinoneimine</w:t>
      </w:r>
      <w:proofErr w:type="spellEnd"/>
      <w:r>
        <w:rPr>
          <w:rFonts w:ascii="Arial" w:hAnsi="Arial" w:cs="Arial"/>
          <w:sz w:val="20"/>
          <w:szCs w:val="20"/>
        </w:rPr>
        <w:t>, which is a colored compound that can be analyzed using colorimetric analysis. The intensity of the color produced correlates directly with the concentration of glucose in the sample. Colorimetric analysis is performed at 505 nm and compared to the standard, which is treated similarly [28].</w:t>
      </w:r>
    </w:p>
    <w:p>
      <w:pPr>
        <w:autoSpaceDE w:val="0"/>
        <w:autoSpaceDN w:val="0"/>
        <w:adjustRightInd w:val="0"/>
        <w:spacing w:after="0" w:line="240" w:lineRule="auto"/>
        <w:rPr>
          <w:rFonts w:ascii="Arial" w:hAnsi="Arial" w:cs="Arial"/>
          <w:sz w:val="20"/>
          <w:szCs w:val="20"/>
        </w:rPr>
      </w:pP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b/>
          <w:bCs/>
          <w:sz w:val="20"/>
          <w:szCs w:val="20"/>
        </w:rPr>
        <w:t>Statistical analysis</w:t>
      </w:r>
    </w:p>
    <w:p>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The Student </w:t>
      </w:r>
      <w:r>
        <w:rPr>
          <w:rFonts w:ascii="Arial" w:eastAsia="Times New Roman" w:hAnsi="Arial" w:cs="Arial"/>
          <w:i/>
          <w:iCs/>
          <w:sz w:val="20"/>
          <w:szCs w:val="20"/>
        </w:rPr>
        <w:t>t</w:t>
      </w:r>
      <w:r>
        <w:rPr>
          <w:rFonts w:ascii="Arial" w:eastAsia="Times New Roman" w:hAnsi="Arial" w:cs="Arial"/>
          <w:sz w:val="20"/>
          <w:szCs w:val="20"/>
        </w:rPr>
        <w:t xml:space="preserve">-test was used to compare the mean difference between groups. Pearson’s correlation coefficient was used to determine associations between variables. Statistical significance was set at probability, </w:t>
      </w:r>
      <w:r>
        <w:rPr>
          <w:rFonts w:ascii="Arial" w:eastAsia="Times New Roman" w:hAnsi="Arial" w:cs="Arial"/>
          <w:i/>
          <w:iCs/>
          <w:sz w:val="20"/>
          <w:szCs w:val="20"/>
        </w:rPr>
        <w:t>P</w:t>
      </w:r>
      <w:r>
        <w:rPr>
          <w:rFonts w:ascii="Arial" w:eastAsia="Times New Roman" w:hAnsi="Arial" w:cs="Arial"/>
          <w:sz w:val="20"/>
          <w:szCs w:val="20"/>
        </w:rPr>
        <w:t xml:space="preserve"> &lt; 0.05. All data obtained were analyzed using Statistical Package for the Social Sciences (SPSS) version 25.0 software.</w:t>
      </w:r>
    </w:p>
    <w:p>
      <w:pPr>
        <w:pStyle w:val="ListParagraph"/>
        <w:numPr>
          <w:ilvl w:val="0"/>
          <w:numId w:val="3"/>
        </w:numPr>
        <w:rPr>
          <w:rFonts w:ascii="Arial" w:hAnsi="Arial" w:cs="Arial"/>
          <w:b/>
          <w:sz w:val="20"/>
          <w:szCs w:val="20"/>
        </w:rPr>
      </w:pPr>
      <w:r>
        <w:rPr>
          <w:rFonts w:ascii="Arial" w:hAnsi="Arial" w:cs="Arial"/>
          <w:b/>
          <w:sz w:val="20"/>
          <w:szCs w:val="20"/>
        </w:rPr>
        <w:t>Result</w:t>
      </w:r>
    </w:p>
    <w:p>
      <w:pPr>
        <w:spacing w:line="240" w:lineRule="auto"/>
        <w:jc w:val="both"/>
        <w:rPr>
          <w:rFonts w:ascii="Arial" w:hAnsi="Arial" w:cs="Arial"/>
          <w:sz w:val="20"/>
          <w:szCs w:val="20"/>
        </w:rPr>
      </w:pPr>
      <w:r>
        <w:rPr>
          <w:rFonts w:ascii="Arial" w:hAnsi="Arial" w:cs="Arial"/>
          <w:sz w:val="20"/>
          <w:szCs w:val="20"/>
        </w:rPr>
        <w:t xml:space="preserve">Table 1 shows mean ± SD of MPD and some </w:t>
      </w:r>
      <w:proofErr w:type="spellStart"/>
      <w:r>
        <w:rPr>
          <w:rFonts w:ascii="Arial" w:hAnsi="Arial" w:cs="Arial"/>
          <w:sz w:val="20"/>
          <w:szCs w:val="20"/>
        </w:rPr>
        <w:t>haematological</w:t>
      </w:r>
      <w:proofErr w:type="spellEnd"/>
      <w:r>
        <w:rPr>
          <w:rFonts w:ascii="Arial" w:hAnsi="Arial" w:cs="Arial"/>
          <w:sz w:val="20"/>
          <w:szCs w:val="20"/>
        </w:rPr>
        <w:t xml:space="preserve"> parameters of the patients and controls. The MPD of patients (1346 ± 968.50) were significantly higher compared to control (525.16 ± 416.20) (p&lt;0.001). The ESR of patients (35.75 ± 22.82) were significantly higher compared to control (17.51 ± 10.26) (p=0.003). While the PCV of patients (36.88 ± 6.62) were significantly lower compared to control (39.93 ± 3.90) (p=0.020). Table 2 </w:t>
      </w:r>
      <w:r>
        <w:rPr>
          <w:rFonts w:ascii="Arial" w:eastAsia="Times New Roman" w:hAnsi="Arial" w:cs="Arial"/>
          <w:sz w:val="20"/>
          <w:szCs w:val="20"/>
        </w:rPr>
        <w:t xml:space="preserve">shows a comparison of malaria parasite density, </w:t>
      </w:r>
      <w:r>
        <w:rPr>
          <w:rFonts w:ascii="Arial" w:hAnsi="Arial" w:cs="Arial"/>
          <w:sz w:val="20"/>
          <w:szCs w:val="20"/>
        </w:rPr>
        <w:t xml:space="preserve">HGB, PCV, RBC and ESR in male and female subjects with type 2 diabetes. The result shows no significant difference (p&gt;0.05). Table 3 </w:t>
      </w:r>
      <w:r>
        <w:rPr>
          <w:rFonts w:ascii="Arial" w:eastAsia="Times New Roman" w:hAnsi="Arial" w:cs="Arial"/>
          <w:sz w:val="20"/>
          <w:szCs w:val="20"/>
        </w:rPr>
        <w:t xml:space="preserve">shows a comparison of malaria parasite density, </w:t>
      </w:r>
      <w:r>
        <w:rPr>
          <w:rFonts w:ascii="Arial" w:hAnsi="Arial" w:cs="Arial"/>
          <w:sz w:val="20"/>
          <w:szCs w:val="20"/>
        </w:rPr>
        <w:t xml:space="preserve">HGB, PCV and RBC based on FBG level of the patients. The result shows no significant difference (p&gt;0.05). Table 4 shows correlation of malaria parasite density against HGB, PCV, ESR, and FBG. Malaria parasite density correlated negatively with fasting blood sugar (r=-0.253, p=0.035). Figure 1 showed the range of parasite density, </w:t>
      </w:r>
      <w:r>
        <w:rPr>
          <w:rFonts w:ascii="Arial" w:eastAsia="Times New Roman" w:hAnsi="Arial" w:cs="Arial"/>
          <w:sz w:val="20"/>
          <w:szCs w:val="20"/>
        </w:rPr>
        <w:t>53 (75.7%) had mild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17 (24.3%) had moderate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and none had severe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w:t>
      </w:r>
    </w:p>
    <w:p>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Table 1 MPD, HGB, PCV, RBC and ESR of test and control </w:t>
      </w:r>
    </w:p>
    <w:tbl>
      <w:tblPr>
        <w:tblStyle w:val="TableGrid"/>
        <w:tblW w:w="0" w:type="auto"/>
        <w:tblLook w:val="04A0" w:firstRow="1" w:lastRow="0" w:firstColumn="1" w:lastColumn="0" w:noHBand="0" w:noVBand="1"/>
      </w:tblPr>
      <w:tblGrid>
        <w:gridCol w:w="9576"/>
      </w:tblGrid>
      <w:tr>
        <w:trPr>
          <w:trHeight w:val="202"/>
        </w:trPr>
        <w:tc>
          <w:tcPr>
            <w:tcW w:w="9576" w:type="dxa"/>
            <w:tcBorders>
              <w:left w:val="nil"/>
              <w:bottom w:val="single" w:sz="4" w:space="0" w:color="auto"/>
              <w:right w:val="nil"/>
            </w:tcBorders>
          </w:tcPr>
          <w:p>
            <w:pPr>
              <w:rPr>
                <w:rFonts w:cstheme="minorHAnsi"/>
                <w:sz w:val="20"/>
                <w:szCs w:val="20"/>
              </w:rPr>
            </w:pPr>
            <w:r>
              <w:rPr>
                <w:rFonts w:cstheme="minorHAnsi"/>
                <w:sz w:val="20"/>
                <w:szCs w:val="20"/>
              </w:rPr>
              <w:t xml:space="preserve">Parameters                               Test (N=70)                                       </w:t>
            </w:r>
            <w:proofErr w:type="gramStart"/>
            <w:r>
              <w:rPr>
                <w:rFonts w:cstheme="minorHAnsi"/>
                <w:sz w:val="20"/>
                <w:szCs w:val="20"/>
              </w:rPr>
              <w:t>control  (</w:t>
            </w:r>
            <w:proofErr w:type="gramEnd"/>
            <w:r>
              <w:rPr>
                <w:rFonts w:cstheme="minorHAnsi"/>
                <w:sz w:val="20"/>
                <w:szCs w:val="20"/>
              </w:rPr>
              <w:t xml:space="preserve">N=30)                                   p-value                                                       </w:t>
            </w:r>
          </w:p>
        </w:tc>
      </w:tr>
      <w:tr>
        <w:trPr>
          <w:trHeight w:val="330"/>
        </w:trPr>
        <w:tc>
          <w:tcPr>
            <w:tcW w:w="9576" w:type="dxa"/>
            <w:tcBorders>
              <w:top w:val="single" w:sz="4" w:space="0" w:color="auto"/>
              <w:left w:val="nil"/>
              <w:bottom w:val="single" w:sz="4" w:space="0" w:color="000000" w:themeColor="text1"/>
              <w:right w:val="nil"/>
            </w:tcBorders>
          </w:tcPr>
          <w:p>
            <w:pPr>
              <w:rPr>
                <w:rFonts w:cstheme="minorHAnsi"/>
                <w:sz w:val="20"/>
                <w:szCs w:val="20"/>
              </w:rPr>
            </w:pPr>
            <w:r>
              <w:rPr>
                <w:rFonts w:cstheme="minorHAnsi"/>
                <w:sz w:val="20"/>
                <w:szCs w:val="20"/>
              </w:rPr>
              <w:t xml:space="preserve"> MPD/µL                                 1346.61± 968.50                            525.16±416.20                                     &lt;0.001*        </w:t>
            </w:r>
          </w:p>
          <w:p>
            <w:pPr>
              <w:rPr>
                <w:rFonts w:cstheme="minorHAnsi"/>
                <w:sz w:val="20"/>
                <w:szCs w:val="20"/>
              </w:rPr>
            </w:pPr>
            <w:r>
              <w:rPr>
                <w:rFonts w:cstheme="minorHAnsi"/>
                <w:sz w:val="20"/>
                <w:szCs w:val="20"/>
              </w:rPr>
              <w:t xml:space="preserve">HGB g/dl                                  12.31 ± 2.19                                    13.26 ± 1.29                                          0.994         </w:t>
            </w:r>
          </w:p>
          <w:p>
            <w:pPr>
              <w:rPr>
                <w:rFonts w:cstheme="minorHAnsi"/>
                <w:sz w:val="20"/>
                <w:szCs w:val="20"/>
              </w:rPr>
            </w:pPr>
            <w:r>
              <w:rPr>
                <w:rFonts w:cstheme="minorHAnsi"/>
                <w:sz w:val="20"/>
                <w:szCs w:val="20"/>
              </w:rPr>
              <w:t>PCV %                                       36.88 ± 6.62                                     39.93± 3.90                                          0.020*</w:t>
            </w:r>
          </w:p>
          <w:p>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4.22 ± 0.67                                        4.58 ± 0.45                                          0.941</w:t>
            </w:r>
          </w:p>
          <w:p>
            <w:pPr>
              <w:rPr>
                <w:rFonts w:cstheme="minorHAnsi"/>
                <w:sz w:val="20"/>
                <w:szCs w:val="20"/>
              </w:rPr>
            </w:pPr>
            <w:r>
              <w:rPr>
                <w:rFonts w:cstheme="minorHAnsi"/>
                <w:sz w:val="20"/>
                <w:szCs w:val="20"/>
              </w:rPr>
              <w:t>ESR mm/</w:t>
            </w:r>
            <w:proofErr w:type="spellStart"/>
            <w:r>
              <w:rPr>
                <w:rFonts w:cstheme="minorHAnsi"/>
                <w:sz w:val="20"/>
                <w:szCs w:val="20"/>
              </w:rPr>
              <w:t>hr</w:t>
            </w:r>
            <w:proofErr w:type="spellEnd"/>
            <w:r>
              <w:rPr>
                <w:rFonts w:cstheme="minorHAnsi"/>
                <w:sz w:val="20"/>
                <w:szCs w:val="20"/>
              </w:rPr>
              <w:t xml:space="preserve">                              35.75± 22.82                                    17.51 ±10.26                                        0.003*              </w:t>
            </w:r>
          </w:p>
        </w:tc>
      </w:tr>
    </w:tbl>
    <w:p>
      <w:pPr>
        <w:pStyle w:val="NoSpacing"/>
      </w:pPr>
    </w:p>
    <w:p>
      <w:pPr>
        <w:pStyle w:val="NoSpacing"/>
        <w:rPr>
          <w:rFonts w:ascii="Arial" w:hAnsi="Arial" w:cs="Arial"/>
          <w:b/>
          <w:sz w:val="20"/>
          <w:szCs w:val="20"/>
        </w:rPr>
      </w:pPr>
      <w:r>
        <w:rPr>
          <w:rFonts w:ascii="Arial" w:hAnsi="Arial" w:cs="Arial"/>
          <w:b/>
          <w:sz w:val="20"/>
          <w:szCs w:val="20"/>
        </w:rPr>
        <w:t xml:space="preserve">Table 2 shows mean ± SD of MPD and some </w:t>
      </w:r>
      <w:proofErr w:type="spellStart"/>
      <w:r>
        <w:rPr>
          <w:rFonts w:ascii="Arial" w:hAnsi="Arial" w:cs="Arial"/>
          <w:b/>
          <w:sz w:val="20"/>
          <w:szCs w:val="20"/>
        </w:rPr>
        <w:t>haematological</w:t>
      </w:r>
      <w:proofErr w:type="spellEnd"/>
      <w:r>
        <w:rPr>
          <w:rFonts w:ascii="Arial" w:hAnsi="Arial" w:cs="Arial"/>
          <w:b/>
          <w:sz w:val="20"/>
          <w:szCs w:val="20"/>
        </w:rPr>
        <w:t xml:space="preserve"> parameters of the male and female patients</w:t>
      </w:r>
    </w:p>
    <w:tbl>
      <w:tblPr>
        <w:tblStyle w:val="TableGrid"/>
        <w:tblW w:w="0" w:type="auto"/>
        <w:tblLook w:val="04A0" w:firstRow="1" w:lastRow="0" w:firstColumn="1" w:lastColumn="0" w:noHBand="0" w:noVBand="1"/>
      </w:tblPr>
      <w:tblGrid>
        <w:gridCol w:w="9576"/>
      </w:tblGrid>
      <w:tr>
        <w:trPr>
          <w:trHeight w:val="202"/>
        </w:trPr>
        <w:tc>
          <w:tcPr>
            <w:tcW w:w="9576" w:type="dxa"/>
            <w:tcBorders>
              <w:left w:val="nil"/>
              <w:bottom w:val="single" w:sz="4" w:space="0" w:color="auto"/>
              <w:right w:val="nil"/>
            </w:tcBorders>
          </w:tcPr>
          <w:p>
            <w:pPr>
              <w:rPr>
                <w:rFonts w:cstheme="minorHAnsi"/>
                <w:sz w:val="20"/>
                <w:szCs w:val="20"/>
              </w:rPr>
            </w:pPr>
            <w:r>
              <w:rPr>
                <w:rFonts w:cstheme="minorHAnsi"/>
                <w:sz w:val="20"/>
                <w:szCs w:val="20"/>
              </w:rPr>
              <w:t xml:space="preserve">Parameters                                          Male (N=30)                               </w:t>
            </w:r>
            <w:proofErr w:type="gramStart"/>
            <w:r>
              <w:rPr>
                <w:rFonts w:cstheme="minorHAnsi"/>
                <w:sz w:val="20"/>
                <w:szCs w:val="20"/>
              </w:rPr>
              <w:t>female  (</w:t>
            </w:r>
            <w:proofErr w:type="gramEnd"/>
            <w:r>
              <w:rPr>
                <w:rFonts w:cstheme="minorHAnsi"/>
                <w:sz w:val="20"/>
                <w:szCs w:val="20"/>
              </w:rPr>
              <w:t xml:space="preserve">N=40)                                  p-value                                                       </w:t>
            </w:r>
          </w:p>
        </w:tc>
      </w:tr>
      <w:tr>
        <w:trPr>
          <w:trHeight w:val="330"/>
        </w:trPr>
        <w:tc>
          <w:tcPr>
            <w:tcW w:w="9576" w:type="dxa"/>
            <w:tcBorders>
              <w:top w:val="single" w:sz="4" w:space="0" w:color="auto"/>
              <w:left w:val="nil"/>
              <w:bottom w:val="single" w:sz="4" w:space="0" w:color="000000" w:themeColor="text1"/>
              <w:right w:val="nil"/>
            </w:tcBorders>
          </w:tcPr>
          <w:p>
            <w:pPr>
              <w:rPr>
                <w:rFonts w:cstheme="minorHAnsi"/>
                <w:sz w:val="20"/>
                <w:szCs w:val="20"/>
              </w:rPr>
            </w:pPr>
            <w:r>
              <w:rPr>
                <w:rFonts w:cstheme="minorHAnsi"/>
                <w:sz w:val="20"/>
                <w:szCs w:val="20"/>
              </w:rPr>
              <w:t xml:space="preserve"> MPD/µL                                            1496.43 ± 991.31                         1234.25 ± 947.94                               0.508        </w:t>
            </w:r>
          </w:p>
          <w:p>
            <w:pPr>
              <w:rPr>
                <w:rFonts w:cstheme="minorHAnsi"/>
                <w:sz w:val="20"/>
                <w:szCs w:val="20"/>
              </w:rPr>
            </w:pPr>
            <w:r>
              <w:rPr>
                <w:rFonts w:cstheme="minorHAnsi"/>
                <w:sz w:val="20"/>
                <w:szCs w:val="20"/>
              </w:rPr>
              <w:t xml:space="preserve">HGB g/dl                                              12.31 ± 2.27                                   12.31 ± 2.17                                    1.000         </w:t>
            </w:r>
          </w:p>
          <w:p>
            <w:pPr>
              <w:rPr>
                <w:rFonts w:cstheme="minorHAnsi"/>
                <w:sz w:val="20"/>
                <w:szCs w:val="20"/>
              </w:rPr>
            </w:pPr>
            <w:r>
              <w:rPr>
                <w:rFonts w:cstheme="minorHAnsi"/>
                <w:sz w:val="20"/>
                <w:szCs w:val="20"/>
              </w:rPr>
              <w:t>PCV %                                                    36.93 ± 6.81                                  36.85 ± 6.56                                    0.999</w:t>
            </w:r>
          </w:p>
          <w:p>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4.22 ± 0.71                                     4.22 ± 0.65                                     0.999</w:t>
            </w:r>
          </w:p>
          <w:p>
            <w:pPr>
              <w:tabs>
                <w:tab w:val="center" w:pos="4680"/>
              </w:tabs>
              <w:rPr>
                <w:rFonts w:cstheme="minorHAnsi"/>
                <w:sz w:val="20"/>
                <w:szCs w:val="20"/>
              </w:rPr>
            </w:pPr>
            <w:r>
              <w:rPr>
                <w:rFonts w:cstheme="minorHAnsi"/>
                <w:sz w:val="20"/>
                <w:szCs w:val="20"/>
              </w:rPr>
              <w:t xml:space="preserve">FBG mmol/L                                          7.30 ± 1.05                                     6.44 ± 0.90                                     0.665  </w:t>
            </w:r>
          </w:p>
          <w:p>
            <w:pPr>
              <w:rPr>
                <w:rFonts w:cstheme="minorHAnsi"/>
                <w:sz w:val="20"/>
                <w:szCs w:val="20"/>
              </w:rPr>
            </w:pPr>
            <w:r>
              <w:rPr>
                <w:rFonts w:cstheme="minorHAnsi"/>
                <w:sz w:val="20"/>
                <w:szCs w:val="20"/>
              </w:rPr>
              <w:t>ESR mm/</w:t>
            </w:r>
            <w:proofErr w:type="spellStart"/>
            <w:r>
              <w:rPr>
                <w:rFonts w:cstheme="minorHAnsi"/>
                <w:sz w:val="20"/>
                <w:szCs w:val="20"/>
              </w:rPr>
              <w:t>hr</w:t>
            </w:r>
            <w:proofErr w:type="spellEnd"/>
            <w:r>
              <w:rPr>
                <w:rFonts w:cstheme="minorHAnsi"/>
                <w:sz w:val="20"/>
                <w:szCs w:val="20"/>
              </w:rPr>
              <w:t xml:space="preserve">                                            34.07± 20.29                                36.10 ± 16.89                                  0.689              </w:t>
            </w:r>
          </w:p>
        </w:tc>
      </w:tr>
    </w:tbl>
    <w:p>
      <w:pPr>
        <w:pStyle w:val="NoSpacing"/>
        <w:rPr>
          <w:rFonts w:ascii="Times New Roman" w:hAnsi="Times New Roman" w:cs="Times New Roman"/>
          <w:sz w:val="24"/>
          <w:szCs w:val="24"/>
        </w:rPr>
      </w:pPr>
    </w:p>
    <w:p>
      <w:pPr>
        <w:pStyle w:val="NoSpacing"/>
        <w:rPr>
          <w:rFonts w:ascii="Arial" w:hAnsi="Arial" w:cs="Arial"/>
          <w:b/>
          <w:sz w:val="20"/>
          <w:szCs w:val="20"/>
        </w:rPr>
      </w:pPr>
    </w:p>
    <w:p>
      <w:pPr>
        <w:pStyle w:val="NoSpacing"/>
        <w:rPr>
          <w:rFonts w:ascii="Arial" w:hAnsi="Arial" w:cs="Arial"/>
          <w:b/>
          <w:sz w:val="20"/>
          <w:szCs w:val="20"/>
        </w:rPr>
      </w:pPr>
    </w:p>
    <w:p>
      <w:pPr>
        <w:pStyle w:val="NoSpacing"/>
        <w:rPr>
          <w:rFonts w:ascii="Arial" w:hAnsi="Arial" w:cs="Arial"/>
          <w:b/>
          <w:sz w:val="20"/>
          <w:szCs w:val="20"/>
        </w:rPr>
      </w:pPr>
    </w:p>
    <w:p>
      <w:pPr>
        <w:pStyle w:val="NoSpacing"/>
        <w:rPr>
          <w:rFonts w:ascii="Arial" w:hAnsi="Arial" w:cs="Arial"/>
          <w:b/>
          <w:sz w:val="20"/>
          <w:szCs w:val="20"/>
        </w:rPr>
      </w:pPr>
      <w:r>
        <w:rPr>
          <w:rFonts w:ascii="Arial" w:hAnsi="Arial" w:cs="Arial"/>
          <w:b/>
          <w:sz w:val="20"/>
          <w:szCs w:val="20"/>
        </w:rPr>
        <w:t>Table 3 shows mean ± SD of MPD, HGB, PCV and RBC in prediabetes stage (5.6-5.9 mmol/L) and above 7.0mmol/L</w:t>
      </w:r>
    </w:p>
    <w:tbl>
      <w:tblPr>
        <w:tblStyle w:val="TableGrid"/>
        <w:tblW w:w="0" w:type="auto"/>
        <w:tblLook w:val="04A0" w:firstRow="1" w:lastRow="0" w:firstColumn="1" w:lastColumn="0" w:noHBand="0" w:noVBand="1"/>
      </w:tblPr>
      <w:tblGrid>
        <w:gridCol w:w="9576"/>
      </w:tblGrid>
      <w:tr>
        <w:trPr>
          <w:trHeight w:val="202"/>
        </w:trPr>
        <w:tc>
          <w:tcPr>
            <w:tcW w:w="9576" w:type="dxa"/>
            <w:tcBorders>
              <w:left w:val="nil"/>
              <w:bottom w:val="single" w:sz="4" w:space="0" w:color="auto"/>
              <w:right w:val="nil"/>
            </w:tcBorders>
          </w:tcPr>
          <w:p>
            <w:pPr>
              <w:rPr>
                <w:rFonts w:cstheme="minorHAnsi"/>
                <w:sz w:val="20"/>
                <w:szCs w:val="20"/>
              </w:rPr>
            </w:pPr>
            <w:r>
              <w:rPr>
                <w:rFonts w:cstheme="minorHAnsi"/>
                <w:sz w:val="20"/>
                <w:szCs w:val="20"/>
              </w:rPr>
              <w:t xml:space="preserve">                                                     5.6-6.9 mmol/L (N=30)                           7.0 mmol/L or </w:t>
            </w:r>
            <w:proofErr w:type="gramStart"/>
            <w:r>
              <w:rPr>
                <w:rFonts w:cstheme="minorHAnsi"/>
                <w:sz w:val="20"/>
                <w:szCs w:val="20"/>
              </w:rPr>
              <w:t>higher  (</w:t>
            </w:r>
            <w:proofErr w:type="gramEnd"/>
            <w:r>
              <w:rPr>
                <w:rFonts w:cstheme="minorHAnsi"/>
                <w:sz w:val="20"/>
                <w:szCs w:val="20"/>
              </w:rPr>
              <w:t xml:space="preserve">N=31)           p-value                                                       </w:t>
            </w:r>
          </w:p>
        </w:tc>
      </w:tr>
      <w:tr>
        <w:trPr>
          <w:trHeight w:val="330"/>
        </w:trPr>
        <w:tc>
          <w:tcPr>
            <w:tcW w:w="9576" w:type="dxa"/>
            <w:tcBorders>
              <w:top w:val="single" w:sz="4" w:space="0" w:color="auto"/>
              <w:left w:val="nil"/>
              <w:bottom w:val="single" w:sz="4" w:space="0" w:color="000000" w:themeColor="text1"/>
              <w:right w:val="nil"/>
            </w:tcBorders>
          </w:tcPr>
          <w:p>
            <w:pPr>
              <w:rPr>
                <w:rFonts w:cstheme="minorHAnsi"/>
                <w:sz w:val="20"/>
                <w:szCs w:val="20"/>
              </w:rPr>
            </w:pPr>
            <w:r>
              <w:rPr>
                <w:rFonts w:cstheme="minorHAnsi"/>
                <w:sz w:val="20"/>
                <w:szCs w:val="20"/>
              </w:rPr>
              <w:t xml:space="preserve"> MPD/µL                                      1385.66 ± 974.92                                        1203.00 ± 932.52                             0.736       </w:t>
            </w:r>
          </w:p>
          <w:p>
            <w:pPr>
              <w:rPr>
                <w:rFonts w:cstheme="minorHAnsi"/>
                <w:sz w:val="20"/>
                <w:szCs w:val="20"/>
              </w:rPr>
            </w:pPr>
            <w:r>
              <w:rPr>
                <w:rFonts w:cstheme="minorHAnsi"/>
                <w:sz w:val="20"/>
                <w:szCs w:val="20"/>
              </w:rPr>
              <w:t xml:space="preserve">HGB g/dl                                        12.45 ± 1.72                                                 12.05 ± 2.54                                    0.749         </w:t>
            </w:r>
          </w:p>
          <w:p>
            <w:pPr>
              <w:rPr>
                <w:rFonts w:cstheme="minorHAnsi"/>
                <w:sz w:val="20"/>
                <w:szCs w:val="20"/>
              </w:rPr>
            </w:pPr>
            <w:r>
              <w:rPr>
                <w:rFonts w:cstheme="minorHAnsi"/>
                <w:sz w:val="20"/>
                <w:szCs w:val="20"/>
              </w:rPr>
              <w:t>PCV %                                              37.34 ± 5.17                                                36.09 ± 7.63                                    0.736</w:t>
            </w:r>
          </w:p>
          <w:p>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4.29 </w:t>
            </w:r>
            <w:proofErr w:type="gramStart"/>
            <w:r>
              <w:rPr>
                <w:rFonts w:cstheme="minorHAnsi"/>
                <w:sz w:val="20"/>
                <w:szCs w:val="20"/>
              </w:rPr>
              <w:t>±  0.39</w:t>
            </w:r>
            <w:proofErr w:type="gramEnd"/>
            <w:r>
              <w:rPr>
                <w:rFonts w:cstheme="minorHAnsi"/>
                <w:sz w:val="20"/>
                <w:szCs w:val="20"/>
              </w:rPr>
              <w:t xml:space="preserve">                                                  4.17 ± 0.86                                     0.754             </w:t>
            </w:r>
          </w:p>
        </w:tc>
      </w:tr>
    </w:tbl>
    <w:p>
      <w:pPr>
        <w:pStyle w:val="NoSpacing"/>
        <w:rPr>
          <w:rFonts w:ascii="Times New Roman" w:hAnsi="Times New Roman" w:cs="Times New Roman"/>
          <w:sz w:val="24"/>
          <w:szCs w:val="24"/>
        </w:rPr>
      </w:pPr>
    </w:p>
    <w:p>
      <w:pPr>
        <w:spacing w:line="240" w:lineRule="auto"/>
        <w:jc w:val="both"/>
        <w:rPr>
          <w:rFonts w:ascii="Arial" w:hAnsi="Arial" w:cs="Arial"/>
          <w:b/>
          <w:sz w:val="20"/>
          <w:szCs w:val="20"/>
        </w:rPr>
      </w:pPr>
      <w:r>
        <w:rPr>
          <w:rFonts w:ascii="Arial" w:hAnsi="Arial" w:cs="Arial"/>
          <w:b/>
          <w:sz w:val="20"/>
          <w:szCs w:val="20"/>
        </w:rPr>
        <w:t xml:space="preserve">Table 4 shows correlation of malaria parasite density against HGB, PCV, ESR, and FBS </w:t>
      </w:r>
    </w:p>
    <w:tbl>
      <w:tblPr>
        <w:tblW w:w="0" w:type="auto"/>
        <w:tblInd w:w="186" w:type="dxa"/>
        <w:tblBorders>
          <w:top w:val="single" w:sz="4" w:space="0" w:color="auto"/>
        </w:tblBorders>
        <w:tblLook w:val="0000" w:firstRow="0" w:lastRow="0" w:firstColumn="0" w:lastColumn="0" w:noHBand="0" w:noVBand="0"/>
      </w:tblPr>
      <w:tblGrid>
        <w:gridCol w:w="7382"/>
      </w:tblGrid>
      <w:tr>
        <w:trPr>
          <w:trHeight w:val="272"/>
        </w:trPr>
        <w:tc>
          <w:tcPr>
            <w:tcW w:w="7382" w:type="dxa"/>
            <w:tcBorders>
              <w:bottom w:val="single" w:sz="4" w:space="0" w:color="auto"/>
            </w:tcBorders>
          </w:tcPr>
          <w:p>
            <w:pPr>
              <w:pStyle w:val="NoSpacing"/>
              <w:rPr>
                <w:sz w:val="20"/>
                <w:szCs w:val="20"/>
              </w:rPr>
            </w:pPr>
            <w:r>
              <w:rPr>
                <w:noProof/>
                <w:sz w:val="20"/>
                <w:szCs w:val="20"/>
              </w:rPr>
              <w:pict>
                <v:shapetype id="_x0000_t32" coordsize="21600,21600" o:spt="32" o:oned="t" path="m,l21600,21600e" filled="f">
                  <v:path arrowok="t" fillok="f" o:connecttype="none"/>
                  <o:lock v:ext="edit" shapetype="t"/>
                </v:shapetype>
                <v:shape id="_x0000_s1027" type="#_x0000_t32" style="position:absolute;margin-left:183.85pt;margin-top:10.8pt;width:137.1pt;height:.05pt;z-index:251658240" o:connectortype="straight"/>
              </w:pict>
            </w:r>
            <w:r>
              <w:rPr>
                <w:sz w:val="20"/>
                <w:szCs w:val="20"/>
              </w:rPr>
              <w:t xml:space="preserve">                            variable                                                       MPD/</w:t>
            </w:r>
            <w:r>
              <w:rPr>
                <w:rFonts w:cstheme="minorHAnsi"/>
                <w:sz w:val="20"/>
                <w:szCs w:val="20"/>
              </w:rPr>
              <w:t>µ</w:t>
            </w:r>
            <w:r>
              <w:rPr>
                <w:sz w:val="20"/>
                <w:szCs w:val="20"/>
              </w:rPr>
              <w:t xml:space="preserve">L      </w:t>
            </w:r>
          </w:p>
          <w:p>
            <w:pPr>
              <w:pStyle w:val="NoSpacing"/>
              <w:rPr>
                <w:sz w:val="20"/>
                <w:szCs w:val="20"/>
              </w:rPr>
            </w:pPr>
            <w:r>
              <w:rPr>
                <w:sz w:val="20"/>
                <w:szCs w:val="20"/>
              </w:rPr>
              <w:t xml:space="preserve">                                                                                        r                          p                   n</w:t>
            </w:r>
          </w:p>
          <w:p>
            <w:pPr>
              <w:pStyle w:val="NoSpacing"/>
              <w:rPr>
                <w:sz w:val="20"/>
                <w:szCs w:val="20"/>
              </w:rPr>
            </w:pPr>
            <w:r>
              <w:rPr>
                <w:sz w:val="20"/>
                <w:szCs w:val="20"/>
              </w:rPr>
              <w:t xml:space="preserve">                            HGB g/dl                                        -0.074                  0.542            70</w:t>
            </w:r>
          </w:p>
          <w:p>
            <w:pPr>
              <w:pStyle w:val="NoSpacing"/>
              <w:tabs>
                <w:tab w:val="left" w:pos="1881"/>
              </w:tabs>
              <w:rPr>
                <w:sz w:val="20"/>
                <w:szCs w:val="20"/>
              </w:rPr>
            </w:pPr>
            <w:r>
              <w:rPr>
                <w:sz w:val="20"/>
                <w:szCs w:val="20"/>
              </w:rPr>
              <w:t xml:space="preserve">                            PCV %                                             -0.072                  0.556            70       </w:t>
            </w:r>
          </w:p>
          <w:p>
            <w:pPr>
              <w:pStyle w:val="NoSpacing"/>
              <w:tabs>
                <w:tab w:val="left" w:pos="1881"/>
              </w:tabs>
              <w:rPr>
                <w:sz w:val="20"/>
                <w:szCs w:val="20"/>
              </w:rPr>
            </w:pPr>
            <w:r>
              <w:rPr>
                <w:sz w:val="20"/>
                <w:szCs w:val="20"/>
              </w:rPr>
              <w:t xml:space="preserve">                            RBC</w:t>
            </w:r>
            <w:r>
              <w:rPr>
                <w:rFonts w:cstheme="minorHAnsi"/>
                <w:sz w:val="20"/>
                <w:szCs w:val="20"/>
              </w:rPr>
              <w:t xml:space="preserve">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sz w:val="20"/>
                <w:szCs w:val="20"/>
              </w:rPr>
              <w:t xml:space="preserve">                                      0.003                   0.982            70                  </w:t>
            </w:r>
          </w:p>
          <w:p>
            <w:pPr>
              <w:pStyle w:val="NoSpacing"/>
              <w:tabs>
                <w:tab w:val="left" w:pos="1881"/>
              </w:tabs>
              <w:rPr>
                <w:sz w:val="20"/>
                <w:szCs w:val="20"/>
              </w:rPr>
            </w:pPr>
            <w:r>
              <w:rPr>
                <w:sz w:val="20"/>
                <w:szCs w:val="20"/>
              </w:rPr>
              <w:t xml:space="preserve">                            ESR mm/</w:t>
            </w:r>
            <w:proofErr w:type="spellStart"/>
            <w:r>
              <w:rPr>
                <w:sz w:val="20"/>
                <w:szCs w:val="20"/>
              </w:rPr>
              <w:t>hr</w:t>
            </w:r>
            <w:proofErr w:type="spellEnd"/>
            <w:r>
              <w:rPr>
                <w:sz w:val="20"/>
                <w:szCs w:val="20"/>
              </w:rPr>
              <w:t xml:space="preserve">                                    -0.047                   0.700            70</w:t>
            </w:r>
          </w:p>
          <w:p>
            <w:pPr>
              <w:pStyle w:val="NoSpacing"/>
              <w:tabs>
                <w:tab w:val="left" w:pos="1881"/>
              </w:tabs>
              <w:rPr>
                <w:sz w:val="20"/>
                <w:szCs w:val="20"/>
              </w:rPr>
            </w:pPr>
            <w:r>
              <w:rPr>
                <w:sz w:val="20"/>
                <w:szCs w:val="20"/>
              </w:rPr>
              <w:t xml:space="preserve">                            FBG mmol/L                                  -0.253                   0.035*          70     </w:t>
            </w:r>
          </w:p>
        </w:tc>
      </w:tr>
    </w:tbl>
    <w:p>
      <w:pPr>
        <w:spacing w:line="240" w:lineRule="auto"/>
        <w:jc w:val="both"/>
        <w:rPr>
          <w:b/>
          <w:sz w:val="20"/>
          <w:szCs w:val="20"/>
        </w:rPr>
      </w:pPr>
    </w:p>
    <w:p>
      <w:pPr>
        <w:pStyle w:val="NoSpacing"/>
        <w:rPr>
          <w:rFonts w:ascii="Times New Roman" w:hAnsi="Times New Roman" w:cs="Times New Roman"/>
          <w:sz w:val="24"/>
          <w:szCs w:val="24"/>
        </w:rPr>
      </w:pPr>
    </w:p>
    <w:p>
      <w:pPr>
        <w:pStyle w:val="NoSpacing"/>
        <w:rPr>
          <w:rFonts w:ascii="Times New Roman" w:hAnsi="Times New Roman" w:cs="Times New Roman"/>
          <w:sz w:val="24"/>
          <w:szCs w:val="24"/>
        </w:rPr>
      </w:pPr>
    </w:p>
    <w:p>
      <w:pPr>
        <w:spacing w:line="240" w:lineRule="auto"/>
        <w:jc w:val="both"/>
        <w:rPr>
          <w:rFonts w:cstheme="minorHAnsi"/>
        </w:rPr>
      </w:pPr>
      <w:r>
        <w:rPr>
          <w:rFonts w:cstheme="minorHAnsi"/>
          <w:noProof/>
        </w:rPr>
        <w:drawing>
          <wp:inline distT="0" distB="0" distL="0" distR="0">
            <wp:extent cx="2943225" cy="19526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spacing w:line="240" w:lineRule="auto"/>
        <w:rPr>
          <w:rFonts w:ascii="Arial" w:hAnsi="Arial" w:cs="Arial"/>
          <w:sz w:val="20"/>
          <w:szCs w:val="20"/>
        </w:rPr>
      </w:pPr>
      <w:r>
        <w:rPr>
          <w:rFonts w:ascii="Arial" w:hAnsi="Arial" w:cs="Arial"/>
          <w:sz w:val="20"/>
          <w:szCs w:val="20"/>
        </w:rPr>
        <w:t xml:space="preserve">Fig 1: Range of parasite density </w:t>
      </w:r>
    </w:p>
    <w:p>
      <w:pPr>
        <w:spacing w:line="240" w:lineRule="auto"/>
        <w:rPr>
          <w:rFonts w:ascii="Arial" w:hAnsi="Arial" w:cs="Arial"/>
          <w:sz w:val="20"/>
          <w:szCs w:val="20"/>
        </w:rPr>
      </w:pPr>
      <w:r>
        <w:rPr>
          <w:rFonts w:ascii="Arial" w:hAnsi="Arial" w:cs="Arial"/>
          <w:sz w:val="20"/>
          <w:szCs w:val="20"/>
        </w:rPr>
        <w:t>Mod =moderate</w:t>
      </w:r>
    </w:p>
    <w:p>
      <w:pPr>
        <w:spacing w:line="240" w:lineRule="auto"/>
        <w:rPr>
          <w:rFonts w:ascii="Arial" w:hAnsi="Arial" w:cs="Arial"/>
          <w:sz w:val="20"/>
          <w:szCs w:val="20"/>
        </w:rPr>
      </w:pPr>
      <w:r>
        <w:rPr>
          <w:rFonts w:ascii="Arial" w:hAnsi="Arial" w:cs="Arial"/>
          <w:sz w:val="20"/>
          <w:szCs w:val="20"/>
        </w:rPr>
        <w:t>Discussion</w:t>
      </w:r>
    </w:p>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Malaria is an ailment caused by the Plasmodium parasite. The ailment happened when a susceptible host of the parasite presents the vital clinical signs and symptoms of the disease. </w:t>
      </w:r>
      <w:r>
        <w:rPr>
          <w:rFonts w:ascii="Arial" w:eastAsia="SofiaProLight" w:hAnsi="Arial" w:cs="Arial"/>
          <w:sz w:val="20"/>
          <w:szCs w:val="20"/>
        </w:rPr>
        <w:t xml:space="preserve">The parasite density gives information on the seriousness of the infection and on the response to treatment. Parasite counts are carried out for </w:t>
      </w:r>
      <w:r>
        <w:rPr>
          <w:rFonts w:ascii="Arial" w:eastAsia="SofiaProLight-Italic" w:hAnsi="Arial" w:cs="Arial"/>
          <w:i/>
          <w:iCs/>
          <w:sz w:val="20"/>
          <w:szCs w:val="20"/>
        </w:rPr>
        <w:t>Plasmodium falciparum</w:t>
      </w:r>
      <w:r>
        <w:rPr>
          <w:rFonts w:ascii="Arial" w:eastAsia="SofiaProLight" w:hAnsi="Arial" w:cs="Arial"/>
          <w:sz w:val="20"/>
          <w:szCs w:val="20"/>
        </w:rPr>
        <w:t xml:space="preserve">, </w:t>
      </w:r>
      <w:r>
        <w:rPr>
          <w:rFonts w:ascii="Arial" w:eastAsia="SofiaProLight-Italic" w:hAnsi="Arial" w:cs="Arial"/>
          <w:i/>
          <w:iCs/>
          <w:sz w:val="20"/>
          <w:szCs w:val="20"/>
        </w:rPr>
        <w:t>Plasmodium vivax</w:t>
      </w:r>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malariae</w:t>
      </w:r>
      <w:proofErr w:type="spellEnd"/>
      <w:r>
        <w:rPr>
          <w:rFonts w:ascii="Arial" w:eastAsia="SofiaProLight-Italic" w:hAnsi="Arial" w:cs="Arial"/>
          <w:i/>
          <w:iCs/>
          <w:sz w:val="20"/>
          <w:szCs w:val="20"/>
        </w:rPr>
        <w:t xml:space="preserve"> </w:t>
      </w:r>
      <w:r>
        <w:rPr>
          <w:rFonts w:ascii="Arial" w:eastAsia="SofiaProLight" w:hAnsi="Arial" w:cs="Arial"/>
          <w:sz w:val="20"/>
          <w:szCs w:val="20"/>
        </w:rPr>
        <w:t xml:space="preserve">and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ovale</w:t>
      </w:r>
      <w:proofErr w:type="spellEnd"/>
      <w:r>
        <w:rPr>
          <w:rFonts w:ascii="Arial" w:eastAsia="SofiaProLight-Italic" w:hAnsi="Arial" w:cs="Arial"/>
          <w:i/>
          <w:iCs/>
          <w:sz w:val="20"/>
          <w:szCs w:val="20"/>
        </w:rPr>
        <w:t xml:space="preserve"> </w:t>
      </w:r>
      <w:r>
        <w:rPr>
          <w:rFonts w:ascii="Arial" w:eastAsia="SofiaProLight" w:hAnsi="Arial" w:cs="Arial"/>
          <w:sz w:val="20"/>
          <w:szCs w:val="20"/>
        </w:rPr>
        <w:t xml:space="preserve">asexual stages.  Gametocytes are counted only when requested, but their presence is always noted. Parasite counts are done on thick blood films or on thin blood film when thick film is damaged or not available [25]. </w:t>
      </w:r>
      <w:r>
        <w:rPr>
          <w:rFonts w:ascii="Arial" w:hAnsi="Arial" w:cs="Arial"/>
          <w:sz w:val="20"/>
          <w:szCs w:val="20"/>
        </w:rPr>
        <w:t xml:space="preserve">Several studies had reported that type 2 diabetes patients are at risk of malaria and they also express a higher </w:t>
      </w:r>
      <w:proofErr w:type="spellStart"/>
      <w:r>
        <w:rPr>
          <w:rFonts w:ascii="Arial" w:hAnsi="Arial" w:cs="Arial"/>
          <w:sz w:val="20"/>
          <w:szCs w:val="20"/>
        </w:rPr>
        <w:t>parasitaemia</w:t>
      </w:r>
      <w:proofErr w:type="spellEnd"/>
      <w:r>
        <w:rPr>
          <w:rFonts w:ascii="Arial" w:hAnsi="Arial" w:cs="Arial"/>
          <w:sz w:val="20"/>
          <w:szCs w:val="20"/>
        </w:rPr>
        <w:t xml:space="preserve"> than non-diabetic controls [11, 29].  Consistent with previous studies, this </w:t>
      </w:r>
      <w:r>
        <w:rPr>
          <w:rFonts w:ascii="Arial" w:eastAsia="Times New Roman" w:hAnsi="Arial" w:cs="Arial"/>
          <w:sz w:val="20"/>
          <w:szCs w:val="20"/>
        </w:rPr>
        <w:t xml:space="preserve">study shows higher levels of parasite density in type 2 diabetes mellitus patients than in non-diabetic </w:t>
      </w:r>
      <w:r>
        <w:rPr>
          <w:rFonts w:ascii="Arial" w:eastAsia="Times New Roman" w:hAnsi="Arial" w:cs="Arial"/>
          <w:sz w:val="20"/>
          <w:szCs w:val="20"/>
        </w:rPr>
        <w:lastRenderedPageBreak/>
        <w:t>controls. This may be partly due to</w:t>
      </w:r>
      <w:r>
        <w:rPr>
          <w:rFonts w:ascii="Arial" w:hAnsi="Arial" w:cs="Arial"/>
          <w:sz w:val="20"/>
          <w:szCs w:val="20"/>
        </w:rPr>
        <w:t xml:space="preserve"> immune weakness of diabetics compared with non-diabetic controls [30].</w:t>
      </w:r>
      <w:r>
        <w:rPr>
          <w:rFonts w:ascii="Arial" w:eastAsia="SofiaProLight" w:hAnsi="Arial" w:cs="Arial"/>
          <w:sz w:val="20"/>
          <w:szCs w:val="20"/>
        </w:rPr>
        <w:t xml:space="preserve"> </w:t>
      </w:r>
      <w:r>
        <w:rPr>
          <w:rFonts w:ascii="Arial" w:eastAsia="Times New Roman" w:hAnsi="Arial" w:cs="Arial"/>
          <w:sz w:val="20"/>
          <w:szCs w:val="20"/>
        </w:rPr>
        <w:t xml:space="preserve">Parasite count is essential in </w:t>
      </w:r>
      <w:r>
        <w:rPr>
          <w:rFonts w:ascii="Arial" w:eastAsia="Times New Roman" w:hAnsi="Arial" w:cs="Arial"/>
          <w:i/>
          <w:sz w:val="20"/>
          <w:szCs w:val="20"/>
        </w:rPr>
        <w:t xml:space="preserve">P. falciparum </w:t>
      </w:r>
      <w:r>
        <w:rPr>
          <w:rFonts w:ascii="Arial" w:eastAsia="Times New Roman" w:hAnsi="Arial" w:cs="Arial"/>
          <w:sz w:val="20"/>
          <w:szCs w:val="20"/>
        </w:rPr>
        <w:t xml:space="preserve">infection cases which are undoubtedly dangerous. Parasitemia density for positive malaria blood film must be determined because the clinician needs to know the seriousness of the disease and case response for treatment. </w:t>
      </w:r>
      <w:r>
        <w:rPr>
          <w:rFonts w:ascii="Arial" w:hAnsi="Arial" w:cs="Arial"/>
          <w:sz w:val="20"/>
          <w:szCs w:val="20"/>
        </w:rPr>
        <w:t xml:space="preserve">Diagnosis of asymptomatically infected individuals has been the utmost challenge given that persons living in areas of high infectivity often carry </w:t>
      </w:r>
      <w:proofErr w:type="spellStart"/>
      <w:r>
        <w:rPr>
          <w:rFonts w:ascii="Arial" w:hAnsi="Arial" w:cs="Arial"/>
          <w:sz w:val="20"/>
          <w:szCs w:val="20"/>
        </w:rPr>
        <w:t>parasitaemia</w:t>
      </w:r>
      <w:proofErr w:type="spellEnd"/>
      <w:r>
        <w:rPr>
          <w:rFonts w:ascii="Arial" w:hAnsi="Arial" w:cs="Arial"/>
          <w:sz w:val="20"/>
          <w:szCs w:val="20"/>
        </w:rPr>
        <w:t xml:space="preserve"> at densities lower than the detection limits of available field diagnostics, such as microscopy and rapid diagnostic tests [31].  A study in western Kenya reported that 68% of asymptomatically infected adults (&gt; 21 years old) had sub-microscopic </w:t>
      </w:r>
      <w:proofErr w:type="spellStart"/>
      <w:r>
        <w:rPr>
          <w:rFonts w:ascii="Arial" w:hAnsi="Arial" w:cs="Arial"/>
          <w:sz w:val="20"/>
          <w:szCs w:val="20"/>
        </w:rPr>
        <w:t>parasitaemia</w:t>
      </w:r>
      <w:proofErr w:type="spellEnd"/>
      <w:r>
        <w:rPr>
          <w:rFonts w:ascii="Arial" w:hAnsi="Arial" w:cs="Arial"/>
          <w:sz w:val="20"/>
          <w:szCs w:val="20"/>
        </w:rPr>
        <w:t xml:space="preserve"> [32] which is in line with the result of the present study that observed mild </w:t>
      </w:r>
      <w:proofErr w:type="spellStart"/>
      <w:r>
        <w:rPr>
          <w:rFonts w:ascii="Arial" w:hAnsi="Arial" w:cs="Arial"/>
          <w:sz w:val="20"/>
          <w:szCs w:val="20"/>
        </w:rPr>
        <w:t>parasitaemia</w:t>
      </w:r>
      <w:proofErr w:type="spellEnd"/>
      <w:r>
        <w:rPr>
          <w:rFonts w:ascii="Arial" w:hAnsi="Arial" w:cs="Arial"/>
          <w:sz w:val="20"/>
          <w:szCs w:val="20"/>
        </w:rPr>
        <w:t xml:space="preserve"> (MPD&lt;2000 parasites/µL) in 75% of patients. Fasting blood glucose is a routine test used to screen for prediabetes and diabetes. Elevated fasting blood glucose is a usual sign of insulin resistance and it can suggest prediabetes and diabetes.</w:t>
      </w:r>
      <w:r>
        <w:rPr>
          <w:rFonts w:ascii="Arial" w:eastAsia="Times New Roman" w:hAnsi="Arial" w:cs="Arial"/>
          <w:sz w:val="20"/>
          <w:szCs w:val="20"/>
        </w:rPr>
        <w:t xml:space="preserve"> In this study, MPD was found to be significantly correlated with fasting blood glucose. Danquah </w:t>
      </w:r>
      <w:r>
        <w:rPr>
          <w:rFonts w:ascii="Arial" w:eastAsia="Times New Roman" w:hAnsi="Arial" w:cs="Arial"/>
          <w:i/>
          <w:iCs/>
          <w:sz w:val="20"/>
          <w:szCs w:val="20"/>
        </w:rPr>
        <w:t>et al</w:t>
      </w:r>
      <w:r>
        <w:rPr>
          <w:rFonts w:ascii="Arial" w:eastAsia="Times New Roman" w:hAnsi="Arial" w:cs="Arial"/>
          <w:sz w:val="20"/>
          <w:szCs w:val="20"/>
        </w:rPr>
        <w:t xml:space="preserve">., [29] in their study of adult diabetes and non-diabetes </w:t>
      </w:r>
      <w:r>
        <w:rPr>
          <w:rFonts w:ascii="Arial" w:hAnsi="Arial" w:cs="Arial"/>
          <w:sz w:val="20"/>
          <w:szCs w:val="20"/>
        </w:rPr>
        <w:t>in the Cape Coast metropolis of the Central region of Ghana</w:t>
      </w:r>
      <w:r>
        <w:rPr>
          <w:rFonts w:ascii="Arial" w:eastAsia="Times New Roman" w:hAnsi="Arial" w:cs="Arial"/>
          <w:sz w:val="20"/>
          <w:szCs w:val="20"/>
        </w:rPr>
        <w:t xml:space="preserve">, reported overt insulin resistance due to </w:t>
      </w:r>
      <w:r>
        <w:rPr>
          <w:rFonts w:ascii="Arial" w:eastAsia="Times New Roman" w:hAnsi="Arial" w:cs="Arial"/>
          <w:i/>
          <w:sz w:val="20"/>
          <w:szCs w:val="20"/>
        </w:rPr>
        <w:t>falciparum</w:t>
      </w:r>
      <w:r>
        <w:rPr>
          <w:rFonts w:ascii="Arial" w:eastAsia="Times New Roman" w:hAnsi="Arial" w:cs="Arial"/>
          <w:sz w:val="20"/>
          <w:szCs w:val="20"/>
        </w:rPr>
        <w:t xml:space="preserve"> </w:t>
      </w:r>
      <w:r>
        <w:rPr>
          <w:rFonts w:ascii="Arial" w:eastAsia="Times New Roman" w:hAnsi="Arial" w:cs="Arial"/>
          <w:i/>
          <w:sz w:val="20"/>
          <w:szCs w:val="20"/>
        </w:rPr>
        <w:t>malaria.</w:t>
      </w:r>
      <w:r>
        <w:rPr>
          <w:rFonts w:ascii="Arial" w:hAnsi="Arial" w:cs="Arial"/>
          <w:sz w:val="20"/>
          <w:szCs w:val="20"/>
        </w:rPr>
        <w:t xml:space="preserve"> In addition, Wyss </w:t>
      </w:r>
      <w:r>
        <w:rPr>
          <w:rFonts w:ascii="Arial" w:hAnsi="Arial" w:cs="Arial"/>
          <w:i/>
          <w:sz w:val="20"/>
          <w:szCs w:val="20"/>
        </w:rPr>
        <w:t xml:space="preserve">et al., </w:t>
      </w:r>
      <w:r>
        <w:rPr>
          <w:rFonts w:ascii="Arial" w:hAnsi="Arial" w:cs="Arial"/>
          <w:sz w:val="20"/>
          <w:szCs w:val="20"/>
        </w:rPr>
        <w:t xml:space="preserve">[33] and </w:t>
      </w:r>
      <w:proofErr w:type="spellStart"/>
      <w:r>
        <w:rPr>
          <w:rFonts w:ascii="Arial" w:hAnsi="Arial" w:cs="Arial"/>
          <w:sz w:val="20"/>
          <w:szCs w:val="20"/>
        </w:rPr>
        <w:t>On’kin</w:t>
      </w:r>
      <w:proofErr w:type="spellEnd"/>
      <w:r>
        <w:rPr>
          <w:rFonts w:ascii="Arial" w:hAnsi="Arial" w:cs="Arial"/>
          <w:sz w:val="20"/>
          <w:szCs w:val="20"/>
        </w:rPr>
        <w:t xml:space="preserve"> </w:t>
      </w:r>
      <w:r>
        <w:rPr>
          <w:rFonts w:ascii="Arial" w:hAnsi="Arial" w:cs="Arial"/>
          <w:i/>
          <w:sz w:val="20"/>
          <w:szCs w:val="20"/>
        </w:rPr>
        <w:t xml:space="preserve">et al., </w:t>
      </w:r>
      <w:r>
        <w:rPr>
          <w:rFonts w:ascii="Arial" w:hAnsi="Arial" w:cs="Arial"/>
          <w:sz w:val="20"/>
          <w:szCs w:val="20"/>
        </w:rPr>
        <w:t>[34] reported a significant relation between insulin resistance and malaria infection. The finding of the current study</w:t>
      </w:r>
      <w:r>
        <w:rPr>
          <w:rFonts w:ascii="Arial" w:eastAsia="Times New Roman" w:hAnsi="Arial" w:cs="Arial"/>
          <w:i/>
          <w:iCs/>
          <w:sz w:val="20"/>
          <w:szCs w:val="20"/>
        </w:rPr>
        <w:t xml:space="preserve"> </w:t>
      </w:r>
      <w:r>
        <w:rPr>
          <w:rFonts w:ascii="Arial" w:hAnsi="Arial" w:cs="Arial"/>
          <w:sz w:val="20"/>
          <w:szCs w:val="20"/>
        </w:rPr>
        <w:t xml:space="preserve">suggests that asymptomatic malaria can potentially compromise the management of type 2 diabetes mellitus and can even cause </w:t>
      </w:r>
      <w:proofErr w:type="spellStart"/>
      <w:r>
        <w:rPr>
          <w:rFonts w:ascii="Arial" w:hAnsi="Arial" w:cs="Arial"/>
          <w:sz w:val="20"/>
          <w:szCs w:val="20"/>
        </w:rPr>
        <w:t>anaemia</w:t>
      </w:r>
      <w:proofErr w:type="spellEnd"/>
      <w:r>
        <w:rPr>
          <w:rFonts w:ascii="Arial" w:hAnsi="Arial" w:cs="Arial"/>
          <w:sz w:val="20"/>
          <w:szCs w:val="20"/>
        </w:rPr>
        <w:t xml:space="preserve"> of unknown origin. In the current study low PCV and high ESR was observed. The low PCV and high ESR seen in this study may be due to chronic hydrolysis of erythrocytes by malaria parasites in the infected patients. For that reason, the authors recommend the incorporation of asymptomatic malaria screening into the management of Enugu and at large Nigeria patients with type 2 diabetes mellitus especially among those with signs of </w:t>
      </w:r>
      <w:proofErr w:type="spellStart"/>
      <w:r>
        <w:rPr>
          <w:rFonts w:ascii="Arial" w:hAnsi="Arial" w:cs="Arial"/>
          <w:sz w:val="20"/>
          <w:szCs w:val="20"/>
        </w:rPr>
        <w:t>anaemia</w:t>
      </w:r>
      <w:proofErr w:type="spellEnd"/>
      <w:r>
        <w:rPr>
          <w:rFonts w:ascii="Arial" w:hAnsi="Arial" w:cs="Arial"/>
          <w:sz w:val="20"/>
          <w:szCs w:val="20"/>
        </w:rPr>
        <w:t>.</w:t>
      </w:r>
    </w:p>
    <w:p>
      <w:pPr>
        <w:autoSpaceDE w:val="0"/>
        <w:autoSpaceDN w:val="0"/>
        <w:adjustRightInd w:val="0"/>
        <w:spacing w:after="0" w:line="240" w:lineRule="auto"/>
        <w:jc w:val="both"/>
        <w:rPr>
          <w:rFonts w:ascii="Arial" w:hAnsi="Arial" w:cs="Arial"/>
          <w:b/>
          <w:sz w:val="20"/>
          <w:szCs w:val="20"/>
        </w:rPr>
      </w:pPr>
    </w:p>
    <w:p>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Conclusion</w:t>
      </w:r>
    </w:p>
    <w:p>
      <w:pPr>
        <w:spacing w:line="240" w:lineRule="auto"/>
        <w:rPr>
          <w:rFonts w:ascii="Arial" w:hAnsi="Arial" w:cs="Arial"/>
          <w:sz w:val="20"/>
          <w:szCs w:val="20"/>
        </w:rPr>
      </w:pPr>
      <w:r>
        <w:rPr>
          <w:rFonts w:ascii="Arial" w:hAnsi="Arial" w:cs="Arial"/>
          <w:sz w:val="20"/>
          <w:szCs w:val="20"/>
        </w:rPr>
        <w:t xml:space="preserve">This current study found that in Enugu, Nigeria, type 2 diabetes mellitus patients had mild </w:t>
      </w:r>
      <w:proofErr w:type="spellStart"/>
      <w:r>
        <w:rPr>
          <w:rFonts w:ascii="Arial" w:hAnsi="Arial" w:cs="Arial"/>
          <w:sz w:val="20"/>
          <w:szCs w:val="20"/>
        </w:rPr>
        <w:t>parasitaemia</w:t>
      </w:r>
      <w:proofErr w:type="spellEnd"/>
      <w:r>
        <w:rPr>
          <w:rFonts w:ascii="Arial" w:hAnsi="Arial" w:cs="Arial"/>
          <w:sz w:val="20"/>
          <w:szCs w:val="20"/>
        </w:rPr>
        <w:t>, decreased PCV and that MPD had significant correlation with fasting blood glucose.</w:t>
      </w:r>
    </w:p>
    <w:p/>
    <w:p>
      <w:r>
        <w:t>References</w:t>
      </w:r>
    </w:p>
    <w:p>
      <w:pPr>
        <w:pStyle w:val="ListParagraph"/>
        <w:numPr>
          <w:ilvl w:val="0"/>
          <w:numId w:val="4"/>
        </w:numPr>
        <w:jc w:val="both"/>
        <w:rPr>
          <w:rFonts w:ascii="Arial" w:hAnsi="Arial" w:cs="Arial"/>
          <w:sz w:val="20"/>
          <w:szCs w:val="20"/>
        </w:rPr>
      </w:pPr>
      <w:r>
        <w:rPr>
          <w:rFonts w:ascii="Arial" w:eastAsia="Times New Roman" w:hAnsi="Arial" w:cs="Arial"/>
          <w:i/>
          <w:iCs/>
          <w:sz w:val="20"/>
          <w:szCs w:val="20"/>
        </w:rPr>
        <w:t>WHO. World Malaria Report 2022. (World Health Organization, 2022)</w:t>
      </w:r>
    </w:p>
    <w:p>
      <w:pPr>
        <w:pStyle w:val="ListParagraph"/>
        <w:numPr>
          <w:ilvl w:val="0"/>
          <w:numId w:val="4"/>
        </w:numPr>
        <w:jc w:val="both"/>
        <w:rPr>
          <w:rFonts w:ascii="Arial" w:hAnsi="Arial" w:cs="Arial"/>
          <w:sz w:val="20"/>
          <w:szCs w:val="20"/>
        </w:rPr>
      </w:pPr>
      <w:r>
        <w:rPr>
          <w:rFonts w:ascii="Arial" w:hAnsi="Arial" w:cs="Arial"/>
          <w:sz w:val="20"/>
          <w:szCs w:val="20"/>
        </w:rPr>
        <w:t xml:space="preserve">White N. Plasmodium </w:t>
      </w:r>
      <w:proofErr w:type="spellStart"/>
      <w:r>
        <w:rPr>
          <w:rFonts w:ascii="Arial" w:hAnsi="Arial" w:cs="Arial"/>
          <w:sz w:val="20"/>
          <w:szCs w:val="20"/>
        </w:rPr>
        <w:t>knowlesi</w:t>
      </w:r>
      <w:proofErr w:type="spellEnd"/>
      <w:r>
        <w:rPr>
          <w:rFonts w:ascii="Arial" w:hAnsi="Arial" w:cs="Arial"/>
          <w:sz w:val="20"/>
          <w:szCs w:val="20"/>
        </w:rPr>
        <w:t>: the fifth human malaria parasite. 2008.</w:t>
      </w:r>
    </w:p>
    <w:p>
      <w:pPr>
        <w:pStyle w:val="ListParagraph"/>
        <w:numPr>
          <w:ilvl w:val="0"/>
          <w:numId w:val="4"/>
        </w:numPr>
        <w:jc w:val="both"/>
        <w:rPr>
          <w:rFonts w:ascii="Arial" w:hAnsi="Arial" w:cs="Arial"/>
          <w:sz w:val="20"/>
          <w:szCs w:val="20"/>
        </w:rPr>
      </w:pPr>
      <w:proofErr w:type="spellStart"/>
      <w:r>
        <w:rPr>
          <w:rFonts w:ascii="Arial" w:hAnsi="Arial" w:cs="Arial"/>
          <w:sz w:val="20"/>
          <w:szCs w:val="20"/>
        </w:rPr>
        <w:t>Haldar</w:t>
      </w:r>
      <w:proofErr w:type="spellEnd"/>
      <w:r>
        <w:rPr>
          <w:rFonts w:ascii="Arial" w:hAnsi="Arial" w:cs="Arial"/>
          <w:sz w:val="20"/>
          <w:szCs w:val="20"/>
        </w:rPr>
        <w:t xml:space="preserve"> K, Murphy S. C, Milner Jr, D. A, Taylor, T. E. Malaria: mechanisms of erythrocytic infection and pathological correlates of severe disease. Annual Review of Pathology: Mechanisms of Disease, 2007; 2:217–249.</w:t>
      </w:r>
    </w:p>
    <w:p>
      <w:pPr>
        <w:pStyle w:val="ListParagraph"/>
        <w:numPr>
          <w:ilvl w:val="0"/>
          <w:numId w:val="4"/>
        </w:numPr>
        <w:jc w:val="both"/>
        <w:rPr>
          <w:rFonts w:ascii="Arial" w:hAnsi="Arial" w:cs="Arial"/>
          <w:sz w:val="20"/>
          <w:szCs w:val="20"/>
        </w:rPr>
      </w:pPr>
      <w:proofErr w:type="spellStart"/>
      <w:r>
        <w:rPr>
          <w:rFonts w:ascii="Arial" w:hAnsi="Arial" w:cs="Arial"/>
          <w:sz w:val="20"/>
          <w:szCs w:val="20"/>
        </w:rPr>
        <w:t>Guinovart</w:t>
      </w:r>
      <w:proofErr w:type="spellEnd"/>
      <w:r>
        <w:rPr>
          <w:rFonts w:ascii="Arial" w:hAnsi="Arial" w:cs="Arial"/>
          <w:sz w:val="20"/>
          <w:szCs w:val="20"/>
        </w:rPr>
        <w:t xml:space="preserve"> C, </w:t>
      </w:r>
      <w:proofErr w:type="spellStart"/>
      <w:r>
        <w:rPr>
          <w:rFonts w:ascii="Arial" w:hAnsi="Arial" w:cs="Arial"/>
          <w:sz w:val="20"/>
          <w:szCs w:val="20"/>
        </w:rPr>
        <w:t>Navia</w:t>
      </w:r>
      <w:proofErr w:type="spellEnd"/>
      <w:r>
        <w:rPr>
          <w:rFonts w:ascii="Arial" w:hAnsi="Arial" w:cs="Arial"/>
          <w:sz w:val="20"/>
          <w:szCs w:val="20"/>
        </w:rPr>
        <w:t xml:space="preserve"> M, Tanner M, Alonso P. L. (2006). Malaria: burden of disease. Current Molecular Medicine. 2006; 6(2):137–140.</w:t>
      </w:r>
    </w:p>
    <w:p>
      <w:pPr>
        <w:pStyle w:val="ListParagraph"/>
        <w:numPr>
          <w:ilvl w:val="0"/>
          <w:numId w:val="4"/>
        </w:numPr>
        <w:spacing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Storey</w:t>
      </w:r>
      <w:proofErr w:type="spellEnd"/>
      <w:r>
        <w:rPr>
          <w:rFonts w:ascii="Arial" w:eastAsia="Times New Roman" w:hAnsi="Arial" w:cs="Arial"/>
          <w:sz w:val="20"/>
          <w:szCs w:val="20"/>
        </w:rPr>
        <w:t xml:space="preserve"> A. M, Perry C. J, Petrie JR. Endothelial dysfunction in type 2 diabetes. Br J Diabetes </w:t>
      </w:r>
      <w:proofErr w:type="spellStart"/>
      <w:r>
        <w:rPr>
          <w:rFonts w:ascii="Arial" w:eastAsia="Times New Roman" w:hAnsi="Arial" w:cs="Arial"/>
          <w:sz w:val="20"/>
          <w:szCs w:val="20"/>
        </w:rPr>
        <w:t>Vasc</w:t>
      </w:r>
      <w:proofErr w:type="spellEnd"/>
      <w:r>
        <w:rPr>
          <w:rFonts w:ascii="Arial" w:eastAsia="Times New Roman" w:hAnsi="Arial" w:cs="Arial"/>
          <w:sz w:val="20"/>
          <w:szCs w:val="20"/>
        </w:rPr>
        <w:t xml:space="preserve"> 2001;1(1):22-27. </w:t>
      </w:r>
    </w:p>
    <w:p>
      <w:pPr>
        <w:pStyle w:val="ListParagraph"/>
        <w:numPr>
          <w:ilvl w:val="0"/>
          <w:numId w:val="4"/>
        </w:numPr>
        <w:jc w:val="both"/>
        <w:rPr>
          <w:rFonts w:ascii="Arial" w:hAnsi="Arial" w:cs="Arial"/>
          <w:sz w:val="20"/>
          <w:szCs w:val="20"/>
        </w:rPr>
      </w:pPr>
      <w:proofErr w:type="spellStart"/>
      <w:r>
        <w:rPr>
          <w:rFonts w:ascii="Arial" w:hAnsi="Arial" w:cs="Arial"/>
          <w:bCs/>
          <w:sz w:val="20"/>
          <w:szCs w:val="20"/>
        </w:rPr>
        <w:t>Ifeanyichukwu</w:t>
      </w:r>
      <w:proofErr w:type="spellEnd"/>
      <w:r>
        <w:rPr>
          <w:rFonts w:ascii="Arial" w:hAnsi="Arial" w:cs="Arial"/>
          <w:bCs/>
          <w:sz w:val="20"/>
          <w:szCs w:val="20"/>
        </w:rPr>
        <w:t xml:space="preserve"> M.O, </w:t>
      </w:r>
      <w:proofErr w:type="spellStart"/>
      <w:r>
        <w:rPr>
          <w:rFonts w:ascii="Arial" w:hAnsi="Arial" w:cs="Arial"/>
          <w:bCs/>
          <w:sz w:val="20"/>
          <w:szCs w:val="20"/>
        </w:rPr>
        <w:t>Ngwu</w:t>
      </w:r>
      <w:proofErr w:type="spellEnd"/>
      <w:r>
        <w:rPr>
          <w:rFonts w:ascii="Arial" w:hAnsi="Arial" w:cs="Arial"/>
          <w:bCs/>
          <w:sz w:val="20"/>
          <w:szCs w:val="20"/>
        </w:rPr>
        <w:t xml:space="preserve"> A. M. Evaluation of Zinc, Vitamin C and Vitamin E Levels in Male Subjects with Type 2 Diabetes Mellitus.</w:t>
      </w:r>
      <w:r>
        <w:rPr>
          <w:rFonts w:ascii="Arial" w:hAnsi="Arial" w:cs="Arial"/>
          <w:bCs/>
          <w:iCs/>
          <w:sz w:val="20"/>
          <w:szCs w:val="20"/>
        </w:rPr>
        <w:t xml:space="preserve"> International Journal of Tropical Disease &amp; Health</w:t>
      </w:r>
      <w:r>
        <w:rPr>
          <w:rFonts w:ascii="Arial" w:hAnsi="Arial" w:cs="Arial"/>
          <w:bCs/>
          <w:i/>
          <w:iCs/>
          <w:sz w:val="20"/>
          <w:szCs w:val="20"/>
        </w:rPr>
        <w:t>.</w:t>
      </w:r>
      <w:r>
        <w:rPr>
          <w:rFonts w:ascii="Arial" w:hAnsi="Arial" w:cs="Arial"/>
          <w:bCs/>
          <w:iCs/>
          <w:sz w:val="20"/>
          <w:szCs w:val="20"/>
        </w:rPr>
        <w:t xml:space="preserve"> 2019; 40(3): 1-5</w:t>
      </w:r>
    </w:p>
    <w:p>
      <w:pPr>
        <w:pStyle w:val="ListParagraph"/>
        <w:numPr>
          <w:ilvl w:val="0"/>
          <w:numId w:val="4"/>
        </w:numPr>
        <w:jc w:val="both"/>
        <w:rPr>
          <w:rFonts w:ascii="Arial" w:hAnsi="Arial" w:cs="Arial"/>
          <w:sz w:val="20"/>
          <w:szCs w:val="20"/>
        </w:rPr>
      </w:pPr>
      <w:proofErr w:type="spellStart"/>
      <w:r>
        <w:rPr>
          <w:rFonts w:ascii="Arial" w:hAnsi="Arial" w:cs="Arial"/>
          <w:bCs/>
          <w:kern w:val="36"/>
          <w:sz w:val="20"/>
          <w:szCs w:val="20"/>
        </w:rPr>
        <w:t>Ngwu</w:t>
      </w:r>
      <w:proofErr w:type="spellEnd"/>
      <w:r>
        <w:rPr>
          <w:rFonts w:ascii="Arial" w:hAnsi="Arial" w:cs="Arial"/>
          <w:bCs/>
          <w:kern w:val="36"/>
          <w:sz w:val="20"/>
          <w:szCs w:val="20"/>
        </w:rPr>
        <w:t xml:space="preserve"> A. M,</w:t>
      </w:r>
      <w:r>
        <w:rPr>
          <w:rFonts w:ascii="Arial" w:hAnsi="Arial" w:cs="Arial"/>
          <w:bCs/>
          <w:kern w:val="36"/>
          <w:sz w:val="20"/>
          <w:szCs w:val="20"/>
          <w:vertAlign w:val="superscript"/>
        </w:rPr>
        <w:t xml:space="preserve"> </w:t>
      </w:r>
      <w:proofErr w:type="spellStart"/>
      <w:r>
        <w:rPr>
          <w:rFonts w:ascii="Arial" w:hAnsi="Arial" w:cs="Arial"/>
          <w:bCs/>
          <w:kern w:val="36"/>
          <w:sz w:val="20"/>
          <w:szCs w:val="20"/>
        </w:rPr>
        <w:t>Ifeanyichukwu</w:t>
      </w:r>
      <w:proofErr w:type="spellEnd"/>
      <w:r>
        <w:rPr>
          <w:rFonts w:ascii="Arial" w:hAnsi="Arial" w:cs="Arial"/>
          <w:bCs/>
          <w:kern w:val="36"/>
          <w:sz w:val="20"/>
          <w:szCs w:val="20"/>
        </w:rPr>
        <w:t xml:space="preserve"> M. O,</w:t>
      </w:r>
      <w:r>
        <w:rPr>
          <w:rFonts w:ascii="Arial" w:hAnsi="Arial" w:cs="Arial"/>
          <w:bCs/>
          <w:kern w:val="36"/>
          <w:sz w:val="20"/>
          <w:szCs w:val="20"/>
          <w:vertAlign w:val="superscript"/>
        </w:rPr>
        <w:t xml:space="preserve"> </w:t>
      </w:r>
      <w:proofErr w:type="spellStart"/>
      <w:r>
        <w:rPr>
          <w:rFonts w:ascii="Arial" w:hAnsi="Arial" w:cs="Arial"/>
          <w:bCs/>
          <w:kern w:val="36"/>
          <w:sz w:val="20"/>
          <w:szCs w:val="20"/>
        </w:rPr>
        <w:t>Aniagolu</w:t>
      </w:r>
      <w:proofErr w:type="spellEnd"/>
      <w:r>
        <w:rPr>
          <w:rFonts w:ascii="Arial" w:hAnsi="Arial" w:cs="Arial"/>
          <w:bCs/>
          <w:kern w:val="36"/>
          <w:sz w:val="20"/>
          <w:szCs w:val="20"/>
        </w:rPr>
        <w:t xml:space="preserve"> M. O, </w:t>
      </w:r>
      <w:proofErr w:type="spellStart"/>
      <w:r>
        <w:rPr>
          <w:rFonts w:ascii="Arial" w:hAnsi="Arial" w:cs="Arial"/>
          <w:bCs/>
          <w:kern w:val="36"/>
          <w:sz w:val="20"/>
          <w:szCs w:val="20"/>
        </w:rPr>
        <w:t>Kamah</w:t>
      </w:r>
      <w:proofErr w:type="spellEnd"/>
      <w:r>
        <w:rPr>
          <w:rFonts w:ascii="Arial" w:hAnsi="Arial" w:cs="Arial"/>
          <w:bCs/>
          <w:kern w:val="36"/>
          <w:sz w:val="20"/>
          <w:szCs w:val="20"/>
        </w:rPr>
        <w:t xml:space="preserve"> J. M. Lipid Testing among Patients with type 2 Diabetes who was about to commence treatment at a tertiary health care. International Journal of Science and Research</w:t>
      </w:r>
      <w:r>
        <w:rPr>
          <w:rFonts w:ascii="Arial" w:hAnsi="Arial" w:cs="Arial"/>
          <w:bCs/>
          <w:i/>
          <w:kern w:val="36"/>
          <w:sz w:val="20"/>
          <w:szCs w:val="20"/>
        </w:rPr>
        <w:t xml:space="preserve">. </w:t>
      </w:r>
      <w:r>
        <w:rPr>
          <w:rFonts w:ascii="Arial" w:hAnsi="Arial" w:cs="Arial"/>
          <w:bCs/>
          <w:kern w:val="36"/>
          <w:sz w:val="20"/>
          <w:szCs w:val="20"/>
        </w:rPr>
        <w:t>2018; 7(12): 744-747.</w:t>
      </w:r>
    </w:p>
    <w:p>
      <w:pPr>
        <w:pStyle w:val="ListParagraph"/>
        <w:numPr>
          <w:ilvl w:val="0"/>
          <w:numId w:val="4"/>
        </w:numPr>
        <w:jc w:val="both"/>
        <w:rPr>
          <w:rFonts w:ascii="Arial" w:hAnsi="Arial" w:cs="Arial"/>
          <w:sz w:val="20"/>
          <w:szCs w:val="20"/>
        </w:rPr>
      </w:pPr>
      <w:r>
        <w:rPr>
          <w:rFonts w:ascii="Arial" w:hAnsi="Arial" w:cs="Arial"/>
          <w:sz w:val="20"/>
          <w:szCs w:val="20"/>
        </w:rPr>
        <w:t xml:space="preserve">Slavic K, Krishna S, Derbyshire E. T, </w:t>
      </w:r>
      <w:proofErr w:type="spellStart"/>
      <w:r>
        <w:rPr>
          <w:rFonts w:ascii="Arial" w:hAnsi="Arial" w:cs="Arial"/>
          <w:sz w:val="20"/>
          <w:szCs w:val="20"/>
        </w:rPr>
        <w:t>Staines</w:t>
      </w:r>
      <w:proofErr w:type="spellEnd"/>
      <w:r>
        <w:rPr>
          <w:rFonts w:ascii="Arial" w:hAnsi="Arial" w:cs="Arial"/>
          <w:sz w:val="20"/>
          <w:szCs w:val="20"/>
        </w:rPr>
        <w:t xml:space="preserve"> H. M. Plasmodial sugar transporters as anti-malarial drug targets and comparisons with other protozoa. Malaria Journal. 2011; 10(1):165.</w:t>
      </w:r>
    </w:p>
    <w:p>
      <w:pPr>
        <w:pStyle w:val="ListParagraph"/>
        <w:numPr>
          <w:ilvl w:val="0"/>
          <w:numId w:val="4"/>
        </w:numPr>
        <w:jc w:val="both"/>
        <w:rPr>
          <w:rFonts w:ascii="Arial" w:hAnsi="Arial" w:cs="Arial"/>
          <w:sz w:val="20"/>
          <w:szCs w:val="20"/>
        </w:rPr>
      </w:pPr>
      <w:proofErr w:type="spellStart"/>
      <w:r>
        <w:rPr>
          <w:rFonts w:ascii="Arial" w:hAnsi="Arial" w:cs="Arial"/>
          <w:sz w:val="20"/>
          <w:szCs w:val="20"/>
        </w:rPr>
        <w:t>Ogetii</w:t>
      </w:r>
      <w:proofErr w:type="spellEnd"/>
      <w:r>
        <w:rPr>
          <w:rFonts w:ascii="Arial" w:hAnsi="Arial" w:cs="Arial"/>
          <w:sz w:val="20"/>
          <w:szCs w:val="20"/>
        </w:rPr>
        <w:t xml:space="preserve"> G. N, </w:t>
      </w:r>
      <w:proofErr w:type="spellStart"/>
      <w:r>
        <w:rPr>
          <w:rFonts w:ascii="Arial" w:hAnsi="Arial" w:cs="Arial"/>
          <w:sz w:val="20"/>
          <w:szCs w:val="20"/>
        </w:rPr>
        <w:t>Akech</w:t>
      </w:r>
      <w:proofErr w:type="spellEnd"/>
      <w:r>
        <w:rPr>
          <w:rFonts w:ascii="Arial" w:hAnsi="Arial" w:cs="Arial"/>
          <w:sz w:val="20"/>
          <w:szCs w:val="20"/>
        </w:rPr>
        <w:t xml:space="preserve"> S, </w:t>
      </w:r>
      <w:proofErr w:type="spellStart"/>
      <w:r>
        <w:rPr>
          <w:rFonts w:ascii="Arial" w:hAnsi="Arial" w:cs="Arial"/>
          <w:sz w:val="20"/>
          <w:szCs w:val="20"/>
        </w:rPr>
        <w:t>Jemutai</w:t>
      </w:r>
      <w:proofErr w:type="spellEnd"/>
      <w:r>
        <w:rPr>
          <w:rFonts w:ascii="Arial" w:hAnsi="Arial" w:cs="Arial"/>
          <w:sz w:val="20"/>
          <w:szCs w:val="20"/>
        </w:rPr>
        <w:t xml:space="preserve"> J, Boga M, </w:t>
      </w:r>
      <w:proofErr w:type="spellStart"/>
      <w:r>
        <w:rPr>
          <w:rFonts w:ascii="Arial" w:hAnsi="Arial" w:cs="Arial"/>
          <w:sz w:val="20"/>
          <w:szCs w:val="20"/>
        </w:rPr>
        <w:t>Kivaya</w:t>
      </w:r>
      <w:proofErr w:type="spellEnd"/>
      <w:r>
        <w:rPr>
          <w:rFonts w:ascii="Arial" w:hAnsi="Arial" w:cs="Arial"/>
          <w:sz w:val="20"/>
          <w:szCs w:val="20"/>
        </w:rPr>
        <w:t xml:space="preserve"> E, </w:t>
      </w:r>
      <w:proofErr w:type="spellStart"/>
      <w:r>
        <w:rPr>
          <w:rFonts w:ascii="Arial" w:hAnsi="Arial" w:cs="Arial"/>
          <w:sz w:val="20"/>
          <w:szCs w:val="20"/>
        </w:rPr>
        <w:t>Fegan</w:t>
      </w:r>
      <w:proofErr w:type="spellEnd"/>
      <w:r>
        <w:rPr>
          <w:rFonts w:ascii="Arial" w:hAnsi="Arial" w:cs="Arial"/>
          <w:sz w:val="20"/>
          <w:szCs w:val="20"/>
        </w:rPr>
        <w:t xml:space="preserve"> G, Maitland K. </w:t>
      </w:r>
      <w:proofErr w:type="spellStart"/>
      <w:r>
        <w:rPr>
          <w:rFonts w:ascii="Arial" w:hAnsi="Arial" w:cs="Arial"/>
          <w:sz w:val="20"/>
          <w:szCs w:val="20"/>
        </w:rPr>
        <w:t>Hypoglycaemia</w:t>
      </w:r>
      <w:proofErr w:type="spellEnd"/>
      <w:r>
        <w:rPr>
          <w:rFonts w:ascii="Arial" w:hAnsi="Arial" w:cs="Arial"/>
          <w:sz w:val="20"/>
          <w:szCs w:val="20"/>
        </w:rPr>
        <w:t xml:space="preserve"> in severe malaria, clinical associations and relationship to quinine dosage. BMC Infectious Diseases. 2010; 10(1):334.</w:t>
      </w:r>
    </w:p>
    <w:p>
      <w:pPr>
        <w:pStyle w:val="ListParagraph"/>
        <w:numPr>
          <w:ilvl w:val="0"/>
          <w:numId w:val="4"/>
        </w:numPr>
        <w:jc w:val="both"/>
        <w:rPr>
          <w:rFonts w:ascii="Arial" w:hAnsi="Arial" w:cs="Arial"/>
          <w:sz w:val="20"/>
          <w:szCs w:val="20"/>
        </w:rPr>
      </w:pPr>
      <w:r>
        <w:rPr>
          <w:rFonts w:ascii="Arial" w:hAnsi="Arial" w:cs="Arial"/>
          <w:sz w:val="20"/>
          <w:szCs w:val="20"/>
        </w:rPr>
        <w:t xml:space="preserve">Roe J, </w:t>
      </w:r>
      <w:proofErr w:type="spellStart"/>
      <w:r>
        <w:rPr>
          <w:rFonts w:ascii="Arial" w:hAnsi="Arial" w:cs="Arial"/>
          <w:sz w:val="20"/>
          <w:szCs w:val="20"/>
        </w:rPr>
        <w:t>Pasvol</w:t>
      </w:r>
      <w:proofErr w:type="spellEnd"/>
      <w:r>
        <w:rPr>
          <w:rFonts w:ascii="Arial" w:hAnsi="Arial" w:cs="Arial"/>
          <w:sz w:val="20"/>
          <w:szCs w:val="20"/>
        </w:rPr>
        <w:t xml:space="preserve"> G. New developments in the management of malaria in adults. QJM: An International Journal of Medicine. 2009; 102(10):685–693.</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Danquah I, </w:t>
      </w:r>
      <w:proofErr w:type="spellStart"/>
      <w:r>
        <w:rPr>
          <w:rFonts w:ascii="Arial" w:hAnsi="Arial" w:cs="Arial"/>
          <w:sz w:val="20"/>
          <w:szCs w:val="20"/>
        </w:rPr>
        <w:t>Bedu</w:t>
      </w:r>
      <w:proofErr w:type="spellEnd"/>
      <w:r>
        <w:rPr>
          <w:rFonts w:ascii="Arial" w:hAnsi="Arial" w:cs="Arial"/>
          <w:sz w:val="20"/>
          <w:szCs w:val="20"/>
        </w:rPr>
        <w:t xml:space="preserve">-Addo G, </w:t>
      </w:r>
      <w:proofErr w:type="spellStart"/>
      <w:r>
        <w:rPr>
          <w:rFonts w:ascii="Arial" w:hAnsi="Arial" w:cs="Arial"/>
          <w:sz w:val="20"/>
          <w:szCs w:val="20"/>
        </w:rPr>
        <w:t>Mockenhaupt</w:t>
      </w:r>
      <w:proofErr w:type="spellEnd"/>
      <w:r>
        <w:rPr>
          <w:rFonts w:ascii="Arial" w:hAnsi="Arial" w:cs="Arial"/>
          <w:sz w:val="20"/>
          <w:szCs w:val="20"/>
        </w:rPr>
        <w:t xml:space="preserve"> F, P. Type 2 diabetes mellitus and increased risk for malaria infection. Emerging Infectious Diseases.2010; 16(10):1601.</w:t>
      </w:r>
    </w:p>
    <w:p>
      <w:pPr>
        <w:pStyle w:val="Default"/>
        <w:numPr>
          <w:ilvl w:val="0"/>
          <w:numId w:val="4"/>
        </w:numPr>
        <w:jc w:val="both"/>
        <w:rPr>
          <w:rFonts w:ascii="Arial" w:hAnsi="Arial" w:cs="Arial"/>
          <w:color w:val="auto"/>
          <w:sz w:val="20"/>
          <w:szCs w:val="20"/>
        </w:rPr>
      </w:pPr>
      <w:r>
        <w:rPr>
          <w:rFonts w:ascii="Arial" w:hAnsi="Arial" w:cs="Arial"/>
          <w:color w:val="auto"/>
          <w:sz w:val="20"/>
          <w:szCs w:val="20"/>
        </w:rPr>
        <w:t xml:space="preserve">Acquah S, Jnr B. A. </w:t>
      </w:r>
      <w:proofErr w:type="gramStart"/>
      <w:r>
        <w:rPr>
          <w:rFonts w:ascii="Arial" w:hAnsi="Arial" w:cs="Arial"/>
          <w:color w:val="auto"/>
          <w:sz w:val="20"/>
          <w:szCs w:val="20"/>
        </w:rPr>
        <w:t xml:space="preserve">E,  </w:t>
      </w:r>
      <w:proofErr w:type="spellStart"/>
      <w:r>
        <w:rPr>
          <w:rFonts w:ascii="Arial" w:hAnsi="Arial" w:cs="Arial"/>
          <w:color w:val="auto"/>
          <w:sz w:val="20"/>
          <w:szCs w:val="20"/>
        </w:rPr>
        <w:t>Boampong</w:t>
      </w:r>
      <w:proofErr w:type="spellEnd"/>
      <w:proofErr w:type="gramEnd"/>
      <w:r>
        <w:rPr>
          <w:rFonts w:ascii="Arial" w:hAnsi="Arial" w:cs="Arial"/>
          <w:color w:val="auto"/>
          <w:sz w:val="20"/>
          <w:szCs w:val="20"/>
        </w:rPr>
        <w:t xml:space="preserve"> J. N. Elevated adiponectin but varied response in circulating leptin levels to falciparum malaria in type II diabetics and nondiabetic controls. Biomedical Journal. 2016b; 39(5):346–353.</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Issifou</w:t>
      </w:r>
      <w:proofErr w:type="spellEnd"/>
      <w:r>
        <w:rPr>
          <w:rFonts w:ascii="Arial" w:hAnsi="Arial" w:cs="Arial"/>
          <w:sz w:val="20"/>
          <w:szCs w:val="20"/>
        </w:rPr>
        <w:t xml:space="preserve"> S, </w:t>
      </w:r>
      <w:proofErr w:type="spellStart"/>
      <w:r>
        <w:rPr>
          <w:rFonts w:ascii="Arial" w:hAnsi="Arial" w:cs="Arial"/>
          <w:sz w:val="20"/>
          <w:szCs w:val="20"/>
        </w:rPr>
        <w:t>Mavoungou</w:t>
      </w:r>
      <w:proofErr w:type="spellEnd"/>
      <w:r>
        <w:rPr>
          <w:rFonts w:ascii="Arial" w:hAnsi="Arial" w:cs="Arial"/>
          <w:sz w:val="20"/>
          <w:szCs w:val="20"/>
        </w:rPr>
        <w:t xml:space="preserve"> E, </w:t>
      </w:r>
      <w:proofErr w:type="spellStart"/>
      <w:r>
        <w:rPr>
          <w:rFonts w:ascii="Arial" w:hAnsi="Arial" w:cs="Arial"/>
          <w:sz w:val="20"/>
          <w:szCs w:val="20"/>
        </w:rPr>
        <w:t>Borrmann</w:t>
      </w:r>
      <w:proofErr w:type="spellEnd"/>
      <w:r>
        <w:rPr>
          <w:rFonts w:ascii="Arial" w:hAnsi="Arial" w:cs="Arial"/>
          <w:sz w:val="20"/>
          <w:szCs w:val="20"/>
        </w:rPr>
        <w:t xml:space="preserve"> S, </w:t>
      </w:r>
      <w:proofErr w:type="spellStart"/>
      <w:r>
        <w:rPr>
          <w:rFonts w:ascii="Arial" w:hAnsi="Arial" w:cs="Arial"/>
          <w:sz w:val="20"/>
          <w:szCs w:val="20"/>
        </w:rPr>
        <w:t>Bouyou-Akotet</w:t>
      </w:r>
      <w:proofErr w:type="spellEnd"/>
      <w:r>
        <w:rPr>
          <w:rFonts w:ascii="Arial" w:hAnsi="Arial" w:cs="Arial"/>
          <w:sz w:val="20"/>
          <w:szCs w:val="20"/>
        </w:rPr>
        <w:t xml:space="preserve"> M. K, </w:t>
      </w:r>
      <w:proofErr w:type="spellStart"/>
      <w:r>
        <w:rPr>
          <w:rFonts w:ascii="Arial" w:hAnsi="Arial" w:cs="Arial"/>
          <w:sz w:val="20"/>
          <w:szCs w:val="20"/>
        </w:rPr>
        <w:t>Matsiegui</w:t>
      </w:r>
      <w:proofErr w:type="spellEnd"/>
      <w:r>
        <w:rPr>
          <w:rFonts w:ascii="Arial" w:hAnsi="Arial" w:cs="Arial"/>
          <w:sz w:val="20"/>
          <w:szCs w:val="20"/>
        </w:rPr>
        <w:t xml:space="preserve"> P.-B, </w:t>
      </w:r>
      <w:proofErr w:type="spellStart"/>
      <w:r>
        <w:rPr>
          <w:rFonts w:ascii="Arial" w:hAnsi="Arial" w:cs="Arial"/>
          <w:sz w:val="20"/>
          <w:szCs w:val="20"/>
        </w:rPr>
        <w:t>Kremsner</w:t>
      </w:r>
      <w:proofErr w:type="spellEnd"/>
      <w:r>
        <w:rPr>
          <w:rFonts w:ascii="Arial" w:hAnsi="Arial" w:cs="Arial"/>
          <w:sz w:val="20"/>
          <w:szCs w:val="20"/>
        </w:rPr>
        <w:t xml:space="preserve"> P. G, </w:t>
      </w:r>
      <w:proofErr w:type="spellStart"/>
      <w:r>
        <w:rPr>
          <w:rFonts w:ascii="Arial" w:hAnsi="Arial" w:cs="Arial"/>
          <w:sz w:val="20"/>
          <w:szCs w:val="20"/>
        </w:rPr>
        <w:t>Ntoumi</w:t>
      </w:r>
      <w:proofErr w:type="spellEnd"/>
      <w:r>
        <w:rPr>
          <w:rFonts w:ascii="Arial" w:hAnsi="Arial" w:cs="Arial"/>
          <w:sz w:val="20"/>
          <w:szCs w:val="20"/>
        </w:rPr>
        <w:t xml:space="preserve"> F. Severe malarial anemia associated with increased soluble </w:t>
      </w:r>
      <w:proofErr w:type="spellStart"/>
      <w:r>
        <w:rPr>
          <w:rFonts w:ascii="Arial" w:hAnsi="Arial" w:cs="Arial"/>
          <w:sz w:val="20"/>
          <w:szCs w:val="20"/>
        </w:rPr>
        <w:t>Fas</w:t>
      </w:r>
      <w:proofErr w:type="spellEnd"/>
      <w:r>
        <w:rPr>
          <w:rFonts w:ascii="Arial" w:hAnsi="Arial" w:cs="Arial"/>
          <w:sz w:val="20"/>
          <w:szCs w:val="20"/>
        </w:rPr>
        <w:t xml:space="preserve"> ligand (</w:t>
      </w:r>
      <w:proofErr w:type="spellStart"/>
      <w:r>
        <w:rPr>
          <w:rFonts w:ascii="Arial" w:hAnsi="Arial" w:cs="Arial"/>
          <w:sz w:val="20"/>
          <w:szCs w:val="20"/>
        </w:rPr>
        <w:t>sFasL</w:t>
      </w:r>
      <w:proofErr w:type="spellEnd"/>
      <w:r>
        <w:rPr>
          <w:rFonts w:ascii="Arial" w:hAnsi="Arial" w:cs="Arial"/>
          <w:sz w:val="20"/>
          <w:szCs w:val="20"/>
        </w:rPr>
        <w:t>) concentrations in Gabonese children. European Cytokine Network.2003; 14(4):238–241.</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Clark I. A., Budd A. C, </w:t>
      </w:r>
      <w:proofErr w:type="spellStart"/>
      <w:r>
        <w:rPr>
          <w:rFonts w:ascii="Arial" w:hAnsi="Arial" w:cs="Arial"/>
          <w:sz w:val="20"/>
          <w:szCs w:val="20"/>
        </w:rPr>
        <w:t>Alleva</w:t>
      </w:r>
      <w:proofErr w:type="spellEnd"/>
      <w:r>
        <w:rPr>
          <w:rFonts w:ascii="Arial" w:hAnsi="Arial" w:cs="Arial"/>
          <w:sz w:val="20"/>
          <w:szCs w:val="20"/>
        </w:rPr>
        <w:t xml:space="preserve"> L. M, Cowden W. B. Human malarial disease: a consequence of inflammatory cytokine release. Malaria Journal.2006; 5(1):85.</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Bousema</w:t>
      </w:r>
      <w:proofErr w:type="spellEnd"/>
      <w:r>
        <w:rPr>
          <w:rFonts w:ascii="Arial" w:hAnsi="Arial" w:cs="Arial"/>
          <w:sz w:val="20"/>
          <w:szCs w:val="20"/>
        </w:rPr>
        <w:t xml:space="preserve"> T, </w:t>
      </w:r>
      <w:proofErr w:type="spellStart"/>
      <w:r>
        <w:rPr>
          <w:rFonts w:ascii="Arial" w:hAnsi="Arial" w:cs="Arial"/>
          <w:sz w:val="20"/>
          <w:szCs w:val="20"/>
        </w:rPr>
        <w:t>Okell</w:t>
      </w:r>
      <w:proofErr w:type="spellEnd"/>
      <w:r>
        <w:rPr>
          <w:rFonts w:ascii="Arial" w:hAnsi="Arial" w:cs="Arial"/>
          <w:sz w:val="20"/>
          <w:szCs w:val="20"/>
        </w:rPr>
        <w:t xml:space="preserve"> L, </w:t>
      </w:r>
      <w:proofErr w:type="spellStart"/>
      <w:r>
        <w:rPr>
          <w:rFonts w:ascii="Arial" w:hAnsi="Arial" w:cs="Arial"/>
          <w:sz w:val="20"/>
          <w:szCs w:val="20"/>
        </w:rPr>
        <w:t>Felger</w:t>
      </w:r>
      <w:proofErr w:type="spellEnd"/>
      <w:r>
        <w:rPr>
          <w:rFonts w:ascii="Arial" w:hAnsi="Arial" w:cs="Arial"/>
          <w:sz w:val="20"/>
          <w:szCs w:val="20"/>
        </w:rPr>
        <w:t xml:space="preserve"> I, </w:t>
      </w:r>
      <w:proofErr w:type="spellStart"/>
      <w:r>
        <w:rPr>
          <w:rFonts w:ascii="Arial" w:hAnsi="Arial" w:cs="Arial"/>
          <w:sz w:val="20"/>
          <w:szCs w:val="20"/>
        </w:rPr>
        <w:t>Drakeley</w:t>
      </w:r>
      <w:proofErr w:type="spellEnd"/>
      <w:r>
        <w:rPr>
          <w:rFonts w:ascii="Arial" w:hAnsi="Arial" w:cs="Arial"/>
          <w:sz w:val="20"/>
          <w:szCs w:val="20"/>
        </w:rPr>
        <w:t xml:space="preserve"> C. Asymptomatic malaria infections: detectability, transmissibility and public health relevance. Nature Reviews Microbiology. 2014; 12(12):833.</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Lindblade</w:t>
      </w:r>
      <w:proofErr w:type="spellEnd"/>
      <w:r>
        <w:rPr>
          <w:rFonts w:ascii="Arial" w:hAnsi="Arial" w:cs="Arial"/>
          <w:sz w:val="20"/>
          <w:szCs w:val="20"/>
        </w:rPr>
        <w:t xml:space="preserve"> K. A, Steinhardt L, Samuels A, </w:t>
      </w:r>
      <w:proofErr w:type="spellStart"/>
      <w:r>
        <w:rPr>
          <w:rFonts w:ascii="Arial" w:hAnsi="Arial" w:cs="Arial"/>
          <w:sz w:val="20"/>
          <w:szCs w:val="20"/>
        </w:rPr>
        <w:t>Kachur</w:t>
      </w:r>
      <w:proofErr w:type="spellEnd"/>
      <w:r>
        <w:rPr>
          <w:rFonts w:ascii="Arial" w:hAnsi="Arial" w:cs="Arial"/>
          <w:sz w:val="20"/>
          <w:szCs w:val="20"/>
        </w:rPr>
        <w:t xml:space="preserve"> S. P, </w:t>
      </w:r>
      <w:proofErr w:type="spellStart"/>
      <w:r>
        <w:rPr>
          <w:rFonts w:ascii="Arial" w:hAnsi="Arial" w:cs="Arial"/>
          <w:sz w:val="20"/>
          <w:szCs w:val="20"/>
        </w:rPr>
        <w:t>Slutsker</w:t>
      </w:r>
      <w:proofErr w:type="spellEnd"/>
      <w:r>
        <w:rPr>
          <w:rFonts w:ascii="Arial" w:hAnsi="Arial" w:cs="Arial"/>
          <w:sz w:val="20"/>
          <w:szCs w:val="20"/>
        </w:rPr>
        <w:t xml:space="preserve"> L. (2013). The silent threat: asymptomatic parasitemia and malaria transmission. Expert Review of Anti-infective Therapy. 2013; 11(6):623–639.</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Moxon</w:t>
      </w:r>
      <w:proofErr w:type="spellEnd"/>
      <w:r>
        <w:rPr>
          <w:rFonts w:ascii="Arial" w:hAnsi="Arial" w:cs="Arial"/>
          <w:sz w:val="20"/>
          <w:szCs w:val="20"/>
        </w:rPr>
        <w:t xml:space="preserve"> C. A, </w:t>
      </w:r>
      <w:proofErr w:type="spellStart"/>
      <w:r>
        <w:rPr>
          <w:rFonts w:ascii="Arial" w:hAnsi="Arial" w:cs="Arial"/>
          <w:sz w:val="20"/>
          <w:szCs w:val="20"/>
        </w:rPr>
        <w:t>Chisala</w:t>
      </w:r>
      <w:proofErr w:type="spellEnd"/>
      <w:r>
        <w:rPr>
          <w:rFonts w:ascii="Arial" w:hAnsi="Arial" w:cs="Arial"/>
          <w:sz w:val="20"/>
          <w:szCs w:val="20"/>
        </w:rPr>
        <w:t xml:space="preserve"> N. V, </w:t>
      </w:r>
      <w:proofErr w:type="spellStart"/>
      <w:r>
        <w:rPr>
          <w:rFonts w:ascii="Arial" w:hAnsi="Arial" w:cs="Arial"/>
          <w:sz w:val="20"/>
          <w:szCs w:val="20"/>
        </w:rPr>
        <w:t>Wassmer</w:t>
      </w:r>
      <w:proofErr w:type="spellEnd"/>
      <w:r>
        <w:rPr>
          <w:rFonts w:ascii="Arial" w:hAnsi="Arial" w:cs="Arial"/>
          <w:sz w:val="20"/>
          <w:szCs w:val="20"/>
        </w:rPr>
        <w:t xml:space="preserve"> S. C, Taylor T. E, </w:t>
      </w:r>
      <w:proofErr w:type="spellStart"/>
      <w:r>
        <w:rPr>
          <w:rFonts w:ascii="Arial" w:hAnsi="Arial" w:cs="Arial"/>
          <w:sz w:val="20"/>
          <w:szCs w:val="20"/>
        </w:rPr>
        <w:t>Seydel</w:t>
      </w:r>
      <w:proofErr w:type="spellEnd"/>
      <w:r>
        <w:rPr>
          <w:rFonts w:ascii="Arial" w:hAnsi="Arial" w:cs="Arial"/>
          <w:sz w:val="20"/>
          <w:szCs w:val="20"/>
        </w:rPr>
        <w:t xml:space="preserve"> K. B, Molyneux M. E, Faragher, B, Kennedy, N, </w:t>
      </w:r>
      <w:proofErr w:type="spellStart"/>
      <w:r>
        <w:rPr>
          <w:rFonts w:ascii="Arial" w:hAnsi="Arial" w:cs="Arial"/>
          <w:sz w:val="20"/>
          <w:szCs w:val="20"/>
        </w:rPr>
        <w:t>Toh</w:t>
      </w:r>
      <w:proofErr w:type="spellEnd"/>
      <w:r>
        <w:rPr>
          <w:rFonts w:ascii="Arial" w:hAnsi="Arial" w:cs="Arial"/>
          <w:sz w:val="20"/>
          <w:szCs w:val="20"/>
        </w:rPr>
        <w:t xml:space="preserve"> C.-H, Craig A. G. Persistent endothelial activation and inflammation after Plasmodium falciparum infection in Malawian children. The Journal of Infectious Diseases.2013; 209(4):610–615.</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Abdel-Hamid N, Al </w:t>
      </w:r>
      <w:proofErr w:type="spellStart"/>
      <w:r>
        <w:rPr>
          <w:rFonts w:ascii="Arial" w:hAnsi="Arial" w:cs="Arial"/>
          <w:sz w:val="20"/>
          <w:szCs w:val="20"/>
        </w:rPr>
        <w:t>Jubori</w:t>
      </w:r>
      <w:proofErr w:type="spellEnd"/>
      <w:r>
        <w:rPr>
          <w:rFonts w:ascii="Arial" w:hAnsi="Arial" w:cs="Arial"/>
          <w:sz w:val="20"/>
          <w:szCs w:val="20"/>
        </w:rPr>
        <w:t xml:space="preserve"> T, Farhan A, </w:t>
      </w:r>
      <w:proofErr w:type="spellStart"/>
      <w:r>
        <w:rPr>
          <w:rFonts w:ascii="Arial" w:hAnsi="Arial" w:cs="Arial"/>
          <w:sz w:val="20"/>
          <w:szCs w:val="20"/>
        </w:rPr>
        <w:t>Mahrous</w:t>
      </w:r>
      <w:proofErr w:type="spellEnd"/>
      <w:r>
        <w:rPr>
          <w:rFonts w:ascii="Arial" w:hAnsi="Arial" w:cs="Arial"/>
          <w:sz w:val="20"/>
          <w:szCs w:val="20"/>
        </w:rPr>
        <w:t xml:space="preserve"> M, </w:t>
      </w:r>
      <w:proofErr w:type="spellStart"/>
      <w:r>
        <w:rPr>
          <w:rFonts w:ascii="Arial" w:hAnsi="Arial" w:cs="Arial"/>
          <w:sz w:val="20"/>
          <w:szCs w:val="20"/>
        </w:rPr>
        <w:t>Gouri</w:t>
      </w:r>
      <w:proofErr w:type="spellEnd"/>
      <w:r>
        <w:rPr>
          <w:rFonts w:ascii="Arial" w:hAnsi="Arial" w:cs="Arial"/>
          <w:sz w:val="20"/>
          <w:szCs w:val="20"/>
        </w:rPr>
        <w:t xml:space="preserve"> A, </w:t>
      </w:r>
      <w:proofErr w:type="spellStart"/>
      <w:r>
        <w:rPr>
          <w:rFonts w:ascii="Arial" w:hAnsi="Arial" w:cs="Arial"/>
          <w:sz w:val="20"/>
          <w:szCs w:val="20"/>
        </w:rPr>
        <w:t>Awad</w:t>
      </w:r>
      <w:proofErr w:type="spellEnd"/>
      <w:r>
        <w:rPr>
          <w:rFonts w:ascii="Arial" w:hAnsi="Arial" w:cs="Arial"/>
          <w:sz w:val="20"/>
          <w:szCs w:val="20"/>
        </w:rPr>
        <w:t xml:space="preserve"> E, </w:t>
      </w:r>
      <w:proofErr w:type="spellStart"/>
      <w:r>
        <w:rPr>
          <w:rFonts w:ascii="Arial" w:hAnsi="Arial" w:cs="Arial"/>
          <w:sz w:val="20"/>
          <w:szCs w:val="20"/>
        </w:rPr>
        <w:t>Breuss</w:t>
      </w:r>
      <w:proofErr w:type="spellEnd"/>
      <w:r>
        <w:rPr>
          <w:rFonts w:ascii="Arial" w:hAnsi="Arial" w:cs="Arial"/>
          <w:sz w:val="20"/>
          <w:szCs w:val="20"/>
        </w:rPr>
        <w:t xml:space="preserve"> J. Underlying pathways for interferon risk to type II diabetes mellitus. Current Diabetes Reviews. 2013; 9(6):472–477. </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Mbengue</w:t>
      </w:r>
      <w:proofErr w:type="spellEnd"/>
      <w:r>
        <w:rPr>
          <w:rFonts w:ascii="Arial" w:hAnsi="Arial" w:cs="Arial"/>
          <w:sz w:val="20"/>
          <w:szCs w:val="20"/>
        </w:rPr>
        <w:t xml:space="preserve"> B, </w:t>
      </w:r>
      <w:proofErr w:type="spellStart"/>
      <w:r>
        <w:rPr>
          <w:rFonts w:ascii="Arial" w:hAnsi="Arial" w:cs="Arial"/>
          <w:sz w:val="20"/>
          <w:szCs w:val="20"/>
        </w:rPr>
        <w:t>Niang</w:t>
      </w:r>
      <w:proofErr w:type="spellEnd"/>
      <w:r>
        <w:rPr>
          <w:rFonts w:ascii="Arial" w:hAnsi="Arial" w:cs="Arial"/>
          <w:sz w:val="20"/>
          <w:szCs w:val="20"/>
        </w:rPr>
        <w:t xml:space="preserve"> B, </w:t>
      </w:r>
      <w:proofErr w:type="spellStart"/>
      <w:r>
        <w:rPr>
          <w:rFonts w:ascii="Arial" w:hAnsi="Arial" w:cs="Arial"/>
          <w:sz w:val="20"/>
          <w:szCs w:val="20"/>
        </w:rPr>
        <w:t>Niang</w:t>
      </w:r>
      <w:proofErr w:type="spellEnd"/>
      <w:r>
        <w:rPr>
          <w:rFonts w:ascii="Arial" w:hAnsi="Arial" w:cs="Arial"/>
          <w:sz w:val="20"/>
          <w:szCs w:val="20"/>
        </w:rPr>
        <w:t xml:space="preserve"> M. S, Varela M. L, Fall B, Fall M. M, Diallo R. N, </w:t>
      </w:r>
      <w:proofErr w:type="spellStart"/>
      <w:r>
        <w:rPr>
          <w:rFonts w:ascii="Arial" w:hAnsi="Arial" w:cs="Arial"/>
          <w:sz w:val="20"/>
          <w:szCs w:val="20"/>
        </w:rPr>
        <w:t>Diatta</w:t>
      </w:r>
      <w:proofErr w:type="spellEnd"/>
      <w:r>
        <w:rPr>
          <w:rFonts w:ascii="Arial" w:hAnsi="Arial" w:cs="Arial"/>
          <w:sz w:val="20"/>
          <w:szCs w:val="20"/>
        </w:rPr>
        <w:t xml:space="preserve"> B, Gowda D. </w:t>
      </w:r>
      <w:proofErr w:type="gramStart"/>
      <w:r>
        <w:rPr>
          <w:rFonts w:ascii="Arial" w:hAnsi="Arial" w:cs="Arial"/>
          <w:sz w:val="20"/>
          <w:szCs w:val="20"/>
        </w:rPr>
        <w:t xml:space="preserve">C,  </w:t>
      </w:r>
      <w:proofErr w:type="spellStart"/>
      <w:r>
        <w:rPr>
          <w:rFonts w:ascii="Arial" w:hAnsi="Arial" w:cs="Arial"/>
          <w:sz w:val="20"/>
          <w:szCs w:val="20"/>
        </w:rPr>
        <w:t>Dieye</w:t>
      </w:r>
      <w:proofErr w:type="spellEnd"/>
      <w:proofErr w:type="gramEnd"/>
      <w:r>
        <w:rPr>
          <w:rFonts w:ascii="Arial" w:hAnsi="Arial" w:cs="Arial"/>
          <w:sz w:val="20"/>
          <w:szCs w:val="20"/>
        </w:rPr>
        <w:t xml:space="preserve"> A. Inflammatory cytokine and humoral responses to plasmodium falciparum glycosylphosphatidylinositols correlates with malaria immunity and </w:t>
      </w:r>
      <w:proofErr w:type="spellStart"/>
      <w:r>
        <w:rPr>
          <w:rFonts w:ascii="Arial" w:hAnsi="Arial" w:cs="Arial"/>
          <w:sz w:val="20"/>
          <w:szCs w:val="20"/>
        </w:rPr>
        <w:t>pathogenesis.Immunity</w:t>
      </w:r>
      <w:proofErr w:type="spellEnd"/>
      <w:r>
        <w:rPr>
          <w:rFonts w:ascii="Arial" w:hAnsi="Arial" w:cs="Arial"/>
          <w:sz w:val="20"/>
          <w:szCs w:val="20"/>
        </w:rPr>
        <w:t>. Inflammation and Disease. 2016; 4(1):24–34.</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Eltahir</w:t>
      </w:r>
      <w:proofErr w:type="spellEnd"/>
      <w:r>
        <w:rPr>
          <w:rFonts w:ascii="Arial" w:hAnsi="Arial" w:cs="Arial"/>
          <w:sz w:val="20"/>
          <w:szCs w:val="20"/>
        </w:rPr>
        <w:t xml:space="preserve"> E. M, </w:t>
      </w:r>
      <w:proofErr w:type="spellStart"/>
      <w:r>
        <w:rPr>
          <w:rFonts w:ascii="Arial" w:hAnsi="Arial" w:cs="Arial"/>
          <w:sz w:val="20"/>
          <w:szCs w:val="20"/>
        </w:rPr>
        <w:t>ElGhazali</w:t>
      </w:r>
      <w:proofErr w:type="spellEnd"/>
      <w:r>
        <w:rPr>
          <w:rFonts w:ascii="Arial" w:hAnsi="Arial" w:cs="Arial"/>
          <w:sz w:val="20"/>
          <w:szCs w:val="20"/>
        </w:rPr>
        <w:t xml:space="preserve"> G, A-</w:t>
      </w:r>
      <w:proofErr w:type="spellStart"/>
      <w:r>
        <w:rPr>
          <w:rFonts w:ascii="Arial" w:hAnsi="Arial" w:cs="Arial"/>
          <w:sz w:val="20"/>
          <w:szCs w:val="20"/>
        </w:rPr>
        <w:t>Elgadir</w:t>
      </w:r>
      <w:proofErr w:type="spellEnd"/>
      <w:r>
        <w:rPr>
          <w:rFonts w:ascii="Arial" w:hAnsi="Arial" w:cs="Arial"/>
          <w:sz w:val="20"/>
          <w:szCs w:val="20"/>
        </w:rPr>
        <w:t xml:space="preserve"> T. M, A-</w:t>
      </w:r>
      <w:proofErr w:type="spellStart"/>
      <w:r>
        <w:rPr>
          <w:rFonts w:ascii="Arial" w:hAnsi="Arial" w:cs="Arial"/>
          <w:sz w:val="20"/>
          <w:szCs w:val="20"/>
        </w:rPr>
        <w:t>Elbasit</w:t>
      </w:r>
      <w:proofErr w:type="spellEnd"/>
      <w:r>
        <w:rPr>
          <w:rFonts w:ascii="Arial" w:hAnsi="Arial" w:cs="Arial"/>
          <w:sz w:val="20"/>
          <w:szCs w:val="20"/>
        </w:rPr>
        <w:t xml:space="preserve"> I. E, </w:t>
      </w:r>
      <w:proofErr w:type="spellStart"/>
      <w:r>
        <w:rPr>
          <w:rFonts w:ascii="Arial" w:hAnsi="Arial" w:cs="Arial"/>
          <w:sz w:val="20"/>
          <w:szCs w:val="20"/>
        </w:rPr>
        <w:t>Elbashir</w:t>
      </w:r>
      <w:proofErr w:type="spellEnd"/>
      <w:r>
        <w:rPr>
          <w:rFonts w:ascii="Arial" w:hAnsi="Arial" w:cs="Arial"/>
          <w:sz w:val="20"/>
          <w:szCs w:val="20"/>
        </w:rPr>
        <w:t xml:space="preserve"> M. I, </w:t>
      </w:r>
      <w:proofErr w:type="spellStart"/>
      <w:r>
        <w:rPr>
          <w:rFonts w:ascii="Arial" w:hAnsi="Arial" w:cs="Arial"/>
          <w:sz w:val="20"/>
          <w:szCs w:val="20"/>
        </w:rPr>
        <w:t>Giha</w:t>
      </w:r>
      <w:proofErr w:type="spellEnd"/>
      <w:r>
        <w:rPr>
          <w:rFonts w:ascii="Arial" w:hAnsi="Arial" w:cs="Arial"/>
          <w:sz w:val="20"/>
          <w:szCs w:val="20"/>
        </w:rPr>
        <w:t xml:space="preserve">, H. A. Raised plasma insulin level and homeostasis model assessment (HOMA) score in cerebral malaria: evidence for insulin resistance and marker of virulence. Acta </w:t>
      </w:r>
      <w:proofErr w:type="spellStart"/>
      <w:r>
        <w:rPr>
          <w:rFonts w:ascii="Arial" w:hAnsi="Arial" w:cs="Arial"/>
          <w:sz w:val="20"/>
          <w:szCs w:val="20"/>
        </w:rPr>
        <w:t>Biochimica</w:t>
      </w:r>
      <w:proofErr w:type="spellEnd"/>
      <w:r>
        <w:rPr>
          <w:rFonts w:ascii="Arial" w:hAnsi="Arial" w:cs="Arial"/>
          <w:sz w:val="20"/>
          <w:szCs w:val="20"/>
        </w:rPr>
        <w:t xml:space="preserve"> Polonica. 2010; 57(4):513.</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Muoio</w:t>
      </w:r>
      <w:proofErr w:type="spellEnd"/>
      <w:r>
        <w:rPr>
          <w:rFonts w:ascii="Arial" w:hAnsi="Arial" w:cs="Arial"/>
          <w:sz w:val="20"/>
          <w:szCs w:val="20"/>
        </w:rPr>
        <w:t xml:space="preserve"> D. M, </w:t>
      </w:r>
      <w:proofErr w:type="spellStart"/>
      <w:r>
        <w:rPr>
          <w:rFonts w:ascii="Arial" w:hAnsi="Arial" w:cs="Arial"/>
          <w:sz w:val="20"/>
          <w:szCs w:val="20"/>
        </w:rPr>
        <w:t>Newgard</w:t>
      </w:r>
      <w:proofErr w:type="spellEnd"/>
      <w:r>
        <w:rPr>
          <w:rFonts w:ascii="Arial" w:hAnsi="Arial" w:cs="Arial"/>
          <w:sz w:val="20"/>
          <w:szCs w:val="20"/>
        </w:rPr>
        <w:t xml:space="preserve"> C. B.  Molecular and metabolic mechanisms of insulin resistance and b-cell failure in type 2 diabetes. Nature Reviews Molecular Cell Biology.2008; 9(3):193.</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Lontchi-Yimagou</w:t>
      </w:r>
      <w:proofErr w:type="spellEnd"/>
      <w:r>
        <w:rPr>
          <w:rFonts w:ascii="Arial" w:hAnsi="Arial" w:cs="Arial"/>
          <w:sz w:val="20"/>
          <w:szCs w:val="20"/>
        </w:rPr>
        <w:t xml:space="preserve"> E, </w:t>
      </w:r>
      <w:proofErr w:type="spellStart"/>
      <w:r>
        <w:rPr>
          <w:rFonts w:ascii="Arial" w:hAnsi="Arial" w:cs="Arial"/>
          <w:sz w:val="20"/>
          <w:szCs w:val="20"/>
        </w:rPr>
        <w:t>Sobngwi</w:t>
      </w:r>
      <w:proofErr w:type="spellEnd"/>
      <w:r>
        <w:rPr>
          <w:rFonts w:ascii="Arial" w:hAnsi="Arial" w:cs="Arial"/>
          <w:sz w:val="20"/>
          <w:szCs w:val="20"/>
        </w:rPr>
        <w:t xml:space="preserve"> E, </w:t>
      </w:r>
      <w:proofErr w:type="spellStart"/>
      <w:r>
        <w:rPr>
          <w:rFonts w:ascii="Arial" w:hAnsi="Arial" w:cs="Arial"/>
          <w:sz w:val="20"/>
          <w:szCs w:val="20"/>
        </w:rPr>
        <w:t>Matsha</w:t>
      </w:r>
      <w:proofErr w:type="spellEnd"/>
      <w:r>
        <w:rPr>
          <w:rFonts w:ascii="Arial" w:hAnsi="Arial" w:cs="Arial"/>
          <w:sz w:val="20"/>
          <w:szCs w:val="20"/>
        </w:rPr>
        <w:t xml:space="preserve"> T. E, </w:t>
      </w:r>
      <w:proofErr w:type="spellStart"/>
      <w:r>
        <w:rPr>
          <w:rFonts w:ascii="Arial" w:hAnsi="Arial" w:cs="Arial"/>
          <w:sz w:val="20"/>
          <w:szCs w:val="20"/>
        </w:rPr>
        <w:t>Kengne</w:t>
      </w:r>
      <w:proofErr w:type="spellEnd"/>
      <w:r>
        <w:rPr>
          <w:rFonts w:ascii="Arial" w:hAnsi="Arial" w:cs="Arial"/>
          <w:sz w:val="20"/>
          <w:szCs w:val="20"/>
        </w:rPr>
        <w:t xml:space="preserve"> A. P. Diabetes mellitus and </w:t>
      </w:r>
      <w:proofErr w:type="spellStart"/>
      <w:proofErr w:type="gramStart"/>
      <w:r>
        <w:rPr>
          <w:rFonts w:ascii="Arial" w:hAnsi="Arial" w:cs="Arial"/>
          <w:sz w:val="20"/>
          <w:szCs w:val="20"/>
        </w:rPr>
        <w:t>inflammation.Current</w:t>
      </w:r>
      <w:proofErr w:type="spellEnd"/>
      <w:proofErr w:type="gramEnd"/>
      <w:r>
        <w:rPr>
          <w:rFonts w:ascii="Arial" w:hAnsi="Arial" w:cs="Arial"/>
          <w:sz w:val="20"/>
          <w:szCs w:val="20"/>
        </w:rPr>
        <w:t xml:space="preserve"> Diabetes Reports. 2013; 13(3):435–444.</w:t>
      </w:r>
      <w:r>
        <w:rPr>
          <w:rFonts w:ascii="Arial" w:eastAsia="SofiaProLight" w:hAnsi="Arial" w:cs="Arial"/>
          <w:sz w:val="20"/>
          <w:szCs w:val="20"/>
        </w:rPr>
        <w:t xml:space="preserve"> </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SofiaProLight" w:hAnsi="Arial" w:cs="Arial"/>
          <w:sz w:val="20"/>
          <w:szCs w:val="20"/>
        </w:rPr>
        <w:t>WHO. QA manual for malaria microscopy. 2nd Edition. Geneva; 2015.</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SofiaProLight" w:hAnsi="Arial" w:cs="Arial"/>
          <w:sz w:val="20"/>
          <w:szCs w:val="20"/>
        </w:rPr>
        <w:t>WHO. National malaria slide bank standard operating procedures. Geneva; 2015 (in preparation)</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SofiaProLight" w:hAnsi="Arial" w:cs="Arial"/>
          <w:sz w:val="20"/>
          <w:szCs w:val="20"/>
        </w:rPr>
        <w:t xml:space="preserve"> </w:t>
      </w:r>
      <w:r>
        <w:rPr>
          <w:rFonts w:ascii="Arial" w:eastAsia="Times New Roman" w:hAnsi="Arial" w:cs="Arial"/>
          <w:sz w:val="20"/>
          <w:szCs w:val="20"/>
        </w:rPr>
        <w:t>WHO. Basic Malaria Microscopy, World Health Organization, Geneva. 2010. Switzerland,</w:t>
      </w:r>
      <w:hyperlink r:id="rId8" w:history="1">
        <w:r>
          <w:rPr>
            <w:rFonts w:ascii="Arial" w:eastAsia="Times New Roman" w:hAnsi="Arial" w:cs="Arial"/>
            <w:sz w:val="20"/>
            <w:szCs w:val="20"/>
          </w:rPr>
          <w:t>http://whqlibdoc.who.int/publications/2010/9789241547826_eng.pdf</w:t>
        </w:r>
      </w:hyperlink>
      <w:r>
        <w:rPr>
          <w:rFonts w:ascii="Arial" w:eastAsia="Times New Roman" w:hAnsi="Arial" w:cs="Arial"/>
          <w:sz w:val="20"/>
          <w:szCs w:val="20"/>
        </w:rPr>
        <w:t xml:space="preserve">. </w:t>
      </w:r>
    </w:p>
    <w:p>
      <w:pPr>
        <w:pStyle w:val="NormalWeb"/>
        <w:numPr>
          <w:ilvl w:val="0"/>
          <w:numId w:val="4"/>
        </w:numPr>
        <w:jc w:val="both"/>
        <w:rPr>
          <w:rFonts w:ascii="Arial" w:hAnsi="Arial" w:cs="Arial"/>
          <w:sz w:val="20"/>
          <w:szCs w:val="20"/>
        </w:rPr>
      </w:pPr>
      <w:proofErr w:type="spellStart"/>
      <w:r>
        <w:rPr>
          <w:rFonts w:ascii="Arial" w:hAnsi="Arial" w:cs="Arial"/>
          <w:sz w:val="20"/>
          <w:szCs w:val="20"/>
        </w:rPr>
        <w:t>Shelat</w:t>
      </w:r>
      <w:proofErr w:type="spellEnd"/>
      <w:r>
        <w:rPr>
          <w:rFonts w:ascii="Arial" w:hAnsi="Arial" w:cs="Arial"/>
          <w:sz w:val="20"/>
          <w:szCs w:val="20"/>
        </w:rPr>
        <w:t xml:space="preserve"> S. G, </w:t>
      </w:r>
      <w:proofErr w:type="spellStart"/>
      <w:r>
        <w:rPr>
          <w:rFonts w:ascii="Arial" w:hAnsi="Arial" w:cs="Arial"/>
          <w:sz w:val="20"/>
          <w:szCs w:val="20"/>
        </w:rPr>
        <w:t>Chacosky</w:t>
      </w:r>
      <w:proofErr w:type="spellEnd"/>
      <w:r>
        <w:rPr>
          <w:rFonts w:ascii="Arial" w:hAnsi="Arial" w:cs="Arial"/>
          <w:sz w:val="20"/>
          <w:szCs w:val="20"/>
        </w:rPr>
        <w:t xml:space="preserve"> D, Shibutani S. Differences in erythrocyte sedimentation rates using the Westergren method and a centrifugation method. Am J Clin </w:t>
      </w:r>
      <w:proofErr w:type="spellStart"/>
      <w:r>
        <w:rPr>
          <w:rFonts w:ascii="Arial" w:hAnsi="Arial" w:cs="Arial"/>
          <w:sz w:val="20"/>
          <w:szCs w:val="20"/>
        </w:rPr>
        <w:t>Pathol</w:t>
      </w:r>
      <w:proofErr w:type="spellEnd"/>
      <w:r>
        <w:rPr>
          <w:rFonts w:ascii="Arial" w:hAnsi="Arial" w:cs="Arial"/>
          <w:sz w:val="20"/>
          <w:szCs w:val="20"/>
        </w:rPr>
        <w:t xml:space="preserve">. </w:t>
      </w:r>
      <w:proofErr w:type="gramStart"/>
      <w:r>
        <w:rPr>
          <w:rFonts w:ascii="Arial" w:hAnsi="Arial" w:cs="Arial"/>
          <w:sz w:val="20"/>
          <w:szCs w:val="20"/>
        </w:rPr>
        <w:t>2008;130:127</w:t>
      </w:r>
      <w:proofErr w:type="gramEnd"/>
      <w:r>
        <w:rPr>
          <w:rFonts w:ascii="Arial" w:hAnsi="Arial" w:cs="Arial"/>
          <w:sz w:val="20"/>
          <w:szCs w:val="20"/>
        </w:rPr>
        <w:t xml:space="preserve">-30. </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McMillin J. M. Blood Glucose. In: Walker H. K, Hall W. D, Hurst J. W, editors. </w:t>
      </w:r>
      <w:r>
        <w:rPr>
          <w:rStyle w:val="ref-journal"/>
          <w:rFonts w:ascii="Arial" w:hAnsi="Arial" w:cs="Arial"/>
          <w:sz w:val="20"/>
          <w:szCs w:val="20"/>
        </w:rPr>
        <w:t>Clinical Methods: The History, Physical, and Laboratory Examinations.</w:t>
      </w:r>
      <w:r>
        <w:rPr>
          <w:rFonts w:ascii="Arial" w:hAnsi="Arial" w:cs="Arial"/>
          <w:sz w:val="20"/>
          <w:szCs w:val="20"/>
        </w:rPr>
        <w:t xml:space="preserve"> 3rd ed. Butterworths; Boston: 1990.</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Ambade</w:t>
      </w:r>
      <w:proofErr w:type="spellEnd"/>
      <w:r>
        <w:rPr>
          <w:rFonts w:ascii="Arial" w:hAnsi="Arial" w:cs="Arial"/>
          <w:sz w:val="20"/>
          <w:szCs w:val="20"/>
        </w:rPr>
        <w:t xml:space="preserve"> V. N, Sharma Y. V, </w:t>
      </w:r>
      <w:proofErr w:type="spellStart"/>
      <w:r>
        <w:rPr>
          <w:rFonts w:ascii="Arial" w:hAnsi="Arial" w:cs="Arial"/>
          <w:sz w:val="20"/>
          <w:szCs w:val="20"/>
        </w:rPr>
        <w:t>Somani</w:t>
      </w:r>
      <w:proofErr w:type="spellEnd"/>
      <w:r>
        <w:rPr>
          <w:rFonts w:ascii="Arial" w:hAnsi="Arial" w:cs="Arial"/>
          <w:sz w:val="20"/>
          <w:szCs w:val="20"/>
        </w:rPr>
        <w:t xml:space="preserve"> B. L. Methods for estimation of blood </w:t>
      </w:r>
      <w:proofErr w:type="gramStart"/>
      <w:r>
        <w:rPr>
          <w:rFonts w:ascii="Arial" w:hAnsi="Arial" w:cs="Arial"/>
          <w:sz w:val="20"/>
          <w:szCs w:val="20"/>
        </w:rPr>
        <w:t>glucose :</w:t>
      </w:r>
      <w:proofErr w:type="gramEnd"/>
      <w:r>
        <w:rPr>
          <w:rFonts w:ascii="Arial" w:hAnsi="Arial" w:cs="Arial"/>
          <w:sz w:val="20"/>
          <w:szCs w:val="20"/>
        </w:rPr>
        <w:t xml:space="preserve"> A comparative evaluation. </w:t>
      </w:r>
      <w:r>
        <w:rPr>
          <w:rStyle w:val="ref-journal"/>
          <w:rFonts w:ascii="Arial" w:hAnsi="Arial" w:cs="Arial"/>
          <w:sz w:val="20"/>
          <w:szCs w:val="20"/>
        </w:rPr>
        <w:t xml:space="preserve">Med J Armed Forces India. </w:t>
      </w:r>
      <w:r>
        <w:rPr>
          <w:rFonts w:ascii="Arial" w:hAnsi="Arial" w:cs="Arial"/>
          <w:sz w:val="20"/>
          <w:szCs w:val="20"/>
        </w:rPr>
        <w:t xml:space="preserve">1998; </w:t>
      </w:r>
      <w:r>
        <w:rPr>
          <w:rStyle w:val="ref-vol"/>
          <w:rFonts w:ascii="Arial" w:hAnsi="Arial" w:cs="Arial"/>
          <w:sz w:val="20"/>
          <w:szCs w:val="20"/>
        </w:rPr>
        <w:t>54</w:t>
      </w:r>
      <w:r>
        <w:rPr>
          <w:rFonts w:ascii="Arial" w:hAnsi="Arial" w:cs="Arial"/>
          <w:sz w:val="20"/>
          <w:szCs w:val="20"/>
        </w:rPr>
        <w:t>(2):131-133.</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Acquah S, </w:t>
      </w:r>
      <w:proofErr w:type="spellStart"/>
      <w:r>
        <w:rPr>
          <w:rFonts w:ascii="Arial" w:hAnsi="Arial" w:cs="Arial"/>
          <w:sz w:val="20"/>
          <w:szCs w:val="20"/>
        </w:rPr>
        <w:t>Boampong</w:t>
      </w:r>
      <w:proofErr w:type="spellEnd"/>
      <w:r>
        <w:rPr>
          <w:rFonts w:ascii="Arial" w:hAnsi="Arial" w:cs="Arial"/>
          <w:sz w:val="20"/>
          <w:szCs w:val="20"/>
        </w:rPr>
        <w:t xml:space="preserve"> J. N, Jnr E, </w:t>
      </w:r>
      <w:proofErr w:type="spellStart"/>
      <w:r>
        <w:rPr>
          <w:rFonts w:ascii="Arial" w:hAnsi="Arial" w:cs="Arial"/>
          <w:sz w:val="20"/>
          <w:szCs w:val="20"/>
        </w:rPr>
        <w:t>Ackon</w:t>
      </w:r>
      <w:proofErr w:type="spellEnd"/>
      <w:r>
        <w:rPr>
          <w:rFonts w:ascii="Arial" w:hAnsi="Arial" w:cs="Arial"/>
          <w:sz w:val="20"/>
          <w:szCs w:val="20"/>
        </w:rPr>
        <w:t xml:space="preserve"> B, Eriksson M.  Evidence of insulin resistance in adult uncomplicated malaria: result of a two-year prospective study. Malaria Research and Treatment, 2014: 136148. </w:t>
      </w:r>
      <w:proofErr w:type="spellStart"/>
      <w:r>
        <w:rPr>
          <w:rFonts w:ascii="Arial" w:hAnsi="Arial" w:cs="Arial"/>
          <w:sz w:val="20"/>
          <w:szCs w:val="20"/>
        </w:rPr>
        <w:t>doi</w:t>
      </w:r>
      <w:proofErr w:type="spellEnd"/>
      <w:r>
        <w:rPr>
          <w:rFonts w:ascii="Arial" w:hAnsi="Arial" w:cs="Arial"/>
          <w:sz w:val="20"/>
          <w:szCs w:val="20"/>
        </w:rPr>
        <w:t xml:space="preserve">: </w:t>
      </w:r>
      <w:hyperlink r:id="rId9" w:tgtFrame="_blank" w:history="1">
        <w:r>
          <w:rPr>
            <w:rStyle w:val="Hyperlink"/>
            <w:rFonts w:ascii="Arial" w:hAnsi="Arial" w:cs="Arial"/>
            <w:color w:val="auto"/>
            <w:sz w:val="20"/>
            <w:szCs w:val="20"/>
            <w:u w:val="none"/>
          </w:rPr>
          <w:t>10.1155/2014/136148</w:t>
        </w:r>
      </w:hyperlink>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Muller L, </w:t>
      </w:r>
      <w:proofErr w:type="spellStart"/>
      <w:r>
        <w:rPr>
          <w:rFonts w:ascii="Arial" w:hAnsi="Arial" w:cs="Arial"/>
          <w:sz w:val="20"/>
          <w:szCs w:val="20"/>
        </w:rPr>
        <w:t>Gorter</w:t>
      </w:r>
      <w:proofErr w:type="spellEnd"/>
      <w:r>
        <w:rPr>
          <w:rFonts w:ascii="Arial" w:hAnsi="Arial" w:cs="Arial"/>
          <w:sz w:val="20"/>
          <w:szCs w:val="20"/>
        </w:rPr>
        <w:t xml:space="preserve"> K. J, </w:t>
      </w:r>
      <w:proofErr w:type="spellStart"/>
      <w:r>
        <w:rPr>
          <w:rFonts w:ascii="Arial" w:hAnsi="Arial" w:cs="Arial"/>
          <w:sz w:val="20"/>
          <w:szCs w:val="20"/>
        </w:rPr>
        <w:t>Hak</w:t>
      </w:r>
      <w:proofErr w:type="spellEnd"/>
      <w:r>
        <w:rPr>
          <w:rFonts w:ascii="Arial" w:hAnsi="Arial" w:cs="Arial"/>
          <w:sz w:val="20"/>
          <w:szCs w:val="20"/>
        </w:rPr>
        <w:t xml:space="preserve"> E, </w:t>
      </w:r>
      <w:proofErr w:type="spellStart"/>
      <w:r>
        <w:rPr>
          <w:rFonts w:ascii="Arial" w:hAnsi="Arial" w:cs="Arial"/>
          <w:sz w:val="20"/>
          <w:szCs w:val="20"/>
        </w:rPr>
        <w:t>Goudzwaard</w:t>
      </w:r>
      <w:proofErr w:type="spellEnd"/>
      <w:r>
        <w:rPr>
          <w:rFonts w:ascii="Arial" w:hAnsi="Arial" w:cs="Arial"/>
          <w:sz w:val="20"/>
          <w:szCs w:val="20"/>
        </w:rPr>
        <w:t xml:space="preserve"> W, </w:t>
      </w:r>
      <w:proofErr w:type="spellStart"/>
      <w:r>
        <w:rPr>
          <w:rFonts w:ascii="Arial" w:hAnsi="Arial" w:cs="Arial"/>
          <w:sz w:val="20"/>
          <w:szCs w:val="20"/>
        </w:rPr>
        <w:t>Schellevis</w:t>
      </w:r>
      <w:proofErr w:type="spellEnd"/>
      <w:r>
        <w:rPr>
          <w:rFonts w:ascii="Arial" w:hAnsi="Arial" w:cs="Arial"/>
          <w:sz w:val="20"/>
          <w:szCs w:val="20"/>
        </w:rPr>
        <w:t xml:space="preserve"> F, </w:t>
      </w:r>
      <w:proofErr w:type="spellStart"/>
      <w:r>
        <w:rPr>
          <w:rFonts w:ascii="Arial" w:hAnsi="Arial" w:cs="Arial"/>
          <w:sz w:val="20"/>
          <w:szCs w:val="20"/>
        </w:rPr>
        <w:t>Hoepelman</w:t>
      </w:r>
      <w:proofErr w:type="spellEnd"/>
      <w:r>
        <w:rPr>
          <w:rFonts w:ascii="Arial" w:hAnsi="Arial" w:cs="Arial"/>
          <w:sz w:val="20"/>
          <w:szCs w:val="20"/>
        </w:rPr>
        <w:t xml:space="preserve"> A, Rutten G. (2005). Increased risk of common infections in patients with type 1 and type 2 diabetes mellitus. Clinical Infectious Diseases.2005; 41(3):281–288.</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Bousema</w:t>
      </w:r>
      <w:proofErr w:type="spellEnd"/>
      <w:r>
        <w:rPr>
          <w:rFonts w:ascii="Arial" w:hAnsi="Arial" w:cs="Arial"/>
          <w:sz w:val="20"/>
          <w:szCs w:val="20"/>
        </w:rPr>
        <w:t xml:space="preserve"> T, </w:t>
      </w:r>
      <w:proofErr w:type="spellStart"/>
      <w:r>
        <w:rPr>
          <w:rFonts w:ascii="Arial" w:hAnsi="Arial" w:cs="Arial"/>
          <w:sz w:val="20"/>
          <w:szCs w:val="20"/>
        </w:rPr>
        <w:t>Okell</w:t>
      </w:r>
      <w:proofErr w:type="spellEnd"/>
      <w:r>
        <w:rPr>
          <w:rFonts w:ascii="Arial" w:hAnsi="Arial" w:cs="Arial"/>
          <w:sz w:val="20"/>
          <w:szCs w:val="20"/>
        </w:rPr>
        <w:t xml:space="preserve"> L, </w:t>
      </w:r>
      <w:proofErr w:type="spellStart"/>
      <w:r>
        <w:rPr>
          <w:rFonts w:ascii="Arial" w:hAnsi="Arial" w:cs="Arial"/>
          <w:sz w:val="20"/>
          <w:szCs w:val="20"/>
        </w:rPr>
        <w:t>Felger</w:t>
      </w:r>
      <w:proofErr w:type="spellEnd"/>
      <w:r>
        <w:rPr>
          <w:rFonts w:ascii="Arial" w:hAnsi="Arial" w:cs="Arial"/>
          <w:sz w:val="20"/>
          <w:szCs w:val="20"/>
        </w:rPr>
        <w:t xml:space="preserve"> I, </w:t>
      </w:r>
      <w:proofErr w:type="spellStart"/>
      <w:r>
        <w:rPr>
          <w:rFonts w:ascii="Arial" w:hAnsi="Arial" w:cs="Arial"/>
          <w:sz w:val="20"/>
          <w:szCs w:val="20"/>
        </w:rPr>
        <w:t>Drakeley</w:t>
      </w:r>
      <w:proofErr w:type="spellEnd"/>
      <w:r>
        <w:rPr>
          <w:rFonts w:ascii="Arial" w:hAnsi="Arial" w:cs="Arial"/>
          <w:sz w:val="20"/>
          <w:szCs w:val="20"/>
        </w:rPr>
        <w:t xml:space="preserve"> C. Asymptomatic malaria infections: detectability, transmissibility and public health relevance. Nat Rev Microbiol. 2014;12: 833–40.</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Salgado C, </w:t>
      </w:r>
      <w:proofErr w:type="spellStart"/>
      <w:r>
        <w:rPr>
          <w:rFonts w:ascii="Arial" w:hAnsi="Arial" w:cs="Arial"/>
          <w:sz w:val="20"/>
          <w:szCs w:val="20"/>
        </w:rPr>
        <w:t>Ayodo</w:t>
      </w:r>
      <w:proofErr w:type="spellEnd"/>
      <w:r>
        <w:rPr>
          <w:rFonts w:ascii="Arial" w:hAnsi="Arial" w:cs="Arial"/>
          <w:sz w:val="20"/>
          <w:szCs w:val="20"/>
        </w:rPr>
        <w:t xml:space="preserve"> G, Macklin M.D. </w:t>
      </w:r>
      <w:r>
        <w:rPr>
          <w:rFonts w:ascii="Arial" w:hAnsi="Arial" w:cs="Arial"/>
          <w:i/>
          <w:iCs/>
          <w:sz w:val="20"/>
          <w:szCs w:val="20"/>
        </w:rPr>
        <w:t>et al.</w:t>
      </w:r>
      <w:r>
        <w:rPr>
          <w:rFonts w:ascii="Arial" w:hAnsi="Arial" w:cs="Arial"/>
          <w:sz w:val="20"/>
          <w:szCs w:val="20"/>
        </w:rPr>
        <w:t xml:space="preserve"> The prevalence and density of asymptomatic </w:t>
      </w:r>
      <w:r>
        <w:rPr>
          <w:rFonts w:ascii="Arial" w:hAnsi="Arial" w:cs="Arial"/>
          <w:i/>
          <w:iCs/>
          <w:sz w:val="20"/>
          <w:szCs w:val="20"/>
        </w:rPr>
        <w:t>Plasmodium falciparum</w:t>
      </w:r>
      <w:r>
        <w:rPr>
          <w:rFonts w:ascii="Arial" w:hAnsi="Arial" w:cs="Arial"/>
          <w:sz w:val="20"/>
          <w:szCs w:val="20"/>
        </w:rPr>
        <w:t xml:space="preserve"> infections among children and adults in three communities of western Kenya. </w:t>
      </w:r>
      <w:r>
        <w:rPr>
          <w:rFonts w:ascii="Arial" w:hAnsi="Arial" w:cs="Arial"/>
          <w:i/>
          <w:iCs/>
          <w:sz w:val="20"/>
          <w:szCs w:val="20"/>
        </w:rPr>
        <w:t>Malar J</w:t>
      </w:r>
      <w:r>
        <w:rPr>
          <w:rFonts w:ascii="Arial" w:hAnsi="Arial" w:cs="Arial"/>
          <w:sz w:val="20"/>
          <w:szCs w:val="20"/>
        </w:rPr>
        <w:t xml:space="preserve"> </w:t>
      </w:r>
      <w:r>
        <w:rPr>
          <w:rFonts w:ascii="Arial" w:hAnsi="Arial" w:cs="Arial"/>
          <w:b/>
          <w:bCs/>
          <w:sz w:val="20"/>
          <w:szCs w:val="20"/>
        </w:rPr>
        <w:t>20</w:t>
      </w:r>
      <w:r>
        <w:rPr>
          <w:rFonts w:ascii="Arial" w:hAnsi="Arial" w:cs="Arial"/>
          <w:sz w:val="20"/>
          <w:szCs w:val="20"/>
        </w:rPr>
        <w:t xml:space="preserve">, 371 (2021). </w:t>
      </w:r>
      <w:hyperlink r:id="rId10" w:history="1">
        <w:r>
          <w:rPr>
            <w:rStyle w:val="Hyperlink"/>
            <w:rFonts w:ascii="Arial" w:hAnsi="Arial" w:cs="Arial"/>
            <w:color w:val="auto"/>
            <w:sz w:val="20"/>
            <w:szCs w:val="20"/>
            <w:u w:val="none"/>
          </w:rPr>
          <w:t>https://doi.org/10.1186/s12936-021-03905</w:t>
        </w:r>
      </w:hyperlink>
      <w:r>
        <w:rPr>
          <w:rFonts w:ascii="Arial" w:hAnsi="Arial" w:cs="Arial"/>
          <w:sz w:val="20"/>
          <w:szCs w:val="20"/>
        </w:rPr>
        <w:t>.</w:t>
      </w:r>
    </w:p>
    <w:p>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Times New Roman" w:hAnsi="Arial" w:cs="Arial"/>
          <w:iCs/>
          <w:sz w:val="20"/>
          <w:szCs w:val="20"/>
        </w:rPr>
        <w:lastRenderedPageBreak/>
        <w:t xml:space="preserve">Wyss K, </w:t>
      </w:r>
      <w:proofErr w:type="spellStart"/>
      <w:r>
        <w:rPr>
          <w:rFonts w:ascii="Arial" w:eastAsia="Times New Roman" w:hAnsi="Arial" w:cs="Arial"/>
          <w:iCs/>
          <w:sz w:val="20"/>
          <w:szCs w:val="20"/>
        </w:rPr>
        <w:t>Wångdahl</w:t>
      </w:r>
      <w:proofErr w:type="spellEnd"/>
      <w:r>
        <w:rPr>
          <w:rFonts w:ascii="Arial" w:eastAsia="Times New Roman" w:hAnsi="Arial" w:cs="Arial"/>
          <w:iCs/>
          <w:sz w:val="20"/>
          <w:szCs w:val="20"/>
        </w:rPr>
        <w:t xml:space="preserve"> A, </w:t>
      </w:r>
      <w:proofErr w:type="spellStart"/>
      <w:r>
        <w:rPr>
          <w:rFonts w:ascii="Arial" w:eastAsia="Times New Roman" w:hAnsi="Arial" w:cs="Arial"/>
          <w:iCs/>
          <w:sz w:val="20"/>
          <w:szCs w:val="20"/>
        </w:rPr>
        <w:t>Vesterlund</w:t>
      </w:r>
      <w:proofErr w:type="spellEnd"/>
      <w:r>
        <w:rPr>
          <w:rFonts w:ascii="Arial" w:eastAsia="Times New Roman" w:hAnsi="Arial" w:cs="Arial"/>
          <w:iCs/>
          <w:sz w:val="20"/>
          <w:szCs w:val="20"/>
        </w:rPr>
        <w:t xml:space="preserve"> M, </w:t>
      </w:r>
      <w:proofErr w:type="spellStart"/>
      <w:r>
        <w:rPr>
          <w:rFonts w:ascii="Arial" w:eastAsia="Times New Roman" w:hAnsi="Arial" w:cs="Arial"/>
          <w:iCs/>
          <w:sz w:val="20"/>
          <w:szCs w:val="20"/>
        </w:rPr>
        <w:t>Hammar</w:t>
      </w:r>
      <w:proofErr w:type="spellEnd"/>
      <w:r>
        <w:rPr>
          <w:rFonts w:ascii="Arial" w:eastAsia="Times New Roman" w:hAnsi="Arial" w:cs="Arial"/>
          <w:iCs/>
          <w:sz w:val="20"/>
          <w:szCs w:val="20"/>
        </w:rPr>
        <w:t xml:space="preserve"> U, </w:t>
      </w:r>
      <w:proofErr w:type="spellStart"/>
      <w:r>
        <w:rPr>
          <w:rFonts w:ascii="Arial" w:eastAsia="Times New Roman" w:hAnsi="Arial" w:cs="Arial"/>
          <w:iCs/>
          <w:sz w:val="20"/>
          <w:szCs w:val="20"/>
        </w:rPr>
        <w:t>Dashti</w:t>
      </w:r>
      <w:proofErr w:type="spellEnd"/>
      <w:r>
        <w:rPr>
          <w:rFonts w:ascii="Arial" w:eastAsia="Times New Roman" w:hAnsi="Arial" w:cs="Arial"/>
          <w:iCs/>
          <w:sz w:val="20"/>
          <w:szCs w:val="20"/>
        </w:rPr>
        <w:t xml:space="preserve"> S, </w:t>
      </w:r>
      <w:proofErr w:type="spellStart"/>
      <w:r>
        <w:rPr>
          <w:rFonts w:ascii="Arial" w:eastAsia="Times New Roman" w:hAnsi="Arial" w:cs="Arial"/>
          <w:iCs/>
          <w:sz w:val="20"/>
          <w:szCs w:val="20"/>
        </w:rPr>
        <w:t>Naucler</w:t>
      </w:r>
      <w:proofErr w:type="spellEnd"/>
      <w:r>
        <w:rPr>
          <w:rFonts w:ascii="Arial" w:eastAsia="Times New Roman" w:hAnsi="Arial" w:cs="Arial"/>
          <w:iCs/>
          <w:sz w:val="20"/>
          <w:szCs w:val="20"/>
        </w:rPr>
        <w:t xml:space="preserve"> P, et al. Obesity and diabetes as risk factors for severe Plasmodium falciparum malaria: Results from a Swedish nationwide study. Clin Infect Dis. 2017; 65:949–58.</w:t>
      </w:r>
    </w:p>
    <w:p>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eastAsia="Times New Roman" w:hAnsi="Arial" w:cs="Arial"/>
          <w:iCs/>
          <w:sz w:val="20"/>
          <w:szCs w:val="20"/>
        </w:rPr>
        <w:t>On'kin</w:t>
      </w:r>
      <w:proofErr w:type="spellEnd"/>
      <w:r>
        <w:rPr>
          <w:rFonts w:ascii="Arial" w:eastAsia="Times New Roman" w:hAnsi="Arial" w:cs="Arial"/>
          <w:iCs/>
          <w:sz w:val="20"/>
          <w:szCs w:val="20"/>
        </w:rPr>
        <w:t xml:space="preserve"> J.B. K. L, Longo-</w:t>
      </w:r>
      <w:proofErr w:type="spellStart"/>
      <w:r>
        <w:rPr>
          <w:rFonts w:ascii="Arial" w:eastAsia="Times New Roman" w:hAnsi="Arial" w:cs="Arial"/>
          <w:iCs/>
          <w:sz w:val="20"/>
          <w:szCs w:val="20"/>
        </w:rPr>
        <w:t>Mbenza</w:t>
      </w:r>
      <w:proofErr w:type="spellEnd"/>
      <w:r>
        <w:rPr>
          <w:rFonts w:ascii="Arial" w:eastAsia="Times New Roman" w:hAnsi="Arial" w:cs="Arial"/>
          <w:iCs/>
          <w:sz w:val="20"/>
          <w:szCs w:val="20"/>
        </w:rPr>
        <w:t xml:space="preserve"> B, </w:t>
      </w:r>
      <w:proofErr w:type="spellStart"/>
      <w:r>
        <w:rPr>
          <w:rFonts w:ascii="Arial" w:eastAsia="Times New Roman" w:hAnsi="Arial" w:cs="Arial"/>
          <w:iCs/>
          <w:sz w:val="20"/>
          <w:szCs w:val="20"/>
        </w:rPr>
        <w:t>Tchokonte</w:t>
      </w:r>
      <w:proofErr w:type="spellEnd"/>
      <w:r>
        <w:rPr>
          <w:rFonts w:ascii="Arial" w:eastAsia="Times New Roman" w:hAnsi="Arial" w:cs="Arial"/>
          <w:iCs/>
          <w:sz w:val="20"/>
          <w:szCs w:val="20"/>
        </w:rPr>
        <w:t xml:space="preserve">-Nana V, </w:t>
      </w:r>
      <w:proofErr w:type="spellStart"/>
      <w:r>
        <w:rPr>
          <w:rFonts w:ascii="Arial" w:eastAsia="Times New Roman" w:hAnsi="Arial" w:cs="Arial"/>
          <w:iCs/>
          <w:sz w:val="20"/>
          <w:szCs w:val="20"/>
        </w:rPr>
        <w:t>Okwe</w:t>
      </w:r>
      <w:proofErr w:type="spellEnd"/>
      <w:r>
        <w:rPr>
          <w:rFonts w:ascii="Arial" w:eastAsia="Times New Roman" w:hAnsi="Arial" w:cs="Arial"/>
          <w:iCs/>
          <w:sz w:val="20"/>
          <w:szCs w:val="20"/>
        </w:rPr>
        <w:t xml:space="preserve"> A. N, </w:t>
      </w:r>
      <w:proofErr w:type="spellStart"/>
      <w:r>
        <w:rPr>
          <w:rFonts w:ascii="Arial" w:eastAsia="Times New Roman" w:hAnsi="Arial" w:cs="Arial"/>
          <w:iCs/>
          <w:sz w:val="20"/>
          <w:szCs w:val="20"/>
        </w:rPr>
        <w:t>Kabangu</w:t>
      </w:r>
      <w:proofErr w:type="spellEnd"/>
      <w:r>
        <w:rPr>
          <w:rFonts w:ascii="Arial" w:eastAsia="Times New Roman" w:hAnsi="Arial" w:cs="Arial"/>
          <w:iCs/>
          <w:sz w:val="20"/>
          <w:szCs w:val="20"/>
        </w:rPr>
        <w:t xml:space="preserve"> N. K. Hyperbolic relation between beta-cell function and insulin sensitivity for type 2 diabetes mellitus, malaria, influenza, Helicobacter pylori, Chlamydia pneumoniae, and Hepatitis C virus infection-induced inflammation/oxidative stress and temporary insulin resistance in central. Africans Turk J Med Sci. 2017; 47:1834–41.</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ProLight">
    <w:altName w:val="MS Mincho"/>
    <w:panose1 w:val="00000000000000000000"/>
    <w:charset w:val="80"/>
    <w:family w:val="auto"/>
    <w:notTrueType/>
    <w:pitch w:val="default"/>
    <w:sig w:usb0="00000001" w:usb1="08070000" w:usb2="00000010" w:usb3="00000000" w:csb0="00020000" w:csb1="00000000"/>
  </w:font>
  <w:font w:name="SofiaProLight-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70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C76"/>
    <w:multiLevelType w:val="hybridMultilevel"/>
    <w:tmpl w:val="7042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2B23"/>
    <w:multiLevelType w:val="multilevel"/>
    <w:tmpl w:val="490A860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4D8A5996"/>
    <w:multiLevelType w:val="hybridMultilevel"/>
    <w:tmpl w:val="EE72142E"/>
    <w:lvl w:ilvl="0" w:tplc="FA9CE6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64BA0"/>
    <w:multiLevelType w:val="hybridMultilevel"/>
    <w:tmpl w:val="78F8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ules>
    </o:shapelayout>
  </w:shapeDefaults>
  <w:decimalSymbol w:val="."/>
  <w:listSeparator w:val=","/>
  <w15:docId w15:val="{C6C25E4D-1D8A-482F-966C-FB51C91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journal">
    <w:name w:val="ref-journal"/>
    <w:basedOn w:val="DefaultParagraphFont"/>
  </w:style>
  <w:style w:type="character" w:customStyle="1" w:styleId="ref-vol">
    <w:name w:val="ref-vol"/>
    <w:basedOn w:val="DefaultParagraphFont"/>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qlibdoc.who.int/publications/2010/9789241547826_eng.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86/s12936-021-03905" TargetMode="External"/><Relationship Id="rId4" Type="http://schemas.openxmlformats.org/officeDocument/2006/relationships/webSettings" Target="webSettings.xml"/><Relationship Id="rId9" Type="http://schemas.openxmlformats.org/officeDocument/2006/relationships/hyperlink" Target="https://doi.org/10.1155/2014/136148"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Pictures\FOR%20PAPER%20WRING%20IN%20GRP%201%20AND%20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Sheet2!$AI$41</c:f>
              <c:strCache>
                <c:ptCount val="1"/>
                <c:pt idx="0">
                  <c:v>N</c:v>
                </c:pt>
              </c:strCache>
            </c:strRef>
          </c:tx>
          <c:explosion val="25"/>
          <c:cat>
            <c:strRef>
              <c:f>Sheet2!$AJ$40:$AK$40</c:f>
              <c:strCache>
                <c:ptCount val="2"/>
                <c:pt idx="0">
                  <c:v>MildMPD</c:v>
                </c:pt>
                <c:pt idx="1">
                  <c:v>ModMPD</c:v>
                </c:pt>
              </c:strCache>
            </c:strRef>
          </c:cat>
          <c:val>
            <c:numRef>
              <c:f>Sheet2!$AJ$41:$AK$41</c:f>
              <c:numCache>
                <c:formatCode>General</c:formatCode>
                <c:ptCount val="2"/>
                <c:pt idx="0">
                  <c:v>53</c:v>
                </c:pt>
                <c:pt idx="1">
                  <c:v>17</c:v>
                </c:pt>
              </c:numCache>
            </c:numRef>
          </c:val>
          <c:extLst>
            <c:ext xmlns:c16="http://schemas.microsoft.com/office/drawing/2014/chart" uri="{C3380CC4-5D6E-409C-BE32-E72D297353CC}">
              <c16:uniqueId val="{00000000-D9CA-4902-B291-1777A8C337FB}"/>
            </c:ext>
          </c:extLst>
        </c:ser>
        <c:ser>
          <c:idx val="1"/>
          <c:order val="1"/>
          <c:explosion val="25"/>
          <c:cat>
            <c:strRef>
              <c:f>Sheet2!$AJ$40:$AK$40</c:f>
              <c:strCache>
                <c:ptCount val="2"/>
                <c:pt idx="0">
                  <c:v>MildMPD</c:v>
                </c:pt>
                <c:pt idx="1">
                  <c:v>ModMPD</c:v>
                </c:pt>
              </c:strCache>
            </c:strRef>
          </c:cat>
          <c:val>
            <c:numRef>
              <c:f>Sheet2!$AJ$42:$AK$42</c:f>
              <c:numCache>
                <c:formatCode>General</c:formatCode>
                <c:ptCount val="2"/>
                <c:pt idx="0">
                  <c:v>75.7</c:v>
                </c:pt>
                <c:pt idx="1">
                  <c:v>24.3</c:v>
                </c:pt>
              </c:numCache>
            </c:numRef>
          </c:val>
          <c:extLst>
            <c:ext xmlns:c16="http://schemas.microsoft.com/office/drawing/2014/chart" uri="{C3380CC4-5D6E-409C-BE32-E72D297353CC}">
              <c16:uniqueId val="{00000001-D9CA-4902-B291-1777A8C337F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8</Pages>
  <Words>3840</Words>
  <Characters>21890</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TYPE OF ARTICLE: ORIGINAL RESEARCH ARTICLE</vt:lpstr>
      <vt:lpstr>1 Department of Medical Laboratory Science, Faculty of Allied Health Sciences,  </vt:lpstr>
      <vt:lpstr>CORRESPONDING AUTHOR DETAILS</vt:lpstr>
      <vt:lpstr>Ngwu Amauche Martina</vt:lpstr>
      <vt:lpstr>Department of Medical Laboratory Science</vt:lpstr>
      <vt:lpstr>Faculty of Allied Health Sciences  	</vt:lpstr>
      <vt:lpstr>Enugu State University of Science and Technology</vt:lpstr>
      <vt:lpstr>PMB  01660, </vt:lpstr>
      <vt:lpstr>Enugu, </vt:lpstr>
      <vt:lpstr>Nigeria</vt:lpstr>
      <vt:lpstr>+234 8037345378</vt:lpstr>
      <vt:lpstr>amauche.ngwu@esut.edu.ng</vt:lpstr>
      <vt:lpstr>Short Running Title: Assessment of malaria parasite density in asymptomatic adul</vt:lpstr>
      <vt:lpstr>Guarantor of submission: The corresponding author is the guarantor of submission</vt:lpstr>
      <vt:lpstr>    Methods</vt:lpstr>
      <vt:lpstr>        2.1 Study design</vt:lpstr>
      <vt:lpstr>        2.2 Inclusion and exclusion criteria</vt:lpstr>
      <vt:lpstr>        2.3 Selection of subjects</vt:lpstr>
      <vt:lpstr>        2.4 Sample collection</vt:lpstr>
      <vt:lpstr>        2.5 Laboratory methods</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1170</cp:lastModifiedBy>
  <cp:revision>54</cp:revision>
  <dcterms:created xsi:type="dcterms:W3CDTF">2025-07-01T07:27:00Z</dcterms:created>
  <dcterms:modified xsi:type="dcterms:W3CDTF">2025-07-02T11:26:00Z</dcterms:modified>
</cp:coreProperties>
</file>