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774F3" w14:textId="77777777" w:rsidR="00FE1FD7" w:rsidRDefault="00FE1FD7">
      <w:pPr>
        <w:pBdr>
          <w:top w:val="nil"/>
          <w:left w:val="nil"/>
          <w:bottom w:val="nil"/>
          <w:right w:val="nil"/>
          <w:between w:val="nil"/>
        </w:pBdr>
        <w:jc w:val="both"/>
        <w:rPr>
          <w:rFonts w:ascii="Arial" w:eastAsia="Arial" w:hAnsi="Arial" w:cs="Arial"/>
          <w:b/>
          <w:color w:val="000000"/>
          <w:sz w:val="36"/>
          <w:szCs w:val="36"/>
        </w:rPr>
      </w:pPr>
    </w:p>
    <w:p w14:paraId="278E8351" w14:textId="77777777" w:rsidR="00FE1FD7" w:rsidRPr="00580C7C" w:rsidRDefault="000A1DD5">
      <w:pPr>
        <w:pBdr>
          <w:top w:val="nil"/>
          <w:left w:val="nil"/>
          <w:bottom w:val="nil"/>
          <w:right w:val="nil"/>
          <w:between w:val="nil"/>
        </w:pBdr>
        <w:jc w:val="right"/>
        <w:rPr>
          <w:rFonts w:ascii="Arial" w:eastAsia="Arial" w:hAnsi="Arial" w:cs="Arial"/>
          <w:b/>
          <w:color w:val="000000"/>
          <w:sz w:val="36"/>
          <w:szCs w:val="36"/>
          <w:lang w:val="en-US"/>
        </w:rPr>
      </w:pPr>
      <w:r w:rsidRPr="00580C7C">
        <w:rPr>
          <w:rFonts w:ascii="Arial" w:eastAsia="Arial" w:hAnsi="Arial" w:cs="Arial"/>
          <w:b/>
          <w:color w:val="000000"/>
          <w:sz w:val="36"/>
          <w:szCs w:val="36"/>
          <w:lang w:val="en-US"/>
        </w:rPr>
        <w:t xml:space="preserve">Optical Simulations of CaWO4: A Theoretical Perspective using </w:t>
      </w:r>
      <w:proofErr w:type="spellStart"/>
      <w:r w:rsidRPr="00580C7C">
        <w:rPr>
          <w:rFonts w:ascii="Arial" w:eastAsia="Arial" w:hAnsi="Arial" w:cs="Arial"/>
          <w:b/>
          <w:color w:val="000000"/>
          <w:sz w:val="36"/>
          <w:szCs w:val="36"/>
          <w:lang w:val="en-US"/>
        </w:rPr>
        <w:t>Castep</w:t>
      </w:r>
      <w:proofErr w:type="spellEnd"/>
    </w:p>
    <w:p w14:paraId="0B5CCCE8" w14:textId="3420A2BB" w:rsidR="00C03F9D" w:rsidRPr="00BE10B7" w:rsidRDefault="00C03F9D" w:rsidP="00C03F9D">
      <w:pPr>
        <w:pBdr>
          <w:top w:val="nil"/>
          <w:left w:val="nil"/>
          <w:bottom w:val="nil"/>
          <w:right w:val="nil"/>
          <w:between w:val="nil"/>
        </w:pBdr>
        <w:jc w:val="right"/>
        <w:rPr>
          <w:rFonts w:ascii="Arial" w:eastAsia="Arial" w:hAnsi="Arial" w:cs="Arial"/>
          <w:i/>
          <w:color w:val="000000"/>
          <w:sz w:val="21"/>
          <w:szCs w:val="21"/>
          <w:vertAlign w:val="superscript"/>
        </w:rPr>
      </w:pPr>
      <w:r>
        <w:rPr>
          <w:rFonts w:ascii="Arial" w:eastAsia="Arial" w:hAnsi="Arial" w:cs="Arial"/>
          <w:i/>
          <w:color w:val="000000"/>
          <w:sz w:val="21"/>
          <w:szCs w:val="21"/>
          <w:vertAlign w:val="superscript"/>
        </w:rPr>
        <w:t xml:space="preserve"> </w:t>
      </w:r>
    </w:p>
    <w:p w14:paraId="56FA3B57" w14:textId="77777777" w:rsidR="00FE1FD7" w:rsidRPr="00BE10B7" w:rsidRDefault="00FE1FD7">
      <w:pPr>
        <w:pBdr>
          <w:top w:val="nil"/>
          <w:left w:val="nil"/>
          <w:bottom w:val="nil"/>
          <w:right w:val="nil"/>
          <w:between w:val="nil"/>
        </w:pBdr>
        <w:jc w:val="both"/>
        <w:rPr>
          <w:rFonts w:ascii="Arial" w:eastAsia="Arial" w:hAnsi="Arial" w:cs="Arial"/>
          <w:color w:val="000000"/>
        </w:rPr>
      </w:pPr>
    </w:p>
    <w:p w14:paraId="58C34F12" w14:textId="77777777" w:rsidR="00FE1FD7" w:rsidRPr="00BE10B7" w:rsidRDefault="00FE1FD7">
      <w:pPr>
        <w:pBdr>
          <w:top w:val="nil"/>
          <w:left w:val="nil"/>
          <w:bottom w:val="nil"/>
          <w:right w:val="nil"/>
          <w:between w:val="nil"/>
        </w:pBdr>
        <w:jc w:val="both"/>
        <w:rPr>
          <w:rFonts w:ascii="Arial" w:eastAsia="Arial" w:hAnsi="Arial" w:cs="Arial"/>
          <w:color w:val="000000"/>
        </w:rPr>
      </w:pPr>
    </w:p>
    <w:p w14:paraId="57BD56E8" w14:textId="77777777" w:rsidR="00FE1FD7" w:rsidRPr="00BE10B7" w:rsidRDefault="00FE1FD7">
      <w:pPr>
        <w:pBdr>
          <w:top w:val="nil"/>
          <w:left w:val="nil"/>
          <w:bottom w:val="nil"/>
          <w:right w:val="nil"/>
          <w:between w:val="nil"/>
        </w:pBdr>
        <w:jc w:val="both"/>
        <w:rPr>
          <w:rFonts w:ascii="Helvetica Neue" w:eastAsia="Helvetica Neue" w:hAnsi="Helvetica Neue" w:cs="Helvetica Neue"/>
          <w:color w:val="000000"/>
          <w:sz w:val="16"/>
          <w:szCs w:val="16"/>
        </w:rPr>
        <w:sectPr w:rsidR="00FE1FD7" w:rsidRPr="00BE10B7" w:rsidSect="00B81B2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15BBD54E" w14:textId="77777777" w:rsidR="00FE1FD7" w:rsidRDefault="000A1DD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1F2CEB3" w14:textId="77777777" w:rsidR="00FE1FD7" w:rsidRDefault="00FE1FD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8"/>
      </w:tblGrid>
      <w:tr w:rsidR="00FE1FD7" w:rsidRPr="00BE10B7" w14:paraId="09FE888E" w14:textId="77777777">
        <w:tc>
          <w:tcPr>
            <w:tcW w:w="8198" w:type="dxa"/>
            <w:tcBorders>
              <w:top w:val="single" w:sz="4" w:space="0" w:color="000000"/>
              <w:left w:val="single" w:sz="4" w:space="0" w:color="000000"/>
              <w:bottom w:val="single" w:sz="4" w:space="0" w:color="000000"/>
              <w:right w:val="single" w:sz="4" w:space="0" w:color="000000"/>
            </w:tcBorders>
            <w:shd w:val="clear" w:color="auto" w:fill="F2F2F2"/>
          </w:tcPr>
          <w:p w14:paraId="5B7456B5" w14:textId="77777777" w:rsidR="00580C7C" w:rsidRPr="00580C7C" w:rsidRDefault="00580C7C" w:rsidP="00580C7C">
            <w:pPr>
              <w:pBdr>
                <w:top w:val="nil"/>
                <w:left w:val="nil"/>
                <w:bottom w:val="nil"/>
                <w:right w:val="nil"/>
                <w:between w:val="nil"/>
              </w:pBdr>
              <w:spacing w:before="240" w:after="240"/>
              <w:jc w:val="both"/>
              <w:rPr>
                <w:rFonts w:ascii="Helvetica Neue" w:eastAsia="Helvetica Neue" w:hAnsi="Helvetica Neue" w:cs="Helvetica Neue"/>
                <w:bCs/>
                <w:color w:val="000000"/>
                <w:lang w:val="en-US"/>
              </w:rPr>
            </w:pPr>
            <w:r w:rsidRPr="00580C7C">
              <w:rPr>
                <w:rFonts w:ascii="Helvetica Neue" w:eastAsia="Helvetica Neue" w:hAnsi="Helvetica Neue" w:cs="Helvetica Neue"/>
                <w:b/>
                <w:bCs/>
                <w:color w:val="000000"/>
                <w:lang w:val="en-US"/>
              </w:rPr>
              <w:t>Aims:</w:t>
            </w:r>
            <w:r w:rsidRPr="00580C7C">
              <w:rPr>
                <w:rFonts w:ascii="Helvetica Neue" w:eastAsia="Helvetica Neue" w:hAnsi="Helvetica Neue" w:cs="Helvetica Neue"/>
                <w:b/>
                <w:color w:val="000000"/>
                <w:lang w:val="en-US"/>
              </w:rPr>
              <w:t xml:space="preserve"> </w:t>
            </w:r>
            <w:r w:rsidRPr="00580C7C">
              <w:rPr>
                <w:rFonts w:ascii="Helvetica Neue" w:eastAsia="Helvetica Neue" w:hAnsi="Helvetica Neue" w:cs="Helvetica Neue"/>
                <w:bCs/>
                <w:color w:val="000000"/>
                <w:lang w:val="en-US"/>
              </w:rPr>
              <w:t>This study aimed to theoretically investigate the optical properties of calcium tungstate (CaWO₄) in its scheelite phase, with the goal of understanding its interaction with electromagnetic radiation and evaluating its potential for optoelectronic and photonic applications.</w:t>
            </w:r>
          </w:p>
          <w:p w14:paraId="55D303B9" w14:textId="77777777" w:rsidR="00580C7C" w:rsidRPr="00580C7C" w:rsidRDefault="000A1DD5" w:rsidP="00580C7C">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580C7C">
              <w:rPr>
                <w:rFonts w:ascii="Helvetica Neue" w:eastAsia="Helvetica Neue" w:hAnsi="Helvetica Neue" w:cs="Helvetica Neue"/>
                <w:b/>
                <w:color w:val="000000"/>
                <w:lang w:val="en-US"/>
              </w:rPr>
              <w:t>Study design:</w:t>
            </w:r>
            <w:r w:rsidRPr="00580C7C">
              <w:rPr>
                <w:rFonts w:ascii="Helvetica Neue" w:eastAsia="Helvetica Neue" w:hAnsi="Helvetica Neue" w:cs="Helvetica Neue"/>
                <w:color w:val="000000"/>
                <w:lang w:val="en-US"/>
              </w:rPr>
              <w:t xml:space="preserve"> </w:t>
            </w:r>
            <w:r w:rsidR="00580C7C" w:rsidRPr="00580C7C">
              <w:rPr>
                <w:rFonts w:ascii="Helvetica Neue" w:eastAsia="Helvetica Neue" w:hAnsi="Helvetica Neue" w:cs="Helvetica Neue"/>
                <w:color w:val="000000"/>
                <w:lang w:val="en-US"/>
              </w:rPr>
              <w:t>A first-principles theoretical-computational study based on Density Functional Theory (DFT).</w:t>
            </w:r>
          </w:p>
          <w:p w14:paraId="0979FFD2" w14:textId="77777777" w:rsidR="00580C7C" w:rsidRPr="00580C7C" w:rsidRDefault="000A1DD5" w:rsidP="00580C7C">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580C7C">
              <w:rPr>
                <w:rFonts w:ascii="Helvetica Neue" w:eastAsia="Helvetica Neue" w:hAnsi="Helvetica Neue" w:cs="Helvetica Neue"/>
                <w:b/>
                <w:color w:val="000000"/>
                <w:lang w:val="en-US"/>
              </w:rPr>
              <w:t>Place and Duration of Study:</w:t>
            </w:r>
            <w:r w:rsidRPr="00580C7C">
              <w:rPr>
                <w:rFonts w:ascii="Helvetica Neue" w:eastAsia="Helvetica Neue" w:hAnsi="Helvetica Neue" w:cs="Helvetica Neue"/>
                <w:color w:val="000000"/>
                <w:lang w:val="en-US"/>
              </w:rPr>
              <w:t xml:space="preserve"> </w:t>
            </w:r>
            <w:r w:rsidR="00580C7C" w:rsidRPr="00580C7C">
              <w:rPr>
                <w:rFonts w:ascii="Helvetica Neue" w:eastAsia="Helvetica Neue" w:hAnsi="Helvetica Neue" w:cs="Helvetica Neue"/>
                <w:color w:val="000000"/>
                <w:lang w:val="en-US"/>
              </w:rPr>
              <w:t>Department of Physics, State University of Maranhão (UEMA), Brazil, from January to March 2025.</w:t>
            </w:r>
          </w:p>
          <w:p w14:paraId="664D9C6B" w14:textId="77777777" w:rsidR="00580C7C" w:rsidRPr="00580C7C" w:rsidRDefault="000A1DD5" w:rsidP="00580C7C">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580C7C">
              <w:rPr>
                <w:rFonts w:ascii="Helvetica Neue" w:eastAsia="Helvetica Neue" w:hAnsi="Helvetica Neue" w:cs="Helvetica Neue"/>
                <w:b/>
                <w:color w:val="000000"/>
                <w:lang w:val="en-US"/>
              </w:rPr>
              <w:t>Methodology:</w:t>
            </w:r>
            <w:r w:rsidRPr="00580C7C">
              <w:rPr>
                <w:rFonts w:ascii="Helvetica Neue" w:eastAsia="Helvetica Neue" w:hAnsi="Helvetica Neue" w:cs="Helvetica Neue"/>
                <w:color w:val="000000"/>
                <w:lang w:val="en-US"/>
              </w:rPr>
              <w:t xml:space="preserve"> </w:t>
            </w:r>
            <w:r w:rsidR="00580C7C" w:rsidRPr="00580C7C">
              <w:rPr>
                <w:rFonts w:ascii="Helvetica Neue" w:eastAsia="Helvetica Neue" w:hAnsi="Helvetica Neue" w:cs="Helvetica Neue"/>
                <w:color w:val="000000"/>
                <w:lang w:val="en-US"/>
              </w:rPr>
              <w:t>The optical properties of CaWO₄ were</w:t>
            </w:r>
            <w:bookmarkStart w:id="0" w:name="_GoBack"/>
            <w:bookmarkEnd w:id="0"/>
            <w:r w:rsidR="00580C7C" w:rsidRPr="00580C7C">
              <w:rPr>
                <w:rFonts w:ascii="Helvetica Neue" w:eastAsia="Helvetica Neue" w:hAnsi="Helvetica Neue" w:cs="Helvetica Neue"/>
                <w:color w:val="000000"/>
                <w:lang w:val="en-US"/>
              </w:rPr>
              <w:t xml:space="preserve"> determined through DFT-based calculations using the CASTEP module of the Materials Studio software. Spectra for complex refractive index, reflectivity, absorption coefficient, dielectric function, energy loss function, and optical conductivity were obtained, considering light polarization in the (1,0,0) direction and a 3×3×3 k-point mesh.</w:t>
            </w:r>
          </w:p>
          <w:p w14:paraId="733454F2" w14:textId="1607AC08" w:rsidR="00FE1FD7" w:rsidRPr="00BE10B7" w:rsidRDefault="000A1DD5">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580C7C">
              <w:rPr>
                <w:rFonts w:ascii="Helvetica Neue" w:eastAsia="Helvetica Neue" w:hAnsi="Helvetica Neue" w:cs="Helvetica Neue"/>
                <w:b/>
                <w:color w:val="000000"/>
                <w:lang w:val="en-US"/>
              </w:rPr>
              <w:t>Results:</w:t>
            </w:r>
            <w:r w:rsidRPr="00580C7C">
              <w:rPr>
                <w:rFonts w:ascii="Helvetica Neue" w:eastAsia="Helvetica Neue" w:hAnsi="Helvetica Neue" w:cs="Helvetica Neue"/>
                <w:color w:val="000000"/>
                <w:lang w:val="en-US"/>
              </w:rPr>
              <w:t xml:space="preserve"> </w:t>
            </w:r>
            <w:r w:rsidR="00580C7C" w:rsidRPr="00580C7C">
              <w:rPr>
                <w:rFonts w:ascii="Helvetica Neue" w:eastAsia="Helvetica Neue" w:hAnsi="Helvetica Neue" w:cs="Helvetica Neue"/>
                <w:color w:val="000000"/>
                <w:lang w:val="en-US"/>
              </w:rPr>
              <w:t xml:space="preserve">The DFT-calculated optical response of CaWO₄ showed strong absorption in the extreme ultraviolet, with distinct features across the reflectivity, absorption, and conductivity spectra. The dielectric function displayed dispersive characteristics, while the energy loss spectrum revealed a sharp peak in the violet region. </w:t>
            </w:r>
            <w:r w:rsidR="00580C7C" w:rsidRPr="00BE10B7">
              <w:rPr>
                <w:rFonts w:ascii="Helvetica Neue" w:eastAsia="Helvetica Neue" w:hAnsi="Helvetica Neue" w:cs="Helvetica Neue"/>
                <w:color w:val="000000"/>
                <w:lang w:val="en-US"/>
              </w:rPr>
              <w:t>The simulated Raman spectra aligned well with experimental results.</w:t>
            </w:r>
          </w:p>
          <w:p w14:paraId="39ABAC52" w14:textId="1B45CFD6" w:rsidR="00FE1FD7" w:rsidRPr="00580C7C" w:rsidRDefault="000A1DD5">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580C7C">
              <w:rPr>
                <w:rFonts w:ascii="Helvetica Neue" w:eastAsia="Helvetica Neue" w:hAnsi="Helvetica Neue" w:cs="Helvetica Neue"/>
                <w:b/>
                <w:color w:val="000000"/>
                <w:lang w:val="en-US"/>
              </w:rPr>
              <w:t>Conclusion:</w:t>
            </w:r>
            <w:r w:rsidRPr="00580C7C">
              <w:rPr>
                <w:rFonts w:ascii="Helvetica Neue" w:eastAsia="Helvetica Neue" w:hAnsi="Helvetica Neue" w:cs="Helvetica Neue"/>
                <w:color w:val="000000"/>
                <w:lang w:val="en-US"/>
              </w:rPr>
              <w:t xml:space="preserve"> </w:t>
            </w:r>
            <w:r w:rsidR="00580C7C" w:rsidRPr="00580C7C">
              <w:rPr>
                <w:rFonts w:ascii="Helvetica Neue" w:eastAsia="Helvetica Neue" w:hAnsi="Helvetica Neue" w:cs="Helvetica Neue"/>
                <w:color w:val="000000"/>
                <w:lang w:val="en-US"/>
              </w:rPr>
              <w:t xml:space="preserve">DFT-based calculations provided a detailed characterization of </w:t>
            </w:r>
            <w:proofErr w:type="spellStart"/>
            <w:r w:rsidR="00580C7C" w:rsidRPr="00580C7C">
              <w:rPr>
                <w:rFonts w:ascii="Helvetica Neue" w:eastAsia="Helvetica Neue" w:hAnsi="Helvetica Neue" w:cs="Helvetica Neue"/>
                <w:color w:val="000000"/>
                <w:lang w:val="en-US"/>
              </w:rPr>
              <w:t>CaWO</w:t>
            </w:r>
            <w:proofErr w:type="spellEnd"/>
            <w:r w:rsidR="00580C7C" w:rsidRPr="00580C7C">
              <w:rPr>
                <w:rFonts w:ascii="Helvetica Neue" w:eastAsia="Helvetica Neue" w:hAnsi="Helvetica Neue" w:cs="Helvetica Neue"/>
                <w:color w:val="000000"/>
                <w:lang w:val="en-US"/>
              </w:rPr>
              <w:t>₄’s optical response, supporting its potential as a functional material for optical and photonic technologies.</w:t>
            </w:r>
          </w:p>
        </w:tc>
      </w:tr>
    </w:tbl>
    <w:p w14:paraId="04C95CFF" w14:textId="77777777" w:rsidR="00FE1FD7" w:rsidRPr="00580C7C" w:rsidRDefault="00FE1FD7">
      <w:pPr>
        <w:pBdr>
          <w:top w:val="nil"/>
          <w:left w:val="nil"/>
          <w:bottom w:val="nil"/>
          <w:right w:val="nil"/>
          <w:between w:val="nil"/>
        </w:pBdr>
        <w:jc w:val="both"/>
        <w:rPr>
          <w:rFonts w:ascii="Arial" w:eastAsia="Arial" w:hAnsi="Arial" w:cs="Arial"/>
          <w:i/>
          <w:color w:val="000000"/>
          <w:lang w:val="en-US"/>
        </w:rPr>
      </w:pPr>
    </w:p>
    <w:p w14:paraId="3C0158F6" w14:textId="77777777" w:rsidR="00FE1FD7" w:rsidRPr="00580C7C" w:rsidRDefault="000A1DD5">
      <w:pPr>
        <w:pBdr>
          <w:top w:val="nil"/>
          <w:left w:val="nil"/>
          <w:bottom w:val="nil"/>
          <w:right w:val="nil"/>
          <w:between w:val="nil"/>
        </w:pBdr>
        <w:jc w:val="both"/>
        <w:rPr>
          <w:rFonts w:ascii="Arial" w:eastAsia="Arial" w:hAnsi="Arial" w:cs="Arial"/>
          <w:i/>
          <w:color w:val="000000"/>
          <w:lang w:val="en-US"/>
        </w:rPr>
      </w:pPr>
      <w:r w:rsidRPr="00580C7C">
        <w:rPr>
          <w:rFonts w:ascii="Arial" w:eastAsia="Arial" w:hAnsi="Arial" w:cs="Arial"/>
          <w:i/>
          <w:color w:val="000000"/>
          <w:lang w:val="en-US"/>
        </w:rPr>
        <w:t>Keywords: DFT, optical properties, CaWO₄, calcium tungstate, computational modeling.</w:t>
      </w:r>
    </w:p>
    <w:p w14:paraId="1ABEA34C" w14:textId="77777777" w:rsidR="00FE1FD7" w:rsidRPr="00580C7C" w:rsidRDefault="00FE1FD7">
      <w:pPr>
        <w:pBdr>
          <w:top w:val="nil"/>
          <w:left w:val="nil"/>
          <w:bottom w:val="nil"/>
          <w:right w:val="nil"/>
          <w:between w:val="nil"/>
        </w:pBdr>
        <w:jc w:val="both"/>
        <w:rPr>
          <w:rFonts w:ascii="Arial" w:eastAsia="Arial" w:hAnsi="Arial" w:cs="Arial"/>
          <w:i/>
          <w:color w:val="000000"/>
          <w:lang w:val="en-US"/>
        </w:rPr>
      </w:pPr>
    </w:p>
    <w:p w14:paraId="1E8B4A7E"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1. INTRODUCTION</w:t>
      </w:r>
    </w:p>
    <w:p w14:paraId="60B579DF" w14:textId="77777777" w:rsidR="00FE1FD7" w:rsidRPr="00BE10B7" w:rsidRDefault="00FE1FD7">
      <w:pPr>
        <w:keepNext/>
        <w:pBdr>
          <w:top w:val="nil"/>
          <w:left w:val="nil"/>
          <w:bottom w:val="nil"/>
          <w:right w:val="nil"/>
          <w:between w:val="nil"/>
        </w:pBdr>
        <w:jc w:val="both"/>
        <w:rPr>
          <w:rFonts w:ascii="Arial" w:eastAsia="Arial" w:hAnsi="Arial" w:cs="Arial"/>
          <w:b/>
          <w:smallCaps/>
          <w:color w:val="000000"/>
          <w:sz w:val="22"/>
          <w:szCs w:val="22"/>
          <w:lang w:val="en-US"/>
        </w:rPr>
      </w:pPr>
    </w:p>
    <w:p w14:paraId="14F5B84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In recent years, luminescent materials capable of emitting light without the presence of external dopants—known as *self-activated*—have gained prominence in research aimed at advanced optical technologies. These materials are explored in light-emitting devices, sensors, pigments, scintillators, and laser host matrices due to their intrinsic properties, such as stable luminescence, high optical efficiency, elevated quantum yield, and potential catalytic activity, which make them highly relevant [1,2,3].</w:t>
      </w:r>
    </w:p>
    <w:p w14:paraId="31AA6D21"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72296AD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lastRenderedPageBreak/>
        <w:t xml:space="preserve">Among the compounds exhibiting these characteristics, </w:t>
      </w:r>
      <w:proofErr w:type="spellStart"/>
      <w:r w:rsidRPr="00580C7C">
        <w:rPr>
          <w:rFonts w:ascii="Arial" w:eastAsia="Arial" w:hAnsi="Arial" w:cs="Arial"/>
          <w:color w:val="000000"/>
          <w:lang w:val="en-US"/>
        </w:rPr>
        <w:t>tungstates</w:t>
      </w:r>
      <w:proofErr w:type="spellEnd"/>
      <w:r w:rsidRPr="00580C7C">
        <w:rPr>
          <w:rFonts w:ascii="Arial" w:eastAsia="Arial" w:hAnsi="Arial" w:cs="Arial"/>
          <w:color w:val="000000"/>
          <w:lang w:val="en-US"/>
        </w:rPr>
        <w:t xml:space="preserve"> demonstrate remarkable performance as inorganic oxides [4], known for their good chemical stability and spectral absorption in the ultraviolet range [3,1]. Notably, calcium tungstate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stands out by emitting high-efficiency blue light when excited by ultraviolet radiation [5].</w:t>
      </w:r>
    </w:p>
    <w:p w14:paraId="39F3E058"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5BF252B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belongs to the family of metal </w:t>
      </w:r>
      <w:proofErr w:type="spellStart"/>
      <w:r w:rsidRPr="00580C7C">
        <w:rPr>
          <w:rFonts w:ascii="Arial" w:eastAsia="Arial" w:hAnsi="Arial" w:cs="Arial"/>
          <w:color w:val="000000"/>
          <w:lang w:val="en-US"/>
        </w:rPr>
        <w:t>tungstates</w:t>
      </w:r>
      <w:proofErr w:type="spellEnd"/>
      <w:r w:rsidRPr="00580C7C">
        <w:rPr>
          <w:rFonts w:ascii="Arial" w:eastAsia="Arial" w:hAnsi="Arial" w:cs="Arial"/>
          <w:color w:val="000000"/>
          <w:lang w:val="en-US"/>
        </w:rPr>
        <w:t xml:space="preserve"> and crystallizes in a scheelite-type tetragonal structure (I</w:t>
      </w:r>
      <w:r w:rsidRPr="00580C7C">
        <w:rPr>
          <w:rFonts w:ascii="Cambria Math" w:eastAsia="Arial" w:hAnsi="Cambria Math" w:cs="Cambria Math"/>
          <w:color w:val="000000"/>
          <w:lang w:val="en-US"/>
        </w:rPr>
        <w:t>₄₁</w:t>
      </w:r>
      <w:r w:rsidRPr="00580C7C">
        <w:rPr>
          <w:rFonts w:ascii="Arial" w:eastAsia="Arial" w:hAnsi="Arial" w:cs="Arial"/>
          <w:color w:val="000000"/>
          <w:lang w:val="en-US"/>
        </w:rPr>
        <w:t>/a) [4]. In this structural configuration, calcium ions occupy distorted octahedral coordination sites [CaO</w:t>
      </w:r>
      <w:r w:rsidRPr="00580C7C">
        <w:rPr>
          <w:rFonts w:ascii="Cambria Math" w:eastAsia="Arial" w:hAnsi="Cambria Math" w:cs="Cambria Math"/>
          <w:color w:val="000000"/>
          <w:lang w:val="en-US"/>
        </w:rPr>
        <w:t>₈</w:t>
      </w:r>
      <w:r w:rsidRPr="00580C7C">
        <w:rPr>
          <w:rFonts w:ascii="Arial" w:eastAsia="Arial" w:hAnsi="Arial" w:cs="Arial"/>
          <w:color w:val="000000"/>
          <w:lang w:val="en-US"/>
        </w:rPr>
        <w:t>], while tungstate ions form tetrahedral units [WO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²</w:t>
      </w:r>
      <w:r w:rsidRPr="00580C7C">
        <w:rPr>
          <w:rFonts w:ascii="Cambria Math" w:eastAsia="Arial" w:hAnsi="Cambria Math" w:cs="Cambria Math"/>
          <w:color w:val="000000"/>
          <w:lang w:val="en-US"/>
        </w:rPr>
        <w:t>⁻</w:t>
      </w:r>
      <w:r w:rsidRPr="00580C7C">
        <w:rPr>
          <w:rFonts w:ascii="Arial" w:eastAsia="Arial" w:hAnsi="Arial" w:cs="Arial"/>
          <w:color w:val="000000"/>
          <w:lang w:val="en-US"/>
        </w:rPr>
        <w:t>] [6,7]. Studies indicate that the photoluminescent properties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especially its violet-blue emission in the absence of activator dopants, are associated with internal electronic transitions of the ¹T</w:t>
      </w:r>
      <w:r w:rsidRPr="00580C7C">
        <w:rPr>
          <w:rFonts w:ascii="Cambria Math" w:eastAsia="Arial" w:hAnsi="Cambria Math" w:cs="Cambria Math"/>
          <w:color w:val="000000"/>
          <w:lang w:val="en-US"/>
        </w:rPr>
        <w:t>₂</w:t>
      </w:r>
      <w:r w:rsidRPr="00580C7C">
        <w:rPr>
          <w:rFonts w:ascii="Arial" w:eastAsia="Arial" w:hAnsi="Arial" w:cs="Arial"/>
          <w:color w:val="000000"/>
          <w:lang w:val="en-US"/>
        </w:rPr>
        <w:t xml:space="preserve"> → ¹A</w:t>
      </w:r>
      <w:r w:rsidRPr="00580C7C">
        <w:rPr>
          <w:rFonts w:ascii="Cambria Math" w:eastAsia="Arial" w:hAnsi="Cambria Math" w:cs="Cambria Math"/>
          <w:color w:val="000000"/>
          <w:lang w:val="en-US"/>
        </w:rPr>
        <w:t>₂</w:t>
      </w:r>
      <w:r w:rsidRPr="00580C7C">
        <w:rPr>
          <w:rFonts w:ascii="Arial" w:eastAsia="Arial" w:hAnsi="Arial" w:cs="Arial"/>
          <w:color w:val="000000"/>
          <w:lang w:val="en-US"/>
        </w:rPr>
        <w:t xml:space="preserve"> type within the [WO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²</w:t>
      </w:r>
      <w:r w:rsidRPr="00580C7C">
        <w:rPr>
          <w:rFonts w:ascii="Cambria Math" w:eastAsia="Arial" w:hAnsi="Cambria Math" w:cs="Cambria Math"/>
          <w:color w:val="000000"/>
          <w:lang w:val="en-US"/>
        </w:rPr>
        <w:t>⁻</w:t>
      </w:r>
      <w:r w:rsidRPr="00580C7C">
        <w:rPr>
          <w:rFonts w:ascii="Arial" w:eastAsia="Arial" w:hAnsi="Arial" w:cs="Arial"/>
          <w:color w:val="000000"/>
          <w:lang w:val="en-US"/>
        </w:rPr>
        <w:t>] groups [8].</w:t>
      </w:r>
    </w:p>
    <w:p w14:paraId="7A5CA3B3"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4F010D14"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Moreover, research shows that this blue emission is temperature-sensitive, undergoing significant variations in intensity and efficiency with increasing temperature [9,6], which makes it useful in thermo-optical applications.</w:t>
      </w:r>
    </w:p>
    <w:p w14:paraId="765F8643"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49AEBBE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Despite the recognized potential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in photoluminescent and photocatalytic applications—as highlighted by various recent experimental studies [10,11]—there remains a significant gap in the theoretical understanding of its fundamental optical properties. Among the experimental advances, doping studies with elements such as silver and zinc have shown high catalytic efficiency in degrading organic compounds, such as methylene blue, under UV radiation [10]. However, such investigations are not accompanied by systematic analyses of the optical mechanisms associated with the electronic structure of pure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w:t>
      </w:r>
    </w:p>
    <w:p w14:paraId="4F6BD859"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7757AE16"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This absence of computational studies specifically targeting the linear optical response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limits the rational development of devices based on this material. Density Functional Theory (DFT), applied using the CASTEP module, is a robust and well-established approach for analyzing such properties, enabling accurate data on the material’s interaction with electromagnetic fields.</w:t>
      </w:r>
    </w:p>
    <w:p w14:paraId="79BE8770"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1D5EC0DC"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The purpose of this work is, therefore, to investigate the optical properties of CaWO</w:t>
      </w:r>
      <w:r w:rsidRPr="00580C7C">
        <w:rPr>
          <w:rFonts w:ascii="Cambria Math" w:eastAsia="Arial" w:hAnsi="Cambria Math" w:cs="Cambria Math"/>
          <w:color w:val="000000"/>
          <w:lang w:val="en-US"/>
        </w:rPr>
        <w:t>₄</w:t>
      </w:r>
      <w:r w:rsidRPr="00580C7C">
        <w:rPr>
          <w:rFonts w:ascii="Arial" w:eastAsia="Arial" w:hAnsi="Arial" w:cs="Arial"/>
          <w:color w:val="000000"/>
          <w:lang w:val="en-US"/>
        </w:rPr>
        <w:t xml:space="preserve"> in its scheelite-type phase through DFT-based simulations. The central goal is to provide a detailed theoretical characterization of its optical response. This is expected to offer theoretical support for advancing optoelectronic, photonic, and sensing device applications by deepening the understanding of </w:t>
      </w:r>
      <w:proofErr w:type="spellStart"/>
      <w:r w:rsidRPr="00580C7C">
        <w:rPr>
          <w:rFonts w:ascii="Arial" w:eastAsia="Arial" w:hAnsi="Arial" w:cs="Arial"/>
          <w:color w:val="000000"/>
          <w:lang w:val="en-US"/>
        </w:rPr>
        <w:t>CaWO</w:t>
      </w:r>
      <w:proofErr w:type="spellEnd"/>
      <w:r w:rsidRPr="00580C7C">
        <w:rPr>
          <w:rFonts w:ascii="Cambria Math" w:eastAsia="Arial" w:hAnsi="Cambria Math" w:cs="Cambria Math"/>
          <w:color w:val="000000"/>
          <w:lang w:val="en-US"/>
        </w:rPr>
        <w:t>₄</w:t>
      </w:r>
      <w:r w:rsidRPr="00580C7C">
        <w:rPr>
          <w:rFonts w:ascii="Arial" w:eastAsia="Arial" w:hAnsi="Arial" w:cs="Arial"/>
          <w:color w:val="000000"/>
          <w:lang w:val="en-US"/>
        </w:rPr>
        <w:t>’s optical behavior.</w:t>
      </w:r>
    </w:p>
    <w:p w14:paraId="5719846C"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8FA0E89"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DFT is widely employed to describe electronic systems in solid-state physics and computational chemistry. Rather than dealing directly with the many-body wave function, it uses the electronic density as the fundamental variable, simplifying the problem to just three spatial coordinates instead of the 3N required for a system with N electrons [12,13]. This approach significantly reduces computational cost while allowing for the efficient investigation of structural, electronic, and optical properties.</w:t>
      </w:r>
    </w:p>
    <w:p w14:paraId="7C0C5570"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036A852"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The modern formulation of DFT is based on the Hohenberg and Kohn theorems, which demonstrate that the ground-state electronic density contains all the information about the system [14,13]. Although the Schrödinger equation is impractical for real systems due to multi-particle interactions, the Born-Oppenheimer approximation allows nuclei to be treated as fixed, facilitating the electronic problem [15,16,17].</w:t>
      </w:r>
    </w:p>
    <w:p w14:paraId="4BE4045E"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058854EF"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 xml:space="preserve">Kohn and Sham proposed a practical method in which the real system of interacting electrons is replaced with a fictitious system of non-interacting particles that reproduce the same electronic density [18,19]. This model employs an effective potential that incorporates external, </w:t>
      </w:r>
      <w:r w:rsidRPr="00580C7C">
        <w:rPr>
          <w:rFonts w:ascii="Arial" w:eastAsia="Arial" w:hAnsi="Arial" w:cs="Arial"/>
          <w:color w:val="000000"/>
          <w:lang w:val="en-US"/>
        </w:rPr>
        <w:lastRenderedPageBreak/>
        <w:t>Coulomb, and exchange-correlation effects and is solved iteratively until the density converges.</w:t>
      </w:r>
    </w:p>
    <w:p w14:paraId="5A2EFAF6"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575E9AA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r w:rsidRPr="00580C7C">
        <w:rPr>
          <w:rFonts w:ascii="Arial" w:eastAsia="Arial" w:hAnsi="Arial" w:cs="Arial"/>
          <w:color w:val="000000"/>
          <w:lang w:val="en-US"/>
        </w:rPr>
        <w:t>In this context, the total energy of the system is expressed as a functional of the density, containing kinetic, electrostatic, and electronic correlation terms. DFT has been widely applied to predict with precision properties such as band structure, optical response, and material stability, and has become essential in atomistic-scale modeling [20,21].</w:t>
      </w:r>
    </w:p>
    <w:p w14:paraId="636049CA" w14:textId="77777777" w:rsidR="00580C7C" w:rsidRPr="00580C7C" w:rsidRDefault="00580C7C" w:rsidP="00580C7C">
      <w:pPr>
        <w:pBdr>
          <w:top w:val="nil"/>
          <w:left w:val="nil"/>
          <w:bottom w:val="nil"/>
          <w:right w:val="nil"/>
          <w:between w:val="nil"/>
        </w:pBdr>
        <w:jc w:val="both"/>
        <w:rPr>
          <w:rFonts w:ascii="Arial" w:eastAsia="Arial" w:hAnsi="Arial" w:cs="Arial"/>
          <w:color w:val="000000"/>
          <w:lang w:val="en-US"/>
        </w:rPr>
      </w:pPr>
    </w:p>
    <w:p w14:paraId="329ACA59" w14:textId="77777777" w:rsidR="00FE1FD7" w:rsidRPr="00580C7C"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580C7C">
        <w:rPr>
          <w:rFonts w:ascii="Arial" w:eastAsia="Arial" w:hAnsi="Arial" w:cs="Arial"/>
          <w:b/>
          <w:smallCaps/>
          <w:color w:val="000000"/>
          <w:sz w:val="22"/>
          <w:szCs w:val="22"/>
          <w:lang w:val="en-US"/>
        </w:rPr>
        <w:t xml:space="preserve">2. methodology </w:t>
      </w:r>
    </w:p>
    <w:p w14:paraId="26D77B59" w14:textId="77777777" w:rsid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472BD4E9" w14:textId="25AADC70"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This study combines a literature review with Density Functional Theory (DFT)-based computational simulations to analyze the optical properties of CaWO₄.</w:t>
      </w:r>
    </w:p>
    <w:p w14:paraId="7793D2AC"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7D05FD21"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Initially, a literature review was conducted using reputable scientific databases to support the selection of simulation parameters and provide theoretical context for interpreting results. The simulations were performed using the *Materials Studio* software, specifically the *CASTEP* module [22], with structural data obtained from experimental sources.</w:t>
      </w:r>
    </w:p>
    <w:p w14:paraId="69CCC383"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6F756169"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geometry of the crystal structure was optimized under strict convergence criteria: a maximum of 300 self-consistent field (SCF) cycles and an energy tolerance defined per atom. A norm-conserving pseudopotential with relativistic treatment under the Schrödinger approximation was employed. The adopted computational parameters included a 3 × 3 × 3 k-point mesh and an energy cutoff of 750 eV, ensuring precision in electronic results. Additionally, the exchange-correlation treatment used the GGA-PBE (Generalized Gradient Approximation – Perdew, Burke, and Ernzerhof) functional.</w:t>
      </w:r>
    </w:p>
    <w:p w14:paraId="0526FDC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43E2358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optical properties were directly calculated within CASTEP, based on the obtained electronic data. For these calculations, the simulation mode was set to *polarized*, with a smearing value of 0.5 eV, and light polarization aligned along the (1,0,0) direction. However, for the dielectric function, an average over distinct crystallographic directions was used to simulate a polycrystalline optical response.</w:t>
      </w:r>
    </w:p>
    <w:p w14:paraId="582C300B"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323BF216"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The results were quantitatively analyzed using *Origin* software through graphs and statistical methods, enabling clearer interpretation and identification of patterns across the studied variables.</w:t>
      </w:r>
    </w:p>
    <w:p w14:paraId="40C2F289"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11DF429F"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580C7C">
        <w:rPr>
          <w:rFonts w:ascii="Helvetica Neue" w:eastAsia="Helvetica Neue" w:hAnsi="Helvetica Neue" w:cs="Helvetica Neue"/>
          <w:color w:val="000000"/>
          <w:lang w:val="en-US"/>
        </w:rPr>
        <w:t>This work employed previously optimized atomic coordinates of CaWO₄ obtained from simulations performed in an earlier study [23]. The considered structure retains the original space group (I4₁/a), characteristic of the scheelite phase. *Figure 1* illustrates the crystal structure used in the simulations carried out for this study.</w:t>
      </w:r>
    </w:p>
    <w:p w14:paraId="3D0B80DD" w14:textId="77777777" w:rsidR="00580C7C" w:rsidRPr="00580C7C"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p>
    <w:p w14:paraId="2FE580BC" w14:textId="6B378605" w:rsidR="00FE1FD7" w:rsidRPr="00D10C20" w:rsidRDefault="00580C7C" w:rsidP="00580C7C">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lastRenderedPageBreak/>
        <w:t>.</w:t>
      </w:r>
      <w:r>
        <w:rPr>
          <w:rFonts w:ascii="Helvetica Neue" w:eastAsia="Helvetica Neue" w:hAnsi="Helvetica Neue" w:cs="Helvetica Neue"/>
          <w:noProof/>
          <w:color w:val="000000"/>
        </w:rPr>
        <w:drawing>
          <wp:inline distT="0" distB="0" distL="0" distR="0" wp14:anchorId="2713E5C3" wp14:editId="416240AF">
            <wp:extent cx="3430905" cy="192786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430905" cy="1927860"/>
                    </a:xfrm>
                    <a:prstGeom prst="rect">
                      <a:avLst/>
                    </a:prstGeom>
                    <a:ln/>
                  </pic:spPr>
                </pic:pic>
              </a:graphicData>
            </a:graphic>
          </wp:inline>
        </w:drawing>
      </w:r>
    </w:p>
    <w:p w14:paraId="12887B0D" w14:textId="20B30D0C" w:rsidR="00FE1FD7" w:rsidRPr="00D10C20" w:rsidRDefault="000A1DD5">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Arial" w:eastAsia="Arial" w:hAnsi="Arial" w:cs="Arial"/>
          <w:b/>
          <w:color w:val="000000"/>
          <w:lang w:val="en-US"/>
        </w:rPr>
        <w:t xml:space="preserve">Fig. 1. </w:t>
      </w:r>
      <w:r w:rsidR="00D10C20" w:rsidRPr="00D10C20">
        <w:rPr>
          <w:rFonts w:ascii="Arial" w:eastAsia="Arial" w:hAnsi="Arial" w:cs="Arial"/>
          <w:b/>
          <w:color w:val="000000"/>
          <w:lang w:val="en-US"/>
        </w:rPr>
        <w:t>illustrates the crystal CaWO</w:t>
      </w:r>
      <w:r w:rsidR="00D10C20" w:rsidRPr="00D10C20">
        <w:rPr>
          <w:rFonts w:ascii="Cambria Math" w:eastAsia="Arial" w:hAnsi="Cambria Math" w:cs="Cambria Math"/>
          <w:b/>
          <w:color w:val="000000"/>
          <w:lang w:val="en-US"/>
        </w:rPr>
        <w:t>₄</w:t>
      </w:r>
      <w:r w:rsidR="00D10C20">
        <w:rPr>
          <w:rFonts w:ascii="Helvetica Neue" w:eastAsia="Helvetica Neue" w:hAnsi="Helvetica Neue" w:cs="Helvetica Neue"/>
          <w:color w:val="000000"/>
          <w:lang w:val="en-US"/>
        </w:rPr>
        <w:t xml:space="preserve"> </w:t>
      </w:r>
      <w:r w:rsidR="00D10C20" w:rsidRPr="00D10C20">
        <w:rPr>
          <w:rFonts w:ascii="Arial" w:eastAsia="Arial" w:hAnsi="Arial" w:cs="Arial"/>
          <w:b/>
          <w:color w:val="000000"/>
          <w:lang w:val="en-US"/>
        </w:rPr>
        <w:t>structure used in the simulations carried out for this study</w:t>
      </w:r>
      <w:r w:rsidR="00D10C20">
        <w:rPr>
          <w:rFonts w:ascii="Arial" w:eastAsia="Arial" w:hAnsi="Arial" w:cs="Arial"/>
          <w:b/>
          <w:color w:val="000000"/>
          <w:lang w:val="en-US"/>
        </w:rPr>
        <w:t xml:space="preserve"> </w:t>
      </w:r>
    </w:p>
    <w:p w14:paraId="18E55188" w14:textId="77777777" w:rsidR="00FE1FD7" w:rsidRPr="00D10C20" w:rsidRDefault="00FE1FD7">
      <w:pPr>
        <w:pBdr>
          <w:top w:val="nil"/>
          <w:left w:val="nil"/>
          <w:bottom w:val="nil"/>
          <w:right w:val="nil"/>
          <w:between w:val="nil"/>
        </w:pBdr>
        <w:jc w:val="both"/>
        <w:rPr>
          <w:rFonts w:ascii="Arial" w:eastAsia="Arial" w:hAnsi="Arial" w:cs="Arial"/>
          <w:b/>
          <w:color w:val="000000"/>
          <w:lang w:val="en-US"/>
        </w:rPr>
      </w:pPr>
    </w:p>
    <w:p w14:paraId="30757D8A"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3. results and discussion</w:t>
      </w:r>
    </w:p>
    <w:p w14:paraId="265DD447" w14:textId="77777777" w:rsidR="00FE1FD7" w:rsidRPr="00BE10B7" w:rsidRDefault="00FE1FD7">
      <w:pPr>
        <w:pBdr>
          <w:top w:val="nil"/>
          <w:left w:val="nil"/>
          <w:bottom w:val="nil"/>
          <w:right w:val="nil"/>
          <w:between w:val="nil"/>
        </w:pBdr>
        <w:jc w:val="both"/>
        <w:rPr>
          <w:rFonts w:ascii="Helvetica Neue" w:eastAsia="Helvetica Neue" w:hAnsi="Helvetica Neue" w:cs="Helvetica Neue"/>
          <w:color w:val="000000"/>
          <w:lang w:val="en-US"/>
        </w:rPr>
      </w:pPr>
    </w:p>
    <w:p w14:paraId="4BD65190"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This section discusses the optical properties of calcium tungstate based on calculated spectra for refractive index, reflectivity, optical absorption, dielectric function, loss function, optical conductivity, and Raman spectra. These results offer a comprehensive view of the material’s behavior across different ranges of the electromagnetic spectrum, enabling a detailed characterization of its optical responses.</w:t>
      </w:r>
    </w:p>
    <w:p w14:paraId="5E99F0DE"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p>
    <w:p w14:paraId="124AA3FF"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Figure 2 presents the real (n) and imaginary (k) parts of </w:t>
      </w:r>
      <w:proofErr w:type="spellStart"/>
      <w:r w:rsidRPr="00D10C20">
        <w:rPr>
          <w:rFonts w:ascii="Helvetica Neue" w:eastAsia="Helvetica Neue" w:hAnsi="Helvetica Neue" w:cs="Helvetica Neue"/>
          <w:color w:val="000000"/>
          <w:lang w:val="en-US"/>
        </w:rPr>
        <w:t>CaWO</w:t>
      </w:r>
      <w:proofErr w:type="spellEnd"/>
      <w:r w:rsidRPr="00D10C20">
        <w:rPr>
          <w:rFonts w:ascii="Helvetica Neue" w:eastAsia="Helvetica Neue" w:hAnsi="Helvetica Neue" w:cs="Helvetica Neue"/>
          <w:color w:val="000000"/>
          <w:lang w:val="en-US"/>
        </w:rPr>
        <w:t xml:space="preserve">₄’s refractive index. The real part, n, is associated with the light propagation speed in the medium, while the imaginary part, k, expresses the degree of electromagnetic radiation absorption by the material [24,25]. Together, they constitute the complex refractive index ñ, given by:  </w:t>
      </w:r>
    </w:p>
    <w:p w14:paraId="3FC38A44" w14:textId="77777777" w:rsidR="00D10C20" w:rsidRPr="00D10C20" w:rsidRDefault="00D10C20" w:rsidP="00D10C20">
      <w:pPr>
        <w:pBdr>
          <w:top w:val="nil"/>
          <w:left w:val="nil"/>
          <w:bottom w:val="nil"/>
          <w:right w:val="nil"/>
          <w:between w:val="nil"/>
        </w:pBdr>
        <w:jc w:val="both"/>
        <w:rPr>
          <w:rFonts w:ascii="Helvetica Neue" w:eastAsia="Helvetica Neue" w:hAnsi="Helvetica Neue" w:cs="Helvetica Neue"/>
          <w:color w:val="000000"/>
          <w:lang w:val="en-US"/>
        </w:rPr>
      </w:pPr>
    </w:p>
    <w:p w14:paraId="54547AF4" w14:textId="0E6D4DB4" w:rsidR="00FE1FD7" w:rsidRPr="00BE10B7" w:rsidRDefault="000A1DD5" w:rsidP="00D10C20">
      <w:pPr>
        <w:pBdr>
          <w:top w:val="nil"/>
          <w:left w:val="nil"/>
          <w:bottom w:val="nil"/>
          <w:right w:val="nil"/>
          <w:between w:val="nil"/>
        </w:pBdr>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                                                           </w:t>
      </w:r>
      <m:oMath>
        <m:r>
          <w:rPr>
            <w:rFonts w:ascii="Cambria Math" w:eastAsia="Cambria Math" w:hAnsi="Cambria Math" w:cs="Cambria Math"/>
            <w:color w:val="000000"/>
            <w:lang w:val="en-US"/>
          </w:rPr>
          <m:t>ñ=</m:t>
        </m:r>
        <m:r>
          <w:rPr>
            <w:rFonts w:ascii="Cambria Math" w:eastAsia="Cambria Math" w:hAnsi="Cambria Math" w:cs="Cambria Math"/>
            <w:color w:val="000000"/>
          </w:rPr>
          <m:t>n</m:t>
        </m:r>
        <m:r>
          <w:rPr>
            <w:rFonts w:ascii="Cambria Math" w:eastAsia="Cambria Math" w:hAnsi="Cambria Math" w:cs="Cambria Math"/>
            <w:color w:val="000000"/>
            <w:lang w:val="en-US"/>
          </w:rPr>
          <m:t>+</m:t>
        </m:r>
        <m:r>
          <w:rPr>
            <w:rFonts w:ascii="Cambria Math" w:eastAsia="Cambria Math" w:hAnsi="Cambria Math" w:cs="Cambria Math"/>
            <w:color w:val="000000"/>
          </w:rPr>
          <m:t>ik</m:t>
        </m:r>
        <m:r>
          <w:rPr>
            <w:rFonts w:ascii="Cambria Math" w:eastAsia="Cambria Math" w:hAnsi="Cambria Math" w:cs="Cambria Math"/>
            <w:color w:val="000000"/>
            <w:lang w:val="en-US"/>
          </w:rPr>
          <m:t> </m:t>
        </m:r>
      </m:oMath>
      <w:r w:rsidRPr="00BE10B7">
        <w:rPr>
          <w:rFonts w:ascii="Helvetica Neue" w:eastAsia="Helvetica Neue" w:hAnsi="Helvetica Neue" w:cs="Helvetica Neue"/>
          <w:color w:val="000000"/>
          <w:lang w:val="en-US"/>
        </w:rPr>
        <w:t xml:space="preserve">                                                                   (1) </w:t>
      </w:r>
    </w:p>
    <w:p w14:paraId="0964BDB4" w14:textId="77777777" w:rsidR="00D10C20" w:rsidRPr="00BE10B7"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p>
    <w:p w14:paraId="47FDC279" w14:textId="3461EDBC" w:rsidR="00FE1FD7" w:rsidRPr="00D10C20"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D10C20">
        <w:rPr>
          <w:rFonts w:ascii="Helvetica Neue" w:eastAsia="Helvetica Neue" w:hAnsi="Helvetica Neue" w:cs="Helvetica Neue"/>
          <w:color w:val="000000"/>
          <w:lang w:val="en-US"/>
        </w:rPr>
        <w:t xml:space="preserve">The extinction coefficient k shows a sharp peak between 100 and 150 nm, reaching a maximum of 1.7 at 131 nm, indicating strong absorption in the deep ultraviolet range. The real part n rises from 110 nm and peaks at 2.8 around 260 nm. From 300 nm onward, n stabilizes between 2.9 and 2.2. High refractive index values are typically associated with dense materials [26], as seen here. Beyond 350 nm, k approaches zero, confirming low absorption, as also observed in Figure 4.                     </w:t>
      </w:r>
    </w:p>
    <w:p w14:paraId="6D1A8202" w14:textId="77777777" w:rsidR="00FE1FD7" w:rsidRDefault="000A1DD5">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14:anchorId="7158410E" wp14:editId="61C49ADD">
            <wp:extent cx="3145155" cy="23526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45155" cy="2352675"/>
                    </a:xfrm>
                    <a:prstGeom prst="rect">
                      <a:avLst/>
                    </a:prstGeom>
                    <a:ln/>
                  </pic:spPr>
                </pic:pic>
              </a:graphicData>
            </a:graphic>
          </wp:inline>
        </w:drawing>
      </w:r>
    </w:p>
    <w:p w14:paraId="2CFA6FB4" w14:textId="7D7701AC" w:rsidR="00FE1FD7" w:rsidRPr="00580C7C"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2. </w:t>
      </w:r>
      <w:r w:rsidR="00D10C20" w:rsidRPr="00D10C20">
        <w:rPr>
          <w:rFonts w:ascii="Arial" w:eastAsia="Arial" w:hAnsi="Arial" w:cs="Arial"/>
          <w:b/>
          <w:color w:val="000000"/>
          <w:lang w:val="en-US"/>
        </w:rPr>
        <w:t>Real (n, blue) and imaginary (k, red) parts of the complex refractive index of CaWO</w:t>
      </w:r>
      <w:r w:rsidR="00D10C20" w:rsidRPr="00D10C20">
        <w:rPr>
          <w:rFonts w:ascii="Cambria Math" w:eastAsia="Arial" w:hAnsi="Cambria Math" w:cs="Cambria Math"/>
          <w:b/>
          <w:color w:val="000000"/>
          <w:lang w:val="en-US"/>
        </w:rPr>
        <w:t>₄</w:t>
      </w:r>
      <w:r w:rsidR="00D10C20" w:rsidRPr="00D10C20">
        <w:rPr>
          <w:rFonts w:ascii="Arial" w:eastAsia="Arial" w:hAnsi="Arial" w:cs="Arial"/>
          <w:b/>
          <w:color w:val="000000"/>
          <w:lang w:val="en-US"/>
        </w:rPr>
        <w:t xml:space="preserve"> as a function of wavelength.</w:t>
      </w:r>
    </w:p>
    <w:p w14:paraId="7F5FB6B6" w14:textId="6A773FA2" w:rsidR="00D10C20" w:rsidRPr="00D10C20" w:rsidRDefault="00D10C20">
      <w:pPr>
        <w:pBdr>
          <w:top w:val="nil"/>
          <w:left w:val="nil"/>
          <w:bottom w:val="nil"/>
          <w:right w:val="nil"/>
          <w:between w:val="nil"/>
        </w:pBdr>
        <w:spacing w:before="240" w:after="240"/>
        <w:jc w:val="both"/>
        <w:rPr>
          <w:rFonts w:ascii="Helvetica Neue" w:eastAsia="Helvetica Neue" w:hAnsi="Helvetica Neue" w:cs="Helvetica Neue"/>
          <w:color w:val="000000"/>
          <w:lang w:val="en-US"/>
        </w:rPr>
      </w:pPr>
      <w:r w:rsidRPr="00D10C20">
        <w:rPr>
          <w:rFonts w:ascii="Arial" w:eastAsia="Arial" w:hAnsi="Arial" w:cs="Arial"/>
          <w:color w:val="000000"/>
          <w:lang w:val="en-US"/>
        </w:rPr>
        <w:t xml:space="preserve">Figure 3 shows </w:t>
      </w:r>
      <w:proofErr w:type="spellStart"/>
      <w:r w:rsidRPr="00D10C20">
        <w:rPr>
          <w:rFonts w:ascii="Arial" w:eastAsia="Arial" w:hAnsi="Arial" w:cs="Arial"/>
          <w:color w:val="000000"/>
          <w:lang w:val="en-US"/>
        </w:rPr>
        <w:t>CaWO</w:t>
      </w:r>
      <w:proofErr w:type="spellEnd"/>
      <w:r w:rsidRPr="00D10C20">
        <w:rPr>
          <w:rFonts w:ascii="Cambria Math" w:eastAsia="Arial" w:hAnsi="Cambria Math" w:cs="Cambria Math"/>
          <w:color w:val="000000"/>
          <w:lang w:val="en-US"/>
        </w:rPr>
        <w:t>₄</w:t>
      </w:r>
      <w:r w:rsidRPr="00D10C20">
        <w:rPr>
          <w:rFonts w:ascii="Arial" w:eastAsia="Arial" w:hAnsi="Arial" w:cs="Arial"/>
          <w:color w:val="000000"/>
          <w:lang w:val="en-US"/>
        </w:rPr>
        <w:t>’s reflectivity spectrum starting at 20 nm. A pronounced peak appears at 42 nm with a reflectivity close to 0.6, indicating a strong optical response in the extreme ultraviolet. The curve then rapidly decreases, remaining between 0.1 and 0.4 in the 80–300 nm range. Beyond 350 nm, it stabilizes near 0.15, denoting low reflectivity and transparency in the visible region. The reflectivity R is related to the real and imaginary parts of the refractive index by:</w:t>
      </w:r>
    </w:p>
    <w:p w14:paraId="3E831948" w14:textId="080EDE2E" w:rsidR="00FE1FD7" w:rsidRDefault="000A1DD5">
      <w:pPr>
        <w:pBdr>
          <w:top w:val="nil"/>
          <w:left w:val="nil"/>
          <w:bottom w:val="nil"/>
          <w:right w:val="nil"/>
          <w:between w:val="nil"/>
        </w:pBdr>
        <w:rPr>
          <w:rFonts w:ascii="Helvetica Neue" w:eastAsia="Helvetica Neue" w:hAnsi="Helvetica Neue" w:cs="Helvetica Neue"/>
          <w:color w:val="000000"/>
        </w:rPr>
      </w:pPr>
      <w:r w:rsidRPr="00D10C20">
        <w:rPr>
          <w:rFonts w:ascii="Helvetica Neue" w:eastAsia="Helvetica Neue" w:hAnsi="Helvetica Neue" w:cs="Helvetica Neue"/>
          <w:color w:val="000000"/>
          <w:lang w:val="en-US"/>
        </w:rPr>
        <w:t xml:space="preserve">                                                    </w:t>
      </w:r>
      <w:r w:rsidRPr="00D10C20">
        <w:rPr>
          <w:rFonts w:ascii="Helvetica Neue" w:eastAsia="Helvetica Neue" w:hAnsi="Helvetica Neue" w:cs="Helvetica Neue"/>
          <w:color w:val="000000"/>
          <w:lang w:val="en-US"/>
        </w:rPr>
        <w:t xml:space="preserve">   </w:t>
      </w:r>
      <m:oMath>
        <m:r>
          <w:rPr>
            <w:rFonts w:ascii="Cambria Math" w:eastAsia="Cambria Math" w:hAnsi="Cambria Math" w:cs="Cambria Math"/>
            <w:color w:val="000000"/>
          </w:rPr>
          <m:t>R</m:t>
        </m:r>
        <m:r>
          <w:rPr>
            <w:rFonts w:ascii="Cambria Math" w:eastAsia="Cambria Math" w:hAnsi="Cambria Math" w:cs="Cambria Math"/>
            <w:color w:val="000000"/>
          </w:rPr>
          <m:t>=</m:t>
        </m:r>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n</m:t>
                    </m:r>
                    <m:r>
                      <w:rPr>
                        <w:rFonts w:ascii="Cambria Math" w:eastAsia="Cambria Math" w:hAnsi="Cambria Math" w:cs="Cambria Math"/>
                        <w:color w:val="000000"/>
                      </w:rPr>
                      <m:t>-</m:t>
                    </m:r>
                    <m:r>
                      <w:rPr>
                        <w:rFonts w:ascii="Cambria Math" w:eastAsia="Cambria Math" w:hAnsi="Cambria Math" w:cs="Cambria Math"/>
                        <w:color w:val="000000"/>
                      </w:rPr>
                      <m:t>1</m:t>
                    </m:r>
                  </m:e>
                </m:d>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k</m:t>
                </m:r>
              </m:e>
              <m:sup>
                <m:r>
                  <w:rPr>
                    <w:rFonts w:ascii="Cambria Math" w:eastAsia="Cambria Math" w:hAnsi="Cambria Math" w:cs="Cambria Math"/>
                    <w:color w:val="000000"/>
                  </w:rPr>
                  <m:t>2</m:t>
                </m:r>
              </m:sup>
            </m:sSup>
          </m:num>
          <m:den>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n</m:t>
                    </m:r>
                    <m:r>
                      <w:rPr>
                        <w:rFonts w:ascii="Cambria Math" w:eastAsia="Cambria Math" w:hAnsi="Cambria Math" w:cs="Cambria Math"/>
                        <w:color w:val="000000"/>
                      </w:rPr>
                      <m:t>+1</m:t>
                    </m:r>
                  </m:e>
                </m:d>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k</m:t>
                </m:r>
              </m:e>
              <m:sup>
                <m:r>
                  <w:rPr>
                    <w:rFonts w:ascii="Cambria Math" w:eastAsia="Cambria Math" w:hAnsi="Cambria Math" w:cs="Cambria Math"/>
                    <w:color w:val="000000"/>
                  </w:rPr>
                  <m:t>2</m:t>
                </m:r>
              </m:sup>
            </m:sSup>
          </m:den>
        </m:f>
      </m:oMath>
      <w:r>
        <w:rPr>
          <w:rFonts w:ascii="Helvetica Neue" w:eastAsia="Helvetica Neue" w:hAnsi="Helvetica Neue" w:cs="Helvetica Neue"/>
          <w:color w:val="000000"/>
        </w:rPr>
        <w:t xml:space="preserve">                                                                   (2)</w:t>
      </w:r>
    </w:p>
    <w:p w14:paraId="466DBCD1" w14:textId="77777777" w:rsidR="00FE1FD7" w:rsidRDefault="00FE1FD7">
      <w:pPr>
        <w:pBdr>
          <w:top w:val="nil"/>
          <w:left w:val="nil"/>
          <w:bottom w:val="nil"/>
          <w:right w:val="nil"/>
          <w:between w:val="nil"/>
        </w:pBdr>
        <w:rPr>
          <w:rFonts w:ascii="Helvetica Neue" w:eastAsia="Helvetica Neue" w:hAnsi="Helvetica Neue" w:cs="Helvetica Neue"/>
          <w:color w:val="000000"/>
        </w:rPr>
      </w:pPr>
    </w:p>
    <w:p w14:paraId="7AF179B6" w14:textId="77777777" w:rsidR="00FE1FD7" w:rsidRDefault="000A1DD5">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4E75F5F6" wp14:editId="1E69CADE">
            <wp:extent cx="2901950" cy="21869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01950" cy="2186940"/>
                    </a:xfrm>
                    <a:prstGeom prst="rect">
                      <a:avLst/>
                    </a:prstGeom>
                    <a:ln/>
                  </pic:spPr>
                </pic:pic>
              </a:graphicData>
            </a:graphic>
          </wp:inline>
        </w:drawing>
      </w:r>
    </w:p>
    <w:p w14:paraId="1CD72884" w14:textId="77777777" w:rsidR="00FE1FD7" w:rsidRPr="00BE10B7" w:rsidRDefault="000A1DD5">
      <w:pPr>
        <w:pBdr>
          <w:top w:val="nil"/>
          <w:left w:val="nil"/>
          <w:bottom w:val="nil"/>
          <w:right w:val="nil"/>
          <w:between w:val="nil"/>
        </w:pBdr>
        <w:jc w:val="both"/>
        <w:rPr>
          <w:rFonts w:ascii="Arial" w:eastAsia="Arial" w:hAnsi="Arial" w:cs="Arial"/>
          <w:b/>
          <w:color w:val="000000"/>
          <w:lang w:val="en-US"/>
        </w:rPr>
      </w:pPr>
      <w:r w:rsidRPr="00BE10B7">
        <w:rPr>
          <w:rFonts w:ascii="Arial" w:eastAsia="Arial" w:hAnsi="Arial" w:cs="Arial"/>
          <w:b/>
          <w:color w:val="000000"/>
          <w:lang w:val="en-US"/>
        </w:rPr>
        <w:t>Fig. 3. Wavelength-Dependent Reflectivity</w:t>
      </w:r>
    </w:p>
    <w:p w14:paraId="5D38FC81" w14:textId="77777777" w:rsidR="00D10C20" w:rsidRPr="00BE10B7" w:rsidRDefault="00D10C20">
      <w:pPr>
        <w:pBdr>
          <w:top w:val="nil"/>
          <w:left w:val="nil"/>
          <w:bottom w:val="nil"/>
          <w:right w:val="nil"/>
          <w:between w:val="nil"/>
        </w:pBdr>
        <w:jc w:val="both"/>
        <w:rPr>
          <w:rFonts w:ascii="Arial" w:eastAsia="Arial" w:hAnsi="Arial" w:cs="Arial"/>
          <w:b/>
          <w:color w:val="000000"/>
          <w:lang w:val="en-US"/>
        </w:rPr>
      </w:pPr>
    </w:p>
    <w:p w14:paraId="7F1196F5"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The optical absorption spectrum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is shown in Figure 4, highlighting a sharp peak at 42 nm, with a coefficient of approximately 4.35 × 10⁵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indicating strong absorption in the extreme ultraviolet. Between 80 and 150 nm, attenuation is observed. From 230 nm onward, the absorption gradually decreases, reaching zero beyond 360 nm. These spectra cover the 20 to 450 nm range.</w:t>
      </w:r>
    </w:p>
    <w:p w14:paraId="4DD23FF1"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 xml:space="preserve">Optical properties describe the interaction between photons and the material, helping infer its electronic behavior, since absorption promotes electrons from the valence band to the </w:t>
      </w:r>
      <w:r w:rsidRPr="00D10C20">
        <w:rPr>
          <w:rFonts w:ascii="Arial" w:eastAsia="Arial" w:hAnsi="Arial" w:cs="Arial"/>
          <w:color w:val="000000"/>
          <w:lang w:val="en-US"/>
        </w:rPr>
        <w:lastRenderedPageBreak/>
        <w:t>conduction band [27]. Generally, the larger the bandgap, the lower the absorption efficiency [25]. For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the reported energy gap is 3.94 eV [28], consistent with the absorption patterns observed in this study.</w:t>
      </w:r>
    </w:p>
    <w:p w14:paraId="0D7CD150" w14:textId="12C5EAED" w:rsidR="00FE1FD7" w:rsidRDefault="000A1DD5" w:rsidP="00D10C2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5B985AB9" wp14:editId="7EDD4E42">
            <wp:extent cx="3238500" cy="234061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38500" cy="2340610"/>
                    </a:xfrm>
                    <a:prstGeom prst="rect">
                      <a:avLst/>
                    </a:prstGeom>
                    <a:ln/>
                  </pic:spPr>
                </pic:pic>
              </a:graphicData>
            </a:graphic>
          </wp:inline>
        </w:drawing>
      </w:r>
    </w:p>
    <w:p w14:paraId="08769107" w14:textId="21ED749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4. </w:t>
      </w:r>
      <w:r w:rsidR="00D10C20" w:rsidRPr="00D10C20">
        <w:rPr>
          <w:rFonts w:ascii="Arial" w:eastAsia="Arial" w:hAnsi="Arial" w:cs="Arial"/>
          <w:b/>
          <w:color w:val="000000"/>
          <w:lang w:val="en-US"/>
        </w:rPr>
        <w:t>Absorbance as a Function of Wavelength (nm).</w:t>
      </w:r>
    </w:p>
    <w:p w14:paraId="064AF77D"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7A1AF2D0" w14:textId="77777777" w:rsidR="00D10C20" w:rsidRDefault="00D10C20">
      <w:pPr>
        <w:pBdr>
          <w:top w:val="nil"/>
          <w:left w:val="nil"/>
          <w:bottom w:val="nil"/>
          <w:right w:val="nil"/>
          <w:between w:val="nil"/>
        </w:pBdr>
        <w:rPr>
          <w:rFonts w:ascii="Arial" w:eastAsia="Arial" w:hAnsi="Arial" w:cs="Arial"/>
          <w:color w:val="000000"/>
        </w:rPr>
      </w:pPr>
      <w:r w:rsidRPr="00D10C20">
        <w:rPr>
          <w:rFonts w:ascii="Arial" w:eastAsia="Arial" w:hAnsi="Arial" w:cs="Arial"/>
          <w:color w:val="000000"/>
          <w:lang w:val="en-US"/>
        </w:rPr>
        <w:t>Figure 5 presents the dielectric function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averaged over various crystallographic directions (POLY). The graph displays the real (Re, blue) and imaginary (</w:t>
      </w:r>
      <w:proofErr w:type="spellStart"/>
      <w:r w:rsidRPr="00D10C20">
        <w:rPr>
          <w:rFonts w:ascii="Arial" w:eastAsia="Arial" w:hAnsi="Arial" w:cs="Arial"/>
          <w:color w:val="000000"/>
          <w:lang w:val="en-US"/>
        </w:rPr>
        <w:t>Im</w:t>
      </w:r>
      <w:proofErr w:type="spellEnd"/>
      <w:r w:rsidRPr="00D10C20">
        <w:rPr>
          <w:rFonts w:ascii="Arial" w:eastAsia="Arial" w:hAnsi="Arial" w:cs="Arial"/>
          <w:color w:val="000000"/>
          <w:lang w:val="en-US"/>
        </w:rPr>
        <w:t>, red) parts. The real part, linked to material polarization under an external field, becomes significant around 133 nm and peaks at 7.98 near 260 nm. Negative values appear between 41.5</w:t>
      </w:r>
      <w:r>
        <w:rPr>
          <w:rFonts w:ascii="Arial" w:eastAsia="Arial" w:hAnsi="Arial" w:cs="Arial"/>
          <w:color w:val="000000"/>
          <w:lang w:val="en-US"/>
        </w:rPr>
        <w:t xml:space="preserve"> </w:t>
      </w:r>
      <w:r w:rsidRPr="00D10C20">
        <w:rPr>
          <w:rFonts w:ascii="Arial" w:eastAsia="Arial" w:hAnsi="Arial" w:cs="Arial"/>
          <w:color w:val="000000"/>
          <w:lang w:val="en-US"/>
        </w:rPr>
        <w:t>–</w:t>
      </w:r>
      <w:r>
        <w:rPr>
          <w:rFonts w:ascii="Arial" w:eastAsia="Arial" w:hAnsi="Arial" w:cs="Arial"/>
          <w:color w:val="000000"/>
          <w:lang w:val="en-US"/>
        </w:rPr>
        <w:t xml:space="preserve"> </w:t>
      </w:r>
      <w:r w:rsidRPr="00D10C20">
        <w:rPr>
          <w:rFonts w:ascii="Arial" w:eastAsia="Arial" w:hAnsi="Arial" w:cs="Arial"/>
          <w:color w:val="000000"/>
          <w:lang w:val="en-US"/>
        </w:rPr>
        <w:t>44.5 nm and 92</w:t>
      </w:r>
      <w:r>
        <w:rPr>
          <w:rFonts w:ascii="Arial" w:eastAsia="Arial" w:hAnsi="Arial" w:cs="Arial"/>
          <w:color w:val="000000"/>
          <w:lang w:val="en-US"/>
        </w:rPr>
        <w:t xml:space="preserve"> </w:t>
      </w:r>
      <w:r w:rsidRPr="00D10C20">
        <w:rPr>
          <w:rFonts w:ascii="Arial" w:eastAsia="Arial" w:hAnsi="Arial" w:cs="Arial"/>
          <w:color w:val="000000"/>
          <w:lang w:val="en-US"/>
        </w:rPr>
        <w:t>–</w:t>
      </w:r>
      <w:r>
        <w:rPr>
          <w:rFonts w:ascii="Arial" w:eastAsia="Arial" w:hAnsi="Arial" w:cs="Arial"/>
          <w:color w:val="000000"/>
          <w:lang w:val="en-US"/>
        </w:rPr>
        <w:t xml:space="preserve"> </w:t>
      </w:r>
      <w:r w:rsidRPr="00D10C20">
        <w:rPr>
          <w:rFonts w:ascii="Arial" w:eastAsia="Arial" w:hAnsi="Arial" w:cs="Arial"/>
          <w:color w:val="000000"/>
          <w:lang w:val="en-US"/>
        </w:rPr>
        <w:t xml:space="preserve">133 nm. The imaginary part exhibits two major peaks: one at 140 nm (value 6.2) and another at 240 nm (value 5.2). </w:t>
      </w:r>
      <w:r w:rsidRPr="00D10C20">
        <w:rPr>
          <w:rFonts w:ascii="Arial" w:eastAsia="Arial" w:hAnsi="Arial" w:cs="Arial"/>
          <w:color w:val="000000"/>
        </w:rPr>
        <w:t>Above 350 nm, both components stabilize.</w:t>
      </w:r>
    </w:p>
    <w:p w14:paraId="594C0C7C" w14:textId="09AAD786" w:rsidR="00FE1FD7" w:rsidRDefault="000A1DD5">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0B103F21" wp14:editId="09527FED">
            <wp:extent cx="3056255" cy="23145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056255" cy="2314575"/>
                    </a:xfrm>
                    <a:prstGeom prst="rect">
                      <a:avLst/>
                    </a:prstGeom>
                    <a:ln/>
                  </pic:spPr>
                </pic:pic>
              </a:graphicData>
            </a:graphic>
          </wp:inline>
        </w:drawing>
      </w:r>
    </w:p>
    <w:p w14:paraId="5587CD6F" w14:textId="7777777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Fig. 5. Complex Dielectric Function of CaWO₄: Real (</w:t>
      </w:r>
      <w:r>
        <w:rPr>
          <w:rFonts w:ascii="Arial" w:eastAsia="Arial" w:hAnsi="Arial" w:cs="Arial"/>
          <w:b/>
          <w:color w:val="000000"/>
        </w:rPr>
        <w:t>ε</w:t>
      </w:r>
      <w:r w:rsidRPr="00580C7C">
        <w:rPr>
          <w:rFonts w:ascii="Arial" w:eastAsia="Arial" w:hAnsi="Arial" w:cs="Arial"/>
          <w:b/>
          <w:color w:val="000000"/>
          <w:lang w:val="en-US"/>
        </w:rPr>
        <w:t>₁) and Imaginary (</w:t>
      </w:r>
      <w:r>
        <w:rPr>
          <w:rFonts w:ascii="Arial" w:eastAsia="Arial" w:hAnsi="Arial" w:cs="Arial"/>
          <w:b/>
          <w:color w:val="000000"/>
        </w:rPr>
        <w:t>ε</w:t>
      </w:r>
      <w:r w:rsidRPr="00580C7C">
        <w:rPr>
          <w:rFonts w:ascii="Arial" w:eastAsia="Arial" w:hAnsi="Arial" w:cs="Arial"/>
          <w:b/>
          <w:color w:val="000000"/>
          <w:lang w:val="en-US"/>
        </w:rPr>
        <w:t>₂) Components as a Function of Wavelength.</w:t>
      </w:r>
    </w:p>
    <w:p w14:paraId="481B2B49"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5D2DB880"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 xml:space="preserve">The loss function, calculated in the (1,0,0) direction, quantifies the probability of inelastic electron scattering in solids and directly relates to the material’s dielectric response [29]. </w:t>
      </w:r>
      <w:r w:rsidRPr="00D10C20">
        <w:rPr>
          <w:rFonts w:ascii="Arial" w:eastAsia="Arial" w:hAnsi="Arial" w:cs="Arial"/>
          <w:i/>
          <w:iCs/>
          <w:color w:val="000000"/>
          <w:lang w:val="en-US"/>
        </w:rPr>
        <w:t>Figure 6</w:t>
      </w:r>
      <w:r w:rsidRPr="00D10C20">
        <w:rPr>
          <w:rFonts w:ascii="Arial" w:eastAsia="Arial" w:hAnsi="Arial" w:cs="Arial"/>
          <w:color w:val="000000"/>
          <w:lang w:val="en-US"/>
        </w:rPr>
        <w:t xml:space="preserve"> shows a sharp peak around 40 nm with an intensity near 12. Minor oscillations occur between 50–100 nm. After 120 nm, values gradually stabilize, and after 380 nm, the loss function approaches zero.</w:t>
      </w:r>
    </w:p>
    <w:p w14:paraId="31F38063" w14:textId="77777777" w:rsidR="00FE1FD7" w:rsidRDefault="000A1DD5">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noProof/>
          <w:color w:val="000000"/>
        </w:rPr>
        <w:lastRenderedPageBreak/>
        <w:drawing>
          <wp:inline distT="0" distB="0" distL="0" distR="0" wp14:anchorId="3D025DA5" wp14:editId="1ECF65C6">
            <wp:extent cx="3191510" cy="23590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91510" cy="2359025"/>
                    </a:xfrm>
                    <a:prstGeom prst="rect">
                      <a:avLst/>
                    </a:prstGeom>
                    <a:ln/>
                  </pic:spPr>
                </pic:pic>
              </a:graphicData>
            </a:graphic>
          </wp:inline>
        </w:drawing>
      </w:r>
    </w:p>
    <w:p w14:paraId="659130ED" w14:textId="77777777" w:rsidR="00FE1FD7" w:rsidRPr="00580C7C"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 xml:space="preserve">Fig. 6. Electron Energy Loss Function </w:t>
      </w:r>
      <w:proofErr w:type="spellStart"/>
      <w:r w:rsidRPr="00580C7C">
        <w:rPr>
          <w:rFonts w:ascii="Arial" w:eastAsia="Arial" w:hAnsi="Arial" w:cs="Arial"/>
          <w:b/>
          <w:color w:val="000000"/>
          <w:lang w:val="en-US"/>
        </w:rPr>
        <w:t>Im</w:t>
      </w:r>
      <w:proofErr w:type="spellEnd"/>
      <w:r w:rsidRPr="00580C7C">
        <w:rPr>
          <w:rFonts w:ascii="Arial" w:eastAsia="Arial" w:hAnsi="Arial" w:cs="Arial"/>
          <w:b/>
          <w:color w:val="000000"/>
          <w:lang w:val="en-US"/>
        </w:rPr>
        <w:t>(–1/</w:t>
      </w:r>
      <w:r>
        <w:rPr>
          <w:rFonts w:ascii="Arial" w:eastAsia="Arial" w:hAnsi="Arial" w:cs="Arial"/>
          <w:b/>
          <w:color w:val="000000"/>
        </w:rPr>
        <w:t>ε</w:t>
      </w:r>
      <w:r w:rsidRPr="00580C7C">
        <w:rPr>
          <w:rFonts w:ascii="Arial" w:eastAsia="Arial" w:hAnsi="Arial" w:cs="Arial"/>
          <w:b/>
          <w:color w:val="000000"/>
          <w:lang w:val="en-US"/>
        </w:rPr>
        <w:t>) as a Function of Wavelength</w:t>
      </w:r>
    </w:p>
    <w:p w14:paraId="4D6631A8" w14:textId="77777777" w:rsidR="00D10C20" w:rsidRPr="00BE10B7" w:rsidRDefault="00D10C20" w:rsidP="00D10C20">
      <w:pPr>
        <w:pBdr>
          <w:top w:val="nil"/>
          <w:left w:val="nil"/>
          <w:bottom w:val="nil"/>
          <w:right w:val="nil"/>
          <w:between w:val="nil"/>
        </w:pBdr>
        <w:jc w:val="both"/>
        <w:rPr>
          <w:rFonts w:ascii="Arial" w:eastAsia="Arial" w:hAnsi="Arial" w:cs="Arial"/>
          <w:i/>
          <w:iCs/>
          <w:color w:val="000000"/>
          <w:lang w:val="en-US"/>
        </w:rPr>
      </w:pPr>
    </w:p>
    <w:p w14:paraId="596D825B" w14:textId="2B21DE9F"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i/>
          <w:iCs/>
          <w:color w:val="000000"/>
          <w:lang w:val="en-US"/>
        </w:rPr>
        <w:t>Figure 7</w:t>
      </w:r>
      <w:r w:rsidRPr="00D10C20">
        <w:rPr>
          <w:rFonts w:ascii="Arial" w:eastAsia="Arial" w:hAnsi="Arial" w:cs="Arial"/>
          <w:color w:val="000000"/>
          <w:lang w:val="en-US"/>
        </w:rPr>
        <w:t xml:space="preserve"> displays the optical conductivity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versus wavelength, with real (red) and imaginary (blue) components. The response reveals photon-induced electronic transitions: the real part reflects effective conduction, while the imaginary part corresponds to polarization-related losses.</w:t>
      </w:r>
    </w:p>
    <w:p w14:paraId="5C7A62A2"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p>
    <w:p w14:paraId="592EC44F" w14:textId="77777777" w:rsidR="00D10C20" w:rsidRPr="00D10C20" w:rsidRDefault="00D10C20" w:rsidP="00D10C20">
      <w:pPr>
        <w:pBdr>
          <w:top w:val="nil"/>
          <w:left w:val="nil"/>
          <w:bottom w:val="nil"/>
          <w:right w:val="nil"/>
          <w:between w:val="nil"/>
        </w:pBdr>
        <w:jc w:val="both"/>
        <w:rPr>
          <w:rFonts w:ascii="Arial" w:eastAsia="Arial" w:hAnsi="Arial" w:cs="Arial"/>
          <w:color w:val="000000"/>
        </w:rPr>
      </w:pPr>
      <w:r w:rsidRPr="00D10C20">
        <w:rPr>
          <w:rFonts w:ascii="Arial" w:eastAsia="Arial" w:hAnsi="Arial" w:cs="Arial"/>
          <w:color w:val="000000"/>
          <w:lang w:val="en-US"/>
        </w:rPr>
        <w:t xml:space="preserve">The real component shows a prominent peak around 139 nm, reaching 6.8 (1/fs). A second significant peak appears near 232 nm, followed by a steep drop, with values approaching zero at longer wavelengths. This again suggests weak interaction with visible light. The imaginary component shows a negative, asymmetric trend, with strong oscillations below 300 nm. </w:t>
      </w:r>
      <w:r w:rsidRPr="00D10C20">
        <w:rPr>
          <w:rFonts w:ascii="Arial" w:eastAsia="Arial" w:hAnsi="Arial" w:cs="Arial"/>
          <w:color w:val="000000"/>
        </w:rPr>
        <w:t>Beyond 400 nm, both components stabilize.</w:t>
      </w:r>
    </w:p>
    <w:p w14:paraId="7F9ECDA9" w14:textId="77777777" w:rsidR="00FE1FD7" w:rsidRDefault="00FE1FD7">
      <w:pPr>
        <w:pBdr>
          <w:top w:val="nil"/>
          <w:left w:val="nil"/>
          <w:bottom w:val="nil"/>
          <w:right w:val="nil"/>
          <w:between w:val="nil"/>
        </w:pBdr>
        <w:jc w:val="both"/>
        <w:rPr>
          <w:rFonts w:ascii="Arial" w:eastAsia="Arial" w:hAnsi="Arial" w:cs="Arial"/>
          <w:b/>
          <w:color w:val="000000"/>
        </w:rPr>
      </w:pPr>
    </w:p>
    <w:p w14:paraId="0A44D67E" w14:textId="77777777" w:rsidR="00FE1FD7" w:rsidRDefault="000A1DD5">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158026D0" wp14:editId="705DB0C8">
            <wp:extent cx="3105150" cy="23399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105150" cy="2339975"/>
                    </a:xfrm>
                    <a:prstGeom prst="rect">
                      <a:avLst/>
                    </a:prstGeom>
                    <a:ln/>
                  </pic:spPr>
                </pic:pic>
              </a:graphicData>
            </a:graphic>
          </wp:inline>
        </w:drawing>
      </w:r>
    </w:p>
    <w:p w14:paraId="0DE54A43" w14:textId="77777777" w:rsidR="00FE1FD7" w:rsidRDefault="000A1DD5">
      <w:pPr>
        <w:pBdr>
          <w:top w:val="nil"/>
          <w:left w:val="nil"/>
          <w:bottom w:val="nil"/>
          <w:right w:val="nil"/>
          <w:between w:val="nil"/>
        </w:pBdr>
        <w:jc w:val="both"/>
        <w:rPr>
          <w:rFonts w:ascii="Arial" w:eastAsia="Arial" w:hAnsi="Arial" w:cs="Arial"/>
          <w:b/>
          <w:color w:val="000000"/>
          <w:lang w:val="en-US"/>
        </w:rPr>
      </w:pPr>
      <w:r w:rsidRPr="00580C7C">
        <w:rPr>
          <w:rFonts w:ascii="Arial" w:eastAsia="Arial" w:hAnsi="Arial" w:cs="Arial"/>
          <w:b/>
          <w:color w:val="000000"/>
          <w:lang w:val="en-US"/>
        </w:rPr>
        <w:t>Fig. 7. Optical Conductivity Spectrum of CaWO₄: Real and Imaginary Components</w:t>
      </w:r>
      <w:r w:rsidRPr="00580C7C">
        <w:rPr>
          <w:rFonts w:ascii="Arial" w:eastAsia="Arial" w:hAnsi="Arial" w:cs="Arial"/>
          <w:b/>
          <w:color w:val="000000"/>
          <w:lang w:val="en-US"/>
        </w:rPr>
        <w:t xml:space="preserve"> as a Function of Wavelength</w:t>
      </w:r>
    </w:p>
    <w:p w14:paraId="3D2059E6" w14:textId="77777777" w:rsidR="00D10C20" w:rsidRPr="00580C7C" w:rsidRDefault="00D10C20">
      <w:pPr>
        <w:pBdr>
          <w:top w:val="nil"/>
          <w:left w:val="nil"/>
          <w:bottom w:val="nil"/>
          <w:right w:val="nil"/>
          <w:between w:val="nil"/>
        </w:pBdr>
        <w:jc w:val="both"/>
        <w:rPr>
          <w:rFonts w:ascii="Arial" w:eastAsia="Arial" w:hAnsi="Arial" w:cs="Arial"/>
          <w:b/>
          <w:color w:val="000000"/>
          <w:lang w:val="en-US"/>
        </w:rPr>
      </w:pPr>
    </w:p>
    <w:p w14:paraId="2613B090" w14:textId="77777777" w:rsidR="00D10C20" w:rsidRP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t>Raman spectroscopy analyzes the inelastic scattering of light to identify vibrational modes in materials, revealing chemical structure and making it a key tool for characterizing solid compounds [30]. Figure 8 compares experimental Raman spectra of CaWO</w:t>
      </w:r>
      <w:r w:rsidRPr="00D10C20">
        <w:rPr>
          <w:rFonts w:ascii="Cambria Math" w:eastAsia="Arial" w:hAnsi="Cambria Math" w:cs="Cambria Math"/>
          <w:color w:val="000000"/>
          <w:lang w:val="en-US"/>
        </w:rPr>
        <w:t>₄</w:t>
      </w:r>
      <w:r w:rsidRPr="00D10C20">
        <w:rPr>
          <w:rFonts w:ascii="Arial" w:eastAsia="Arial" w:hAnsi="Arial" w:cs="Arial"/>
          <w:color w:val="000000"/>
          <w:lang w:val="en-US"/>
        </w:rPr>
        <w:t xml:space="preserve"> from [8] (in red) with simulated data (in black).</w:t>
      </w:r>
    </w:p>
    <w:p w14:paraId="2E5D795E" w14:textId="77777777" w:rsidR="00D10C20" w:rsidRDefault="00D10C20" w:rsidP="00D10C20">
      <w:pPr>
        <w:pBdr>
          <w:top w:val="nil"/>
          <w:left w:val="nil"/>
          <w:bottom w:val="nil"/>
          <w:right w:val="nil"/>
          <w:between w:val="nil"/>
        </w:pBdr>
        <w:jc w:val="both"/>
        <w:rPr>
          <w:rFonts w:ascii="Arial" w:eastAsia="Arial" w:hAnsi="Arial" w:cs="Arial"/>
          <w:color w:val="000000"/>
          <w:lang w:val="en-US"/>
        </w:rPr>
      </w:pPr>
      <w:r w:rsidRPr="00D10C20">
        <w:rPr>
          <w:rFonts w:ascii="Arial" w:eastAsia="Arial" w:hAnsi="Arial" w:cs="Arial"/>
          <w:color w:val="000000"/>
          <w:lang w:val="en-US"/>
        </w:rPr>
        <w:lastRenderedPageBreak/>
        <w:t>The results reveal a prominent peak around 950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Notable oscillations appear between 200 and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especially around 300 and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After 400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intensity drops to zero until nearly 800 cm</w:t>
      </w:r>
      <w:r w:rsidRPr="00D10C20">
        <w:rPr>
          <w:rFonts w:ascii="Cambria Math" w:eastAsia="Arial" w:hAnsi="Cambria Math" w:cs="Cambria Math"/>
          <w:color w:val="000000"/>
          <w:lang w:val="en-US"/>
        </w:rPr>
        <w:t>⁻</w:t>
      </w:r>
      <w:r w:rsidRPr="00D10C20">
        <w:rPr>
          <w:rFonts w:ascii="Arial" w:eastAsia="Arial" w:hAnsi="Arial" w:cs="Arial"/>
          <w:color w:val="000000"/>
          <w:lang w:val="en-US"/>
        </w:rPr>
        <w:t>¹, where variations resume. Overall, good agreement is observed between theoretical and experimental Raman results, especially in the position of the main vibrational modes.</w:t>
      </w:r>
    </w:p>
    <w:p w14:paraId="56AC4384" w14:textId="56DB1911" w:rsidR="00FE1FD7" w:rsidRPr="00D10C20" w:rsidRDefault="000A1DD5" w:rsidP="00D10C20">
      <w:pPr>
        <w:pBdr>
          <w:top w:val="nil"/>
          <w:left w:val="nil"/>
          <w:bottom w:val="nil"/>
          <w:right w:val="nil"/>
          <w:between w:val="nil"/>
        </w:pBdr>
        <w:jc w:val="both"/>
        <w:rPr>
          <w:rFonts w:ascii="Helvetica Neue" w:eastAsia="Helvetica Neue" w:hAnsi="Helvetica Neue" w:cs="Helvetica Neue"/>
          <w:color w:val="000000"/>
          <w:lang w:val="en-US"/>
        </w:rPr>
      </w:pPr>
      <w:r>
        <w:rPr>
          <w:rFonts w:ascii="Helvetica Neue" w:eastAsia="Helvetica Neue" w:hAnsi="Helvetica Neue" w:cs="Helvetica Neue"/>
          <w:noProof/>
          <w:color w:val="000000"/>
        </w:rPr>
        <w:drawing>
          <wp:inline distT="0" distB="0" distL="0" distR="0" wp14:anchorId="5553E3D6" wp14:editId="0E587A43">
            <wp:extent cx="2914015" cy="265874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914015" cy="2658745"/>
                    </a:xfrm>
                    <a:prstGeom prst="rect">
                      <a:avLst/>
                    </a:prstGeom>
                    <a:ln/>
                  </pic:spPr>
                </pic:pic>
              </a:graphicData>
            </a:graphic>
          </wp:inline>
        </w:drawing>
      </w:r>
    </w:p>
    <w:p w14:paraId="095DAA7C" w14:textId="0DA00877" w:rsidR="00FE1FD7" w:rsidRDefault="000A1DD5">
      <w:pPr>
        <w:pBdr>
          <w:top w:val="nil"/>
          <w:left w:val="nil"/>
          <w:bottom w:val="nil"/>
          <w:right w:val="nil"/>
          <w:between w:val="nil"/>
        </w:pBdr>
        <w:jc w:val="both"/>
        <w:rPr>
          <w:rFonts w:ascii="Arial" w:eastAsia="Arial" w:hAnsi="Arial" w:cs="Arial"/>
          <w:b/>
          <w:color w:val="000000"/>
          <w:lang w:val="en-US"/>
        </w:rPr>
      </w:pPr>
      <w:r w:rsidRPr="00BE10B7">
        <w:rPr>
          <w:rFonts w:ascii="Arial" w:eastAsia="Arial" w:hAnsi="Arial" w:cs="Arial"/>
          <w:b/>
          <w:color w:val="000000"/>
          <w:lang w:val="en-US"/>
        </w:rPr>
        <w:t xml:space="preserve">Fig. 8. </w:t>
      </w:r>
      <w:r w:rsidR="00D10C20" w:rsidRPr="00D10C20">
        <w:rPr>
          <w:rFonts w:ascii="Arial" w:eastAsia="Arial" w:hAnsi="Arial" w:cs="Arial"/>
          <w:b/>
          <w:color w:val="000000"/>
          <w:lang w:val="en-US"/>
        </w:rPr>
        <w:t>Raman Spectra of CaWO</w:t>
      </w:r>
      <w:r w:rsidR="00D10C20" w:rsidRPr="00D10C20">
        <w:rPr>
          <w:rFonts w:ascii="Cambria Math" w:eastAsia="Arial" w:hAnsi="Cambria Math" w:cs="Cambria Math"/>
          <w:b/>
          <w:color w:val="000000"/>
          <w:lang w:val="en-US"/>
        </w:rPr>
        <w:t>₄</w:t>
      </w:r>
      <w:r w:rsidR="00D10C20" w:rsidRPr="00D10C20">
        <w:rPr>
          <w:rFonts w:ascii="Arial" w:eastAsia="Arial" w:hAnsi="Arial" w:cs="Arial"/>
          <w:b/>
          <w:color w:val="000000"/>
          <w:lang w:val="en-US"/>
        </w:rPr>
        <w:t>: Comparison between Experimental (red) and Simulated (black) Data.</w:t>
      </w:r>
    </w:p>
    <w:p w14:paraId="10B64E24" w14:textId="77777777" w:rsidR="00D10C20" w:rsidRPr="00D10C20" w:rsidRDefault="00D10C20">
      <w:pPr>
        <w:pBdr>
          <w:top w:val="nil"/>
          <w:left w:val="nil"/>
          <w:bottom w:val="nil"/>
          <w:right w:val="nil"/>
          <w:between w:val="nil"/>
        </w:pBdr>
        <w:jc w:val="both"/>
        <w:rPr>
          <w:rFonts w:ascii="Helvetica Neue" w:eastAsia="Helvetica Neue" w:hAnsi="Helvetica Neue" w:cs="Helvetica Neue"/>
          <w:color w:val="000000"/>
          <w:lang w:val="en-US"/>
        </w:rPr>
      </w:pPr>
    </w:p>
    <w:p w14:paraId="696216F5" w14:textId="77777777" w:rsidR="00FE1FD7" w:rsidRPr="00BE10B7" w:rsidRDefault="000A1DD5">
      <w:pPr>
        <w:keepNext/>
        <w:pBdr>
          <w:top w:val="nil"/>
          <w:left w:val="nil"/>
          <w:bottom w:val="nil"/>
          <w:right w:val="nil"/>
          <w:between w:val="nil"/>
        </w:pBdr>
        <w:jc w:val="both"/>
        <w:rPr>
          <w:rFonts w:ascii="Arial" w:eastAsia="Arial" w:hAnsi="Arial" w:cs="Arial"/>
          <w:b/>
          <w:smallCaps/>
          <w:color w:val="000000"/>
          <w:sz w:val="22"/>
          <w:szCs w:val="22"/>
          <w:lang w:val="en-US"/>
        </w:rPr>
      </w:pPr>
      <w:r w:rsidRPr="00BE10B7">
        <w:rPr>
          <w:rFonts w:ascii="Arial" w:eastAsia="Arial" w:hAnsi="Arial" w:cs="Arial"/>
          <w:b/>
          <w:smallCaps/>
          <w:color w:val="000000"/>
          <w:sz w:val="22"/>
          <w:szCs w:val="22"/>
          <w:lang w:val="en-US"/>
        </w:rPr>
        <w:t>4. Conclusion</w:t>
      </w:r>
    </w:p>
    <w:p w14:paraId="7317B2E1" w14:textId="77777777" w:rsidR="00FE1FD7" w:rsidRPr="00BE10B7" w:rsidRDefault="00FE1FD7">
      <w:pPr>
        <w:keepNext/>
        <w:pBdr>
          <w:top w:val="nil"/>
          <w:left w:val="nil"/>
          <w:bottom w:val="nil"/>
          <w:right w:val="nil"/>
          <w:between w:val="nil"/>
        </w:pBdr>
        <w:jc w:val="both"/>
        <w:rPr>
          <w:rFonts w:ascii="Arial" w:eastAsia="Arial" w:hAnsi="Arial" w:cs="Arial"/>
          <w:b/>
          <w:smallCaps/>
          <w:color w:val="000000"/>
          <w:sz w:val="22"/>
          <w:szCs w:val="22"/>
          <w:lang w:val="en-US"/>
        </w:rPr>
      </w:pPr>
    </w:p>
    <w:p w14:paraId="26813C21"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The optical properties of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were investigated through calculations based on Density Functional Theory (DFT), revealing strong absorption in the ultraviolet region and well-defined peaks across the simulated spectra.</w:t>
      </w:r>
    </w:p>
    <w:p w14:paraId="38662123"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p>
    <w:p w14:paraId="46EC7729"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Overall, the analysis of the various optical functions characterized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as a material with a significant response to high-energy radiation. The presence of sharp spectral features—combined with transparency at longer wavelengths—indicates an interesting spectral selectivity that may be leveraged for specific technological applications. In particular, CaWO</w:t>
      </w:r>
      <w:r w:rsidRPr="00E65188">
        <w:rPr>
          <w:rFonts w:ascii="Cambria Math" w:eastAsia="Arial" w:hAnsi="Cambria Math" w:cs="Cambria Math"/>
          <w:color w:val="000000"/>
          <w:lang w:val="en-US"/>
        </w:rPr>
        <w:t>₄</w:t>
      </w:r>
      <w:r w:rsidRPr="00E65188">
        <w:rPr>
          <w:rFonts w:ascii="Arial" w:eastAsia="Arial" w:hAnsi="Arial" w:cs="Arial"/>
          <w:color w:val="000000"/>
          <w:lang w:val="en-US"/>
        </w:rPr>
        <w:t xml:space="preserve"> exhibited pronounced ultraviolet absorption, with a peak near 42 nm, highlighting its strong optical activity in this range.</w:t>
      </w:r>
    </w:p>
    <w:p w14:paraId="5F2A61F4"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p>
    <w:p w14:paraId="78A42A12" w14:textId="77777777" w:rsidR="00E65188" w:rsidRPr="00E65188" w:rsidRDefault="00E65188" w:rsidP="00E65188">
      <w:pPr>
        <w:pBdr>
          <w:top w:val="nil"/>
          <w:left w:val="nil"/>
          <w:bottom w:val="nil"/>
          <w:right w:val="nil"/>
          <w:between w:val="nil"/>
        </w:pBdr>
        <w:jc w:val="both"/>
        <w:rPr>
          <w:rFonts w:ascii="Arial" w:eastAsia="Arial" w:hAnsi="Arial" w:cs="Arial"/>
          <w:color w:val="000000"/>
          <w:lang w:val="en-US"/>
        </w:rPr>
      </w:pPr>
      <w:r w:rsidRPr="00E65188">
        <w:rPr>
          <w:rFonts w:ascii="Arial" w:eastAsia="Arial" w:hAnsi="Arial" w:cs="Arial"/>
          <w:color w:val="000000"/>
          <w:lang w:val="en-US"/>
        </w:rPr>
        <w:t xml:space="preserve">The dielectric function demonstrated dispersive behavior, while the energy loss function revealed a prominent peak in the violet region. Furthermore, the obtained spectra showed good agreement with experimental Raman spectroscopy data reported in the literature, reinforcing the reliability of the adopted methodology. These findings may contribute to the theoretical understanding of </w:t>
      </w:r>
      <w:proofErr w:type="spellStart"/>
      <w:r w:rsidRPr="00E65188">
        <w:rPr>
          <w:rFonts w:ascii="Arial" w:eastAsia="Arial" w:hAnsi="Arial" w:cs="Arial"/>
          <w:color w:val="000000"/>
          <w:lang w:val="en-US"/>
        </w:rPr>
        <w:t>CaWO</w:t>
      </w:r>
      <w:proofErr w:type="spellEnd"/>
      <w:r w:rsidRPr="00E65188">
        <w:rPr>
          <w:rFonts w:ascii="Cambria Math" w:eastAsia="Arial" w:hAnsi="Cambria Math" w:cs="Cambria Math"/>
          <w:color w:val="000000"/>
          <w:lang w:val="en-US"/>
        </w:rPr>
        <w:t>₄</w:t>
      </w:r>
      <w:r w:rsidRPr="00E65188">
        <w:rPr>
          <w:rFonts w:ascii="Arial" w:eastAsia="Arial" w:hAnsi="Arial" w:cs="Arial"/>
          <w:color w:val="000000"/>
          <w:lang w:val="en-US"/>
        </w:rPr>
        <w:t>’s optical behavior and support future experimental research involving this compound</w:t>
      </w:r>
    </w:p>
    <w:p w14:paraId="7A86C749" w14:textId="77777777" w:rsidR="00FE1FD7" w:rsidRPr="00E65188" w:rsidRDefault="00FE1FD7">
      <w:pPr>
        <w:pBdr>
          <w:top w:val="nil"/>
          <w:left w:val="nil"/>
          <w:bottom w:val="nil"/>
          <w:right w:val="nil"/>
          <w:between w:val="nil"/>
        </w:pBdr>
        <w:jc w:val="both"/>
        <w:rPr>
          <w:rFonts w:ascii="Arial" w:eastAsia="Arial" w:hAnsi="Arial" w:cs="Arial"/>
          <w:color w:val="000000"/>
          <w:lang w:val="en-US"/>
        </w:rPr>
      </w:pPr>
    </w:p>
    <w:p w14:paraId="45EF17B4" w14:textId="630FA970" w:rsidR="00713136" w:rsidRDefault="00713136">
      <w:pPr>
        <w:keepNext/>
        <w:pBdr>
          <w:top w:val="nil"/>
          <w:left w:val="nil"/>
          <w:bottom w:val="nil"/>
          <w:right w:val="nil"/>
          <w:between w:val="nil"/>
        </w:pBdr>
        <w:jc w:val="both"/>
        <w:rPr>
          <w:rFonts w:ascii="Arial" w:eastAsia="Arial" w:hAnsi="Arial" w:cs="Arial"/>
          <w:b/>
          <w:smallCaps/>
          <w:color w:val="000000"/>
          <w:sz w:val="22"/>
          <w:szCs w:val="22"/>
          <w:lang w:val="en-US"/>
        </w:rPr>
      </w:pPr>
    </w:p>
    <w:p w14:paraId="6AE40ECB" w14:textId="4A186B2B" w:rsidR="007674B9" w:rsidRDefault="007674B9">
      <w:pPr>
        <w:keepNext/>
        <w:pBdr>
          <w:top w:val="nil"/>
          <w:left w:val="nil"/>
          <w:bottom w:val="nil"/>
          <w:right w:val="nil"/>
          <w:between w:val="nil"/>
        </w:pBdr>
        <w:jc w:val="both"/>
        <w:rPr>
          <w:rFonts w:ascii="Arial" w:eastAsia="Arial" w:hAnsi="Arial" w:cs="Arial"/>
          <w:color w:val="000000"/>
          <w:lang w:val="en-US"/>
        </w:rPr>
      </w:pPr>
    </w:p>
    <w:p w14:paraId="25D44057" w14:textId="5AB51CC6" w:rsidR="007674B9" w:rsidRDefault="007674B9">
      <w:pPr>
        <w:keepNext/>
        <w:pBdr>
          <w:top w:val="nil"/>
          <w:left w:val="nil"/>
          <w:bottom w:val="nil"/>
          <w:right w:val="nil"/>
          <w:between w:val="nil"/>
        </w:pBdr>
        <w:jc w:val="both"/>
        <w:rPr>
          <w:rFonts w:ascii="Arial" w:eastAsia="Arial" w:hAnsi="Arial" w:cs="Arial"/>
          <w:color w:val="000000"/>
          <w:lang w:val="en-US"/>
        </w:rPr>
      </w:pPr>
    </w:p>
    <w:p w14:paraId="711DC998" w14:textId="77777777" w:rsidR="007674B9" w:rsidRPr="00580C7C" w:rsidRDefault="007674B9">
      <w:pPr>
        <w:keepNext/>
        <w:pBdr>
          <w:top w:val="nil"/>
          <w:left w:val="nil"/>
          <w:bottom w:val="nil"/>
          <w:right w:val="nil"/>
          <w:between w:val="nil"/>
        </w:pBdr>
        <w:jc w:val="both"/>
        <w:rPr>
          <w:rFonts w:ascii="Arial" w:eastAsia="Arial" w:hAnsi="Arial" w:cs="Arial"/>
          <w:color w:val="000000"/>
          <w:lang w:val="en-US"/>
        </w:rPr>
      </w:pPr>
    </w:p>
    <w:p w14:paraId="387F924A" w14:textId="77777777" w:rsidR="00FE1FD7" w:rsidRPr="00580C7C" w:rsidRDefault="00FE1FD7">
      <w:pPr>
        <w:keepNext/>
        <w:pBdr>
          <w:top w:val="nil"/>
          <w:left w:val="nil"/>
          <w:bottom w:val="nil"/>
          <w:right w:val="nil"/>
          <w:between w:val="nil"/>
        </w:pBdr>
        <w:jc w:val="both"/>
        <w:rPr>
          <w:rFonts w:ascii="Arial" w:eastAsia="Arial" w:hAnsi="Arial" w:cs="Arial"/>
          <w:color w:val="000000"/>
          <w:lang w:val="en-US"/>
        </w:rPr>
      </w:pPr>
    </w:p>
    <w:p w14:paraId="111C036B" w14:textId="77777777" w:rsidR="00FE1FD7" w:rsidRDefault="000A1DD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A3C483C" w14:textId="77777777" w:rsidR="00E65188" w:rsidRDefault="00E65188" w:rsidP="00E65188">
      <w:pPr>
        <w:pBdr>
          <w:top w:val="nil"/>
          <w:left w:val="nil"/>
          <w:bottom w:val="nil"/>
          <w:right w:val="nil"/>
          <w:between w:val="nil"/>
        </w:pBdr>
        <w:rPr>
          <w:rFonts w:ascii="Helvetica Neue" w:eastAsia="Helvetica Neue" w:hAnsi="Helvetica Neue" w:cs="Helvetica Neue"/>
          <w:color w:val="000000"/>
          <w:lang w:val="en-US"/>
        </w:rPr>
      </w:pPr>
    </w:p>
    <w:p w14:paraId="287DA6DF" w14:textId="77777777" w:rsidR="00E65188" w:rsidRDefault="00E65188" w:rsidP="00E65188">
      <w:pPr>
        <w:pBdr>
          <w:top w:val="nil"/>
          <w:left w:val="nil"/>
          <w:bottom w:val="nil"/>
          <w:right w:val="nil"/>
          <w:between w:val="nil"/>
        </w:pBdr>
        <w:rPr>
          <w:rFonts w:ascii="Helvetica Neue" w:eastAsia="Helvetica Neue" w:hAnsi="Helvetica Neue" w:cs="Helvetica Neue"/>
          <w:color w:val="000000"/>
        </w:rPr>
      </w:pPr>
    </w:p>
    <w:p w14:paraId="531890E8" w14:textId="77777777" w:rsidR="00E65188" w:rsidRDefault="00E65188" w:rsidP="00E65188">
      <w:pPr>
        <w:pBdr>
          <w:top w:val="nil"/>
          <w:left w:val="nil"/>
          <w:bottom w:val="nil"/>
          <w:right w:val="nil"/>
          <w:between w:val="nil"/>
        </w:pBdr>
        <w:rPr>
          <w:rFonts w:ascii="Helvetica Neue" w:eastAsia="Helvetica Neue" w:hAnsi="Helvetica Neue" w:cs="Helvetica Neue"/>
          <w:color w:val="000000"/>
        </w:rPr>
      </w:pPr>
    </w:p>
    <w:p w14:paraId="442EEE76"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 Wang, S., et al. (2020). Structure characterization, optical and photoluminescence properties of scheelite-type CaWO₄ nanophosphors: Effects of calcination temperature and carbon skeleton. Optical Materials, 99, 109562.</w:t>
      </w:r>
    </w:p>
    <w:p w14:paraId="577F0F30"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 Gao, H., et al. (2022). </w:t>
      </w:r>
      <w:proofErr w:type="spellStart"/>
      <w:r w:rsidRPr="00336203">
        <w:rPr>
          <w:rFonts w:ascii="Helvetica Neue" w:eastAsia="Helvetica Neue" w:hAnsi="Helvetica Neue" w:cs="Helvetica Neue"/>
          <w:color w:val="000000"/>
          <w:lang w:val="en-US"/>
        </w:rPr>
        <w:t>CaMoO</w:t>
      </w:r>
      <w:proofErr w:type="spellEnd"/>
      <w:r w:rsidRPr="00336203">
        <w:rPr>
          <w:rFonts w:ascii="Helvetica Neue" w:eastAsia="Helvetica Neue" w:hAnsi="Helvetica Neue" w:cs="Helvetica Neue"/>
          <w:color w:val="000000"/>
          <w:lang w:val="en-US"/>
        </w:rPr>
        <w:t>₄/</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 heterojunction micro/nanocomposites with interface defects for enhanced photocatalytic activity. Colloids and Surfaces A, 642, 128642.</w:t>
      </w:r>
    </w:p>
    <w:p w14:paraId="40769AF9"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[3] Bai, S., et al. (2020). Enhanced quantum efficiency and thermal stability in CaWO</w:t>
      </w:r>
      <w:proofErr w:type="gramStart"/>
      <w:r w:rsidRPr="00336203">
        <w:rPr>
          <w:rFonts w:ascii="Helvetica Neue" w:eastAsia="Helvetica Neue" w:hAnsi="Helvetica Neue" w:cs="Helvetica Neue"/>
          <w:color w:val="000000"/>
          <w:lang w:val="en-US"/>
        </w:rPr>
        <w:t>₄:Eu</w:t>
      </w:r>
      <w:proofErr w:type="gramEnd"/>
      <w:r w:rsidRPr="00336203">
        <w:rPr>
          <w:rFonts w:ascii="Helvetica Neue" w:eastAsia="Helvetica Neue" w:hAnsi="Helvetica Neue" w:cs="Helvetica Neue"/>
          <w:color w:val="000000"/>
          <w:lang w:val="en-US"/>
        </w:rPr>
        <w:t>³⁺ phosphor based on structural modification induced by co-doping Al³⁺. Journal of Luminescence, 225, 117351.</w:t>
      </w:r>
    </w:p>
    <w:p w14:paraId="212429E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[4] Sousa, P. D., et al. (2021). Electronic structure, optical and </w:t>
      </w:r>
      <w:proofErr w:type="spellStart"/>
      <w:r w:rsidRPr="00336203">
        <w:rPr>
          <w:rFonts w:ascii="Helvetica Neue" w:eastAsia="Helvetica Neue" w:hAnsi="Helvetica Neue" w:cs="Helvetica Neue"/>
          <w:color w:val="000000"/>
          <w:lang w:val="en-US"/>
        </w:rPr>
        <w:t>sonophotocatalytic</w:t>
      </w:r>
      <w:proofErr w:type="spellEnd"/>
      <w:r w:rsidRPr="00336203">
        <w:rPr>
          <w:rFonts w:ascii="Helvetica Neue" w:eastAsia="Helvetica Neue" w:hAnsi="Helvetica Neue" w:cs="Helvetica Neue"/>
          <w:color w:val="000000"/>
          <w:lang w:val="en-US"/>
        </w:rPr>
        <w:t xml:space="preserve"> properties of spindle-like CaWO₄ microcrystals synthesized by the </w:t>
      </w:r>
      <w:proofErr w:type="spellStart"/>
      <w:r w:rsidRPr="00336203">
        <w:rPr>
          <w:rFonts w:ascii="Helvetica Neue" w:eastAsia="Helvetica Neue" w:hAnsi="Helvetica Neue" w:cs="Helvetica Neue"/>
          <w:color w:val="000000"/>
          <w:lang w:val="en-US"/>
        </w:rPr>
        <w:t>sonochemical</w:t>
      </w:r>
      <w:proofErr w:type="spellEnd"/>
      <w:r w:rsidRPr="00336203">
        <w:rPr>
          <w:rFonts w:ascii="Helvetica Neue" w:eastAsia="Helvetica Neue" w:hAnsi="Helvetica Neue" w:cs="Helvetica Neue"/>
          <w:color w:val="000000"/>
          <w:lang w:val="en-US"/>
        </w:rPr>
        <w:t xml:space="preserve"> method. Journal of Alloys and Compounds, 855, 157377.</w:t>
      </w:r>
    </w:p>
    <w:p w14:paraId="036989B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[5] Xia, M., et al. (2018). Red-emitting enhancement by inducing lower crystal field symmetry of Eu³⁺ site in CaWO</w:t>
      </w:r>
      <w:proofErr w:type="gramStart"/>
      <w:r w:rsidRPr="00336203">
        <w:rPr>
          <w:rFonts w:ascii="Helvetica Neue" w:eastAsia="Helvetica Neue" w:hAnsi="Helvetica Neue" w:cs="Helvetica Neue"/>
          <w:color w:val="000000"/>
          <w:lang w:val="en-US"/>
        </w:rPr>
        <w:t>₄:Eu</w:t>
      </w:r>
      <w:proofErr w:type="gramEnd"/>
      <w:r w:rsidRPr="00336203">
        <w:rPr>
          <w:rFonts w:ascii="Helvetica Neue" w:eastAsia="Helvetica Neue" w:hAnsi="Helvetica Neue" w:cs="Helvetica Neue"/>
          <w:color w:val="000000"/>
          <w:lang w:val="en-US"/>
        </w:rPr>
        <w:t>³⁺ phosphor for N-UV W-LEDs. Journal of Alloys and Compounds, 739, 439–446.</w:t>
      </w:r>
    </w:p>
    <w:p w14:paraId="02D628A7"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[6] Yadav, P., et al. (2024). Investigation of structural and optoelectronic integrity of Sm³⁺-doped CaWO₄ for LED applications. Ceramics International, 50(19), 35203–35213.</w:t>
      </w:r>
    </w:p>
    <w:p w14:paraId="6CE22DFC"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[7] </w:t>
      </w:r>
      <w:proofErr w:type="spellStart"/>
      <w:r w:rsidRPr="00336203">
        <w:rPr>
          <w:rFonts w:ascii="Helvetica Neue" w:eastAsia="Helvetica Neue" w:hAnsi="Helvetica Neue" w:cs="Helvetica Neue"/>
          <w:color w:val="000000"/>
          <w:lang w:val="en-US"/>
        </w:rPr>
        <w:t>Shivakumara</w:t>
      </w:r>
      <w:proofErr w:type="spellEnd"/>
      <w:r w:rsidRPr="00336203">
        <w:rPr>
          <w:rFonts w:ascii="Helvetica Neue" w:eastAsia="Helvetica Neue" w:hAnsi="Helvetica Neue" w:cs="Helvetica Neue"/>
          <w:color w:val="000000"/>
          <w:lang w:val="en-US"/>
        </w:rPr>
        <w:t>, C., et al. (2015). Scheelite-type MWO₄ (M = Ca, Sr, and Ba) nanophosphors: Facile synthesis, structural characterization, photoluminescence, and photocatalytic properties. Materials Research Bulletin, 61, 422–432.</w:t>
      </w:r>
    </w:p>
    <w:p w14:paraId="3C0B19E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[8] Cavalcante, L., et al. (2012). Electronic structure, growth mechanism and photoluminescence of CaWO₄ crystals. </w:t>
      </w:r>
      <w:proofErr w:type="spellStart"/>
      <w:r w:rsidRPr="00336203">
        <w:rPr>
          <w:rFonts w:ascii="Helvetica Neue" w:eastAsia="Helvetica Neue" w:hAnsi="Helvetica Neue" w:cs="Helvetica Neue"/>
          <w:color w:val="000000"/>
          <w:lang w:val="en-US"/>
        </w:rPr>
        <w:t>CrystEngComm</w:t>
      </w:r>
      <w:proofErr w:type="spellEnd"/>
      <w:r w:rsidRPr="00336203">
        <w:rPr>
          <w:rFonts w:ascii="Helvetica Neue" w:eastAsia="Helvetica Neue" w:hAnsi="Helvetica Neue" w:cs="Helvetica Neue"/>
          <w:color w:val="000000"/>
          <w:lang w:val="en-US"/>
        </w:rPr>
        <w:t>, 14(3), 853–868.</w:t>
      </w:r>
    </w:p>
    <w:p w14:paraId="10ED9F5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[9] Xiao, H.; Meng, Q. (2024). Eu³⁺ doped CaWO₄ nanophosphor for high sensitivity optical thermometry. </w:t>
      </w:r>
      <w:proofErr w:type="spellStart"/>
      <w:r w:rsidRPr="00336203">
        <w:rPr>
          <w:rFonts w:ascii="Helvetica Neue" w:eastAsia="Helvetica Neue" w:hAnsi="Helvetica Neue" w:cs="Helvetica Neue"/>
          <w:color w:val="000000"/>
          <w:lang w:val="en-US"/>
        </w:rPr>
        <w:t>Spectrochimica</w:t>
      </w:r>
      <w:proofErr w:type="spellEnd"/>
      <w:r w:rsidRPr="00336203">
        <w:rPr>
          <w:rFonts w:ascii="Helvetica Neue" w:eastAsia="Helvetica Neue" w:hAnsi="Helvetica Neue" w:cs="Helvetica Neue"/>
          <w:color w:val="000000"/>
          <w:lang w:val="en-US"/>
        </w:rPr>
        <w:t xml:space="preserve"> Acta Part A, 305, 123542.</w:t>
      </w:r>
    </w:p>
    <w:p w14:paraId="0706A014"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[10] Neto, N. A., et al. (2020). Synthesis and characterization of Ag⁺ and Zn²⁺ co-doped CaWO₄ nanoparticles by a fast and easy </w:t>
      </w:r>
      <w:proofErr w:type="spellStart"/>
      <w:r w:rsidRPr="00336203">
        <w:rPr>
          <w:rFonts w:ascii="Helvetica Neue" w:eastAsia="Helvetica Neue" w:hAnsi="Helvetica Neue" w:cs="Helvetica Neue"/>
          <w:color w:val="000000"/>
          <w:lang w:val="en-US"/>
        </w:rPr>
        <w:t>sonochemical</w:t>
      </w:r>
      <w:proofErr w:type="spellEnd"/>
      <w:r w:rsidRPr="00336203">
        <w:rPr>
          <w:rFonts w:ascii="Helvetica Neue" w:eastAsia="Helvetica Neue" w:hAnsi="Helvetica Neue" w:cs="Helvetica Neue"/>
          <w:color w:val="000000"/>
          <w:lang w:val="en-US"/>
        </w:rPr>
        <w:t xml:space="preserve"> method. Journal of Alloys and Compounds, 823, 153617.</w:t>
      </w:r>
    </w:p>
    <w:p w14:paraId="2437E01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[11] Ayappan, C., et al. (2019). One-step hydrothermal synthesis of </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₄/α-</w:t>
      </w:r>
      <w:proofErr w:type="spellStart"/>
      <w:r w:rsidRPr="00336203">
        <w:rPr>
          <w:rFonts w:ascii="Helvetica Neue" w:eastAsia="Helvetica Neue" w:hAnsi="Helvetica Neue" w:cs="Helvetica Neue"/>
          <w:color w:val="000000"/>
          <w:lang w:val="en-US"/>
        </w:rPr>
        <w:t>Ag₂WO</w:t>
      </w:r>
      <w:proofErr w:type="spellEnd"/>
      <w:r w:rsidRPr="00336203">
        <w:rPr>
          <w:rFonts w:ascii="Helvetica Neue" w:eastAsia="Helvetica Neue" w:hAnsi="Helvetica Neue" w:cs="Helvetica Neue"/>
          <w:color w:val="000000"/>
          <w:lang w:val="en-US"/>
        </w:rPr>
        <w:t>₄ heterojunction: An efficient photocatalyst for removal of organic contaminants. Materials Science in Semiconductor Processing, 104, 104693.</w:t>
      </w:r>
    </w:p>
    <w:p w14:paraId="0E9C3DA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[12] Santos, M. d. S., et al. (2022). Study of superconductivity in rotated graphene bilayer interspersed with carbon. Federal University of Campina Grande.</w:t>
      </w:r>
    </w:p>
    <w:p w14:paraId="1AF6EA9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[13] Orio, M., Pantazis, D. A., &amp; Neese, F. (2009). Density functional theory. Photosynthesis Research, 102, 443–453.</w:t>
      </w:r>
    </w:p>
    <w:p w14:paraId="0D928D68"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[14] Brito, D. M. S. (2022). Study of the structural, magnetic, electronic, and optical properties of the multiferroic </w:t>
      </w:r>
      <w:proofErr w:type="spellStart"/>
      <w:r w:rsidRPr="00336203">
        <w:rPr>
          <w:rFonts w:ascii="Helvetica Neue" w:eastAsia="Helvetica Neue" w:hAnsi="Helvetica Neue" w:cs="Helvetica Neue"/>
          <w:color w:val="000000"/>
          <w:lang w:val="en-US"/>
        </w:rPr>
        <w:t>manganites</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LuMnO</w:t>
      </w:r>
      <w:proofErr w:type="spellEnd"/>
      <w:r w:rsidRPr="00336203">
        <w:rPr>
          <w:rFonts w:ascii="Helvetica Neue" w:eastAsia="Helvetica Neue" w:hAnsi="Helvetica Neue" w:cs="Helvetica Neue"/>
          <w:color w:val="000000"/>
          <w:lang w:val="en-US"/>
        </w:rPr>
        <w:t xml:space="preserve">₃ and </w:t>
      </w:r>
      <w:proofErr w:type="spellStart"/>
      <w:r w:rsidRPr="00336203">
        <w:rPr>
          <w:rFonts w:ascii="Helvetica Neue" w:eastAsia="Helvetica Neue" w:hAnsi="Helvetica Neue" w:cs="Helvetica Neue"/>
          <w:color w:val="000000"/>
          <w:lang w:val="en-US"/>
        </w:rPr>
        <w:t>HoMnO</w:t>
      </w:r>
      <w:proofErr w:type="spellEnd"/>
      <w:r w:rsidRPr="00336203">
        <w:rPr>
          <w:rFonts w:ascii="Helvetica Neue" w:eastAsia="Helvetica Neue" w:hAnsi="Helvetica Neue" w:cs="Helvetica Neue"/>
          <w:color w:val="000000"/>
          <w:lang w:val="en-US"/>
        </w:rPr>
        <w:t>₃ via calculations based on non-collinear spin DFT. Postgraduate in Physics.</w:t>
      </w:r>
    </w:p>
    <w:p w14:paraId="7B93BC78" w14:textId="77777777" w:rsid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[15] Born, M., &amp; Oppenheimer, R. (2000). On the quantum theory of molecules. In: Quantum Chemistry: Classic Scientific Papers. World Scientific. </w:t>
      </w:r>
    </w:p>
    <w:p w14:paraId="4020D2A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[16] Prasad, R. (2013). Electronic Structure of Materials. CRC Press.</w:t>
      </w:r>
    </w:p>
    <w:p w14:paraId="463DC98D"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lastRenderedPageBreak/>
        <w:t>[17] Sholl, D. S., &amp; Steckel, J. A. (2022). Density Functional Theory: A Practical Introduction. John Wiley &amp; Sons.</w:t>
      </w:r>
    </w:p>
    <w:p w14:paraId="4B69F63F"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[18] Hohenberg, P., &amp; Kohn, W. (1964). Inhomogeneous electron gas. Physical Review, 136(3B), B864.</w:t>
      </w:r>
    </w:p>
    <w:p w14:paraId="3B18A86D"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[19] Silva, C. P. da. (2010). High-performance computing with graphics cards to accelerate Density Functional Theory processing. PUC-Rio.</w:t>
      </w:r>
    </w:p>
    <w:p w14:paraId="3C0239C3"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[20] Botelho, I. T. D. (2024). Gold nanoparticle for biomedical detection. Monograph (Physics Undergraduate Course). Maranhão State University.</w:t>
      </w:r>
    </w:p>
    <w:p w14:paraId="3C6EB15A"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[21] Silva, P. M. da. (2023). Study of the third-order macroscopic property using the supermolecule approach. Master’s Thesis, </w:t>
      </w:r>
      <w:proofErr w:type="spellStart"/>
      <w:r w:rsidRPr="00336203">
        <w:rPr>
          <w:rFonts w:ascii="Helvetica Neue" w:eastAsia="Helvetica Neue" w:hAnsi="Helvetica Neue" w:cs="Helvetica Neue"/>
          <w:color w:val="000000"/>
          <w:lang w:val="en-US"/>
        </w:rPr>
        <w:t>Universidade</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Estadual</w:t>
      </w:r>
      <w:proofErr w:type="spellEnd"/>
      <w:r w:rsidRPr="00336203">
        <w:rPr>
          <w:rFonts w:ascii="Helvetica Neue" w:eastAsia="Helvetica Neue" w:hAnsi="Helvetica Neue" w:cs="Helvetica Neue"/>
          <w:color w:val="000000"/>
          <w:lang w:val="en-US"/>
        </w:rPr>
        <w:t xml:space="preserve"> de </w:t>
      </w:r>
      <w:proofErr w:type="spellStart"/>
      <w:r w:rsidRPr="00336203">
        <w:rPr>
          <w:rFonts w:ascii="Helvetica Neue" w:eastAsia="Helvetica Neue" w:hAnsi="Helvetica Neue" w:cs="Helvetica Neue"/>
          <w:color w:val="000000"/>
          <w:lang w:val="en-US"/>
        </w:rPr>
        <w:t>Goiás</w:t>
      </w:r>
      <w:proofErr w:type="spellEnd"/>
      <w:r w:rsidRPr="00336203">
        <w:rPr>
          <w:rFonts w:ascii="Helvetica Neue" w:eastAsia="Helvetica Neue" w:hAnsi="Helvetica Neue" w:cs="Helvetica Neue"/>
          <w:color w:val="000000"/>
          <w:lang w:val="en-US"/>
        </w:rPr>
        <w:t>.</w:t>
      </w:r>
    </w:p>
    <w:p w14:paraId="7D96966B"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[22] Clark, S. J., et al. (2005). First principles methods using CASTEP. </w:t>
      </w:r>
      <w:proofErr w:type="spellStart"/>
      <w:r w:rsidRPr="00336203">
        <w:rPr>
          <w:rFonts w:ascii="Helvetica Neue" w:eastAsia="Helvetica Neue" w:hAnsi="Helvetica Neue" w:cs="Helvetica Neue"/>
          <w:color w:val="000000"/>
          <w:lang w:val="en-US"/>
        </w:rPr>
        <w:t>Zeitschrift</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für</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Kristallographie</w:t>
      </w:r>
      <w:proofErr w:type="spellEnd"/>
      <w:r w:rsidRPr="00336203">
        <w:rPr>
          <w:rFonts w:ascii="Helvetica Neue" w:eastAsia="Helvetica Neue" w:hAnsi="Helvetica Neue" w:cs="Helvetica Neue"/>
          <w:color w:val="000000"/>
          <w:lang w:val="en-US"/>
        </w:rPr>
        <w:t xml:space="preserve"> – Crystalline Materials, 220(5–6), 567–570.</w:t>
      </w:r>
    </w:p>
    <w:p w14:paraId="15158714"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[23] Silva, J., et al. (2025). Structural and electronic properties of CaWO₄. </w:t>
      </w:r>
      <w:proofErr w:type="spellStart"/>
      <w:r w:rsidRPr="00336203">
        <w:rPr>
          <w:rFonts w:ascii="Helvetica Neue" w:eastAsia="Helvetica Neue" w:hAnsi="Helvetica Neue" w:cs="Helvetica Neue"/>
          <w:color w:val="000000"/>
          <w:lang w:val="en-US"/>
        </w:rPr>
        <w:t>Revista</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Multidisciplinar</w:t>
      </w:r>
      <w:proofErr w:type="spellEnd"/>
      <w:r w:rsidRPr="00336203">
        <w:rPr>
          <w:rFonts w:ascii="Helvetica Neue" w:eastAsia="Helvetica Neue" w:hAnsi="Helvetica Neue" w:cs="Helvetica Neue"/>
          <w:color w:val="000000"/>
          <w:lang w:val="en-US"/>
        </w:rPr>
        <w:t xml:space="preserve"> do </w:t>
      </w:r>
      <w:proofErr w:type="spellStart"/>
      <w:r w:rsidRPr="00336203">
        <w:rPr>
          <w:rFonts w:ascii="Helvetica Neue" w:eastAsia="Helvetica Neue" w:hAnsi="Helvetica Neue" w:cs="Helvetica Neue"/>
          <w:color w:val="000000"/>
          <w:lang w:val="en-US"/>
        </w:rPr>
        <w:t>Nordeste</w:t>
      </w:r>
      <w:proofErr w:type="spellEnd"/>
      <w:r w:rsidRPr="00336203">
        <w:rPr>
          <w:rFonts w:ascii="Helvetica Neue" w:eastAsia="Helvetica Neue" w:hAnsi="Helvetica Neue" w:cs="Helvetica Neue"/>
          <w:color w:val="000000"/>
          <w:lang w:val="en-US"/>
        </w:rPr>
        <w:t xml:space="preserve"> Mineiro, 5(1), 1–17.</w:t>
      </w:r>
    </w:p>
    <w:p w14:paraId="75EBB5A5"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[24] Yu, X., Yi, B., &amp; Wang, X. (2007). Prediction of refractive index of vinyl polymers by using density functional theory. Journal of Computational Chemistry, 28(14), 2336–2341.</w:t>
      </w:r>
    </w:p>
    <w:p w14:paraId="6EA481A9"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[25] Ashraf, R., et al. (2021). DFT-based investigations of </w:t>
      </w:r>
      <w:proofErr w:type="spellStart"/>
      <w:r w:rsidRPr="00336203">
        <w:rPr>
          <w:rFonts w:ascii="Helvetica Neue" w:eastAsia="Helvetica Neue" w:hAnsi="Helvetica Neue" w:cs="Helvetica Neue"/>
          <w:color w:val="000000"/>
          <w:lang w:val="en-US"/>
        </w:rPr>
        <w:t>BaWO</w:t>
      </w:r>
      <w:proofErr w:type="spellEnd"/>
      <w:r w:rsidRPr="00336203">
        <w:rPr>
          <w:rFonts w:ascii="Helvetica Neue" w:eastAsia="Helvetica Neue" w:hAnsi="Helvetica Neue" w:cs="Helvetica Neue"/>
          <w:color w:val="000000"/>
          <w:lang w:val="en-US"/>
        </w:rPr>
        <w:t>₄: electronic and optical properties. Physics B: Condensed Matter, 621, 413309.</w:t>
      </w:r>
    </w:p>
    <w:p w14:paraId="380F2103"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 xml:space="preserve">[26] Nesa, M., et al. (2020). Structural, optical and electronic properties of </w:t>
      </w:r>
      <w:proofErr w:type="spellStart"/>
      <w:r w:rsidRPr="00336203">
        <w:rPr>
          <w:rFonts w:ascii="Helvetica Neue" w:eastAsia="Helvetica Neue" w:hAnsi="Helvetica Neue" w:cs="Helvetica Neue"/>
          <w:color w:val="000000"/>
          <w:lang w:val="en-US"/>
        </w:rPr>
        <w:t>CuO</w:t>
      </w:r>
      <w:proofErr w:type="spellEnd"/>
      <w:r w:rsidRPr="00336203">
        <w:rPr>
          <w:rFonts w:ascii="Helvetica Neue" w:eastAsia="Helvetica Neue" w:hAnsi="Helvetica Neue" w:cs="Helvetica Neue"/>
          <w:color w:val="000000"/>
          <w:lang w:val="en-US"/>
        </w:rPr>
        <w:t xml:space="preserve"> and Zn-doped </w:t>
      </w:r>
      <w:proofErr w:type="spellStart"/>
      <w:r w:rsidRPr="00336203">
        <w:rPr>
          <w:rFonts w:ascii="Helvetica Neue" w:eastAsia="Helvetica Neue" w:hAnsi="Helvetica Neue" w:cs="Helvetica Neue"/>
          <w:color w:val="000000"/>
          <w:lang w:val="en-US"/>
        </w:rPr>
        <w:t>CuO</w:t>
      </w:r>
      <w:proofErr w:type="spellEnd"/>
      <w:r w:rsidRPr="00336203">
        <w:rPr>
          <w:rFonts w:ascii="Helvetica Neue" w:eastAsia="Helvetica Neue" w:hAnsi="Helvetica Neue" w:cs="Helvetica Neue"/>
          <w:color w:val="000000"/>
          <w:lang w:val="en-US"/>
        </w:rPr>
        <w:t>: DFT-based first-principles calculations. Chemical Physics, 528, 110536.</w:t>
      </w:r>
    </w:p>
    <w:p w14:paraId="37724A3B"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[27] Ghaleb, A., &amp; Ahmed, A. (2022). Structural, electronic, and optical properties of sphalerite ZnS compounds calculated using DFT. Chalcogenide Letters, 19(5).</w:t>
      </w:r>
    </w:p>
    <w:p w14:paraId="3696809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[28] Du, P., Wu, S., &amp; Yu, J. S. (2016). Synthesis, electronic structure and luminescence properties of color-controllable Dy³⁺/Eu³⁺-</w:t>
      </w:r>
      <w:proofErr w:type="spellStart"/>
      <w:r w:rsidRPr="00336203">
        <w:rPr>
          <w:rFonts w:ascii="Helvetica Neue" w:eastAsia="Helvetica Neue" w:hAnsi="Helvetica Neue" w:cs="Helvetica Neue"/>
          <w:color w:val="000000"/>
          <w:lang w:val="en-US"/>
        </w:rPr>
        <w:t>codoped</w:t>
      </w:r>
      <w:proofErr w:type="spellEnd"/>
      <w:r w:rsidRPr="00336203">
        <w:rPr>
          <w:rFonts w:ascii="Helvetica Neue" w:eastAsia="Helvetica Neue" w:hAnsi="Helvetica Neue" w:cs="Helvetica Neue"/>
          <w:color w:val="000000"/>
          <w:lang w:val="en-US"/>
        </w:rPr>
        <w:t xml:space="preserve"> </w:t>
      </w:r>
      <w:proofErr w:type="spellStart"/>
      <w:r w:rsidRPr="00336203">
        <w:rPr>
          <w:rFonts w:ascii="Helvetica Neue" w:eastAsia="Helvetica Neue" w:hAnsi="Helvetica Neue" w:cs="Helvetica Neue"/>
          <w:color w:val="000000"/>
          <w:lang w:val="en-US"/>
        </w:rPr>
        <w:t>CaWO</w:t>
      </w:r>
      <w:proofErr w:type="spellEnd"/>
      <w:r w:rsidRPr="00336203">
        <w:rPr>
          <w:rFonts w:ascii="Helvetica Neue" w:eastAsia="Helvetica Neue" w:hAnsi="Helvetica Neue" w:cs="Helvetica Neue"/>
          <w:color w:val="000000"/>
          <w:lang w:val="en-US"/>
        </w:rPr>
        <w:t>₄ phosphors. Journal of Luminescence, 173, 192–198.</w:t>
      </w:r>
    </w:p>
    <w:p w14:paraId="46D0F64E" w14:textId="77777777" w:rsidR="00336203" w:rsidRPr="00336203" w:rsidRDefault="00336203" w:rsidP="00336203">
      <w:pPr>
        <w:pBdr>
          <w:top w:val="nil"/>
          <w:left w:val="nil"/>
          <w:bottom w:val="nil"/>
          <w:right w:val="nil"/>
          <w:between w:val="nil"/>
        </w:pBdr>
        <w:jc w:val="both"/>
        <w:rPr>
          <w:rFonts w:ascii="Helvetica Neue" w:eastAsia="Helvetica Neue" w:hAnsi="Helvetica Neue" w:cs="Helvetica Neue"/>
          <w:color w:val="000000"/>
          <w:lang w:val="en-US"/>
        </w:rPr>
      </w:pPr>
      <w:r w:rsidRPr="00336203">
        <w:rPr>
          <w:rFonts w:ascii="Helvetica Neue" w:eastAsia="Helvetica Neue" w:hAnsi="Helvetica Neue" w:cs="Helvetica Neue"/>
          <w:color w:val="000000"/>
          <w:lang w:val="en-US"/>
        </w:rPr>
        <w:t>[29] Sun, Y., et al. (2016). Calculations of energy-loss function for 26 materials. Chinese Journal of Chemical Physics, 29(6), 663–670.</w:t>
      </w:r>
    </w:p>
    <w:p w14:paraId="10C31546" w14:textId="5985DE0F" w:rsidR="00FE1FD7" w:rsidRDefault="00336203" w:rsidP="00336203">
      <w:pPr>
        <w:pBdr>
          <w:top w:val="nil"/>
          <w:left w:val="nil"/>
          <w:bottom w:val="nil"/>
          <w:right w:val="nil"/>
          <w:between w:val="nil"/>
        </w:pBdr>
        <w:jc w:val="both"/>
        <w:rPr>
          <w:rFonts w:ascii="Arial" w:eastAsia="Arial" w:hAnsi="Arial" w:cs="Arial"/>
          <w:smallCaps/>
          <w:color w:val="000000"/>
          <w:sz w:val="22"/>
          <w:szCs w:val="22"/>
        </w:rPr>
      </w:pPr>
      <w:r w:rsidRPr="00336203">
        <w:rPr>
          <w:rFonts w:ascii="Helvetica Neue" w:eastAsia="Helvetica Neue" w:hAnsi="Helvetica Neue" w:cs="Helvetica Neue"/>
          <w:color w:val="000000"/>
          <w:lang w:val="en-US"/>
        </w:rPr>
        <w:t xml:space="preserve">[30] Rodrigues, A. D. G., &amp; </w:t>
      </w:r>
      <w:proofErr w:type="spellStart"/>
      <w:r w:rsidRPr="00336203">
        <w:rPr>
          <w:rFonts w:ascii="Helvetica Neue" w:eastAsia="Helvetica Neue" w:hAnsi="Helvetica Neue" w:cs="Helvetica Neue"/>
          <w:color w:val="000000"/>
          <w:lang w:val="en-US"/>
        </w:rPr>
        <w:t>Galzerani</w:t>
      </w:r>
      <w:proofErr w:type="spellEnd"/>
      <w:r w:rsidRPr="00336203">
        <w:rPr>
          <w:rFonts w:ascii="Helvetica Neue" w:eastAsia="Helvetica Neue" w:hAnsi="Helvetica Neue" w:cs="Helvetica Neue"/>
          <w:color w:val="000000"/>
          <w:lang w:val="en-US"/>
        </w:rPr>
        <w:t>, J. C. (2013). Infrared, Raman and photoluminescence spectroscopy: potentialities and complementarities. Brazilian Journal of Physics Teaching, 34, 4309</w:t>
      </w:r>
    </w:p>
    <w:sectPr w:rsidR="00FE1FD7" w:rsidSect="00B81B2C">
      <w:type w:val="continuous"/>
      <w:pgSz w:w="12240" w:h="15840"/>
      <w:pgMar w:top="1440" w:right="2016" w:bottom="2016" w:left="2016" w:header="7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BA3D8" w14:textId="77777777" w:rsidR="000A1DD5" w:rsidRDefault="000A1DD5">
      <w:r>
        <w:separator/>
      </w:r>
    </w:p>
  </w:endnote>
  <w:endnote w:type="continuationSeparator" w:id="0">
    <w:p w14:paraId="57A41A77" w14:textId="77777777" w:rsidR="000A1DD5" w:rsidRDefault="000A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97383FA-07C4-4931-846A-C025BE330171}"/>
    <w:embedItalic r:id="rId2" w:fontKey="{BACF4391-5BD2-4BE8-94DB-4F1A489E539B}"/>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3" w:fontKey="{44B7B9CA-48B3-40D2-A78D-8DC5F1C14E63}"/>
    <w:embedBold r:id="rId4" w:fontKey="{AFFE863B-1C3E-4C49-9F99-0B1A77BFC077}"/>
  </w:font>
  <w:font w:name="Cambria Math">
    <w:panose1 w:val="02040503050406030204"/>
    <w:charset w:val="00"/>
    <w:family w:val="roman"/>
    <w:pitch w:val="variable"/>
    <w:sig w:usb0="E00006FF" w:usb1="420024FF" w:usb2="02000000" w:usb3="00000000" w:csb0="0000019F" w:csb1="00000000"/>
    <w:embedRegular r:id="rId5" w:fontKey="{963C54C7-4749-4502-92C0-7083C46B2D93}"/>
    <w:embedBold r:id="rId6" w:fontKey="{16AC33A6-D4BC-4D45-9CD5-3C35E1C01853}"/>
    <w:embedItalic r:id="rId7" w:fontKey="{4C5065C4-4366-4C55-8AD7-D390F84E658D}"/>
  </w:font>
  <w:font w:name="Calibri">
    <w:panose1 w:val="020F0502020204030204"/>
    <w:charset w:val="00"/>
    <w:family w:val="swiss"/>
    <w:pitch w:val="variable"/>
    <w:sig w:usb0="E4002EFF" w:usb1="C000247B" w:usb2="00000009" w:usb3="00000000" w:csb0="000001FF" w:csb1="00000000"/>
    <w:embedRegular r:id="rId8" w:fontKey="{B7A83AC9-853B-4FC2-9F7A-13B87564AC8C}"/>
  </w:font>
  <w:font w:name="Cambria">
    <w:panose1 w:val="02040503050406030204"/>
    <w:charset w:val="00"/>
    <w:family w:val="roman"/>
    <w:pitch w:val="variable"/>
    <w:sig w:usb0="E00006FF" w:usb1="420024FF" w:usb2="02000000" w:usb3="00000000" w:csb0="0000019F" w:csb1="00000000"/>
    <w:embedRegular r:id="rId9" w:fontKey="{50DC5693-4CDC-4969-8FCF-82F3CADFA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7057" w14:textId="77777777" w:rsidR="00E67373" w:rsidRDefault="00E67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6401" w14:textId="77777777" w:rsidR="00E67373" w:rsidRDefault="00E67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1849" w14:textId="77777777" w:rsidR="00E67373" w:rsidRDefault="00E67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83F87" w14:textId="77777777" w:rsidR="000A1DD5" w:rsidRDefault="000A1DD5">
      <w:r>
        <w:separator/>
      </w:r>
    </w:p>
  </w:footnote>
  <w:footnote w:type="continuationSeparator" w:id="0">
    <w:p w14:paraId="2EA6000A" w14:textId="77777777" w:rsidR="000A1DD5" w:rsidRDefault="000A1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74F1" w14:textId="28A4C63D" w:rsidR="00E67373" w:rsidRDefault="00E67373">
    <w:pPr>
      <w:pStyle w:val="Header"/>
    </w:pPr>
    <w:r>
      <w:rPr>
        <w:noProof/>
      </w:rPr>
      <w:pict w14:anchorId="217BE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B6E0" w14:textId="71CBB62A" w:rsidR="00FE1FD7" w:rsidRDefault="00E67373">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r>
      <w:rPr>
        <w:noProof/>
      </w:rPr>
      <w:pict w14:anchorId="23EA6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B8D1" w14:textId="3B5FAB8C" w:rsidR="00E67373" w:rsidRDefault="00E67373">
    <w:pPr>
      <w:pStyle w:val="Header"/>
    </w:pPr>
    <w:r>
      <w:rPr>
        <w:noProof/>
      </w:rPr>
      <w:pict w14:anchorId="44B3A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78626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5A0376"/>
    <w:multiLevelType w:val="multilevel"/>
    <w:tmpl w:val="F20695D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FD7"/>
    <w:rsid w:val="0001739B"/>
    <w:rsid w:val="000A1DD5"/>
    <w:rsid w:val="00330619"/>
    <w:rsid w:val="00336203"/>
    <w:rsid w:val="00410748"/>
    <w:rsid w:val="00580C7C"/>
    <w:rsid w:val="005C7DDA"/>
    <w:rsid w:val="00684B11"/>
    <w:rsid w:val="00713136"/>
    <w:rsid w:val="007674B9"/>
    <w:rsid w:val="00A23A7B"/>
    <w:rsid w:val="00A36D77"/>
    <w:rsid w:val="00B51709"/>
    <w:rsid w:val="00B81B2C"/>
    <w:rsid w:val="00BE10B7"/>
    <w:rsid w:val="00C03F9D"/>
    <w:rsid w:val="00D10C20"/>
    <w:rsid w:val="00D31192"/>
    <w:rsid w:val="00E65188"/>
    <w:rsid w:val="00E67373"/>
    <w:rsid w:val="00F256CC"/>
    <w:rsid w:val="00F91196"/>
    <w:rsid w:val="00FD25CE"/>
    <w:rsid w:val="00FE1F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FD662C"/>
  <w15:docId w15:val="{723337D1-2F54-43B6-A803-135C6C8B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3" w:type="dxa"/>
        <w:right w:w="108" w:type="dxa"/>
      </w:tblCellMar>
    </w:tblPr>
  </w:style>
  <w:style w:type="character" w:styleId="LineNumber">
    <w:name w:val="line number"/>
    <w:basedOn w:val="DefaultParagraphFont"/>
    <w:uiPriority w:val="99"/>
    <w:semiHidden/>
    <w:unhideWhenUsed/>
    <w:rsid w:val="00580C7C"/>
  </w:style>
  <w:style w:type="paragraph" w:styleId="NormalWeb">
    <w:name w:val="Normal (Web)"/>
    <w:basedOn w:val="Normal"/>
    <w:uiPriority w:val="99"/>
    <w:semiHidden/>
    <w:unhideWhenUsed/>
    <w:rsid w:val="00580C7C"/>
    <w:rPr>
      <w:sz w:val="24"/>
      <w:szCs w:val="24"/>
    </w:rPr>
  </w:style>
  <w:style w:type="paragraph" w:styleId="Header">
    <w:name w:val="header"/>
    <w:basedOn w:val="Normal"/>
    <w:link w:val="HeaderChar"/>
    <w:uiPriority w:val="99"/>
    <w:unhideWhenUsed/>
    <w:rsid w:val="00410748"/>
    <w:pPr>
      <w:tabs>
        <w:tab w:val="center" w:pos="4252"/>
        <w:tab w:val="right" w:pos="8504"/>
      </w:tabs>
    </w:pPr>
  </w:style>
  <w:style w:type="character" w:customStyle="1" w:styleId="HeaderChar">
    <w:name w:val="Header Char"/>
    <w:basedOn w:val="DefaultParagraphFont"/>
    <w:link w:val="Header"/>
    <w:uiPriority w:val="99"/>
    <w:rsid w:val="00410748"/>
  </w:style>
  <w:style w:type="paragraph" w:styleId="Footer">
    <w:name w:val="footer"/>
    <w:basedOn w:val="Normal"/>
    <w:link w:val="FooterChar"/>
    <w:uiPriority w:val="99"/>
    <w:unhideWhenUsed/>
    <w:rsid w:val="00410748"/>
    <w:pPr>
      <w:tabs>
        <w:tab w:val="center" w:pos="4252"/>
        <w:tab w:val="right" w:pos="8504"/>
      </w:tabs>
    </w:pPr>
  </w:style>
  <w:style w:type="character" w:customStyle="1" w:styleId="FooterChar">
    <w:name w:val="Footer Char"/>
    <w:basedOn w:val="DefaultParagraphFont"/>
    <w:link w:val="Footer"/>
    <w:uiPriority w:val="99"/>
    <w:rsid w:val="00410748"/>
  </w:style>
  <w:style w:type="character" w:styleId="Hyperlink">
    <w:name w:val="Hyperlink"/>
    <w:basedOn w:val="DefaultParagraphFont"/>
    <w:uiPriority w:val="99"/>
    <w:unhideWhenUsed/>
    <w:rsid w:val="005C7DDA"/>
    <w:rPr>
      <w:color w:val="0000FF" w:themeColor="hyperlink"/>
      <w:u w:val="single"/>
    </w:rPr>
  </w:style>
  <w:style w:type="character" w:styleId="UnresolvedMention">
    <w:name w:val="Unresolved Mention"/>
    <w:basedOn w:val="DefaultParagraphFont"/>
    <w:uiPriority w:val="99"/>
    <w:semiHidden/>
    <w:unhideWhenUsed/>
    <w:rsid w:val="005C7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8000">
      <w:bodyDiv w:val="1"/>
      <w:marLeft w:val="0"/>
      <w:marRight w:val="0"/>
      <w:marTop w:val="0"/>
      <w:marBottom w:val="0"/>
      <w:divBdr>
        <w:top w:val="none" w:sz="0" w:space="0" w:color="auto"/>
        <w:left w:val="none" w:sz="0" w:space="0" w:color="auto"/>
        <w:bottom w:val="none" w:sz="0" w:space="0" w:color="auto"/>
        <w:right w:val="none" w:sz="0" w:space="0" w:color="auto"/>
      </w:divBdr>
    </w:div>
    <w:div w:id="148637318">
      <w:bodyDiv w:val="1"/>
      <w:marLeft w:val="0"/>
      <w:marRight w:val="0"/>
      <w:marTop w:val="0"/>
      <w:marBottom w:val="0"/>
      <w:divBdr>
        <w:top w:val="none" w:sz="0" w:space="0" w:color="auto"/>
        <w:left w:val="none" w:sz="0" w:space="0" w:color="auto"/>
        <w:bottom w:val="none" w:sz="0" w:space="0" w:color="auto"/>
        <w:right w:val="none" w:sz="0" w:space="0" w:color="auto"/>
      </w:divBdr>
    </w:div>
    <w:div w:id="178279050">
      <w:bodyDiv w:val="1"/>
      <w:marLeft w:val="0"/>
      <w:marRight w:val="0"/>
      <w:marTop w:val="0"/>
      <w:marBottom w:val="0"/>
      <w:divBdr>
        <w:top w:val="none" w:sz="0" w:space="0" w:color="auto"/>
        <w:left w:val="none" w:sz="0" w:space="0" w:color="auto"/>
        <w:bottom w:val="none" w:sz="0" w:space="0" w:color="auto"/>
        <w:right w:val="none" w:sz="0" w:space="0" w:color="auto"/>
      </w:divBdr>
    </w:div>
    <w:div w:id="431314857">
      <w:bodyDiv w:val="1"/>
      <w:marLeft w:val="0"/>
      <w:marRight w:val="0"/>
      <w:marTop w:val="0"/>
      <w:marBottom w:val="0"/>
      <w:divBdr>
        <w:top w:val="none" w:sz="0" w:space="0" w:color="auto"/>
        <w:left w:val="none" w:sz="0" w:space="0" w:color="auto"/>
        <w:bottom w:val="none" w:sz="0" w:space="0" w:color="auto"/>
        <w:right w:val="none" w:sz="0" w:space="0" w:color="auto"/>
      </w:divBdr>
    </w:div>
    <w:div w:id="598878506">
      <w:bodyDiv w:val="1"/>
      <w:marLeft w:val="0"/>
      <w:marRight w:val="0"/>
      <w:marTop w:val="0"/>
      <w:marBottom w:val="0"/>
      <w:divBdr>
        <w:top w:val="none" w:sz="0" w:space="0" w:color="auto"/>
        <w:left w:val="none" w:sz="0" w:space="0" w:color="auto"/>
        <w:bottom w:val="none" w:sz="0" w:space="0" w:color="auto"/>
        <w:right w:val="none" w:sz="0" w:space="0" w:color="auto"/>
      </w:divBdr>
    </w:div>
    <w:div w:id="790246036">
      <w:bodyDiv w:val="1"/>
      <w:marLeft w:val="0"/>
      <w:marRight w:val="0"/>
      <w:marTop w:val="0"/>
      <w:marBottom w:val="0"/>
      <w:divBdr>
        <w:top w:val="none" w:sz="0" w:space="0" w:color="auto"/>
        <w:left w:val="none" w:sz="0" w:space="0" w:color="auto"/>
        <w:bottom w:val="none" w:sz="0" w:space="0" w:color="auto"/>
        <w:right w:val="none" w:sz="0" w:space="0" w:color="auto"/>
      </w:divBdr>
    </w:div>
    <w:div w:id="795828019">
      <w:bodyDiv w:val="1"/>
      <w:marLeft w:val="0"/>
      <w:marRight w:val="0"/>
      <w:marTop w:val="0"/>
      <w:marBottom w:val="0"/>
      <w:divBdr>
        <w:top w:val="none" w:sz="0" w:space="0" w:color="auto"/>
        <w:left w:val="none" w:sz="0" w:space="0" w:color="auto"/>
        <w:bottom w:val="none" w:sz="0" w:space="0" w:color="auto"/>
        <w:right w:val="none" w:sz="0" w:space="0" w:color="auto"/>
      </w:divBdr>
    </w:div>
    <w:div w:id="798767644">
      <w:bodyDiv w:val="1"/>
      <w:marLeft w:val="0"/>
      <w:marRight w:val="0"/>
      <w:marTop w:val="0"/>
      <w:marBottom w:val="0"/>
      <w:divBdr>
        <w:top w:val="none" w:sz="0" w:space="0" w:color="auto"/>
        <w:left w:val="none" w:sz="0" w:space="0" w:color="auto"/>
        <w:bottom w:val="none" w:sz="0" w:space="0" w:color="auto"/>
        <w:right w:val="none" w:sz="0" w:space="0" w:color="auto"/>
      </w:divBdr>
    </w:div>
    <w:div w:id="821198356">
      <w:bodyDiv w:val="1"/>
      <w:marLeft w:val="0"/>
      <w:marRight w:val="0"/>
      <w:marTop w:val="0"/>
      <w:marBottom w:val="0"/>
      <w:divBdr>
        <w:top w:val="none" w:sz="0" w:space="0" w:color="auto"/>
        <w:left w:val="none" w:sz="0" w:space="0" w:color="auto"/>
        <w:bottom w:val="none" w:sz="0" w:space="0" w:color="auto"/>
        <w:right w:val="none" w:sz="0" w:space="0" w:color="auto"/>
      </w:divBdr>
    </w:div>
    <w:div w:id="952007987">
      <w:bodyDiv w:val="1"/>
      <w:marLeft w:val="0"/>
      <w:marRight w:val="0"/>
      <w:marTop w:val="0"/>
      <w:marBottom w:val="0"/>
      <w:divBdr>
        <w:top w:val="none" w:sz="0" w:space="0" w:color="auto"/>
        <w:left w:val="none" w:sz="0" w:space="0" w:color="auto"/>
        <w:bottom w:val="none" w:sz="0" w:space="0" w:color="auto"/>
        <w:right w:val="none" w:sz="0" w:space="0" w:color="auto"/>
      </w:divBdr>
    </w:div>
    <w:div w:id="1075474122">
      <w:bodyDiv w:val="1"/>
      <w:marLeft w:val="0"/>
      <w:marRight w:val="0"/>
      <w:marTop w:val="0"/>
      <w:marBottom w:val="0"/>
      <w:divBdr>
        <w:top w:val="none" w:sz="0" w:space="0" w:color="auto"/>
        <w:left w:val="none" w:sz="0" w:space="0" w:color="auto"/>
        <w:bottom w:val="none" w:sz="0" w:space="0" w:color="auto"/>
        <w:right w:val="none" w:sz="0" w:space="0" w:color="auto"/>
      </w:divBdr>
    </w:div>
    <w:div w:id="1107122353">
      <w:bodyDiv w:val="1"/>
      <w:marLeft w:val="0"/>
      <w:marRight w:val="0"/>
      <w:marTop w:val="0"/>
      <w:marBottom w:val="0"/>
      <w:divBdr>
        <w:top w:val="none" w:sz="0" w:space="0" w:color="auto"/>
        <w:left w:val="none" w:sz="0" w:space="0" w:color="auto"/>
        <w:bottom w:val="none" w:sz="0" w:space="0" w:color="auto"/>
        <w:right w:val="none" w:sz="0" w:space="0" w:color="auto"/>
      </w:divBdr>
    </w:div>
    <w:div w:id="1518956665">
      <w:bodyDiv w:val="1"/>
      <w:marLeft w:val="0"/>
      <w:marRight w:val="0"/>
      <w:marTop w:val="0"/>
      <w:marBottom w:val="0"/>
      <w:divBdr>
        <w:top w:val="none" w:sz="0" w:space="0" w:color="auto"/>
        <w:left w:val="none" w:sz="0" w:space="0" w:color="auto"/>
        <w:bottom w:val="none" w:sz="0" w:space="0" w:color="auto"/>
        <w:right w:val="none" w:sz="0" w:space="0" w:color="auto"/>
      </w:divBdr>
    </w:div>
    <w:div w:id="1560434803">
      <w:bodyDiv w:val="1"/>
      <w:marLeft w:val="0"/>
      <w:marRight w:val="0"/>
      <w:marTop w:val="0"/>
      <w:marBottom w:val="0"/>
      <w:divBdr>
        <w:top w:val="none" w:sz="0" w:space="0" w:color="auto"/>
        <w:left w:val="none" w:sz="0" w:space="0" w:color="auto"/>
        <w:bottom w:val="none" w:sz="0" w:space="0" w:color="auto"/>
        <w:right w:val="none" w:sz="0" w:space="0" w:color="auto"/>
      </w:divBdr>
    </w:div>
    <w:div w:id="1611662211">
      <w:bodyDiv w:val="1"/>
      <w:marLeft w:val="0"/>
      <w:marRight w:val="0"/>
      <w:marTop w:val="0"/>
      <w:marBottom w:val="0"/>
      <w:divBdr>
        <w:top w:val="none" w:sz="0" w:space="0" w:color="auto"/>
        <w:left w:val="none" w:sz="0" w:space="0" w:color="auto"/>
        <w:bottom w:val="none" w:sz="0" w:space="0" w:color="auto"/>
        <w:right w:val="none" w:sz="0" w:space="0" w:color="auto"/>
      </w:divBdr>
    </w:div>
    <w:div w:id="1689259875">
      <w:bodyDiv w:val="1"/>
      <w:marLeft w:val="0"/>
      <w:marRight w:val="0"/>
      <w:marTop w:val="0"/>
      <w:marBottom w:val="0"/>
      <w:divBdr>
        <w:top w:val="none" w:sz="0" w:space="0" w:color="auto"/>
        <w:left w:val="none" w:sz="0" w:space="0" w:color="auto"/>
        <w:bottom w:val="none" w:sz="0" w:space="0" w:color="auto"/>
        <w:right w:val="none" w:sz="0" w:space="0" w:color="auto"/>
      </w:divBdr>
    </w:div>
    <w:div w:id="1804225068">
      <w:bodyDiv w:val="1"/>
      <w:marLeft w:val="0"/>
      <w:marRight w:val="0"/>
      <w:marTop w:val="0"/>
      <w:marBottom w:val="0"/>
      <w:divBdr>
        <w:top w:val="none" w:sz="0" w:space="0" w:color="auto"/>
        <w:left w:val="none" w:sz="0" w:space="0" w:color="auto"/>
        <w:bottom w:val="none" w:sz="0" w:space="0" w:color="auto"/>
        <w:right w:val="none" w:sz="0" w:space="0" w:color="auto"/>
      </w:divBdr>
    </w:div>
    <w:div w:id="1854414179">
      <w:bodyDiv w:val="1"/>
      <w:marLeft w:val="0"/>
      <w:marRight w:val="0"/>
      <w:marTop w:val="0"/>
      <w:marBottom w:val="0"/>
      <w:divBdr>
        <w:top w:val="none" w:sz="0" w:space="0" w:color="auto"/>
        <w:left w:val="none" w:sz="0" w:space="0" w:color="auto"/>
        <w:bottom w:val="none" w:sz="0" w:space="0" w:color="auto"/>
        <w:right w:val="none" w:sz="0" w:space="0" w:color="auto"/>
      </w:divBdr>
    </w:div>
    <w:div w:id="1871186104">
      <w:bodyDiv w:val="1"/>
      <w:marLeft w:val="0"/>
      <w:marRight w:val="0"/>
      <w:marTop w:val="0"/>
      <w:marBottom w:val="0"/>
      <w:divBdr>
        <w:top w:val="none" w:sz="0" w:space="0" w:color="auto"/>
        <w:left w:val="none" w:sz="0" w:space="0" w:color="auto"/>
        <w:bottom w:val="none" w:sz="0" w:space="0" w:color="auto"/>
        <w:right w:val="none" w:sz="0" w:space="0" w:color="auto"/>
      </w:divBdr>
    </w:div>
    <w:div w:id="1945265035">
      <w:bodyDiv w:val="1"/>
      <w:marLeft w:val="0"/>
      <w:marRight w:val="0"/>
      <w:marTop w:val="0"/>
      <w:marBottom w:val="0"/>
      <w:divBdr>
        <w:top w:val="none" w:sz="0" w:space="0" w:color="auto"/>
        <w:left w:val="none" w:sz="0" w:space="0" w:color="auto"/>
        <w:bottom w:val="none" w:sz="0" w:space="0" w:color="auto"/>
        <w:right w:val="none" w:sz="0" w:space="0" w:color="auto"/>
      </w:divBdr>
    </w:div>
    <w:div w:id="1953708692">
      <w:bodyDiv w:val="1"/>
      <w:marLeft w:val="0"/>
      <w:marRight w:val="0"/>
      <w:marTop w:val="0"/>
      <w:marBottom w:val="0"/>
      <w:divBdr>
        <w:top w:val="none" w:sz="0" w:space="0" w:color="auto"/>
        <w:left w:val="none" w:sz="0" w:space="0" w:color="auto"/>
        <w:bottom w:val="none" w:sz="0" w:space="0" w:color="auto"/>
        <w:right w:val="none" w:sz="0" w:space="0" w:color="auto"/>
      </w:divBdr>
    </w:div>
    <w:div w:id="2006399492">
      <w:bodyDiv w:val="1"/>
      <w:marLeft w:val="0"/>
      <w:marRight w:val="0"/>
      <w:marTop w:val="0"/>
      <w:marBottom w:val="0"/>
      <w:divBdr>
        <w:top w:val="none" w:sz="0" w:space="0" w:color="auto"/>
        <w:left w:val="none" w:sz="0" w:space="0" w:color="auto"/>
        <w:bottom w:val="none" w:sz="0" w:space="0" w:color="auto"/>
        <w:right w:val="none" w:sz="0" w:space="0" w:color="auto"/>
      </w:divBdr>
    </w:div>
    <w:div w:id="2047563216">
      <w:bodyDiv w:val="1"/>
      <w:marLeft w:val="0"/>
      <w:marRight w:val="0"/>
      <w:marTop w:val="0"/>
      <w:marBottom w:val="0"/>
      <w:divBdr>
        <w:top w:val="none" w:sz="0" w:space="0" w:color="auto"/>
        <w:left w:val="none" w:sz="0" w:space="0" w:color="auto"/>
        <w:bottom w:val="none" w:sz="0" w:space="0" w:color="auto"/>
        <w:right w:val="none" w:sz="0" w:space="0" w:color="auto"/>
      </w:divBdr>
    </w:div>
    <w:div w:id="2129007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3062</Words>
  <Characters>17456</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welberth</dc:creator>
  <cp:lastModifiedBy>SDI 1084</cp:lastModifiedBy>
  <cp:revision>17</cp:revision>
  <dcterms:created xsi:type="dcterms:W3CDTF">2025-07-15T12:50:00Z</dcterms:created>
  <dcterms:modified xsi:type="dcterms:W3CDTF">2025-07-16T10:47:00Z</dcterms:modified>
</cp:coreProperties>
</file>