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00F5" w14:textId="77777777" w:rsidR="00754C9A" w:rsidRDefault="00754C9A" w:rsidP="00441B6F">
      <w:pPr>
        <w:pStyle w:val="Title"/>
        <w:spacing w:after="0"/>
        <w:jc w:val="both"/>
        <w:rPr>
          <w:rFonts w:ascii="Arial" w:hAnsi="Arial" w:cs="Arial"/>
        </w:rPr>
      </w:pPr>
    </w:p>
    <w:p w14:paraId="55702CDA" w14:textId="77777777" w:rsidR="00E12A4A" w:rsidRPr="00B95D96" w:rsidRDefault="00E12A4A" w:rsidP="00E12A4A">
      <w:pPr>
        <w:jc w:val="center"/>
        <w:rPr>
          <w:rFonts w:ascii="Arial" w:hAnsi="Arial" w:cs="Arial"/>
          <w:b/>
          <w:bCs/>
          <w:iCs/>
          <w:kern w:val="28"/>
          <w:sz w:val="36"/>
        </w:rPr>
      </w:pPr>
      <w:bookmarkStart w:id="0" w:name="_Hlk201899889"/>
      <w:r w:rsidRPr="00B95D96">
        <w:rPr>
          <w:rFonts w:ascii="Arial" w:hAnsi="Arial" w:cs="Arial"/>
          <w:b/>
          <w:bCs/>
          <w:iCs/>
          <w:kern w:val="28"/>
          <w:sz w:val="36"/>
        </w:rPr>
        <w:t>Efficacy and tolerability of anti-inflammatory drugs in the treatment of dry eye syndrome</w:t>
      </w:r>
    </w:p>
    <w:bookmarkEnd w:id="0"/>
    <w:p w14:paraId="3EE7CACF" w14:textId="77777777" w:rsidR="00A258C3" w:rsidRPr="00790ADA" w:rsidRDefault="00A258C3" w:rsidP="00441B6F">
      <w:pPr>
        <w:pStyle w:val="Author"/>
        <w:spacing w:line="240" w:lineRule="auto"/>
        <w:jc w:val="both"/>
        <w:rPr>
          <w:rFonts w:ascii="Arial" w:hAnsi="Arial" w:cs="Arial"/>
          <w:sz w:val="36"/>
        </w:rPr>
      </w:pPr>
    </w:p>
    <w:p w14:paraId="493283E6" w14:textId="77777777" w:rsidR="002C57D2" w:rsidRPr="00641A2E" w:rsidRDefault="002C57D2" w:rsidP="00441B6F">
      <w:pPr>
        <w:pStyle w:val="Affiliation"/>
        <w:spacing w:after="0" w:line="240" w:lineRule="auto"/>
        <w:jc w:val="both"/>
        <w:rPr>
          <w:rFonts w:ascii="Arial" w:hAnsi="Arial" w:cs="Arial"/>
        </w:rPr>
      </w:pPr>
    </w:p>
    <w:p w14:paraId="31FAED6A" w14:textId="7967CEBF" w:rsidR="00B01FCD" w:rsidRPr="00FB3A86" w:rsidRDefault="00E12A4A" w:rsidP="00441B6F">
      <w:pPr>
        <w:pStyle w:val="Copyright"/>
        <w:spacing w:after="0" w:line="240" w:lineRule="auto"/>
        <w:jc w:val="both"/>
        <w:rPr>
          <w:rFonts w:ascii="Arial" w:hAnsi="Arial" w:cs="Arial"/>
        </w:rPr>
        <w:sectPr w:rsidR="00B01FCD" w:rsidRPr="00FB3A86" w:rsidSect="00497A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E123DD" wp14:editId="754F2C6A">
                <wp:extent cx="5303520" cy="635"/>
                <wp:effectExtent l="17145" t="15875" r="13335" b="12700"/>
                <wp:docPr id="16383309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05863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72D3B4" w14:textId="3D933B6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304B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1EA702E" w14:textId="77777777" w:rsidTr="001E44FE">
        <w:tc>
          <w:tcPr>
            <w:tcW w:w="9576" w:type="dxa"/>
            <w:shd w:val="clear" w:color="auto" w:fill="F2F2F2"/>
          </w:tcPr>
          <w:p w14:paraId="32C3BB0C" w14:textId="77777777" w:rsidR="001C6517" w:rsidRDefault="001C6517" w:rsidP="005E61F0">
            <w:pPr>
              <w:pStyle w:val="Body"/>
              <w:spacing w:after="0"/>
              <w:rPr>
                <w:rFonts w:ascii="Arial" w:eastAsia="Calibri" w:hAnsi="Arial" w:cs="Arial"/>
                <w:b/>
                <w:bCs/>
                <w:szCs w:val="22"/>
              </w:rPr>
            </w:pPr>
          </w:p>
          <w:p w14:paraId="77EDAA71" w14:textId="77777777" w:rsidR="001C6517" w:rsidRPr="005E61F0" w:rsidRDefault="001C6517" w:rsidP="001C6517">
            <w:pPr>
              <w:pStyle w:val="Body"/>
              <w:spacing w:after="0"/>
              <w:rPr>
                <w:rFonts w:ascii="Arial" w:eastAsia="Calibri" w:hAnsi="Arial" w:cs="Arial"/>
                <w:szCs w:val="22"/>
              </w:rPr>
            </w:pPr>
            <w:r w:rsidRPr="00BA1B01">
              <w:rPr>
                <w:rFonts w:ascii="Arial" w:eastAsia="Calibri" w:hAnsi="Arial" w:cs="Arial"/>
                <w:b/>
                <w:szCs w:val="22"/>
              </w:rPr>
              <w:t>Aims</w:t>
            </w:r>
            <w:r>
              <w:rPr>
                <w:rFonts w:ascii="Arial" w:eastAsia="Calibri" w:hAnsi="Arial" w:cs="Arial"/>
                <w:b/>
                <w:szCs w:val="22"/>
              </w:rPr>
              <w:t xml:space="preserve">: </w:t>
            </w:r>
            <w:r w:rsidRPr="001C6517">
              <w:rPr>
                <w:rFonts w:ascii="Arial" w:eastAsia="Calibri" w:hAnsi="Arial" w:cs="Arial"/>
                <w:szCs w:val="22"/>
              </w:rPr>
              <w:t>The aim of our study is</w:t>
            </w:r>
            <w:r w:rsidRPr="005E61F0">
              <w:rPr>
                <w:rFonts w:ascii="Arial" w:eastAsia="Calibri" w:hAnsi="Arial" w:cs="Arial"/>
                <w:szCs w:val="22"/>
              </w:rPr>
              <w:t xml:space="preserve"> to evaluate the efficacy and tolerability of anti-inflammatory drugs in the treatment of dry eye syndrome.</w:t>
            </w:r>
          </w:p>
          <w:p w14:paraId="667DAE75" w14:textId="73B0A8C9" w:rsidR="001C6517" w:rsidRDefault="001C6517" w:rsidP="005E61F0">
            <w:pPr>
              <w:pStyle w:val="Body"/>
              <w:spacing w:after="0"/>
              <w:rPr>
                <w:rFonts w:ascii="Arial" w:eastAsia="Calibri" w:hAnsi="Arial" w:cs="Arial"/>
                <w:b/>
                <w:bCs/>
                <w:szCs w:val="22"/>
              </w:rPr>
            </w:pPr>
          </w:p>
          <w:p w14:paraId="56C99C0F" w14:textId="680CEE27" w:rsidR="001C6517" w:rsidRDefault="00D31A5A" w:rsidP="005E61F0">
            <w:pPr>
              <w:pStyle w:val="Body"/>
              <w:spacing w:after="0"/>
              <w:rPr>
                <w:rFonts w:ascii="Arial" w:eastAsia="Calibri" w:hAnsi="Arial" w:cs="Arial"/>
                <w:b/>
                <w:bCs/>
                <w:szCs w:val="22"/>
              </w:rPr>
            </w:pPr>
            <w:r w:rsidRPr="00BA1B01">
              <w:rPr>
                <w:rFonts w:ascii="Arial" w:eastAsia="Calibri" w:hAnsi="Arial" w:cs="Arial"/>
                <w:b/>
                <w:szCs w:val="22"/>
              </w:rPr>
              <w:t>Study design</w:t>
            </w:r>
            <w:r>
              <w:rPr>
                <w:rFonts w:ascii="Arial" w:eastAsia="Calibri" w:hAnsi="Arial" w:cs="Arial"/>
                <w:b/>
                <w:szCs w:val="22"/>
              </w:rPr>
              <w:t xml:space="preserve">: </w:t>
            </w:r>
            <w:r w:rsidRPr="005E61F0">
              <w:rPr>
                <w:rFonts w:ascii="Arial" w:eastAsia="Calibri" w:hAnsi="Arial" w:cs="Arial"/>
                <w:szCs w:val="22"/>
              </w:rPr>
              <w:t>This is a retrospective and comparative study</w:t>
            </w:r>
          </w:p>
          <w:p w14:paraId="4D5F3C96" w14:textId="77777777" w:rsidR="001C6517" w:rsidRDefault="001C6517" w:rsidP="005E61F0">
            <w:pPr>
              <w:pStyle w:val="Body"/>
              <w:spacing w:after="0"/>
              <w:rPr>
                <w:rFonts w:ascii="Arial" w:eastAsia="Calibri" w:hAnsi="Arial" w:cs="Arial"/>
                <w:b/>
                <w:bCs/>
                <w:szCs w:val="22"/>
              </w:rPr>
            </w:pPr>
          </w:p>
          <w:p w14:paraId="44DC2DF6" w14:textId="520FC1CA" w:rsidR="001C6517" w:rsidRDefault="00D31A5A" w:rsidP="005E61F0">
            <w:pPr>
              <w:pStyle w:val="Body"/>
              <w:spacing w:after="0"/>
              <w:rPr>
                <w:rFonts w:ascii="Arial" w:eastAsia="Calibri" w:hAnsi="Arial" w:cs="Arial"/>
                <w:b/>
                <w:bCs/>
                <w:szCs w:val="22"/>
              </w:rPr>
            </w:pPr>
            <w:r w:rsidRPr="00BA1B01">
              <w:rPr>
                <w:rFonts w:ascii="Arial" w:eastAsia="Calibri" w:hAnsi="Arial" w:cs="Arial"/>
                <w:b/>
                <w:szCs w:val="22"/>
              </w:rPr>
              <w:t>Place and Duration of Study</w:t>
            </w:r>
            <w:r>
              <w:rPr>
                <w:rFonts w:ascii="Arial" w:eastAsia="Calibri" w:hAnsi="Arial" w:cs="Arial"/>
                <w:b/>
                <w:szCs w:val="22"/>
              </w:rPr>
              <w:t>:</w:t>
            </w:r>
            <w:r w:rsidRPr="005E61F0">
              <w:rPr>
                <w:rFonts w:ascii="Arial" w:eastAsia="Calibri" w:hAnsi="Arial" w:cs="Arial"/>
                <w:szCs w:val="22"/>
              </w:rPr>
              <w:t xml:space="preserve"> ophthalmology department of Kasserine between January 2024 and December 2024</w:t>
            </w:r>
          </w:p>
          <w:p w14:paraId="7D576D58" w14:textId="77777777" w:rsidR="001C6517" w:rsidRDefault="001C6517" w:rsidP="005E61F0">
            <w:pPr>
              <w:pStyle w:val="Body"/>
              <w:spacing w:after="0"/>
              <w:rPr>
                <w:rFonts w:ascii="Arial" w:eastAsia="Calibri" w:hAnsi="Arial" w:cs="Arial"/>
                <w:b/>
                <w:bCs/>
                <w:szCs w:val="22"/>
              </w:rPr>
            </w:pPr>
          </w:p>
          <w:p w14:paraId="32E48E1E" w14:textId="3657578E" w:rsidR="00D31A5A" w:rsidRPr="00AA0A04" w:rsidRDefault="00D31A5A" w:rsidP="00D31A5A">
            <w:pPr>
              <w:pStyle w:val="Body"/>
              <w:spacing w:after="0"/>
              <w:rPr>
                <w:rFonts w:ascii="Arial"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We included</w:t>
            </w:r>
            <w:r>
              <w:rPr>
                <w:rFonts w:ascii="Arial" w:eastAsia="Calibri" w:hAnsi="Arial" w:cs="Arial"/>
                <w:szCs w:val="22"/>
              </w:rPr>
              <w:t xml:space="preserve"> </w:t>
            </w:r>
            <w:r w:rsidRPr="005E61F0">
              <w:rPr>
                <w:rFonts w:ascii="Arial" w:eastAsia="Calibri" w:hAnsi="Arial" w:cs="Arial"/>
                <w:szCs w:val="22"/>
              </w:rPr>
              <w:t>100 patients with DES</w:t>
            </w:r>
            <w:r>
              <w:rPr>
                <w:rFonts w:ascii="Arial" w:eastAsia="Calibri" w:hAnsi="Arial" w:cs="Arial"/>
                <w:szCs w:val="22"/>
              </w:rPr>
              <w:t xml:space="preserve"> T</w:t>
            </w:r>
            <w:r w:rsidRPr="00AA0A04">
              <w:rPr>
                <w:rFonts w:ascii="Arial" w:hAnsi="Arial" w:cs="Arial"/>
              </w:rPr>
              <w:t>he patients were randomly assigned into two groups via computer-generated randomization to:</w:t>
            </w:r>
          </w:p>
          <w:p w14:paraId="7FBDF155" w14:textId="77777777" w:rsidR="00D31A5A" w:rsidRDefault="00D31A5A" w:rsidP="00D31A5A">
            <w:pPr>
              <w:pStyle w:val="Body"/>
              <w:spacing w:after="0"/>
              <w:rPr>
                <w:rFonts w:ascii="Arial" w:hAnsi="Arial" w:cs="Arial"/>
              </w:rPr>
            </w:pPr>
            <w:r w:rsidRPr="00AA0A04">
              <w:rPr>
                <w:rFonts w:ascii="Arial" w:hAnsi="Arial" w:cs="Arial"/>
              </w:rPr>
              <w:t>-Group 1 (G1, n=50): Carbomer gel (0.2%) + Dexamethasone 0.1% eye drops</w:t>
            </w:r>
          </w:p>
          <w:p w14:paraId="6654B5B2" w14:textId="77777777" w:rsidR="00D31A5A" w:rsidRDefault="00D31A5A" w:rsidP="00D31A5A">
            <w:pPr>
              <w:pStyle w:val="Body"/>
              <w:rPr>
                <w:rFonts w:ascii="Arial" w:eastAsia="Calibri" w:hAnsi="Arial" w:cs="Arial"/>
                <w:szCs w:val="22"/>
              </w:rPr>
            </w:pPr>
            <w:r w:rsidRPr="00AA0A04">
              <w:rPr>
                <w:rFonts w:ascii="Arial" w:hAnsi="Arial" w:cs="Arial"/>
              </w:rPr>
              <w:t>-Group 2 (G2, n=50): Carbomer gel alone with a variable number of instillations depending on the severity of corneal damage.</w:t>
            </w:r>
            <w:r w:rsidRPr="00710436">
              <w:rPr>
                <w:rFonts w:asciiTheme="minorBidi" w:hAnsiTheme="minorBidi" w:cstheme="minorBidi"/>
              </w:rPr>
              <w:t xml:space="preserve"> The mean age of our patients was 56 +/-9 years for group 1 and 60 +/- 7 years for group 2, with a higher proportion of women in both groups (47 for group 1 and 48 for group 2).The two groups were statically comparable in terms of age and sex</w:t>
            </w:r>
            <w:r w:rsidRPr="005E61F0">
              <w:rPr>
                <w:rFonts w:ascii="Arial" w:eastAsia="Calibri" w:hAnsi="Arial" w:cs="Arial"/>
                <w:szCs w:val="22"/>
              </w:rPr>
              <w:t xml:space="preserve"> Response to treatment was assessed by ocular surface examination and fluorescein testing, measurement of tear film break-up time and the Schirmer test, and a quality-of-life questionnaire (QSD-QOL) and compared in patient treated with carbomer gel and a steroidal anti-inflammatory eye drop (group1), and patients treated with carbomer gel alone (group2).</w:t>
            </w:r>
          </w:p>
          <w:p w14:paraId="30BB9285" w14:textId="675FEEB0" w:rsidR="005E61F0" w:rsidRPr="005E61F0" w:rsidRDefault="005E61F0" w:rsidP="00D31A5A">
            <w:pPr>
              <w:pStyle w:val="Body"/>
              <w:rPr>
                <w:rFonts w:ascii="Arial" w:eastAsia="Calibri" w:hAnsi="Arial" w:cs="Arial"/>
                <w:b/>
                <w:bCs/>
                <w:szCs w:val="22"/>
              </w:rPr>
            </w:pPr>
            <w:r w:rsidRPr="005E61F0">
              <w:rPr>
                <w:rFonts w:ascii="Arial" w:eastAsia="Calibri" w:hAnsi="Arial" w:cs="Arial"/>
                <w:b/>
                <w:bCs/>
                <w:szCs w:val="22"/>
              </w:rPr>
              <w:t>Results:</w:t>
            </w:r>
          </w:p>
          <w:p w14:paraId="26F0C39F" w14:textId="77777777" w:rsidR="005E61F0" w:rsidRPr="005E61F0" w:rsidRDefault="005E61F0" w:rsidP="005E61F0">
            <w:pPr>
              <w:pStyle w:val="Body"/>
              <w:spacing w:after="0"/>
              <w:rPr>
                <w:rFonts w:ascii="Arial" w:eastAsia="Calibri" w:hAnsi="Arial" w:cs="Arial"/>
                <w:szCs w:val="22"/>
              </w:rPr>
            </w:pPr>
            <w:r w:rsidRPr="005E61F0">
              <w:rPr>
                <w:rFonts w:ascii="Arial" w:eastAsia="Calibri" w:hAnsi="Arial" w:cs="Arial"/>
                <w:szCs w:val="22"/>
              </w:rPr>
              <w:t>Reflex lacrimation, pruritus and sand-grain sensation symptoms improved significantly more in group 1 than in group 2, with a statistically significant difference. Evaluation of the therapeutic response according to the QOL questionnaire was also statistically better for group 1, with 66% of patients rating their improvement as satisfactory to very satisfactory, compared with 44% of patients in group 2.</w:t>
            </w:r>
          </w:p>
          <w:p w14:paraId="7D8D734A" w14:textId="77777777" w:rsidR="005E61F0" w:rsidRPr="005E61F0" w:rsidRDefault="005E61F0" w:rsidP="005E61F0">
            <w:pPr>
              <w:pStyle w:val="Body"/>
              <w:spacing w:after="0"/>
              <w:rPr>
                <w:rFonts w:ascii="Arial" w:eastAsia="Calibri" w:hAnsi="Arial" w:cs="Arial"/>
                <w:b/>
                <w:bCs/>
                <w:szCs w:val="22"/>
              </w:rPr>
            </w:pPr>
            <w:r w:rsidRPr="005E61F0">
              <w:rPr>
                <w:rFonts w:ascii="Arial" w:eastAsia="Calibri" w:hAnsi="Arial" w:cs="Arial"/>
                <w:b/>
                <w:bCs/>
                <w:szCs w:val="22"/>
              </w:rPr>
              <w:t>Conclusion:</w:t>
            </w:r>
          </w:p>
          <w:p w14:paraId="368CD77E" w14:textId="77777777" w:rsidR="005E61F0" w:rsidRPr="005E61F0" w:rsidRDefault="005E61F0" w:rsidP="005E61F0">
            <w:pPr>
              <w:pStyle w:val="Body"/>
              <w:spacing w:after="0"/>
              <w:rPr>
                <w:rFonts w:ascii="Arial" w:eastAsia="Calibri" w:hAnsi="Arial" w:cs="Arial"/>
                <w:szCs w:val="22"/>
              </w:rPr>
            </w:pPr>
            <w:r w:rsidRPr="005E61F0">
              <w:rPr>
                <w:rFonts w:ascii="Arial" w:eastAsia="Calibri" w:hAnsi="Arial" w:cs="Arial"/>
                <w:szCs w:val="22"/>
              </w:rPr>
              <w:t>The combination of anti-inflammatory drugs and carbomer gels is an interesting way of managing dry eye, given the significant role played by the inflammatory component in the alteration of the tear film.</w:t>
            </w:r>
          </w:p>
          <w:p w14:paraId="45657FF3" w14:textId="306363FD" w:rsidR="00505F06" w:rsidRPr="00BA1B01" w:rsidRDefault="00505F06" w:rsidP="00441B6F">
            <w:pPr>
              <w:pStyle w:val="Body"/>
              <w:spacing w:after="0"/>
              <w:rPr>
                <w:rFonts w:ascii="Arial" w:eastAsia="Calibri" w:hAnsi="Arial" w:cs="Arial"/>
                <w:szCs w:val="22"/>
              </w:rPr>
            </w:pPr>
          </w:p>
        </w:tc>
      </w:tr>
    </w:tbl>
    <w:p w14:paraId="79DE8BEB" w14:textId="77777777" w:rsidR="00636EB2" w:rsidRDefault="00636EB2" w:rsidP="00441B6F">
      <w:pPr>
        <w:pStyle w:val="Body"/>
        <w:spacing w:after="0"/>
        <w:rPr>
          <w:rFonts w:ascii="Arial" w:hAnsi="Arial" w:cs="Arial"/>
          <w:i/>
        </w:rPr>
      </w:pPr>
    </w:p>
    <w:p w14:paraId="69AAB632" w14:textId="040177CC" w:rsidR="00A24E7E" w:rsidRDefault="00A24E7E" w:rsidP="00FD38B8">
      <w:pPr>
        <w:pStyle w:val="Body"/>
        <w:spacing w:after="0"/>
        <w:jc w:val="left"/>
        <w:rPr>
          <w:rFonts w:ascii="Arial" w:hAnsi="Arial" w:cs="Arial"/>
          <w:i/>
        </w:rPr>
      </w:pPr>
      <w:r>
        <w:rPr>
          <w:rFonts w:ascii="Arial" w:hAnsi="Arial" w:cs="Arial"/>
          <w:i/>
        </w:rPr>
        <w:t xml:space="preserve">Keywords: </w:t>
      </w:r>
      <w:r w:rsidRPr="00FD38B8">
        <w:rPr>
          <w:rFonts w:asciiTheme="minorBidi" w:hAnsiTheme="minorBidi" w:cstheme="minorBidi"/>
          <w:i/>
        </w:rPr>
        <w:t>[</w:t>
      </w:r>
      <w:r w:rsidR="00FD38B8">
        <w:rPr>
          <w:rFonts w:asciiTheme="minorBidi" w:hAnsiTheme="minorBidi" w:cstheme="minorBidi"/>
          <w:iCs/>
        </w:rPr>
        <w:t>d</w:t>
      </w:r>
      <w:r w:rsidR="00FD38B8" w:rsidRPr="00FD38B8">
        <w:rPr>
          <w:rFonts w:asciiTheme="minorBidi" w:hAnsiTheme="minorBidi" w:cstheme="minorBidi"/>
          <w:iCs/>
        </w:rPr>
        <w:t xml:space="preserve">ry </w:t>
      </w:r>
      <w:r w:rsidR="00FD38B8">
        <w:rPr>
          <w:rFonts w:asciiTheme="minorBidi" w:hAnsiTheme="minorBidi" w:cstheme="minorBidi"/>
          <w:iCs/>
        </w:rPr>
        <w:t>e</w:t>
      </w:r>
      <w:r w:rsidR="00FD38B8" w:rsidRPr="00FD38B8">
        <w:rPr>
          <w:rFonts w:asciiTheme="minorBidi" w:hAnsiTheme="minorBidi" w:cstheme="minorBidi"/>
          <w:iCs/>
        </w:rPr>
        <w:t xml:space="preserve">ye </w:t>
      </w:r>
      <w:r w:rsidR="00FD38B8">
        <w:rPr>
          <w:rFonts w:asciiTheme="minorBidi" w:hAnsiTheme="minorBidi" w:cstheme="minorBidi"/>
          <w:iCs/>
        </w:rPr>
        <w:t>s</w:t>
      </w:r>
      <w:r w:rsidR="00FD38B8" w:rsidRPr="00FD38B8">
        <w:rPr>
          <w:rFonts w:asciiTheme="minorBidi" w:hAnsiTheme="minorBidi" w:cstheme="minorBidi"/>
          <w:iCs/>
        </w:rPr>
        <w:t xml:space="preserve">yndrome, </w:t>
      </w:r>
      <w:r w:rsidR="00FD38B8">
        <w:rPr>
          <w:rFonts w:asciiTheme="minorBidi" w:hAnsiTheme="minorBidi" w:cstheme="minorBidi"/>
          <w:iCs/>
        </w:rPr>
        <w:t>a</w:t>
      </w:r>
      <w:r w:rsidR="00FD38B8" w:rsidRPr="00FD38B8">
        <w:rPr>
          <w:rFonts w:asciiTheme="minorBidi" w:hAnsiTheme="minorBidi" w:cstheme="minorBidi"/>
          <w:iCs/>
        </w:rPr>
        <w:t xml:space="preserve">nti-Inflammatory </w:t>
      </w:r>
      <w:r w:rsidR="00FD38B8">
        <w:rPr>
          <w:rFonts w:asciiTheme="minorBidi" w:hAnsiTheme="minorBidi" w:cstheme="minorBidi"/>
          <w:iCs/>
        </w:rPr>
        <w:t>d</w:t>
      </w:r>
      <w:r w:rsidR="00FD38B8" w:rsidRPr="00FD38B8">
        <w:rPr>
          <w:rFonts w:asciiTheme="minorBidi" w:hAnsiTheme="minorBidi" w:cstheme="minorBidi"/>
          <w:iCs/>
        </w:rPr>
        <w:t>rugs, tolerability, safety, efficacy</w:t>
      </w:r>
      <w:r>
        <w:rPr>
          <w:rFonts w:ascii="Arial" w:hAnsi="Arial" w:cs="Arial"/>
          <w:i/>
        </w:rPr>
        <w:t>}</w:t>
      </w:r>
      <w:r w:rsidR="0066510A">
        <w:rPr>
          <w:rFonts w:ascii="Arial" w:hAnsi="Arial" w:cs="Arial"/>
          <w:i/>
        </w:rPr>
        <w:t xml:space="preserve"> </w:t>
      </w:r>
    </w:p>
    <w:p w14:paraId="475D8D06" w14:textId="6AF7F6B2" w:rsidR="00497A5C" w:rsidRDefault="00497A5C" w:rsidP="00FD38B8">
      <w:pPr>
        <w:pStyle w:val="Body"/>
        <w:spacing w:after="0"/>
        <w:jc w:val="left"/>
        <w:rPr>
          <w:rFonts w:ascii="Arial" w:hAnsi="Arial" w:cs="Arial"/>
          <w:i/>
        </w:rPr>
      </w:pPr>
    </w:p>
    <w:p w14:paraId="45BFEA7F" w14:textId="6E93F043" w:rsidR="00497A5C" w:rsidRDefault="00497A5C" w:rsidP="00FD38B8">
      <w:pPr>
        <w:pStyle w:val="Body"/>
        <w:spacing w:after="0"/>
        <w:jc w:val="left"/>
        <w:rPr>
          <w:rFonts w:ascii="Arial" w:hAnsi="Arial" w:cs="Arial"/>
          <w:i/>
        </w:rPr>
      </w:pPr>
    </w:p>
    <w:p w14:paraId="3C752A49" w14:textId="77777777" w:rsidR="00497A5C" w:rsidRDefault="00497A5C" w:rsidP="00FD38B8">
      <w:pPr>
        <w:pStyle w:val="Body"/>
        <w:spacing w:after="0"/>
        <w:jc w:val="left"/>
        <w:rPr>
          <w:rFonts w:ascii="Arial" w:hAnsi="Arial" w:cs="Arial"/>
          <w:i/>
        </w:rPr>
      </w:pPr>
    </w:p>
    <w:p w14:paraId="551C97DF" w14:textId="77777777" w:rsidR="00790ADA" w:rsidRDefault="00790ADA" w:rsidP="00FD38B8">
      <w:pPr>
        <w:pStyle w:val="Body"/>
        <w:spacing w:after="0"/>
        <w:jc w:val="left"/>
        <w:rPr>
          <w:rFonts w:ascii="Arial" w:hAnsi="Arial" w:cs="Arial"/>
          <w:i/>
        </w:rPr>
      </w:pPr>
    </w:p>
    <w:p w14:paraId="599A11A4" w14:textId="77777777" w:rsidR="00505F06" w:rsidRPr="00A24E7E" w:rsidRDefault="00505F06" w:rsidP="00441B6F">
      <w:pPr>
        <w:pStyle w:val="Body"/>
        <w:spacing w:after="0"/>
        <w:rPr>
          <w:rFonts w:ascii="Arial" w:hAnsi="Arial" w:cs="Arial"/>
          <w:i/>
        </w:rPr>
      </w:pPr>
    </w:p>
    <w:p w14:paraId="06A3A429" w14:textId="23A55411"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78DEF7D" w14:textId="7B0E18B6" w:rsidR="00FA40F7" w:rsidRDefault="003250E1" w:rsidP="003250E1">
      <w:pPr>
        <w:pStyle w:val="AbstHead"/>
        <w:spacing w:after="0"/>
        <w:jc w:val="both"/>
        <w:rPr>
          <w:rFonts w:ascii="Arial" w:hAnsi="Arial" w:cs="Arial"/>
          <w:b w:val="0"/>
          <w:bCs/>
          <w:caps w:val="0"/>
          <w:sz w:val="20"/>
        </w:rPr>
      </w:pPr>
      <w:r w:rsidRPr="003250E1">
        <w:rPr>
          <w:rFonts w:ascii="Arial" w:hAnsi="Arial" w:cs="Arial"/>
          <w:b w:val="0"/>
          <w:bCs/>
          <w:caps w:val="0"/>
          <w:sz w:val="20"/>
        </w:rPr>
        <w:t xml:space="preserve">DES is one of the most frequent reasons for consulting an ophthalmologist, and its frequency increases in the elderly, in women after menopause, and in cases of autoimmune disease. DES can affect visual function and general quality of life (Britten-Jones et al., 2024; Nguyen et al., 2023). Its pathogenesis is multifactorial, involving both pathologies implicated in lacrimal hyposecretion and other conditions linked to hyper-evaporation of the tear film (McCabe &amp; Narayanan, 2009; Rouen &amp; White, 2018). Ocular surface inflammation is considered an important pathologic factor of dry eye (Rolando &amp; </w:t>
      </w:r>
      <w:proofErr w:type="spellStart"/>
      <w:r w:rsidRPr="003250E1">
        <w:rPr>
          <w:rFonts w:ascii="Arial" w:hAnsi="Arial" w:cs="Arial"/>
          <w:b w:val="0"/>
          <w:bCs/>
          <w:caps w:val="0"/>
          <w:sz w:val="20"/>
        </w:rPr>
        <w:t>Vagge</w:t>
      </w:r>
      <w:proofErr w:type="spellEnd"/>
      <w:r w:rsidRPr="003250E1">
        <w:rPr>
          <w:rFonts w:ascii="Arial" w:hAnsi="Arial" w:cs="Arial"/>
          <w:b w:val="0"/>
          <w:bCs/>
          <w:caps w:val="0"/>
          <w:sz w:val="20"/>
        </w:rPr>
        <w:t>, 2017), which is why the current therapeutic strategy aims to treat the underlying causes of lacrimal dryness and break the vicious circle of inflammation maintained by dryness, by acting on immunological, inflammatory, and hormonal mediators (Byun et al., 2012). In this prospective study, we are investigating the efficacy and tolerability of combining steroidal anti-inflammatory drugs (dexamethasone) with carbomer gels in the treatment of DES.</w:t>
      </w:r>
    </w:p>
    <w:p w14:paraId="3D64A0C6" w14:textId="6DCBF10D" w:rsidR="007F7B32" w:rsidRPr="00AC6D96" w:rsidRDefault="00902823" w:rsidP="00441B6F">
      <w:pPr>
        <w:pStyle w:val="AbstHead"/>
        <w:spacing w:after="0"/>
        <w:jc w:val="both"/>
        <w:rPr>
          <w:rFonts w:ascii="Arial" w:hAnsi="Arial" w:cs="Arial"/>
          <w:sz w:val="20"/>
        </w:rPr>
      </w:pPr>
      <w:r w:rsidRPr="00AC6D96">
        <w:rPr>
          <w:rFonts w:ascii="Arial" w:hAnsi="Arial" w:cs="Arial"/>
          <w:sz w:val="20"/>
        </w:rPr>
        <w:t>2. material and method</w:t>
      </w:r>
      <w:r w:rsidR="00000F8F" w:rsidRPr="00AC6D96">
        <w:rPr>
          <w:rFonts w:ascii="Arial" w:hAnsi="Arial" w:cs="Arial"/>
          <w:sz w:val="20"/>
        </w:rPr>
        <w:t>s</w:t>
      </w:r>
      <w:r w:rsidR="007F7B32" w:rsidRPr="00AC6D96">
        <w:rPr>
          <w:rFonts w:ascii="Arial" w:hAnsi="Arial" w:cs="Arial"/>
          <w:sz w:val="20"/>
        </w:rPr>
        <w:t>)</w:t>
      </w:r>
    </w:p>
    <w:p w14:paraId="5878AD2F" w14:textId="77777777" w:rsidR="00790ADA" w:rsidRPr="00FB3A86" w:rsidRDefault="00790ADA" w:rsidP="00441B6F">
      <w:pPr>
        <w:pStyle w:val="AbstHead"/>
        <w:spacing w:after="0"/>
        <w:jc w:val="both"/>
        <w:rPr>
          <w:rFonts w:ascii="Arial" w:hAnsi="Arial" w:cs="Arial"/>
        </w:rPr>
      </w:pPr>
    </w:p>
    <w:p w14:paraId="6739E00C" w14:textId="5D9C824E" w:rsidR="00AA0A04" w:rsidRPr="00AA0A04" w:rsidRDefault="00AA0A04" w:rsidP="00AA0A04">
      <w:pPr>
        <w:pStyle w:val="Body"/>
        <w:spacing w:after="0"/>
        <w:rPr>
          <w:rFonts w:ascii="Arial" w:hAnsi="Arial" w:cs="Arial"/>
          <w:b/>
          <w:bCs/>
        </w:rPr>
      </w:pPr>
      <w:r w:rsidRPr="00AA0A04">
        <w:rPr>
          <w:rFonts w:ascii="Arial" w:hAnsi="Arial" w:cs="Arial"/>
          <w:b/>
          <w:bCs/>
        </w:rPr>
        <w:t>Study design and settings </w:t>
      </w:r>
    </w:p>
    <w:p w14:paraId="32552C90" w14:textId="77777777" w:rsidR="00AA0A04" w:rsidRPr="00AA0A04" w:rsidRDefault="00AA0A04" w:rsidP="00AA0A04">
      <w:pPr>
        <w:pStyle w:val="Body"/>
        <w:spacing w:after="0"/>
        <w:rPr>
          <w:rFonts w:ascii="Arial" w:hAnsi="Arial" w:cs="Arial"/>
        </w:rPr>
      </w:pPr>
      <w:r w:rsidRPr="00AA0A04">
        <w:rPr>
          <w:rFonts w:ascii="Arial" w:hAnsi="Arial" w:cs="Arial"/>
        </w:rPr>
        <w:t>A total of 100 patients with DES were included in our retrospective analysis study, which was carried out in the Kasserine ophthalmology department between January 2024 and December 2024.</w:t>
      </w:r>
    </w:p>
    <w:p w14:paraId="089B61FD" w14:textId="77777777" w:rsidR="00AA0A04" w:rsidRPr="00AA0A04" w:rsidRDefault="00AA0A04" w:rsidP="00AA0A04">
      <w:pPr>
        <w:pStyle w:val="Body"/>
        <w:spacing w:after="0"/>
        <w:rPr>
          <w:rFonts w:ascii="Arial" w:hAnsi="Arial" w:cs="Arial"/>
          <w:b/>
          <w:bCs/>
        </w:rPr>
      </w:pPr>
      <w:r w:rsidRPr="00AA0A04">
        <w:rPr>
          <w:rFonts w:ascii="Arial" w:hAnsi="Arial" w:cs="Arial"/>
          <w:b/>
          <w:bCs/>
        </w:rPr>
        <w:t>Inclusion and exclusion criteria</w:t>
      </w:r>
    </w:p>
    <w:p w14:paraId="4C0AD9F0" w14:textId="77777777" w:rsidR="00AA0A04" w:rsidRPr="00AA0A04" w:rsidRDefault="00AA0A04" w:rsidP="00AA0A04">
      <w:pPr>
        <w:pStyle w:val="Body"/>
        <w:spacing w:after="0"/>
        <w:rPr>
          <w:rFonts w:ascii="Arial" w:hAnsi="Arial" w:cs="Arial"/>
        </w:rPr>
      </w:pPr>
      <w:r w:rsidRPr="00AA0A04">
        <w:rPr>
          <w:rFonts w:ascii="Arial" w:hAnsi="Arial" w:cs="Arial"/>
        </w:rPr>
        <w:t>Inclusion Criteria: Patients between 40 and 70 years of age whatever the etiology, with minimal to moderate dry eye, clinically diagnosed dry eye syndrome (DES) for ≥6 months, symptoms (foreign body sensation, burning, photophobia) with </w:t>
      </w:r>
      <w:proofErr w:type="spellStart"/>
      <w:r w:rsidRPr="00AA0A04">
        <w:rPr>
          <w:rFonts w:ascii="Arial" w:hAnsi="Arial" w:cs="Arial"/>
        </w:rPr>
        <w:t>schirmer’s</w:t>
      </w:r>
      <w:proofErr w:type="spellEnd"/>
      <w:r w:rsidRPr="00AA0A04">
        <w:rPr>
          <w:rFonts w:ascii="Arial" w:hAnsi="Arial" w:cs="Arial"/>
        </w:rPr>
        <w:t xml:space="preserve"> test ≤10 mm/5 min and/or tear film breakup time (TBUT) ≤10 sec, corneal fluorescein staining score ≤2 (Oxford or NEI grading scale).</w:t>
      </w:r>
    </w:p>
    <w:p w14:paraId="57579A69" w14:textId="77777777" w:rsidR="00AA0A04" w:rsidRPr="00AA0A04" w:rsidRDefault="00AA0A04" w:rsidP="00AA0A04">
      <w:pPr>
        <w:pStyle w:val="Body"/>
        <w:spacing w:after="0"/>
        <w:rPr>
          <w:rFonts w:ascii="Arial" w:hAnsi="Arial" w:cs="Arial"/>
        </w:rPr>
      </w:pPr>
      <w:r w:rsidRPr="00AA0A04">
        <w:rPr>
          <w:rFonts w:ascii="Arial" w:hAnsi="Arial" w:cs="Arial"/>
        </w:rPr>
        <w:t>Exclusion Criteria: severe DES (corneal ulcers, filamentary keratitis), active ocular infection, glaucoma (IOP &gt;21 mmHg), or recent ocular surgery (&lt;6 months), uncontrolled systemic diseases (, diabetes, Sjögren’s syndrome) or use of topical/systemic steroids/immunosuppressants.</w:t>
      </w:r>
    </w:p>
    <w:p w14:paraId="56CBA042" w14:textId="77777777" w:rsidR="00AA0A04" w:rsidRPr="00AA0A04" w:rsidRDefault="00AA0A04" w:rsidP="00AA0A04">
      <w:pPr>
        <w:pStyle w:val="Body"/>
        <w:spacing w:after="0"/>
        <w:rPr>
          <w:rFonts w:ascii="Arial" w:hAnsi="Arial" w:cs="Arial"/>
          <w:b/>
          <w:bCs/>
        </w:rPr>
      </w:pPr>
      <w:r w:rsidRPr="00AA0A04">
        <w:rPr>
          <w:rFonts w:ascii="Arial" w:hAnsi="Arial" w:cs="Arial"/>
          <w:b/>
          <w:bCs/>
        </w:rPr>
        <w:t>Collection of data </w:t>
      </w:r>
    </w:p>
    <w:p w14:paraId="5CCFF651" w14:textId="77777777" w:rsidR="00AA0A04" w:rsidRPr="00AA0A04" w:rsidRDefault="00AA0A04" w:rsidP="00AA0A04">
      <w:pPr>
        <w:pStyle w:val="Body"/>
        <w:spacing w:after="0"/>
        <w:rPr>
          <w:rFonts w:ascii="Arial" w:hAnsi="Arial" w:cs="Arial"/>
        </w:rPr>
      </w:pPr>
      <w:r w:rsidRPr="00AA0A04">
        <w:rPr>
          <w:rFonts w:ascii="Arial" w:hAnsi="Arial" w:cs="Arial"/>
        </w:rPr>
        <w:t>The patients were randomly assigned into two groups via computer-generated randomization to:</w:t>
      </w:r>
    </w:p>
    <w:p w14:paraId="3129624F" w14:textId="77777777" w:rsidR="00AA0A04" w:rsidRPr="00AA0A04" w:rsidRDefault="00AA0A04" w:rsidP="00AA0A04">
      <w:pPr>
        <w:pStyle w:val="Body"/>
        <w:spacing w:after="0"/>
        <w:rPr>
          <w:rFonts w:ascii="Arial" w:hAnsi="Arial" w:cs="Arial"/>
        </w:rPr>
      </w:pPr>
      <w:r w:rsidRPr="00AA0A04">
        <w:rPr>
          <w:rFonts w:ascii="Arial" w:hAnsi="Arial" w:cs="Arial"/>
        </w:rPr>
        <w:t>-Group 1 (G1, n=50): Carbomer gel (0.2%) + Dexamethasone 0.1% eye drops at a rate of 4 drops per day for the first week, followed by a gradual reduction of one drop per week over 4 weeks.</w:t>
      </w:r>
    </w:p>
    <w:p w14:paraId="1BAD4539" w14:textId="77777777" w:rsidR="00AA0A04" w:rsidRPr="00AA0A04" w:rsidRDefault="00AA0A04" w:rsidP="00AA0A04">
      <w:pPr>
        <w:pStyle w:val="Body"/>
        <w:spacing w:after="0"/>
        <w:rPr>
          <w:rFonts w:ascii="Arial" w:hAnsi="Arial" w:cs="Arial"/>
        </w:rPr>
      </w:pPr>
      <w:r w:rsidRPr="00AA0A04">
        <w:rPr>
          <w:rFonts w:ascii="Arial" w:hAnsi="Arial" w:cs="Arial"/>
        </w:rPr>
        <w:t>-Group 2 (G2, n=50): Carbomer gel alone with a variable number of instillations depending on the severity of corneal damage (frequency adjusted per severity: mild=2x/day, moderate=4x/day).</w:t>
      </w:r>
    </w:p>
    <w:p w14:paraId="61454AFC" w14:textId="77777777" w:rsidR="00AA0A04" w:rsidRPr="00AA0A04" w:rsidRDefault="00AA0A04" w:rsidP="00AA0A04">
      <w:pPr>
        <w:pStyle w:val="Body"/>
        <w:spacing w:after="0"/>
        <w:rPr>
          <w:rFonts w:ascii="Arial" w:hAnsi="Arial" w:cs="Arial"/>
        </w:rPr>
      </w:pPr>
      <w:r w:rsidRPr="00AA0A04">
        <w:rPr>
          <w:rFonts w:ascii="Arial" w:hAnsi="Arial" w:cs="Arial"/>
        </w:rPr>
        <w:t> All patients underwent an interview to collect subjective symptoms suggestive of ocular surface abnormalities: foreign body sensation, ocular burning, photophobia, itching, and a complete ophthalmological examination performed by the same doctor, including measurement of best corrected distance and near visual acuity according to the Snellen scale, biomicroscopic examination of the anterior segment, including in particular inspection of the lacrimal meniscus, lacrimal film impregnation revealing areas of epithelial alteration within the ocular surface, such as punctate keratitis: inspection of the lacrimal meniscus, impregnation of the lacrimal film to reveal areas of epithelial alteration on the ocular surface, such as superficial punctate keratitis or corneal ulcers, evaluation of the tear film break-up time (BUT) averaged over 3 successive measurements, and a study of tear secretion using a Schirmer test performed at 5 minutes and without local anesthetic. Measurement of ocular tone by applanation and therapeutic response using quality of life assessment (QSD-QOL).</w:t>
      </w:r>
    </w:p>
    <w:p w14:paraId="3A5A96FD" w14:textId="77777777" w:rsidR="00AA0A04" w:rsidRPr="00AA0A04" w:rsidRDefault="00AA0A04" w:rsidP="00AA0A04">
      <w:pPr>
        <w:pStyle w:val="Body"/>
        <w:spacing w:after="0"/>
        <w:rPr>
          <w:rFonts w:ascii="Arial" w:hAnsi="Arial" w:cs="Arial"/>
          <w:b/>
          <w:bCs/>
        </w:rPr>
      </w:pPr>
      <w:r w:rsidRPr="00AA0A04">
        <w:rPr>
          <w:rFonts w:ascii="Arial" w:hAnsi="Arial" w:cs="Arial"/>
          <w:b/>
          <w:bCs/>
        </w:rPr>
        <w:t>Statistical analysis </w:t>
      </w:r>
    </w:p>
    <w:p w14:paraId="405F41E6" w14:textId="77777777" w:rsidR="00AA0A04" w:rsidRPr="00AA0A04" w:rsidRDefault="00AA0A04" w:rsidP="00AA0A04">
      <w:pPr>
        <w:pStyle w:val="Body"/>
        <w:spacing w:after="0"/>
        <w:rPr>
          <w:rFonts w:ascii="Arial" w:hAnsi="Arial" w:cs="Arial"/>
        </w:rPr>
      </w:pPr>
      <w:r w:rsidRPr="00AA0A04">
        <w:rPr>
          <w:rFonts w:ascii="Arial" w:hAnsi="Arial" w:cs="Arial"/>
        </w:rPr>
        <w:t xml:space="preserve"> Statistical analysis was performed using EPI INFO software version 6.0. The relationship between two quantitative variables was studied using the student’s t test, and the comparison </w:t>
      </w:r>
      <w:r w:rsidRPr="00AA0A04">
        <w:rPr>
          <w:rFonts w:ascii="Arial" w:hAnsi="Arial" w:cs="Arial"/>
        </w:rPr>
        <w:lastRenderedPageBreak/>
        <w:t>between percentages was made using the Fisher's test. The significance level was set at p&lt; 0.05.</w:t>
      </w:r>
    </w:p>
    <w:p w14:paraId="2DD81D2A" w14:textId="77777777" w:rsidR="00AA0A04" w:rsidRDefault="00AA0A04" w:rsidP="00441B6F">
      <w:pPr>
        <w:pStyle w:val="Body"/>
        <w:spacing w:after="0"/>
        <w:rPr>
          <w:rFonts w:ascii="Arial" w:hAnsi="Arial" w:cs="Arial"/>
        </w:rPr>
      </w:pPr>
    </w:p>
    <w:p w14:paraId="4923ABBD" w14:textId="77777777" w:rsidR="00414F5E" w:rsidRDefault="00000F8F" w:rsidP="00414F5E">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414F5E">
        <w:rPr>
          <w:rFonts w:ascii="Arial" w:hAnsi="Arial" w:cs="Arial"/>
        </w:rPr>
        <w:t>and discussion</w:t>
      </w:r>
    </w:p>
    <w:p w14:paraId="2BF433A1" w14:textId="77777777" w:rsidR="00C223D4" w:rsidRDefault="00C223D4" w:rsidP="00441B6F">
      <w:pPr>
        <w:pStyle w:val="Head1"/>
        <w:spacing w:after="0"/>
        <w:jc w:val="both"/>
        <w:rPr>
          <w:rFonts w:ascii="Arial" w:hAnsi="Arial" w:cs="Arial"/>
        </w:rPr>
      </w:pPr>
    </w:p>
    <w:p w14:paraId="46DDD6F3" w14:textId="2AA11444" w:rsidR="00C223D4" w:rsidRPr="00710436" w:rsidRDefault="00C223D4" w:rsidP="00155575">
      <w:pPr>
        <w:pStyle w:val="Body"/>
        <w:rPr>
          <w:rFonts w:asciiTheme="minorBidi" w:hAnsiTheme="minorBidi" w:cstheme="minorBidi"/>
        </w:rPr>
      </w:pPr>
      <w:r w:rsidRPr="00710436">
        <w:rPr>
          <w:rFonts w:asciiTheme="minorBidi" w:hAnsiTheme="minorBidi" w:cstheme="minorBidi"/>
        </w:rPr>
        <w:t xml:space="preserve">The mean age of our patients was 56 +/-9 years for group 1 and 60 +/- 7 years for group 2, with a higher proportion of women in both groups (47 for group 1 and 48 for group 2). The two groups were statically comparable in terms of age and sex. The main etiology was </w:t>
      </w:r>
      <w:proofErr w:type="spellStart"/>
      <w:r w:rsidRPr="00710436">
        <w:rPr>
          <w:rFonts w:asciiTheme="minorBidi" w:hAnsiTheme="minorBidi" w:cstheme="minorBidi"/>
        </w:rPr>
        <w:t>Gougerot</w:t>
      </w:r>
      <w:proofErr w:type="spellEnd"/>
      <w:r w:rsidRPr="00710436">
        <w:rPr>
          <w:rFonts w:asciiTheme="minorBidi" w:hAnsiTheme="minorBidi" w:cstheme="minorBidi"/>
        </w:rPr>
        <w:t xml:space="preserve">-Sjogren's syndrome (54%). This syndrome was primary in 36% of cases and secondary in 18%. Xerophthalmia due to excessive evaporation was related to meibomian dysfunction (blepharitis) in 10% of cases, and secondary to disteroidal exophthalmia in 6%. Dry eyes due to hyposecretion, unrelated to </w:t>
      </w:r>
      <w:proofErr w:type="spellStart"/>
      <w:r w:rsidRPr="00710436">
        <w:rPr>
          <w:rFonts w:asciiTheme="minorBidi" w:hAnsiTheme="minorBidi" w:cstheme="minorBidi"/>
        </w:rPr>
        <w:t>Gougerot</w:t>
      </w:r>
      <w:proofErr w:type="spellEnd"/>
      <w:r w:rsidRPr="00710436">
        <w:rPr>
          <w:rFonts w:asciiTheme="minorBidi" w:hAnsiTheme="minorBidi" w:cstheme="minorBidi"/>
        </w:rPr>
        <w:t>-Sjogren's syndrome, were noted in 30% of cases. The main etiologies found were allergic conjunctivitis, degenerative keratoconjunctivitis in elderly subjects, systemic medications (mainly beta-blockers) and hepatitis C. The two groups were statistically comparable in terms of the etiology of dry eyes (</w:t>
      </w:r>
      <w:r w:rsidR="005742FD" w:rsidRPr="005742FD">
        <w:rPr>
          <w:rFonts w:asciiTheme="minorBidi" w:hAnsiTheme="minorBidi" w:cstheme="minorBidi"/>
          <w:i/>
          <w:iCs/>
        </w:rPr>
        <w:t>P</w:t>
      </w:r>
      <w:r w:rsidRPr="00710436">
        <w:rPr>
          <w:rFonts w:asciiTheme="minorBidi" w:hAnsiTheme="minorBidi" w:cstheme="minorBidi"/>
        </w:rPr>
        <w:t>=0.68) (Table 1).</w:t>
      </w:r>
    </w:p>
    <w:p w14:paraId="58C96093" w14:textId="77777777" w:rsidR="00C223D4" w:rsidRDefault="00C223D4" w:rsidP="008B46E2">
      <w:pPr>
        <w:spacing w:line="480" w:lineRule="auto"/>
        <w:rPr>
          <w:rFonts w:asciiTheme="minorBidi" w:hAnsiTheme="minorBidi" w:cstheme="minorBidi"/>
          <w:b/>
          <w:bCs/>
        </w:rPr>
      </w:pPr>
      <w:r w:rsidRPr="00710436">
        <w:rPr>
          <w:rFonts w:asciiTheme="minorBidi" w:hAnsiTheme="minorBidi" w:cstheme="minorBidi"/>
          <w:b/>
          <w:bCs/>
        </w:rPr>
        <w:t>Table1. Main causes of dry eyes</w:t>
      </w:r>
    </w:p>
    <w:tbl>
      <w:tblPr>
        <w:tblStyle w:val="PlainTable2"/>
        <w:tblW w:w="10232" w:type="dxa"/>
        <w:tblLook w:val="04A0" w:firstRow="1" w:lastRow="0" w:firstColumn="1" w:lastColumn="0" w:noHBand="0" w:noVBand="1"/>
      </w:tblPr>
      <w:tblGrid>
        <w:gridCol w:w="3763"/>
        <w:gridCol w:w="1916"/>
        <w:gridCol w:w="2336"/>
        <w:gridCol w:w="2217"/>
      </w:tblGrid>
      <w:tr w:rsidR="00A2470D" w:rsidRPr="00B26D18" w14:paraId="7DBBD4CE" w14:textId="77777777" w:rsidTr="00A2470D">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763" w:type="dxa"/>
          </w:tcPr>
          <w:p w14:paraId="4A9DA888" w14:textId="77777777" w:rsidR="00A2470D" w:rsidRPr="006C2D93" w:rsidRDefault="00A2470D" w:rsidP="000405B2">
            <w:pPr>
              <w:spacing w:line="240" w:lineRule="auto"/>
              <w:rPr>
                <w:rFonts w:asciiTheme="majorBidi" w:hAnsiTheme="majorBidi" w:cstheme="majorBidi"/>
                <w:b w:val="0"/>
                <w:bCs w:val="0"/>
              </w:rPr>
            </w:pPr>
            <w:r w:rsidRPr="006C2D93">
              <w:rPr>
                <w:rFonts w:asciiTheme="majorBidi" w:hAnsiTheme="majorBidi" w:cstheme="majorBidi"/>
              </w:rPr>
              <w:t xml:space="preserve">Etiology </w:t>
            </w:r>
          </w:p>
        </w:tc>
        <w:tc>
          <w:tcPr>
            <w:tcW w:w="1916" w:type="dxa"/>
          </w:tcPr>
          <w:p w14:paraId="1D5737C9" w14:textId="69D5AD5E" w:rsidR="00A2470D" w:rsidRPr="006C2D93" w:rsidRDefault="00A2470D" w:rsidP="000405B2">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6C2D93">
              <w:rPr>
                <w:rFonts w:asciiTheme="majorBidi" w:hAnsiTheme="majorBidi" w:cstheme="majorBidi"/>
              </w:rPr>
              <w:t>Group 1</w:t>
            </w:r>
          </w:p>
        </w:tc>
        <w:tc>
          <w:tcPr>
            <w:tcW w:w="2336" w:type="dxa"/>
          </w:tcPr>
          <w:p w14:paraId="3603CD59" w14:textId="6C7F6B04" w:rsidR="00A2470D" w:rsidRPr="00B26D18" w:rsidRDefault="00A2470D" w:rsidP="000405B2">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B26D18">
              <w:rPr>
                <w:rFonts w:asciiTheme="majorBidi" w:hAnsiTheme="majorBidi" w:cstheme="majorBidi"/>
              </w:rPr>
              <w:t xml:space="preserve"> </w:t>
            </w:r>
            <w:r>
              <w:rPr>
                <w:rFonts w:asciiTheme="majorBidi" w:hAnsiTheme="majorBidi" w:cstheme="majorBidi"/>
              </w:rPr>
              <w:t xml:space="preserve">                  </w:t>
            </w:r>
            <w:r w:rsidRPr="00B26D18">
              <w:rPr>
                <w:rFonts w:asciiTheme="majorBidi" w:hAnsiTheme="majorBidi" w:cstheme="majorBidi"/>
              </w:rPr>
              <w:t>Group 2</w:t>
            </w:r>
          </w:p>
        </w:tc>
        <w:tc>
          <w:tcPr>
            <w:tcW w:w="2217" w:type="dxa"/>
          </w:tcPr>
          <w:p w14:paraId="4AE99311" w14:textId="61E26542" w:rsidR="00A2470D" w:rsidRPr="00C01CCD" w:rsidRDefault="00C01CCD" w:rsidP="000405B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r w:rsidRPr="00C01CCD">
              <w:rPr>
                <w:rFonts w:asciiTheme="majorBidi" w:hAnsiTheme="majorBidi" w:cstheme="majorBidi"/>
                <w:i/>
                <w:iCs/>
              </w:rPr>
              <w:t xml:space="preserve">           P</w:t>
            </w:r>
          </w:p>
        </w:tc>
      </w:tr>
      <w:tr w:rsidR="00A2470D" w:rsidRPr="00B26D18" w14:paraId="5FC29DF9" w14:textId="77777777" w:rsidTr="00A2470D">
        <w:trPr>
          <w:cnfStyle w:val="000000100000" w:firstRow="0" w:lastRow="0" w:firstColumn="0" w:lastColumn="0" w:oddVBand="0" w:evenVBand="0" w:oddHBand="1" w:evenHBand="0" w:firstRowFirstColumn="0" w:firstRowLastColumn="0" w:lastRowFirstColumn="0" w:lastRowLastColumn="0"/>
          <w:trHeight w:val="2138"/>
        </w:trPr>
        <w:tc>
          <w:tcPr>
            <w:cnfStyle w:val="001000000000" w:firstRow="0" w:lastRow="0" w:firstColumn="1" w:lastColumn="0" w:oddVBand="0" w:evenVBand="0" w:oddHBand="0" w:evenHBand="0" w:firstRowFirstColumn="0" w:firstRowLastColumn="0" w:lastRowFirstColumn="0" w:lastRowLastColumn="0"/>
            <w:tcW w:w="3763" w:type="dxa"/>
          </w:tcPr>
          <w:p w14:paraId="29DFD6AD" w14:textId="3E68B696" w:rsidR="00A2470D" w:rsidRPr="00A93251" w:rsidRDefault="00A2470D" w:rsidP="00A2470D">
            <w:pPr>
              <w:rPr>
                <w:rFonts w:asciiTheme="majorBidi" w:hAnsiTheme="majorBidi" w:cstheme="majorBidi"/>
              </w:rPr>
            </w:pPr>
            <w:r w:rsidRPr="00A2470D">
              <w:rPr>
                <w:rStyle w:val="Strong"/>
                <w:b/>
                <w:bCs/>
              </w:rPr>
              <w:t xml:space="preserve">Primary </w:t>
            </w:r>
            <w:proofErr w:type="spellStart"/>
            <w:r w:rsidRPr="00A2470D">
              <w:rPr>
                <w:rStyle w:val="Strong"/>
                <w:b/>
                <w:bCs/>
              </w:rPr>
              <w:t>Gougerot</w:t>
            </w:r>
            <w:proofErr w:type="spellEnd"/>
            <w:r w:rsidRPr="00A2470D">
              <w:rPr>
                <w:rStyle w:val="Strong"/>
                <w:b/>
                <w:bCs/>
              </w:rPr>
              <w:t xml:space="preserve"> </w:t>
            </w:r>
            <w:proofErr w:type="spellStart"/>
            <w:r w:rsidRPr="00A2470D">
              <w:rPr>
                <w:rStyle w:val="Strong"/>
                <w:rFonts w:asciiTheme="minorBidi" w:hAnsiTheme="minorBidi" w:cstheme="minorBidi"/>
                <w:b/>
                <w:bCs/>
              </w:rPr>
              <w:t>Sjögren</w:t>
            </w:r>
            <w:proofErr w:type="spellEnd"/>
            <w:r>
              <w:rPr>
                <w:rStyle w:val="Strong"/>
                <w:rFonts w:asciiTheme="minorBidi" w:hAnsiTheme="minorBidi" w:cstheme="minorBidi"/>
                <w:b/>
                <w:bCs/>
              </w:rPr>
              <w:t xml:space="preserve"> </w:t>
            </w:r>
            <w:r w:rsidRPr="00A2470D">
              <w:rPr>
                <w:rFonts w:asciiTheme="minorBidi" w:hAnsiTheme="minorBidi" w:cstheme="minorBidi"/>
                <w:b w:val="0"/>
                <w:bCs w:val="0"/>
              </w:rPr>
              <w:t>syndrome</w:t>
            </w:r>
            <w:r w:rsidRPr="00A2470D">
              <w:rPr>
                <w:rFonts w:asciiTheme="majorBidi" w:hAnsiTheme="majorBidi" w:cstheme="majorBidi"/>
                <w:b w:val="0"/>
                <w:bCs w:val="0"/>
              </w:rPr>
              <w:t>.</w:t>
            </w:r>
          </w:p>
          <w:p w14:paraId="0B3B7DCC" w14:textId="77777777" w:rsidR="00A2470D" w:rsidRDefault="00A2470D" w:rsidP="000405B2">
            <w:pPr>
              <w:spacing w:line="240" w:lineRule="auto"/>
              <w:rPr>
                <w:rFonts w:asciiTheme="majorBidi" w:hAnsiTheme="majorBidi" w:cstheme="majorBidi"/>
                <w:b w:val="0"/>
                <w:bCs w:val="0"/>
              </w:rPr>
            </w:pPr>
            <w:r w:rsidRPr="00A93251">
              <w:rPr>
                <w:rFonts w:asciiTheme="majorBidi" w:hAnsiTheme="majorBidi" w:cstheme="majorBidi"/>
              </w:rPr>
              <w:t xml:space="preserve">Secondary </w:t>
            </w:r>
            <w:proofErr w:type="spellStart"/>
            <w:r w:rsidRPr="00A93251">
              <w:rPr>
                <w:rFonts w:asciiTheme="majorBidi" w:hAnsiTheme="majorBidi" w:cstheme="majorBidi"/>
              </w:rPr>
              <w:t>Gougerot</w:t>
            </w:r>
            <w:proofErr w:type="spellEnd"/>
            <w:r w:rsidRPr="00A93251">
              <w:rPr>
                <w:rFonts w:asciiTheme="majorBidi" w:hAnsiTheme="majorBidi" w:cstheme="majorBidi"/>
              </w:rPr>
              <w:t xml:space="preserve"> </w:t>
            </w:r>
            <w:proofErr w:type="spellStart"/>
            <w:r w:rsidRPr="00A93251">
              <w:rPr>
                <w:rFonts w:asciiTheme="majorBidi" w:hAnsiTheme="majorBidi" w:cstheme="majorBidi"/>
              </w:rPr>
              <w:t>Sjögren</w:t>
            </w:r>
            <w:proofErr w:type="spellEnd"/>
            <w:r w:rsidRPr="00A93251">
              <w:rPr>
                <w:rFonts w:asciiTheme="majorBidi" w:hAnsiTheme="majorBidi" w:cstheme="majorBidi"/>
              </w:rPr>
              <w:t> syndrome</w:t>
            </w:r>
            <w:r>
              <w:rPr>
                <w:rFonts w:asciiTheme="majorBidi" w:hAnsiTheme="majorBidi" w:cstheme="majorBidi"/>
              </w:rPr>
              <w:t>:</w:t>
            </w:r>
          </w:p>
          <w:p w14:paraId="0455B183" w14:textId="577D6985" w:rsidR="00A2470D" w:rsidRPr="000631C9" w:rsidRDefault="00A2470D" w:rsidP="000405B2">
            <w:pPr>
              <w:spacing w:line="240" w:lineRule="auto"/>
              <w:rPr>
                <w:rFonts w:asciiTheme="majorBidi" w:hAnsiTheme="majorBidi" w:cstheme="majorBidi"/>
              </w:rPr>
            </w:pPr>
            <w:r w:rsidRPr="000631C9">
              <w:rPr>
                <w:rFonts w:asciiTheme="majorBidi" w:hAnsiTheme="majorBidi" w:cstheme="majorBidi"/>
                <w:b w:val="0"/>
                <w:bCs w:val="0"/>
              </w:rPr>
              <w:t xml:space="preserve">  R</w:t>
            </w:r>
            <w:r w:rsidRPr="001B44B7">
              <w:rPr>
                <w:rFonts w:asciiTheme="majorBidi" w:hAnsiTheme="majorBidi" w:cstheme="majorBidi"/>
                <w:b w:val="0"/>
                <w:bCs w:val="0"/>
              </w:rPr>
              <w:t>heumatoid arthritis</w:t>
            </w:r>
          </w:p>
          <w:p w14:paraId="66879D1E" w14:textId="77777777" w:rsidR="00A2470D" w:rsidRPr="001B44B7" w:rsidRDefault="00A2470D" w:rsidP="000405B2">
            <w:pPr>
              <w:spacing w:line="240" w:lineRule="auto"/>
              <w:rPr>
                <w:rFonts w:asciiTheme="majorBidi" w:hAnsiTheme="majorBidi" w:cstheme="majorBidi"/>
              </w:rPr>
            </w:pPr>
            <w:r>
              <w:rPr>
                <w:rFonts w:asciiTheme="majorBidi" w:hAnsiTheme="majorBidi" w:cstheme="majorBidi"/>
                <w:b w:val="0"/>
                <w:bCs w:val="0"/>
              </w:rPr>
              <w:t xml:space="preserve"> S</w:t>
            </w:r>
            <w:r w:rsidRPr="001B44B7">
              <w:rPr>
                <w:rFonts w:asciiTheme="majorBidi" w:hAnsiTheme="majorBidi" w:cstheme="majorBidi"/>
                <w:b w:val="0"/>
                <w:bCs w:val="0"/>
              </w:rPr>
              <w:t>ystemic lupus</w:t>
            </w:r>
            <w:r>
              <w:rPr>
                <w:rFonts w:asciiTheme="majorBidi" w:hAnsiTheme="majorBidi" w:cstheme="majorBidi"/>
                <w:b w:val="0"/>
                <w:bCs w:val="0"/>
              </w:rPr>
              <w:t xml:space="preserve"> </w:t>
            </w:r>
            <w:r w:rsidRPr="001B44B7">
              <w:rPr>
                <w:rFonts w:asciiTheme="majorBidi" w:hAnsiTheme="majorBidi" w:cstheme="majorBidi"/>
                <w:b w:val="0"/>
                <w:bCs w:val="0"/>
              </w:rPr>
              <w:t xml:space="preserve">erythematosus </w:t>
            </w:r>
          </w:p>
        </w:tc>
        <w:tc>
          <w:tcPr>
            <w:tcW w:w="1916" w:type="dxa"/>
          </w:tcPr>
          <w:p w14:paraId="7BA38061" w14:textId="58D2875D"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18(36%)</w:t>
            </w:r>
          </w:p>
          <w:p w14:paraId="4A810C7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3C700A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146FCF19" w14:textId="51384193"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5(10%)</w:t>
            </w:r>
          </w:p>
          <w:p w14:paraId="2068A4D0" w14:textId="7BEAA558"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tc>
        <w:tc>
          <w:tcPr>
            <w:tcW w:w="2336" w:type="dxa"/>
          </w:tcPr>
          <w:p w14:paraId="698771E9" w14:textId="3CE3A2B3"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19(38%)</w:t>
            </w:r>
          </w:p>
          <w:p w14:paraId="0C29FA3F" w14:textId="7777777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1720D5E"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F7797C1" w14:textId="0460C414"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6(12%)</w:t>
            </w:r>
          </w:p>
          <w:p w14:paraId="3A05A154" w14:textId="0F4EEEB0"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tc>
        <w:tc>
          <w:tcPr>
            <w:tcW w:w="2217" w:type="dxa"/>
            <w:vMerge w:val="restart"/>
          </w:tcPr>
          <w:p w14:paraId="050AE1AB"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D8021E9"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7A19162"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C5316BF"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7A9C756D"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F51C0D8"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E600E2F"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60D1A9C" w14:textId="338F79CF"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Pr>
                <w:rFonts w:asciiTheme="majorBidi" w:hAnsiTheme="majorBidi" w:cstheme="majorBidi"/>
                <w:b/>
                <w:bCs/>
              </w:rPr>
              <w:t xml:space="preserve">           </w:t>
            </w:r>
            <w:r w:rsidRPr="00B26D18">
              <w:rPr>
                <w:rFonts w:asciiTheme="majorBidi" w:hAnsiTheme="majorBidi" w:cstheme="majorBidi"/>
                <w:b/>
                <w:bCs/>
              </w:rPr>
              <w:t>0,68</w:t>
            </w:r>
          </w:p>
        </w:tc>
      </w:tr>
      <w:tr w:rsidR="00A2470D" w:rsidRPr="00B26D18" w14:paraId="1B416F16" w14:textId="77777777" w:rsidTr="00A2470D">
        <w:trPr>
          <w:trHeight w:val="1367"/>
        </w:trPr>
        <w:tc>
          <w:tcPr>
            <w:cnfStyle w:val="001000000000" w:firstRow="0" w:lastRow="0" w:firstColumn="1" w:lastColumn="0" w:oddVBand="0" w:evenVBand="0" w:oddHBand="0" w:evenHBand="0" w:firstRowFirstColumn="0" w:firstRowLastColumn="0" w:lastRowFirstColumn="0" w:lastRowLastColumn="0"/>
            <w:tcW w:w="3763" w:type="dxa"/>
          </w:tcPr>
          <w:p w14:paraId="4833485A" w14:textId="77777777" w:rsidR="00A2470D" w:rsidRPr="000A707E" w:rsidRDefault="00A2470D" w:rsidP="000405B2">
            <w:pPr>
              <w:spacing w:line="240" w:lineRule="auto"/>
              <w:rPr>
                <w:rFonts w:asciiTheme="majorBidi" w:hAnsiTheme="majorBidi" w:cstheme="majorBidi"/>
                <w:b w:val="0"/>
                <w:bCs w:val="0"/>
              </w:rPr>
            </w:pPr>
            <w:r w:rsidRPr="000A707E">
              <w:rPr>
                <w:rFonts w:asciiTheme="majorBidi" w:hAnsiTheme="majorBidi" w:cstheme="majorBidi"/>
              </w:rPr>
              <w:t>Excess evaporation:</w:t>
            </w:r>
          </w:p>
          <w:p w14:paraId="726B77F0" w14:textId="77777777" w:rsidR="00A2470D" w:rsidRDefault="00A2470D" w:rsidP="000405B2">
            <w:pPr>
              <w:spacing w:line="240" w:lineRule="auto"/>
              <w:rPr>
                <w:rFonts w:asciiTheme="majorBidi" w:hAnsiTheme="majorBidi" w:cstheme="majorBidi"/>
              </w:rPr>
            </w:pPr>
            <w:r w:rsidRPr="000A707E">
              <w:rPr>
                <w:rFonts w:asciiTheme="majorBidi" w:hAnsiTheme="majorBidi" w:cstheme="majorBidi"/>
              </w:rPr>
              <w:t xml:space="preserve"> </w:t>
            </w:r>
            <w:r w:rsidRPr="0090243F">
              <w:rPr>
                <w:rFonts w:asciiTheme="majorBidi" w:hAnsiTheme="majorBidi" w:cstheme="majorBidi"/>
                <w:b w:val="0"/>
                <w:bCs w:val="0"/>
              </w:rPr>
              <w:t>Meibomian gland deficiency</w:t>
            </w:r>
          </w:p>
          <w:p w14:paraId="1FE52AD3" w14:textId="77777777" w:rsidR="00A2470D" w:rsidRPr="000A707E" w:rsidRDefault="00A2470D" w:rsidP="000405B2">
            <w:pPr>
              <w:spacing w:line="240" w:lineRule="auto"/>
              <w:rPr>
                <w:rFonts w:asciiTheme="majorBidi" w:hAnsiTheme="majorBidi" w:cstheme="majorBidi"/>
              </w:rPr>
            </w:pPr>
            <w:r>
              <w:rPr>
                <w:rFonts w:asciiTheme="majorBidi" w:hAnsiTheme="majorBidi" w:cstheme="majorBidi"/>
                <w:b w:val="0"/>
                <w:bCs w:val="0"/>
              </w:rPr>
              <w:t xml:space="preserve"> </w:t>
            </w:r>
            <w:r w:rsidRPr="0090243F">
              <w:rPr>
                <w:rFonts w:asciiTheme="majorBidi" w:hAnsiTheme="majorBidi" w:cstheme="majorBidi"/>
                <w:b w:val="0"/>
                <w:bCs w:val="0"/>
              </w:rPr>
              <w:t>Exophthalmos</w:t>
            </w:r>
            <w:r w:rsidRPr="000A707E">
              <w:rPr>
                <w:rFonts w:asciiTheme="majorBidi" w:hAnsiTheme="majorBidi" w:cstheme="majorBidi"/>
              </w:rPr>
              <w:t xml:space="preserve"> </w:t>
            </w:r>
          </w:p>
        </w:tc>
        <w:tc>
          <w:tcPr>
            <w:tcW w:w="1916" w:type="dxa"/>
          </w:tcPr>
          <w:p w14:paraId="35A8A536"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1D6EA2D" w14:textId="4586D88B"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6(12%)</w:t>
            </w:r>
          </w:p>
          <w:p w14:paraId="4CE286DB" w14:textId="764A0AC4"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p w14:paraId="295C567A"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36" w:type="dxa"/>
          </w:tcPr>
          <w:p w14:paraId="566E54C5"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1B6EA39" w14:textId="2ECB3090"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p w14:paraId="414472AF" w14:textId="777CD621"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tc>
        <w:tc>
          <w:tcPr>
            <w:tcW w:w="2217" w:type="dxa"/>
            <w:vMerge/>
          </w:tcPr>
          <w:p w14:paraId="79F08594" w14:textId="77777777" w:rsidR="00A2470D" w:rsidRPr="00B26D18" w:rsidRDefault="00A2470D" w:rsidP="000405B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2470D" w:rsidRPr="00B26D18" w14:paraId="2FA95C94" w14:textId="77777777" w:rsidTr="00A2470D">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3763" w:type="dxa"/>
          </w:tcPr>
          <w:p w14:paraId="384F5D42" w14:textId="77777777" w:rsidR="00A2470D" w:rsidRPr="000A707E" w:rsidRDefault="00A2470D" w:rsidP="000405B2">
            <w:pPr>
              <w:spacing w:line="240" w:lineRule="auto"/>
              <w:rPr>
                <w:rFonts w:asciiTheme="majorBidi" w:hAnsiTheme="majorBidi" w:cstheme="majorBidi"/>
                <w:b w:val="0"/>
                <w:bCs w:val="0"/>
              </w:rPr>
            </w:pPr>
            <w:r w:rsidRPr="000A707E">
              <w:rPr>
                <w:rFonts w:asciiTheme="majorBidi" w:hAnsiTheme="majorBidi" w:cstheme="majorBidi"/>
              </w:rPr>
              <w:t xml:space="preserve">Aqueous deficiency no Sjogren </w:t>
            </w:r>
          </w:p>
          <w:p w14:paraId="57B984A4" w14:textId="77777777" w:rsidR="00A2470D" w:rsidRDefault="00A2470D" w:rsidP="000405B2">
            <w:pPr>
              <w:spacing w:line="240" w:lineRule="auto"/>
              <w:rPr>
                <w:rFonts w:asciiTheme="majorBidi" w:hAnsiTheme="majorBidi" w:cstheme="majorBidi"/>
              </w:rPr>
            </w:pPr>
            <w:r>
              <w:rPr>
                <w:rFonts w:asciiTheme="majorBidi" w:hAnsiTheme="majorBidi" w:cstheme="majorBidi"/>
                <w:b w:val="0"/>
                <w:bCs w:val="0"/>
              </w:rPr>
              <w:t xml:space="preserve"> </w:t>
            </w:r>
            <w:r w:rsidRPr="0090243F">
              <w:rPr>
                <w:rFonts w:asciiTheme="majorBidi" w:hAnsiTheme="majorBidi" w:cstheme="majorBidi"/>
                <w:b w:val="0"/>
                <w:bCs w:val="0"/>
              </w:rPr>
              <w:t xml:space="preserve">Degenerative </w:t>
            </w:r>
          </w:p>
          <w:p w14:paraId="0322755A" w14:textId="77777777" w:rsidR="00A2470D" w:rsidRDefault="00A2470D" w:rsidP="000405B2">
            <w:pPr>
              <w:spacing w:line="240" w:lineRule="auto"/>
              <w:rPr>
                <w:rFonts w:asciiTheme="majorBidi" w:hAnsiTheme="majorBidi" w:cstheme="majorBidi"/>
              </w:rPr>
            </w:pPr>
            <w:r>
              <w:rPr>
                <w:rFonts w:asciiTheme="majorBidi" w:hAnsiTheme="majorBidi" w:cstheme="majorBidi"/>
                <w:b w:val="0"/>
                <w:bCs w:val="0"/>
              </w:rPr>
              <w:t xml:space="preserve"> </w:t>
            </w:r>
            <w:r w:rsidRPr="0090243F">
              <w:rPr>
                <w:rFonts w:asciiTheme="majorBidi" w:hAnsiTheme="majorBidi" w:cstheme="majorBidi"/>
                <w:b w:val="0"/>
                <w:bCs w:val="0"/>
              </w:rPr>
              <w:t xml:space="preserve">keratoconjunctivitis </w:t>
            </w:r>
          </w:p>
          <w:p w14:paraId="5BFCB524" w14:textId="77777777" w:rsidR="00A2470D" w:rsidRDefault="00A2470D" w:rsidP="000405B2">
            <w:pPr>
              <w:spacing w:line="240" w:lineRule="auto"/>
              <w:rPr>
                <w:rFonts w:asciiTheme="majorBidi" w:hAnsiTheme="majorBidi" w:cstheme="majorBidi"/>
              </w:rPr>
            </w:pPr>
            <w:r>
              <w:rPr>
                <w:rFonts w:asciiTheme="majorBidi" w:hAnsiTheme="majorBidi" w:cstheme="majorBidi"/>
                <w:b w:val="0"/>
                <w:bCs w:val="0"/>
              </w:rPr>
              <w:t>A</w:t>
            </w:r>
            <w:r w:rsidRPr="0090243F">
              <w:rPr>
                <w:rFonts w:asciiTheme="majorBidi" w:hAnsiTheme="majorBidi" w:cstheme="majorBidi"/>
                <w:b w:val="0"/>
                <w:bCs w:val="0"/>
              </w:rPr>
              <w:t xml:space="preserve">llergic conjunctivitis </w:t>
            </w:r>
          </w:p>
          <w:p w14:paraId="08BE0FCF" w14:textId="77777777" w:rsidR="00A2470D" w:rsidRPr="000A707E" w:rsidRDefault="00A2470D" w:rsidP="000405B2">
            <w:pPr>
              <w:spacing w:line="240" w:lineRule="auto"/>
              <w:rPr>
                <w:rFonts w:asciiTheme="majorBidi" w:hAnsiTheme="majorBidi" w:cstheme="majorBidi"/>
              </w:rPr>
            </w:pPr>
            <w:r w:rsidRPr="0090243F">
              <w:rPr>
                <w:rFonts w:asciiTheme="majorBidi" w:hAnsiTheme="majorBidi" w:cstheme="majorBidi"/>
                <w:b w:val="0"/>
                <w:bCs w:val="0"/>
              </w:rPr>
              <w:t>Systemic medication Hepatitis C</w:t>
            </w:r>
          </w:p>
        </w:tc>
        <w:tc>
          <w:tcPr>
            <w:tcW w:w="1916" w:type="dxa"/>
          </w:tcPr>
          <w:p w14:paraId="7E7127A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60A2481" w14:textId="060D8063"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r>
              <w:rPr>
                <w:rFonts w:asciiTheme="majorBidi" w:hAnsiTheme="majorBidi" w:cstheme="majorBidi"/>
              </w:rPr>
              <w:t xml:space="preserve">           </w:t>
            </w:r>
          </w:p>
          <w:p w14:paraId="5E273A9C" w14:textId="445B5F5B"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5(10%)</w:t>
            </w:r>
          </w:p>
          <w:p w14:paraId="22005308" w14:textId="2CDC042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017E2404" w14:textId="4269AA39"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tc>
        <w:tc>
          <w:tcPr>
            <w:tcW w:w="2336" w:type="dxa"/>
          </w:tcPr>
          <w:p w14:paraId="5F385337"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EDD53CE" w14:textId="1BAA6844"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5BE4B736" w14:textId="0210DEBC"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7(14%)</w:t>
            </w:r>
          </w:p>
          <w:p w14:paraId="7055875A" w14:textId="3CADCE28"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p w14:paraId="1C3687C0" w14:textId="57E0CBFF"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7302948F" w14:textId="7777777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217" w:type="dxa"/>
            <w:vMerge/>
          </w:tcPr>
          <w:p w14:paraId="450A1A8D" w14:textId="77777777" w:rsidR="00A2470D" w:rsidRPr="00B26D18" w:rsidRDefault="00A2470D" w:rsidP="000405B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675C4803" w14:textId="77777777" w:rsidR="00A2470D" w:rsidRDefault="00A2470D" w:rsidP="008B46E2">
      <w:pPr>
        <w:spacing w:line="480" w:lineRule="auto"/>
        <w:rPr>
          <w:rFonts w:asciiTheme="minorBidi" w:hAnsiTheme="minorBidi" w:cstheme="minorBidi"/>
          <w:b/>
          <w:bCs/>
        </w:rPr>
      </w:pPr>
    </w:p>
    <w:p w14:paraId="56797F32" w14:textId="25A673A1" w:rsidR="00C223D4" w:rsidRDefault="00C223D4" w:rsidP="00C223D4">
      <w:pPr>
        <w:pStyle w:val="Body"/>
        <w:rPr>
          <w:rFonts w:asciiTheme="majorBidi" w:hAnsiTheme="majorBidi" w:cstheme="majorBidi"/>
          <w:sz w:val="24"/>
          <w:szCs w:val="24"/>
        </w:rPr>
      </w:pPr>
    </w:p>
    <w:p w14:paraId="0E11942F" w14:textId="77777777" w:rsidR="00C223D4" w:rsidRPr="00710436" w:rsidRDefault="00C223D4" w:rsidP="00C223D4">
      <w:pPr>
        <w:pStyle w:val="Body"/>
        <w:rPr>
          <w:rFonts w:asciiTheme="minorBidi" w:hAnsiTheme="minorBidi" w:cstheme="minorBidi"/>
        </w:rPr>
      </w:pPr>
      <w:r w:rsidRPr="00710436">
        <w:rPr>
          <w:rFonts w:asciiTheme="minorBidi" w:hAnsiTheme="minorBidi" w:cstheme="minorBidi"/>
        </w:rPr>
        <w:t xml:space="preserve">The main functional signs observed were reflex lacrimation, pruritus, sand-grain sensation, and visual fatigue. The two groups were statistically comparable for functional signs (Table 2). </w:t>
      </w:r>
    </w:p>
    <w:p w14:paraId="536E7B95" w14:textId="77777777" w:rsidR="00C223D4" w:rsidRDefault="00C223D4" w:rsidP="00710436">
      <w:pPr>
        <w:rPr>
          <w:rFonts w:asciiTheme="minorBidi" w:hAnsiTheme="minorBidi" w:cstheme="minorBidi"/>
          <w:b/>
          <w:bCs/>
        </w:rPr>
      </w:pPr>
      <w:r w:rsidRPr="00710436">
        <w:rPr>
          <w:rFonts w:asciiTheme="minorBidi" w:hAnsiTheme="minorBidi" w:cstheme="minorBidi"/>
          <w:b/>
          <w:bCs/>
        </w:rPr>
        <w:lastRenderedPageBreak/>
        <w:t>Table2. Functional signs of dry eye causing significant discomfort on initial examination</w:t>
      </w:r>
    </w:p>
    <w:p w14:paraId="409F34F7" w14:textId="77777777" w:rsidR="00710436" w:rsidRPr="00710436" w:rsidRDefault="00710436" w:rsidP="00710436">
      <w:pPr>
        <w:rPr>
          <w:rFonts w:asciiTheme="minorBidi" w:hAnsiTheme="minorBidi" w:cstheme="minorBidi"/>
          <w:b/>
          <w:bCs/>
        </w:rPr>
      </w:pPr>
    </w:p>
    <w:tbl>
      <w:tblPr>
        <w:tblStyle w:val="PlainTable2"/>
        <w:tblW w:w="9088" w:type="dxa"/>
        <w:tblLook w:val="04A0" w:firstRow="1" w:lastRow="0" w:firstColumn="1" w:lastColumn="0" w:noHBand="0" w:noVBand="1"/>
      </w:tblPr>
      <w:tblGrid>
        <w:gridCol w:w="2272"/>
        <w:gridCol w:w="2272"/>
        <w:gridCol w:w="2272"/>
        <w:gridCol w:w="2272"/>
      </w:tblGrid>
      <w:tr w:rsidR="00C223D4" w:rsidRPr="00710436" w14:paraId="7E3A0F3D" w14:textId="77777777" w:rsidTr="000405B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272" w:type="dxa"/>
          </w:tcPr>
          <w:p w14:paraId="5087D8EC" w14:textId="77777777" w:rsidR="00C223D4" w:rsidRPr="00710436" w:rsidRDefault="00C223D4" w:rsidP="008B46E2">
            <w:pPr>
              <w:rPr>
                <w:rFonts w:asciiTheme="minorBidi" w:hAnsiTheme="minorBidi" w:cstheme="minorBidi"/>
              </w:rPr>
            </w:pPr>
          </w:p>
        </w:tc>
        <w:tc>
          <w:tcPr>
            <w:tcW w:w="2272" w:type="dxa"/>
          </w:tcPr>
          <w:p w14:paraId="0699AEC1" w14:textId="77777777" w:rsidR="00C223D4" w:rsidRPr="00710436" w:rsidRDefault="00C223D4"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710436">
              <w:rPr>
                <w:rFonts w:asciiTheme="minorBidi" w:hAnsiTheme="minorBidi" w:cstheme="minorBidi"/>
              </w:rPr>
              <w:t>Group 1</w:t>
            </w:r>
          </w:p>
        </w:tc>
        <w:tc>
          <w:tcPr>
            <w:tcW w:w="2272" w:type="dxa"/>
          </w:tcPr>
          <w:p w14:paraId="50D1CD7F" w14:textId="77777777" w:rsidR="00C223D4" w:rsidRPr="00710436" w:rsidRDefault="00C223D4"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710436">
              <w:rPr>
                <w:rFonts w:asciiTheme="minorBidi" w:hAnsiTheme="minorBidi" w:cstheme="minorBidi"/>
              </w:rPr>
              <w:t>Group 2</w:t>
            </w:r>
          </w:p>
        </w:tc>
        <w:tc>
          <w:tcPr>
            <w:tcW w:w="2272" w:type="dxa"/>
          </w:tcPr>
          <w:p w14:paraId="1BC5617F" w14:textId="25798E74" w:rsidR="00C223D4" w:rsidRPr="00C01CCD" w:rsidRDefault="00C01CCD"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i/>
                <w:iCs/>
              </w:rPr>
            </w:pPr>
            <w:r w:rsidRPr="00C01CCD">
              <w:rPr>
                <w:rFonts w:asciiTheme="minorBidi" w:hAnsiTheme="minorBidi" w:cstheme="minorBidi"/>
                <w:i/>
                <w:iCs/>
              </w:rPr>
              <w:t>P</w:t>
            </w:r>
          </w:p>
        </w:tc>
      </w:tr>
      <w:tr w:rsidR="00EA5B0F" w:rsidRPr="00710436" w14:paraId="0BF3581A" w14:textId="77777777" w:rsidTr="007B1F2A">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088" w:type="dxa"/>
            <w:gridSpan w:val="4"/>
          </w:tcPr>
          <w:p w14:paraId="5B247712" w14:textId="4CBBE522" w:rsidR="00EA5B0F" w:rsidRPr="00EA5B0F" w:rsidRDefault="00EA5B0F" w:rsidP="00EA5B0F">
            <w:pPr>
              <w:rPr>
                <w:rFonts w:asciiTheme="minorBidi" w:hAnsiTheme="minorBidi" w:cstheme="minorBidi"/>
                <w:b w:val="0"/>
                <w:bCs w:val="0"/>
              </w:rPr>
            </w:pPr>
            <w:r w:rsidRPr="00710436">
              <w:rPr>
                <w:rFonts w:asciiTheme="minorBidi" w:hAnsiTheme="minorBidi" w:cstheme="minorBidi"/>
              </w:rPr>
              <w:t>Reflex tearing</w:t>
            </w:r>
            <w:r>
              <w:rPr>
                <w:rFonts w:asciiTheme="minorBidi" w:hAnsiTheme="minorBidi" w:cstheme="minorBidi"/>
              </w:rPr>
              <w:t xml:space="preserve">                 </w:t>
            </w:r>
            <w:r w:rsidRPr="00EA5B0F">
              <w:rPr>
                <w:rFonts w:asciiTheme="minorBidi" w:hAnsiTheme="minorBidi" w:cstheme="minorBidi"/>
                <w:b w:val="0"/>
                <w:bCs w:val="0"/>
              </w:rPr>
              <w:t>16(32</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19(38%)                        </w:t>
            </w:r>
            <w:r>
              <w:rPr>
                <w:rFonts w:asciiTheme="minorBidi" w:hAnsiTheme="minorBidi" w:cstheme="minorBidi"/>
                <w:b w:val="0"/>
                <w:bCs w:val="0"/>
              </w:rPr>
              <w:t xml:space="preserve">  </w:t>
            </w:r>
            <w:r w:rsidRPr="00EA5B0F">
              <w:rPr>
                <w:rFonts w:asciiTheme="minorBidi" w:hAnsiTheme="minorBidi" w:cstheme="minorBidi"/>
                <w:b w:val="0"/>
                <w:bCs w:val="0"/>
              </w:rPr>
              <w:t xml:space="preserve"> 0,040</w:t>
            </w:r>
          </w:p>
          <w:p w14:paraId="7A9CCF4E" w14:textId="493259A9" w:rsidR="00EA5B0F" w:rsidRPr="00EA5B0F" w:rsidRDefault="00EA5B0F" w:rsidP="00EA5B0F">
            <w:pPr>
              <w:rPr>
                <w:rFonts w:asciiTheme="minorBidi" w:hAnsiTheme="minorBidi" w:cstheme="minorBidi"/>
                <w:b w:val="0"/>
                <w:bCs w:val="0"/>
              </w:rPr>
            </w:pPr>
            <w:r w:rsidRPr="00EA5B0F">
              <w:rPr>
                <w:rFonts w:asciiTheme="minorBidi" w:hAnsiTheme="minorBidi" w:cstheme="minorBidi"/>
              </w:rPr>
              <w:t xml:space="preserve">Pruritus      </w:t>
            </w:r>
            <w:r w:rsidRPr="00EA5B0F">
              <w:rPr>
                <w:rFonts w:asciiTheme="minorBidi" w:hAnsiTheme="minorBidi" w:cstheme="minorBidi"/>
                <w:b w:val="0"/>
                <w:bCs w:val="0"/>
              </w:rPr>
              <w:t xml:space="preserve">                      28(56</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30(60%)                         0,68</w:t>
            </w:r>
          </w:p>
          <w:p w14:paraId="6CC9D945" w14:textId="4462C34F" w:rsidR="00EA5B0F" w:rsidRPr="00EA5B0F" w:rsidRDefault="00EA5B0F" w:rsidP="00EA5B0F">
            <w:pPr>
              <w:rPr>
                <w:rFonts w:asciiTheme="minorBidi" w:hAnsiTheme="minorBidi" w:cstheme="minorBidi"/>
                <w:b w:val="0"/>
                <w:bCs w:val="0"/>
              </w:rPr>
            </w:pPr>
            <w:r w:rsidRPr="00EA5B0F">
              <w:rPr>
                <w:rFonts w:asciiTheme="minorBidi" w:hAnsiTheme="minorBidi" w:cstheme="minorBidi"/>
              </w:rPr>
              <w:t>Grainy feeling</w:t>
            </w:r>
            <w:r w:rsidRPr="00EA5B0F">
              <w:rPr>
                <w:rFonts w:asciiTheme="minorBidi" w:hAnsiTheme="minorBidi" w:cstheme="minorBidi"/>
                <w:b w:val="0"/>
                <w:bCs w:val="0"/>
              </w:rPr>
              <w:t xml:space="preserve">                  10(20</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16(32%)                       </w:t>
            </w:r>
            <w:r>
              <w:rPr>
                <w:rFonts w:asciiTheme="minorBidi" w:hAnsiTheme="minorBidi" w:cstheme="minorBidi"/>
                <w:b w:val="0"/>
                <w:bCs w:val="0"/>
              </w:rPr>
              <w:t xml:space="preserve">   </w:t>
            </w:r>
            <w:r w:rsidRPr="00EA5B0F">
              <w:rPr>
                <w:rFonts w:asciiTheme="minorBidi" w:hAnsiTheme="minorBidi" w:cstheme="minorBidi"/>
                <w:b w:val="0"/>
                <w:bCs w:val="0"/>
              </w:rPr>
              <w:t xml:space="preserve"> 0,17</w:t>
            </w:r>
          </w:p>
          <w:p w14:paraId="16A128AD" w14:textId="7084D5B2" w:rsidR="00EA5B0F" w:rsidRPr="00EA5B0F" w:rsidRDefault="00EA5B0F" w:rsidP="00EA5B0F">
            <w:pPr>
              <w:rPr>
                <w:rFonts w:asciiTheme="minorBidi" w:hAnsiTheme="minorBidi" w:cstheme="minorBidi"/>
                <w:b w:val="0"/>
                <w:bCs w:val="0"/>
              </w:rPr>
            </w:pPr>
            <w:r w:rsidRPr="00EA5B0F">
              <w:rPr>
                <w:rFonts w:asciiTheme="minorBidi" w:hAnsiTheme="minorBidi" w:cstheme="minorBidi"/>
              </w:rPr>
              <w:t>Eye strain</w:t>
            </w:r>
            <w:r w:rsidRPr="00EA5B0F">
              <w:rPr>
                <w:rFonts w:asciiTheme="minorBidi" w:hAnsiTheme="minorBidi" w:cstheme="minorBidi"/>
                <w:b w:val="0"/>
                <w:bCs w:val="0"/>
              </w:rPr>
              <w:t xml:space="preserve">                          22(44</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25(50%)                         </w:t>
            </w:r>
            <w:r>
              <w:rPr>
                <w:rFonts w:asciiTheme="minorBidi" w:hAnsiTheme="minorBidi" w:cstheme="minorBidi"/>
                <w:b w:val="0"/>
                <w:bCs w:val="0"/>
              </w:rPr>
              <w:t xml:space="preserve">  </w:t>
            </w:r>
            <w:r w:rsidRPr="00EA5B0F">
              <w:rPr>
                <w:rFonts w:asciiTheme="minorBidi" w:hAnsiTheme="minorBidi" w:cstheme="minorBidi"/>
                <w:b w:val="0"/>
                <w:bCs w:val="0"/>
              </w:rPr>
              <w:t>0,54</w:t>
            </w:r>
          </w:p>
          <w:p w14:paraId="6C8D834F" w14:textId="03629265" w:rsidR="00EA5B0F" w:rsidRPr="00710436" w:rsidRDefault="00EA5B0F" w:rsidP="00EA5B0F">
            <w:pPr>
              <w:rPr>
                <w:rFonts w:asciiTheme="minorBidi" w:hAnsiTheme="minorBidi" w:cstheme="minorBidi"/>
              </w:rPr>
            </w:pPr>
            <w:r w:rsidRPr="00EA5B0F">
              <w:rPr>
                <w:rFonts w:asciiTheme="minorBidi" w:hAnsiTheme="minorBidi" w:cstheme="minorBidi"/>
              </w:rPr>
              <w:t>Photophobia</w:t>
            </w:r>
            <w:r w:rsidRPr="00EA5B0F">
              <w:rPr>
                <w:rFonts w:asciiTheme="minorBidi" w:hAnsiTheme="minorBidi" w:cstheme="minorBidi"/>
                <w:b w:val="0"/>
                <w:bCs w:val="0"/>
              </w:rPr>
              <w:t xml:space="preserve">                     26(52</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32(64%)                       </w:t>
            </w:r>
            <w:r>
              <w:rPr>
                <w:rFonts w:asciiTheme="minorBidi" w:hAnsiTheme="minorBidi" w:cstheme="minorBidi"/>
                <w:b w:val="0"/>
                <w:bCs w:val="0"/>
              </w:rPr>
              <w:t xml:space="preserve">   </w:t>
            </w:r>
            <w:r w:rsidRPr="00EA5B0F">
              <w:rPr>
                <w:rFonts w:asciiTheme="minorBidi" w:hAnsiTheme="minorBidi" w:cstheme="minorBidi"/>
                <w:b w:val="0"/>
                <w:bCs w:val="0"/>
              </w:rPr>
              <w:t>0,22</w:t>
            </w:r>
          </w:p>
        </w:tc>
      </w:tr>
    </w:tbl>
    <w:p w14:paraId="4BD01938" w14:textId="77777777" w:rsidR="00155575" w:rsidRDefault="00155575" w:rsidP="00C223D4">
      <w:pPr>
        <w:pStyle w:val="Body"/>
        <w:rPr>
          <w:rFonts w:asciiTheme="minorBidi" w:hAnsiTheme="minorBidi" w:cstheme="minorBidi"/>
        </w:rPr>
      </w:pPr>
    </w:p>
    <w:p w14:paraId="03C04E2D" w14:textId="64E5347B" w:rsidR="00E635C2" w:rsidRPr="00E22117" w:rsidRDefault="00C223D4" w:rsidP="00155575">
      <w:pPr>
        <w:pStyle w:val="Body"/>
        <w:rPr>
          <w:rFonts w:asciiTheme="minorBidi" w:hAnsiTheme="minorBidi" w:cstheme="minorBidi"/>
        </w:rPr>
      </w:pPr>
      <w:r w:rsidRPr="00E22117">
        <w:rPr>
          <w:rFonts w:asciiTheme="minorBidi" w:hAnsiTheme="minorBidi" w:cstheme="minorBidi"/>
        </w:rPr>
        <w:t xml:space="preserve">In our study, we found that some symptoms improved significantly more in group 1 than in the group 2 with a significant difference (Table 3, Tabe 4, Table 5). </w:t>
      </w:r>
    </w:p>
    <w:p w14:paraId="6E9A3CEB" w14:textId="77777777" w:rsidR="00C223D4" w:rsidRPr="00E22117" w:rsidRDefault="00C223D4" w:rsidP="00C223D4">
      <w:pPr>
        <w:rPr>
          <w:rFonts w:asciiTheme="minorBidi" w:hAnsiTheme="minorBidi" w:cstheme="minorBidi"/>
          <w:b/>
          <w:bCs/>
        </w:rPr>
      </w:pPr>
      <w:r w:rsidRPr="00E22117">
        <w:rPr>
          <w:rFonts w:asciiTheme="minorBidi" w:hAnsiTheme="minorBidi" w:cstheme="minorBidi"/>
          <w:b/>
          <w:bCs/>
        </w:rPr>
        <w:t>Table3. Clinical signs of dry eye causing significant discomfort on initial examination</w:t>
      </w:r>
    </w:p>
    <w:p w14:paraId="530EDD4F" w14:textId="77777777" w:rsidR="008B46E2" w:rsidRPr="00B26D18" w:rsidRDefault="008B46E2" w:rsidP="00C223D4">
      <w:pPr>
        <w:rPr>
          <w:rFonts w:asciiTheme="majorBidi" w:hAnsiTheme="majorBidi" w:cstheme="majorBidi"/>
          <w:b/>
          <w:bCs/>
        </w:rPr>
      </w:pPr>
    </w:p>
    <w:tbl>
      <w:tblPr>
        <w:tblStyle w:val="PlainTable2"/>
        <w:tblW w:w="0" w:type="auto"/>
        <w:tblLook w:val="04A0" w:firstRow="1" w:lastRow="0" w:firstColumn="1" w:lastColumn="0" w:noHBand="0" w:noVBand="1"/>
      </w:tblPr>
      <w:tblGrid>
        <w:gridCol w:w="2129"/>
        <w:gridCol w:w="2039"/>
        <w:gridCol w:w="2039"/>
        <w:gridCol w:w="2001"/>
      </w:tblGrid>
      <w:tr w:rsidR="00C223D4" w:rsidRPr="00E22117" w14:paraId="1F412CCC" w14:textId="77777777" w:rsidTr="00E635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2E2001ED" w14:textId="77777777" w:rsidR="00C223D4" w:rsidRPr="00E22117" w:rsidRDefault="00C223D4" w:rsidP="008B46E2">
            <w:pPr>
              <w:rPr>
                <w:rFonts w:asciiTheme="minorBidi" w:hAnsiTheme="minorBidi" w:cstheme="minorBidi"/>
              </w:rPr>
            </w:pPr>
          </w:p>
        </w:tc>
        <w:tc>
          <w:tcPr>
            <w:tcW w:w="2039" w:type="dxa"/>
          </w:tcPr>
          <w:p w14:paraId="1CF6B2FF" w14:textId="39C2049A" w:rsidR="00C223D4" w:rsidRPr="00E22117"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t xml:space="preserve">                   </w:t>
            </w:r>
            <w:r w:rsidR="00C223D4" w:rsidRPr="00E22117">
              <w:rPr>
                <w:rFonts w:asciiTheme="minorBidi" w:hAnsiTheme="minorBidi" w:cstheme="minorBidi"/>
              </w:rPr>
              <w:t>Group 1</w:t>
            </w:r>
          </w:p>
        </w:tc>
        <w:tc>
          <w:tcPr>
            <w:tcW w:w="2039" w:type="dxa"/>
          </w:tcPr>
          <w:p w14:paraId="3F3DA891" w14:textId="22DC4D72" w:rsidR="00C223D4" w:rsidRPr="00E22117"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t xml:space="preserve">           </w:t>
            </w:r>
            <w:r w:rsidR="00C223D4" w:rsidRPr="00E22117">
              <w:rPr>
                <w:rFonts w:asciiTheme="minorBidi" w:hAnsiTheme="minorBidi" w:cstheme="minorBidi"/>
              </w:rPr>
              <w:t>Group 2</w:t>
            </w:r>
          </w:p>
        </w:tc>
        <w:tc>
          <w:tcPr>
            <w:tcW w:w="2001" w:type="dxa"/>
          </w:tcPr>
          <w:p w14:paraId="3B78AAE7" w14:textId="3C0C0338" w:rsidR="00C223D4" w:rsidRPr="00C01CCD"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Pr>
                <w:rFonts w:asciiTheme="minorBidi" w:hAnsiTheme="minorBidi" w:cstheme="minorBidi"/>
                <w:i/>
                <w:iCs/>
              </w:rPr>
              <w:t xml:space="preserve">                  </w:t>
            </w:r>
            <w:r w:rsidR="00C01CCD" w:rsidRPr="00C01CCD">
              <w:rPr>
                <w:rFonts w:asciiTheme="minorBidi" w:hAnsiTheme="minorBidi" w:cstheme="minorBidi"/>
                <w:i/>
                <w:iCs/>
              </w:rPr>
              <w:t>P</w:t>
            </w:r>
          </w:p>
        </w:tc>
      </w:tr>
      <w:tr w:rsidR="00E635C2" w:rsidRPr="00E22117" w14:paraId="49E9AECB" w14:textId="77777777" w:rsidTr="00E635C2">
        <w:trPr>
          <w:cnfStyle w:val="000000100000" w:firstRow="0" w:lastRow="0" w:firstColumn="0" w:lastColumn="0" w:oddVBand="0" w:evenVBand="0" w:oddHBand="1" w:evenHBand="0" w:firstRowFirstColumn="0" w:firstRowLastColumn="0" w:lastRowFirstColumn="0" w:lastRowLastColumn="0"/>
          <w:trHeight w:val="2870"/>
        </w:trPr>
        <w:tc>
          <w:tcPr>
            <w:cnfStyle w:val="001000000000" w:firstRow="0" w:lastRow="0" w:firstColumn="1" w:lastColumn="0" w:oddVBand="0" w:evenVBand="0" w:oddHBand="0" w:evenHBand="0" w:firstRowFirstColumn="0" w:firstRowLastColumn="0" w:lastRowFirstColumn="0" w:lastRowLastColumn="0"/>
            <w:tcW w:w="8208" w:type="dxa"/>
            <w:gridSpan w:val="4"/>
          </w:tcPr>
          <w:p w14:paraId="0FCE5EBC" w14:textId="3DBFC7B7" w:rsidR="00E635C2" w:rsidRPr="00E22117" w:rsidRDefault="00E635C2" w:rsidP="00E635C2">
            <w:pPr>
              <w:rPr>
                <w:rFonts w:asciiTheme="minorBidi" w:hAnsiTheme="minorBidi" w:cstheme="minorBidi"/>
              </w:rPr>
            </w:pPr>
            <w:r w:rsidRPr="00E22117">
              <w:rPr>
                <w:rFonts w:asciiTheme="minorBidi" w:hAnsiTheme="minorBidi" w:cstheme="minorBidi"/>
              </w:rPr>
              <w:t>Schirmer test (mm/5</w:t>
            </w:r>
            <w:proofErr w:type="gramStart"/>
            <w:r w:rsidRPr="00E22117">
              <w:rPr>
                <w:rFonts w:asciiTheme="minorBidi" w:hAnsiTheme="minorBidi" w:cstheme="minorBidi"/>
              </w:rPr>
              <w:t>min)</w:t>
            </w:r>
            <w:r>
              <w:rPr>
                <w:rFonts w:asciiTheme="minorBidi" w:hAnsiTheme="minorBidi" w:cstheme="minorBidi"/>
              </w:rPr>
              <w:t xml:space="preserve">   </w:t>
            </w:r>
            <w:proofErr w:type="gramEnd"/>
            <w:r>
              <w:rPr>
                <w:rFonts w:asciiTheme="minorBidi" w:hAnsiTheme="minorBidi" w:cstheme="minorBidi"/>
              </w:rPr>
              <w:t xml:space="preserve">            </w:t>
            </w:r>
            <w:r w:rsidRPr="00E22117">
              <w:rPr>
                <w:rFonts w:asciiTheme="minorBidi" w:hAnsiTheme="minorBidi" w:cstheme="minorBidi"/>
              </w:rPr>
              <w:t>5</w:t>
            </w:r>
            <w:r>
              <w:rPr>
                <w:rFonts w:asciiTheme="minorBidi" w:hAnsiTheme="minorBidi" w:cstheme="minorBidi"/>
              </w:rPr>
              <w:t xml:space="preserve">                          </w:t>
            </w:r>
            <w:r w:rsidRPr="00E22117">
              <w:rPr>
                <w:rFonts w:asciiTheme="minorBidi" w:hAnsiTheme="minorBidi" w:cstheme="minorBidi"/>
              </w:rPr>
              <w:t>6</w:t>
            </w:r>
            <w:r>
              <w:rPr>
                <w:rFonts w:asciiTheme="minorBidi" w:hAnsiTheme="minorBidi" w:cstheme="minorBidi"/>
              </w:rPr>
              <w:t xml:space="preserve">                                       </w:t>
            </w:r>
            <w:r w:rsidRPr="00E22117">
              <w:rPr>
                <w:rFonts w:asciiTheme="minorBidi" w:hAnsiTheme="minorBidi" w:cstheme="minorBidi"/>
              </w:rPr>
              <w:t>0,62</w:t>
            </w:r>
          </w:p>
          <w:p w14:paraId="3941CAFE" w14:textId="24E9CD47" w:rsidR="00E635C2" w:rsidRPr="00E22117" w:rsidRDefault="00E635C2" w:rsidP="00E635C2">
            <w:pPr>
              <w:rPr>
                <w:rFonts w:asciiTheme="minorBidi" w:hAnsiTheme="minorBidi" w:cstheme="minorBidi"/>
              </w:rPr>
            </w:pPr>
            <w:r w:rsidRPr="00E22117">
              <w:rPr>
                <w:rFonts w:asciiTheme="minorBidi" w:hAnsiTheme="minorBidi" w:cstheme="minorBidi"/>
              </w:rPr>
              <w:t>BUT average(</w:t>
            </w:r>
            <w:proofErr w:type="gramStart"/>
            <w:r w:rsidRPr="00E22117">
              <w:rPr>
                <w:rFonts w:asciiTheme="minorBidi" w:hAnsiTheme="minorBidi" w:cstheme="minorBidi"/>
              </w:rPr>
              <w:t>S)</w:t>
            </w:r>
            <w:r>
              <w:rPr>
                <w:rFonts w:asciiTheme="minorBidi" w:hAnsiTheme="minorBidi" w:cstheme="minorBidi"/>
              </w:rPr>
              <w:t xml:space="preserve">   </w:t>
            </w:r>
            <w:proofErr w:type="gramEnd"/>
            <w:r>
              <w:rPr>
                <w:rFonts w:asciiTheme="minorBidi" w:hAnsiTheme="minorBidi" w:cstheme="minorBidi"/>
              </w:rPr>
              <w:t xml:space="preserve">                           </w:t>
            </w:r>
            <w:r w:rsidRPr="00E22117">
              <w:rPr>
                <w:rFonts w:asciiTheme="minorBidi" w:hAnsiTheme="minorBidi" w:cstheme="minorBidi"/>
              </w:rPr>
              <w:t>4</w:t>
            </w:r>
            <w:r>
              <w:rPr>
                <w:rFonts w:asciiTheme="minorBidi" w:hAnsiTheme="minorBidi" w:cstheme="minorBidi"/>
              </w:rPr>
              <w:t xml:space="preserve">                           </w:t>
            </w:r>
            <w:r w:rsidRPr="00E22117">
              <w:rPr>
                <w:rFonts w:asciiTheme="minorBidi" w:hAnsiTheme="minorBidi" w:cstheme="minorBidi"/>
              </w:rPr>
              <w:t>5</w:t>
            </w:r>
            <w:r>
              <w:rPr>
                <w:rFonts w:asciiTheme="minorBidi" w:hAnsiTheme="minorBidi" w:cstheme="minorBidi"/>
              </w:rPr>
              <w:t xml:space="preserve">                                      </w:t>
            </w:r>
            <w:r w:rsidRPr="00E22117">
              <w:rPr>
                <w:rFonts w:asciiTheme="minorBidi" w:hAnsiTheme="minorBidi" w:cstheme="minorBidi"/>
              </w:rPr>
              <w:t>0,58</w:t>
            </w:r>
          </w:p>
          <w:p w14:paraId="2C155076" w14:textId="1DFA4649" w:rsidR="00E635C2" w:rsidRPr="00E22117" w:rsidRDefault="00E635C2" w:rsidP="00E635C2">
            <w:pPr>
              <w:rPr>
                <w:rFonts w:asciiTheme="minorBidi" w:hAnsiTheme="minorBidi" w:cstheme="minorBidi"/>
              </w:rPr>
            </w:pPr>
            <w:r w:rsidRPr="00E22117">
              <w:rPr>
                <w:rFonts w:asciiTheme="minorBidi" w:hAnsiTheme="minorBidi" w:cstheme="minorBidi"/>
              </w:rPr>
              <w:t>Fluorescein test (+)</w:t>
            </w:r>
            <w:r>
              <w:rPr>
                <w:rFonts w:asciiTheme="minorBidi" w:hAnsiTheme="minorBidi" w:cstheme="minorBidi"/>
              </w:rPr>
              <w:t xml:space="preserve">   </w:t>
            </w:r>
            <w:r w:rsidRPr="00E22117">
              <w:rPr>
                <w:rFonts w:asciiTheme="minorBidi" w:hAnsiTheme="minorBidi" w:cstheme="minorBidi"/>
              </w:rPr>
              <w:t xml:space="preserve"> </w:t>
            </w:r>
            <w:r>
              <w:rPr>
                <w:rFonts w:asciiTheme="minorBidi" w:hAnsiTheme="minorBidi" w:cstheme="minorBidi"/>
              </w:rPr>
              <w:t xml:space="preserve">                   </w:t>
            </w:r>
            <w:r w:rsidRPr="00E22117">
              <w:rPr>
                <w:rFonts w:asciiTheme="minorBidi" w:hAnsiTheme="minorBidi" w:cstheme="minorBidi"/>
              </w:rPr>
              <w:t>40</w:t>
            </w:r>
            <w:r>
              <w:rPr>
                <w:rFonts w:asciiTheme="minorBidi" w:hAnsiTheme="minorBidi" w:cstheme="minorBidi"/>
              </w:rPr>
              <w:t xml:space="preserve">                        </w:t>
            </w:r>
            <w:r w:rsidRPr="00E22117">
              <w:rPr>
                <w:rFonts w:asciiTheme="minorBidi" w:hAnsiTheme="minorBidi" w:cstheme="minorBidi"/>
              </w:rPr>
              <w:t>38</w:t>
            </w:r>
            <w:r>
              <w:rPr>
                <w:rFonts w:asciiTheme="minorBidi" w:hAnsiTheme="minorBidi" w:cstheme="minorBidi"/>
              </w:rPr>
              <w:t xml:space="preserve">                                       </w:t>
            </w:r>
            <w:r w:rsidRPr="00E22117">
              <w:rPr>
                <w:rFonts w:asciiTheme="minorBidi" w:hAnsiTheme="minorBidi" w:cstheme="minorBidi"/>
              </w:rPr>
              <w:t>0,4</w:t>
            </w:r>
          </w:p>
          <w:p w14:paraId="315FF93F" w14:textId="1787DA53" w:rsidR="00E635C2" w:rsidRPr="00E22117" w:rsidRDefault="00E635C2" w:rsidP="00E635C2">
            <w:pPr>
              <w:rPr>
                <w:rFonts w:asciiTheme="minorBidi" w:hAnsiTheme="minorBidi" w:cstheme="minorBidi"/>
              </w:rPr>
            </w:pPr>
            <w:r w:rsidRPr="00E22117">
              <w:rPr>
                <w:rFonts w:asciiTheme="minorBidi" w:hAnsiTheme="minorBidi" w:cstheme="minorBidi"/>
              </w:rPr>
              <w:t xml:space="preserve">No hyperemia </w:t>
            </w:r>
            <w:r>
              <w:rPr>
                <w:rFonts w:asciiTheme="minorBidi" w:hAnsiTheme="minorBidi" w:cstheme="minorBidi"/>
              </w:rPr>
              <w:t xml:space="preserve">                                </w:t>
            </w:r>
            <w:r w:rsidRPr="00E22117">
              <w:rPr>
                <w:rFonts w:asciiTheme="minorBidi" w:hAnsiTheme="minorBidi" w:cstheme="minorBidi"/>
              </w:rPr>
              <w:t>15</w:t>
            </w:r>
            <w:r>
              <w:rPr>
                <w:rFonts w:asciiTheme="minorBidi" w:hAnsiTheme="minorBidi" w:cstheme="minorBidi"/>
              </w:rPr>
              <w:t xml:space="preserve">                        </w:t>
            </w:r>
            <w:r w:rsidRPr="00E22117">
              <w:rPr>
                <w:rFonts w:asciiTheme="minorBidi" w:hAnsiTheme="minorBidi" w:cstheme="minorBidi"/>
              </w:rPr>
              <w:t>13</w:t>
            </w:r>
            <w:r>
              <w:rPr>
                <w:rFonts w:asciiTheme="minorBidi" w:hAnsiTheme="minorBidi" w:cstheme="minorBidi"/>
              </w:rPr>
              <w:t xml:space="preserve">                                       </w:t>
            </w:r>
            <w:r w:rsidRPr="00E22117">
              <w:rPr>
                <w:rFonts w:asciiTheme="minorBidi" w:hAnsiTheme="minorBidi" w:cstheme="minorBidi"/>
              </w:rPr>
              <w:t>0,6</w:t>
            </w:r>
          </w:p>
        </w:tc>
      </w:tr>
    </w:tbl>
    <w:p w14:paraId="6B69E88B" w14:textId="77777777" w:rsidR="00C223D4" w:rsidRDefault="00C223D4" w:rsidP="008B46E2">
      <w:pPr>
        <w:pStyle w:val="Body"/>
        <w:spacing w:line="480" w:lineRule="auto"/>
        <w:rPr>
          <w:rFonts w:asciiTheme="majorBidi" w:hAnsiTheme="majorBidi" w:cstheme="majorBidi"/>
          <w:sz w:val="24"/>
          <w:szCs w:val="24"/>
        </w:rPr>
      </w:pPr>
    </w:p>
    <w:p w14:paraId="72A6B713" w14:textId="77777777" w:rsidR="00155575" w:rsidRDefault="00155575" w:rsidP="00C223D4">
      <w:pPr>
        <w:rPr>
          <w:rFonts w:asciiTheme="minorBidi" w:hAnsiTheme="minorBidi" w:cstheme="minorBidi"/>
          <w:b/>
          <w:bCs/>
        </w:rPr>
      </w:pPr>
    </w:p>
    <w:p w14:paraId="4AE0D61B" w14:textId="77777777" w:rsidR="00155575" w:rsidRDefault="00155575" w:rsidP="00C223D4">
      <w:pPr>
        <w:rPr>
          <w:rFonts w:asciiTheme="minorBidi" w:hAnsiTheme="minorBidi" w:cstheme="minorBidi"/>
          <w:b/>
          <w:bCs/>
        </w:rPr>
      </w:pPr>
    </w:p>
    <w:p w14:paraId="29BE1A55" w14:textId="77777777" w:rsidR="00155575" w:rsidRDefault="00155575" w:rsidP="00C223D4">
      <w:pPr>
        <w:rPr>
          <w:rFonts w:asciiTheme="minorBidi" w:hAnsiTheme="minorBidi" w:cstheme="minorBidi"/>
          <w:b/>
          <w:bCs/>
        </w:rPr>
      </w:pPr>
    </w:p>
    <w:p w14:paraId="0E8DE5B5" w14:textId="77777777" w:rsidR="00155575" w:rsidRDefault="00155575" w:rsidP="00C223D4">
      <w:pPr>
        <w:rPr>
          <w:rFonts w:asciiTheme="minorBidi" w:hAnsiTheme="minorBidi" w:cstheme="minorBidi"/>
          <w:b/>
          <w:bCs/>
        </w:rPr>
      </w:pPr>
    </w:p>
    <w:p w14:paraId="69132B47" w14:textId="77777777" w:rsidR="00155575" w:rsidRDefault="00155575" w:rsidP="00C223D4">
      <w:pPr>
        <w:rPr>
          <w:rFonts w:asciiTheme="minorBidi" w:hAnsiTheme="minorBidi" w:cstheme="minorBidi"/>
          <w:b/>
          <w:bCs/>
        </w:rPr>
      </w:pPr>
    </w:p>
    <w:p w14:paraId="590B095E" w14:textId="43DF502A" w:rsidR="00C223D4" w:rsidRPr="003C7B7F" w:rsidRDefault="00C223D4" w:rsidP="00C223D4">
      <w:pPr>
        <w:rPr>
          <w:rFonts w:asciiTheme="minorBidi" w:hAnsiTheme="minorBidi" w:cstheme="minorBidi"/>
          <w:b/>
          <w:bCs/>
        </w:rPr>
      </w:pPr>
      <w:r w:rsidRPr="003C7B7F">
        <w:rPr>
          <w:rFonts w:asciiTheme="minorBidi" w:hAnsiTheme="minorBidi" w:cstheme="minorBidi"/>
          <w:b/>
          <w:bCs/>
        </w:rPr>
        <w:t>Table4. Clinical signs of dry eye inducing significant discomfort at last check-up</w:t>
      </w:r>
    </w:p>
    <w:p w14:paraId="03EB40CC" w14:textId="77777777" w:rsidR="00C2048F" w:rsidRDefault="00C2048F" w:rsidP="00C223D4">
      <w:pPr>
        <w:rPr>
          <w:rFonts w:asciiTheme="majorBidi" w:hAnsiTheme="majorBidi" w:cstheme="majorBidi"/>
          <w:sz w:val="24"/>
          <w:szCs w:val="24"/>
        </w:rPr>
      </w:pPr>
    </w:p>
    <w:tbl>
      <w:tblPr>
        <w:tblStyle w:val="PlainTable2"/>
        <w:tblW w:w="9308" w:type="dxa"/>
        <w:tblLook w:val="04A0" w:firstRow="1" w:lastRow="0" w:firstColumn="1" w:lastColumn="0" w:noHBand="0" w:noVBand="1"/>
      </w:tblPr>
      <w:tblGrid>
        <w:gridCol w:w="2518"/>
        <w:gridCol w:w="2136"/>
        <w:gridCol w:w="2327"/>
        <w:gridCol w:w="2327"/>
      </w:tblGrid>
      <w:tr w:rsidR="00C223D4" w:rsidRPr="003C7B7F" w14:paraId="79F46439" w14:textId="77777777" w:rsidTr="000405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18" w:type="dxa"/>
          </w:tcPr>
          <w:p w14:paraId="17733225" w14:textId="77777777" w:rsidR="00C223D4" w:rsidRPr="003C7B7F" w:rsidRDefault="00C223D4" w:rsidP="00C2048F">
            <w:pPr>
              <w:rPr>
                <w:rFonts w:asciiTheme="minorBidi" w:hAnsiTheme="minorBidi" w:cstheme="minorBidi"/>
              </w:rPr>
            </w:pPr>
          </w:p>
        </w:tc>
        <w:tc>
          <w:tcPr>
            <w:tcW w:w="2136" w:type="dxa"/>
          </w:tcPr>
          <w:p w14:paraId="3957647F" w14:textId="77777777" w:rsidR="00C223D4" w:rsidRPr="003C7B7F" w:rsidRDefault="00C223D4"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327" w:type="dxa"/>
          </w:tcPr>
          <w:p w14:paraId="68B738AC" w14:textId="77777777" w:rsidR="00C223D4" w:rsidRPr="003C7B7F" w:rsidRDefault="00C223D4"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2</w:t>
            </w:r>
          </w:p>
        </w:tc>
        <w:tc>
          <w:tcPr>
            <w:tcW w:w="2327" w:type="dxa"/>
          </w:tcPr>
          <w:p w14:paraId="580604D6" w14:textId="370F05FA" w:rsidR="00C223D4" w:rsidRPr="00C01CCD" w:rsidRDefault="00C01CCD"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0FD9D1E4" w14:textId="77777777" w:rsidTr="00495C4B">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308" w:type="dxa"/>
            <w:gridSpan w:val="4"/>
          </w:tcPr>
          <w:p w14:paraId="6F899603" w14:textId="0ADDEC64" w:rsidR="006150DA" w:rsidRPr="006150DA" w:rsidRDefault="006150DA" w:rsidP="006150DA">
            <w:pPr>
              <w:rPr>
                <w:rFonts w:asciiTheme="minorBidi" w:hAnsiTheme="minorBidi" w:cstheme="minorBidi"/>
                <w:b w:val="0"/>
                <w:bCs w:val="0"/>
              </w:rPr>
            </w:pPr>
            <w:r w:rsidRPr="006150DA">
              <w:rPr>
                <w:rFonts w:asciiTheme="minorBidi" w:hAnsiTheme="minorBidi" w:cstheme="minorBidi"/>
              </w:rPr>
              <w:t>Reflex tearing</w:t>
            </w:r>
            <w:r w:rsidRPr="006150DA">
              <w:rPr>
                <w:rFonts w:asciiTheme="minorBidi" w:hAnsiTheme="minorBidi" w:cstheme="minorBidi"/>
                <w:b w:val="0"/>
                <w:bCs w:val="0"/>
              </w:rPr>
              <w:t xml:space="preserve">                     4(8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13(26%)                           0,017</w:t>
            </w:r>
          </w:p>
          <w:p w14:paraId="239E56B6" w14:textId="118F5D18" w:rsidR="006150DA" w:rsidRPr="006150DA" w:rsidRDefault="006150DA" w:rsidP="006150DA">
            <w:pPr>
              <w:rPr>
                <w:rFonts w:asciiTheme="minorBidi" w:hAnsiTheme="minorBidi" w:cstheme="minorBidi"/>
                <w:b w:val="0"/>
                <w:bCs w:val="0"/>
              </w:rPr>
            </w:pPr>
            <w:r w:rsidRPr="006150DA">
              <w:rPr>
                <w:rFonts w:asciiTheme="minorBidi" w:hAnsiTheme="minorBidi" w:cstheme="minorBidi"/>
              </w:rPr>
              <w:t>Pruritus</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15(30%)                            0,016</w:t>
            </w:r>
          </w:p>
          <w:p w14:paraId="1CCAA2CF" w14:textId="7E2EA5B9" w:rsidR="006150DA" w:rsidRPr="006150DA" w:rsidRDefault="006150DA" w:rsidP="006150DA">
            <w:pPr>
              <w:rPr>
                <w:rFonts w:asciiTheme="minorBidi" w:hAnsiTheme="minorBidi" w:cstheme="minorBidi"/>
                <w:b w:val="0"/>
                <w:bCs w:val="0"/>
              </w:rPr>
            </w:pPr>
            <w:r w:rsidRPr="006150DA">
              <w:rPr>
                <w:rFonts w:asciiTheme="minorBidi" w:hAnsiTheme="minorBidi" w:cstheme="minorBidi"/>
              </w:rPr>
              <w:t>Grainy feeling</w:t>
            </w:r>
            <w:r w:rsidRPr="006150DA">
              <w:rPr>
                <w:rFonts w:asciiTheme="minorBidi" w:hAnsiTheme="minorBidi" w:cstheme="minorBidi"/>
                <w:b w:val="0"/>
                <w:bCs w:val="0"/>
              </w:rPr>
              <w:t xml:space="preserve">                    5(10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16(32%)                            0,007</w:t>
            </w:r>
          </w:p>
          <w:p w14:paraId="1F4B27EE" w14:textId="42185903" w:rsidR="006150DA" w:rsidRPr="006150DA" w:rsidRDefault="006150DA" w:rsidP="006150DA">
            <w:pPr>
              <w:rPr>
                <w:rFonts w:asciiTheme="minorBidi" w:hAnsiTheme="minorBidi" w:cstheme="minorBidi"/>
                <w:b w:val="0"/>
                <w:bCs w:val="0"/>
              </w:rPr>
            </w:pPr>
            <w:r w:rsidRPr="006150DA">
              <w:rPr>
                <w:rFonts w:asciiTheme="minorBidi" w:hAnsiTheme="minorBidi" w:cstheme="minorBidi"/>
              </w:rPr>
              <w:t>Eye strain</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22(44%)                            0,685</w:t>
            </w:r>
          </w:p>
          <w:p w14:paraId="535F735E" w14:textId="50630736" w:rsidR="006150DA" w:rsidRPr="003C7B7F" w:rsidRDefault="006150DA" w:rsidP="006150DA">
            <w:pPr>
              <w:rPr>
                <w:rFonts w:asciiTheme="minorBidi" w:hAnsiTheme="minorBidi" w:cstheme="minorBidi"/>
              </w:rPr>
            </w:pPr>
            <w:r w:rsidRPr="006150DA">
              <w:rPr>
                <w:rFonts w:asciiTheme="minorBidi" w:hAnsiTheme="minorBidi" w:cstheme="minorBidi"/>
              </w:rPr>
              <w:t xml:space="preserve">Photophobia </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25(50%)                             0,229</w:t>
            </w:r>
          </w:p>
        </w:tc>
      </w:tr>
    </w:tbl>
    <w:p w14:paraId="6C87FF96" w14:textId="77777777" w:rsidR="006150DA" w:rsidRDefault="006150DA" w:rsidP="00C223D4">
      <w:pPr>
        <w:rPr>
          <w:rFonts w:asciiTheme="minorBidi" w:hAnsiTheme="minorBidi" w:cstheme="minorBidi"/>
          <w:b/>
          <w:bCs/>
        </w:rPr>
      </w:pPr>
    </w:p>
    <w:p w14:paraId="7BF68056" w14:textId="77777777" w:rsidR="006150DA" w:rsidRDefault="006150DA" w:rsidP="00C223D4">
      <w:pPr>
        <w:rPr>
          <w:rFonts w:asciiTheme="minorBidi" w:hAnsiTheme="minorBidi" w:cstheme="minorBidi"/>
          <w:b/>
          <w:bCs/>
        </w:rPr>
      </w:pPr>
    </w:p>
    <w:p w14:paraId="4B2E9D53" w14:textId="21FCD7FB" w:rsidR="00C223D4" w:rsidRPr="003C7B7F" w:rsidRDefault="00C223D4" w:rsidP="00C223D4">
      <w:pPr>
        <w:rPr>
          <w:rFonts w:asciiTheme="minorBidi" w:hAnsiTheme="minorBidi" w:cstheme="minorBidi"/>
          <w:b/>
          <w:bCs/>
        </w:rPr>
      </w:pPr>
      <w:r w:rsidRPr="003C7B7F">
        <w:rPr>
          <w:rFonts w:asciiTheme="minorBidi" w:hAnsiTheme="minorBidi" w:cstheme="minorBidi"/>
          <w:b/>
          <w:bCs/>
        </w:rPr>
        <w:t>Table5. Clinical signs of dry eye inducing significant discomfort at last check-up</w:t>
      </w:r>
    </w:p>
    <w:p w14:paraId="5EC4B0FA" w14:textId="77777777" w:rsidR="00710436" w:rsidRPr="003C7B7F" w:rsidRDefault="00710436" w:rsidP="00C223D4">
      <w:pPr>
        <w:rPr>
          <w:rFonts w:asciiTheme="minorBidi" w:hAnsiTheme="minorBidi" w:cstheme="minorBidi"/>
          <w:b/>
          <w:bCs/>
        </w:rPr>
      </w:pPr>
    </w:p>
    <w:tbl>
      <w:tblPr>
        <w:tblStyle w:val="PlainTable2"/>
        <w:tblW w:w="9308" w:type="dxa"/>
        <w:tblLook w:val="04A0" w:firstRow="1" w:lastRow="0" w:firstColumn="1" w:lastColumn="0" w:noHBand="0" w:noVBand="1"/>
      </w:tblPr>
      <w:tblGrid>
        <w:gridCol w:w="2518"/>
        <w:gridCol w:w="2136"/>
        <w:gridCol w:w="2327"/>
        <w:gridCol w:w="2327"/>
      </w:tblGrid>
      <w:tr w:rsidR="00C223D4" w:rsidRPr="003C7B7F" w14:paraId="22C801C0" w14:textId="77777777" w:rsidTr="000405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18" w:type="dxa"/>
          </w:tcPr>
          <w:p w14:paraId="56566054" w14:textId="77777777" w:rsidR="00C223D4" w:rsidRPr="003C7B7F" w:rsidRDefault="00C223D4" w:rsidP="00710436">
            <w:pPr>
              <w:rPr>
                <w:rFonts w:asciiTheme="minorBidi" w:hAnsiTheme="minorBidi" w:cstheme="minorBidi"/>
              </w:rPr>
            </w:pPr>
          </w:p>
        </w:tc>
        <w:tc>
          <w:tcPr>
            <w:tcW w:w="2136" w:type="dxa"/>
          </w:tcPr>
          <w:p w14:paraId="4ABA54ED" w14:textId="77777777" w:rsidR="00C223D4" w:rsidRPr="003C7B7F" w:rsidRDefault="00C223D4"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327" w:type="dxa"/>
          </w:tcPr>
          <w:p w14:paraId="6958DCD7" w14:textId="77777777" w:rsidR="00C223D4" w:rsidRPr="003C7B7F" w:rsidRDefault="00C223D4"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2</w:t>
            </w:r>
          </w:p>
        </w:tc>
        <w:tc>
          <w:tcPr>
            <w:tcW w:w="2327" w:type="dxa"/>
          </w:tcPr>
          <w:p w14:paraId="111D0EA8" w14:textId="1F2A8FEB" w:rsidR="00C223D4" w:rsidRPr="00C01CCD" w:rsidRDefault="00C01CCD"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5210415D" w14:textId="77777777" w:rsidTr="007F0C80">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308" w:type="dxa"/>
            <w:gridSpan w:val="4"/>
          </w:tcPr>
          <w:p w14:paraId="22F7CFB9" w14:textId="609BBFFF" w:rsidR="006150DA" w:rsidRPr="006150DA" w:rsidRDefault="006150DA" w:rsidP="006150DA">
            <w:pPr>
              <w:rPr>
                <w:rFonts w:asciiTheme="minorBidi" w:hAnsiTheme="minorBidi" w:cstheme="minorBidi"/>
                <w:b w:val="0"/>
                <w:bCs w:val="0"/>
              </w:rPr>
            </w:pPr>
            <w:r w:rsidRPr="003C7B7F">
              <w:rPr>
                <w:rFonts w:asciiTheme="minorBidi" w:hAnsiTheme="minorBidi" w:cstheme="minorBidi"/>
              </w:rPr>
              <w:t xml:space="preserve">Reflex </w:t>
            </w:r>
            <w:r w:rsidRPr="006150DA">
              <w:rPr>
                <w:rFonts w:asciiTheme="minorBidi" w:hAnsiTheme="minorBidi" w:cstheme="minorBidi"/>
              </w:rPr>
              <w:t xml:space="preserve">tearing   </w:t>
            </w:r>
            <w:r w:rsidRPr="006150DA">
              <w:rPr>
                <w:rFonts w:asciiTheme="minorBidi" w:hAnsiTheme="minorBidi" w:cstheme="minorBidi"/>
                <w:b w:val="0"/>
                <w:bCs w:val="0"/>
              </w:rPr>
              <w:t xml:space="preserve">                   4(8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13(26%)                        0,017</w:t>
            </w:r>
          </w:p>
          <w:p w14:paraId="7789640D" w14:textId="7C8F7405" w:rsidR="006150DA" w:rsidRPr="006150DA" w:rsidRDefault="006150DA" w:rsidP="006150DA">
            <w:pPr>
              <w:rPr>
                <w:rFonts w:asciiTheme="minorBidi" w:hAnsiTheme="minorBidi" w:cstheme="minorBidi"/>
                <w:b w:val="0"/>
                <w:bCs w:val="0"/>
              </w:rPr>
            </w:pPr>
            <w:r w:rsidRPr="006150DA">
              <w:rPr>
                <w:rFonts w:asciiTheme="minorBidi" w:hAnsiTheme="minorBidi" w:cstheme="minorBidi"/>
              </w:rPr>
              <w:t>Pruritus</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15(30%)                        0,016</w:t>
            </w:r>
          </w:p>
          <w:p w14:paraId="184229AE" w14:textId="72108EA4" w:rsidR="006150DA" w:rsidRPr="006150DA" w:rsidRDefault="006150DA" w:rsidP="006150DA">
            <w:pPr>
              <w:rPr>
                <w:rFonts w:asciiTheme="minorBidi" w:hAnsiTheme="minorBidi" w:cstheme="minorBidi"/>
                <w:b w:val="0"/>
                <w:bCs w:val="0"/>
              </w:rPr>
            </w:pPr>
            <w:r w:rsidRPr="006150DA">
              <w:rPr>
                <w:rFonts w:asciiTheme="minorBidi" w:hAnsiTheme="minorBidi" w:cstheme="minorBidi"/>
              </w:rPr>
              <w:t>Grainy feeling</w:t>
            </w:r>
            <w:r w:rsidRPr="006150DA">
              <w:rPr>
                <w:rFonts w:asciiTheme="minorBidi" w:hAnsiTheme="minorBidi" w:cstheme="minorBidi"/>
                <w:b w:val="0"/>
                <w:bCs w:val="0"/>
              </w:rPr>
              <w:t xml:space="preserve">                      5(10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16(32%)                       0,007</w:t>
            </w:r>
          </w:p>
          <w:p w14:paraId="6BE93823" w14:textId="103BDAA3" w:rsidR="006150DA" w:rsidRPr="006150DA" w:rsidRDefault="006150DA" w:rsidP="006150DA">
            <w:pPr>
              <w:rPr>
                <w:rFonts w:asciiTheme="minorBidi" w:hAnsiTheme="minorBidi" w:cstheme="minorBidi"/>
                <w:b w:val="0"/>
                <w:bCs w:val="0"/>
              </w:rPr>
            </w:pPr>
            <w:r w:rsidRPr="006150DA">
              <w:rPr>
                <w:rFonts w:asciiTheme="minorBidi" w:hAnsiTheme="minorBidi" w:cstheme="minorBidi"/>
              </w:rPr>
              <w:t>Eye strain</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22(44%)                       0,685</w:t>
            </w:r>
          </w:p>
          <w:p w14:paraId="1D43EE0E" w14:textId="474E82BF" w:rsidR="006150DA" w:rsidRPr="003C7B7F" w:rsidRDefault="006150DA" w:rsidP="006150DA">
            <w:pPr>
              <w:rPr>
                <w:rFonts w:asciiTheme="minorBidi" w:hAnsiTheme="minorBidi" w:cstheme="minorBidi"/>
              </w:rPr>
            </w:pPr>
            <w:r w:rsidRPr="006150DA">
              <w:rPr>
                <w:rFonts w:asciiTheme="minorBidi" w:hAnsiTheme="minorBidi" w:cstheme="minorBidi"/>
              </w:rPr>
              <w:t xml:space="preserve">Photophobia </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25(50%)                       0,229</w:t>
            </w:r>
          </w:p>
        </w:tc>
      </w:tr>
    </w:tbl>
    <w:p w14:paraId="33603BFE" w14:textId="77777777" w:rsidR="00C223D4" w:rsidRDefault="00C223D4" w:rsidP="00C223D4">
      <w:pPr>
        <w:pStyle w:val="Body"/>
        <w:rPr>
          <w:rFonts w:asciiTheme="majorBidi" w:hAnsiTheme="majorBidi" w:cstheme="majorBidi"/>
          <w:sz w:val="24"/>
          <w:szCs w:val="24"/>
        </w:rPr>
      </w:pPr>
    </w:p>
    <w:p w14:paraId="0DEA5F2F" w14:textId="10A19E90" w:rsidR="00C223D4" w:rsidRPr="00710436" w:rsidRDefault="00C223D4" w:rsidP="00C223D4">
      <w:pPr>
        <w:pStyle w:val="Body"/>
        <w:rPr>
          <w:rFonts w:asciiTheme="minorBidi" w:hAnsiTheme="minorBidi" w:cstheme="minorBidi"/>
        </w:rPr>
      </w:pPr>
      <w:r w:rsidRPr="00710436">
        <w:rPr>
          <w:rFonts w:asciiTheme="minorBidi" w:hAnsiTheme="minorBidi" w:cstheme="minorBidi"/>
        </w:rPr>
        <w:t>These were reflex lacrimation, pruritus, and sand-grain sensation (</w:t>
      </w:r>
      <w:r w:rsidR="00A60B0D" w:rsidRPr="00A60B0D">
        <w:rPr>
          <w:rFonts w:asciiTheme="minorBidi" w:hAnsiTheme="minorBidi" w:cstheme="minorBidi"/>
          <w:i/>
          <w:iCs/>
        </w:rPr>
        <w:t>P</w:t>
      </w:r>
      <w:r w:rsidRPr="00710436">
        <w:rPr>
          <w:rFonts w:asciiTheme="minorBidi" w:hAnsiTheme="minorBidi" w:cstheme="minorBidi"/>
        </w:rPr>
        <w:t>&lt;0.05). Visual fatigue and photophobia improved slightly more in group 1 than in group 2, with no statistically significant difference (</w:t>
      </w:r>
      <w:r w:rsidR="00A60B0D" w:rsidRPr="00A60B0D">
        <w:rPr>
          <w:rFonts w:asciiTheme="minorBidi" w:hAnsiTheme="minorBidi" w:cstheme="minorBidi"/>
          <w:i/>
          <w:iCs/>
        </w:rPr>
        <w:t>P</w:t>
      </w:r>
      <w:r w:rsidRPr="00710436">
        <w:rPr>
          <w:rFonts w:asciiTheme="minorBidi" w:hAnsiTheme="minorBidi" w:cstheme="minorBidi"/>
        </w:rPr>
        <w:t>&gt;0.05). On clinical examination, we found that conjunctival hyperemia was reduced at the end of follow-up in 94% of patients in group 1 versus 68% in group 2. This difference was statistically significant (</w:t>
      </w:r>
      <w:r w:rsidR="00A60B0D" w:rsidRPr="00A60B0D">
        <w:rPr>
          <w:rFonts w:asciiTheme="minorBidi" w:hAnsiTheme="minorBidi" w:cstheme="minorBidi"/>
          <w:i/>
          <w:iCs/>
        </w:rPr>
        <w:t>P</w:t>
      </w:r>
      <w:r w:rsidRPr="00710436">
        <w:rPr>
          <w:rFonts w:asciiTheme="minorBidi" w:hAnsiTheme="minorBidi" w:cstheme="minorBidi"/>
        </w:rPr>
        <w:t>=0.001). We also noted a lengthening of the BUT by 1s in group 1 versus 0.5s in group 2, but with no statistically significant difference (</w:t>
      </w:r>
      <w:r w:rsidR="00233C19" w:rsidRPr="00233C19">
        <w:rPr>
          <w:rFonts w:asciiTheme="minorBidi" w:hAnsiTheme="minorBidi" w:cstheme="minorBidi"/>
          <w:i/>
          <w:iCs/>
        </w:rPr>
        <w:t>P</w:t>
      </w:r>
      <w:r w:rsidRPr="00710436">
        <w:rPr>
          <w:rFonts w:asciiTheme="minorBidi" w:hAnsiTheme="minorBidi" w:cstheme="minorBidi"/>
        </w:rPr>
        <w:t>=0.15). An improvement in the Schirmer test in group 1 patients. In fact, we noted an average increase of 1 mm in group 1, whereas it was reduced by 1 mm in group 2. However, the difference was not statistically significant (</w:t>
      </w:r>
      <w:r w:rsidR="00233C19" w:rsidRPr="00233C19">
        <w:rPr>
          <w:rFonts w:asciiTheme="minorBidi" w:hAnsiTheme="minorBidi" w:cstheme="minorBidi"/>
          <w:i/>
          <w:iCs/>
        </w:rPr>
        <w:t>P</w:t>
      </w:r>
      <w:r w:rsidRPr="00710436">
        <w:rPr>
          <w:rFonts w:asciiTheme="minorBidi" w:hAnsiTheme="minorBidi" w:cstheme="minorBidi"/>
        </w:rPr>
        <w:t>=0.18). A greater improvement in the fluorescein test with disappearance of the KPS was observed at the end of the control in group 1 (80%) than in group 2 (20%); the difference was statistically significant (</w:t>
      </w:r>
      <w:r w:rsidR="00233C19" w:rsidRPr="00233C19">
        <w:rPr>
          <w:rFonts w:asciiTheme="minorBidi" w:hAnsiTheme="minorBidi" w:cstheme="minorBidi"/>
          <w:i/>
          <w:iCs/>
        </w:rPr>
        <w:t>P</w:t>
      </w:r>
      <w:r w:rsidRPr="00710436">
        <w:rPr>
          <w:rFonts w:asciiTheme="minorBidi" w:hAnsiTheme="minorBidi" w:cstheme="minorBidi"/>
        </w:rPr>
        <w:t xml:space="preserve">=0.01) (Table 6). </w:t>
      </w:r>
    </w:p>
    <w:p w14:paraId="034C6C17" w14:textId="77777777" w:rsidR="00320180" w:rsidRDefault="00320180" w:rsidP="00C223D4">
      <w:pPr>
        <w:rPr>
          <w:rFonts w:asciiTheme="minorBidi" w:hAnsiTheme="minorBidi" w:cstheme="minorBidi"/>
          <w:b/>
          <w:bCs/>
        </w:rPr>
      </w:pPr>
    </w:p>
    <w:p w14:paraId="735254BB" w14:textId="4D5CFC6B" w:rsidR="00C223D4" w:rsidRDefault="00C223D4" w:rsidP="00C223D4">
      <w:pPr>
        <w:rPr>
          <w:rFonts w:asciiTheme="minorBidi" w:hAnsiTheme="minorBidi" w:cstheme="minorBidi"/>
          <w:b/>
          <w:bCs/>
        </w:rPr>
      </w:pPr>
      <w:r w:rsidRPr="003C7B7F">
        <w:rPr>
          <w:rFonts w:asciiTheme="minorBidi" w:hAnsiTheme="minorBidi" w:cstheme="minorBidi"/>
          <w:b/>
          <w:bCs/>
        </w:rPr>
        <w:t xml:space="preserve">Table6.  Therapeutic response using quality of life (QOL) assessment. </w:t>
      </w:r>
    </w:p>
    <w:p w14:paraId="229FD00D" w14:textId="77777777" w:rsidR="003C7B7F" w:rsidRPr="003C7B7F" w:rsidRDefault="003C7B7F" w:rsidP="00C223D4">
      <w:pPr>
        <w:rPr>
          <w:rFonts w:asciiTheme="minorBidi" w:hAnsiTheme="minorBidi" w:cstheme="minorBidi"/>
          <w:b/>
          <w:bCs/>
        </w:rPr>
      </w:pPr>
    </w:p>
    <w:tbl>
      <w:tblPr>
        <w:tblStyle w:val="PlainTable2"/>
        <w:tblW w:w="10010" w:type="dxa"/>
        <w:tblLook w:val="04A0" w:firstRow="1" w:lastRow="0" w:firstColumn="1" w:lastColumn="0" w:noHBand="0" w:noVBand="1"/>
      </w:tblPr>
      <w:tblGrid>
        <w:gridCol w:w="2702"/>
        <w:gridCol w:w="11"/>
        <w:gridCol w:w="2435"/>
        <w:gridCol w:w="10"/>
        <w:gridCol w:w="2446"/>
        <w:gridCol w:w="2406"/>
      </w:tblGrid>
      <w:tr w:rsidR="00320180" w:rsidRPr="003C7B7F" w14:paraId="5057B8FE" w14:textId="77777777" w:rsidTr="00320180">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713" w:type="dxa"/>
            <w:gridSpan w:val="2"/>
          </w:tcPr>
          <w:p w14:paraId="38896ECA" w14:textId="77777777" w:rsidR="00C223D4" w:rsidRPr="003C7B7F" w:rsidRDefault="00C223D4" w:rsidP="003C7B7F">
            <w:pPr>
              <w:rPr>
                <w:rFonts w:asciiTheme="minorBidi" w:hAnsiTheme="minorBidi" w:cstheme="minorBidi"/>
              </w:rPr>
            </w:pPr>
            <w:r w:rsidRPr="003C7B7F">
              <w:rPr>
                <w:rFonts w:asciiTheme="minorBidi" w:hAnsiTheme="minorBidi" w:cstheme="minorBidi"/>
              </w:rPr>
              <w:t>Daily activities</w:t>
            </w:r>
          </w:p>
        </w:tc>
        <w:tc>
          <w:tcPr>
            <w:tcW w:w="2445" w:type="dxa"/>
            <w:gridSpan w:val="2"/>
          </w:tcPr>
          <w:p w14:paraId="0B6C01BE" w14:textId="77777777" w:rsidR="00C223D4" w:rsidRPr="003C7B7F" w:rsidRDefault="00C223D4"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446" w:type="dxa"/>
          </w:tcPr>
          <w:p w14:paraId="498B9F01" w14:textId="77777777" w:rsidR="00C223D4" w:rsidRPr="003C7B7F" w:rsidRDefault="00C223D4"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 xml:space="preserve">Group 2 </w:t>
            </w:r>
          </w:p>
        </w:tc>
        <w:tc>
          <w:tcPr>
            <w:tcW w:w="2406" w:type="dxa"/>
          </w:tcPr>
          <w:p w14:paraId="0C5FC00F" w14:textId="53BF5CB0" w:rsidR="00C223D4" w:rsidRPr="00C01CCD" w:rsidRDefault="00C01CCD"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5863D1D6" w14:textId="77777777" w:rsidTr="007B083D">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45745EC7" w14:textId="769FD465" w:rsidR="006150DA" w:rsidRPr="006150DA" w:rsidRDefault="006150DA" w:rsidP="006150DA">
            <w:pPr>
              <w:rPr>
                <w:rFonts w:asciiTheme="minorBidi" w:hAnsiTheme="minorBidi" w:cstheme="minorBidi"/>
                <w:b w:val="0"/>
                <w:bCs w:val="0"/>
              </w:rPr>
            </w:pPr>
            <w:r w:rsidRPr="006150DA">
              <w:rPr>
                <w:rFonts w:asciiTheme="minorBidi" w:hAnsiTheme="minorBidi" w:cstheme="minorBidi"/>
              </w:rPr>
              <w:t>No impact</w:t>
            </w:r>
            <w:r>
              <w:rPr>
                <w:rFonts w:asciiTheme="minorBidi" w:hAnsiTheme="minorBidi" w:cstheme="minorBidi"/>
                <w:b w:val="0"/>
                <w:bCs w:val="0"/>
              </w:rPr>
              <w:t xml:space="preserve">                                 </w:t>
            </w:r>
            <w:r w:rsidRPr="006150DA">
              <w:rPr>
                <w:rFonts w:asciiTheme="minorBidi" w:hAnsiTheme="minorBidi" w:cstheme="minorBidi"/>
                <w:b w:val="0"/>
                <w:bCs w:val="0"/>
              </w:rPr>
              <w:t>9(18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2(4%)                                 0,025</w:t>
            </w:r>
          </w:p>
          <w:p w14:paraId="0FB3666E" w14:textId="359A67B0" w:rsidR="006150DA" w:rsidRPr="006150DA" w:rsidRDefault="006150DA" w:rsidP="006150DA">
            <w:pPr>
              <w:rPr>
                <w:rFonts w:asciiTheme="minorBidi" w:hAnsiTheme="minorBidi" w:cstheme="minorBidi"/>
                <w:b w:val="0"/>
                <w:bCs w:val="0"/>
              </w:rPr>
            </w:pPr>
            <w:r w:rsidRPr="006150DA">
              <w:rPr>
                <w:rFonts w:asciiTheme="minorBidi" w:hAnsiTheme="minorBidi" w:cstheme="minorBidi"/>
              </w:rPr>
              <w:t>Few impact</w:t>
            </w:r>
            <w:r w:rsidRPr="006150DA">
              <w:rPr>
                <w:rFonts w:asciiTheme="minorBidi" w:hAnsiTheme="minorBidi" w:cstheme="minorBidi"/>
                <w:b w:val="0"/>
                <w:bCs w:val="0"/>
              </w:rPr>
              <w:t xml:space="preserve">                               19(38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20(40%)                            0,42</w:t>
            </w:r>
          </w:p>
          <w:p w14:paraId="1F2F23C4" w14:textId="618C9453" w:rsidR="006150DA" w:rsidRPr="006150DA" w:rsidRDefault="006150DA" w:rsidP="006150DA">
            <w:pPr>
              <w:rPr>
                <w:rFonts w:asciiTheme="minorBidi" w:hAnsiTheme="minorBidi" w:cstheme="minorBidi"/>
                <w:b w:val="0"/>
                <w:bCs w:val="0"/>
              </w:rPr>
            </w:pPr>
            <w:r w:rsidRPr="006150DA">
              <w:rPr>
                <w:rFonts w:asciiTheme="minorBidi" w:hAnsiTheme="minorBidi" w:cstheme="minorBidi"/>
              </w:rPr>
              <w:t>Moderate impact</w:t>
            </w:r>
            <w:r w:rsidRPr="006150DA">
              <w:rPr>
                <w:rFonts w:asciiTheme="minorBidi" w:hAnsiTheme="minorBidi" w:cstheme="minorBidi"/>
                <w:b w:val="0"/>
                <w:bCs w:val="0"/>
              </w:rPr>
              <w:t xml:space="preserve">                      16(32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21(42%)                           0,032</w:t>
            </w:r>
          </w:p>
          <w:p w14:paraId="25EEE214" w14:textId="0B755D65" w:rsidR="006150DA" w:rsidRPr="003C7B7F" w:rsidRDefault="006150DA" w:rsidP="006150DA">
            <w:pPr>
              <w:rPr>
                <w:rFonts w:asciiTheme="minorBidi" w:hAnsiTheme="minorBidi" w:cstheme="minorBidi"/>
              </w:rPr>
            </w:pPr>
            <w:r w:rsidRPr="006150DA">
              <w:rPr>
                <w:rFonts w:asciiTheme="minorBidi" w:hAnsiTheme="minorBidi" w:cstheme="minorBidi"/>
              </w:rPr>
              <w:t>Severe impact</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7(14%)                             </w:t>
            </w:r>
            <w:r>
              <w:rPr>
                <w:rFonts w:asciiTheme="minorBidi" w:hAnsiTheme="minorBidi" w:cstheme="minorBidi"/>
                <w:b w:val="0"/>
                <w:bCs w:val="0"/>
              </w:rPr>
              <w:t xml:space="preserve"> </w:t>
            </w:r>
            <w:r w:rsidRPr="006150DA">
              <w:rPr>
                <w:rFonts w:asciiTheme="minorBidi" w:hAnsiTheme="minorBidi" w:cstheme="minorBidi"/>
                <w:b w:val="0"/>
                <w:bCs w:val="0"/>
              </w:rPr>
              <w:t>0,76</w:t>
            </w:r>
          </w:p>
        </w:tc>
      </w:tr>
      <w:tr w:rsidR="00320180" w:rsidRPr="003C7B7F" w14:paraId="698D48D0" w14:textId="77777777" w:rsidTr="00320180">
        <w:trPr>
          <w:trHeight w:val="1588"/>
        </w:trPr>
        <w:tc>
          <w:tcPr>
            <w:cnfStyle w:val="001000000000" w:firstRow="0" w:lastRow="0" w:firstColumn="1" w:lastColumn="0" w:oddVBand="0" w:evenVBand="0" w:oddHBand="0" w:evenHBand="0" w:firstRowFirstColumn="0" w:firstRowLastColumn="0" w:lastRowFirstColumn="0" w:lastRowLastColumn="0"/>
            <w:tcW w:w="2713" w:type="dxa"/>
            <w:gridSpan w:val="2"/>
          </w:tcPr>
          <w:p w14:paraId="3EE6ED58" w14:textId="77777777" w:rsidR="00C223D4" w:rsidRDefault="00C223D4" w:rsidP="00320180">
            <w:pPr>
              <w:jc w:val="both"/>
              <w:rPr>
                <w:rStyle w:val="Strong"/>
                <w:b/>
                <w:bCs/>
              </w:rPr>
            </w:pPr>
          </w:p>
          <w:p w14:paraId="3B2896B6" w14:textId="72A05180" w:rsidR="00320180" w:rsidRPr="00320180" w:rsidRDefault="00320180" w:rsidP="00320180">
            <w:pPr>
              <w:jc w:val="both"/>
              <w:rPr>
                <w:rStyle w:val="Strong"/>
                <w:rFonts w:asciiTheme="minorBidi" w:hAnsiTheme="minorBidi" w:cstheme="minorBidi"/>
              </w:rPr>
            </w:pPr>
            <w:r w:rsidRPr="00320180">
              <w:rPr>
                <w:rFonts w:asciiTheme="minorBidi" w:hAnsiTheme="minorBidi" w:cstheme="minorBidi"/>
              </w:rPr>
              <w:t>Work-related disability and discomfort</w:t>
            </w:r>
          </w:p>
        </w:tc>
        <w:tc>
          <w:tcPr>
            <w:tcW w:w="2445" w:type="dxa"/>
            <w:gridSpan w:val="2"/>
          </w:tcPr>
          <w:p w14:paraId="1F2AA993" w14:textId="31F0E4AA"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42B81DA1"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C55904B"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40D43FEE" w14:textId="77777777" w:rsidTr="0003136A">
        <w:trPr>
          <w:cnfStyle w:val="000000100000" w:firstRow="0" w:lastRow="0" w:firstColumn="0" w:lastColumn="0" w:oddVBand="0" w:evenVBand="0" w:oddHBand="1" w:evenHBand="0" w:firstRowFirstColumn="0" w:firstRowLastColumn="0" w:lastRowFirstColumn="0" w:lastRowLastColumn="0"/>
          <w:trHeight w:val="2590"/>
        </w:trPr>
        <w:tc>
          <w:tcPr>
            <w:cnfStyle w:val="001000000000" w:firstRow="0" w:lastRow="0" w:firstColumn="1" w:lastColumn="0" w:oddVBand="0" w:evenVBand="0" w:oddHBand="0" w:evenHBand="0" w:firstRowFirstColumn="0" w:firstRowLastColumn="0" w:lastRowFirstColumn="0" w:lastRowLastColumn="0"/>
            <w:tcW w:w="10010" w:type="dxa"/>
            <w:gridSpan w:val="6"/>
          </w:tcPr>
          <w:p w14:paraId="3BA7874F" w14:textId="640E5A3F"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sidRPr="00E166D7">
              <w:rPr>
                <w:rFonts w:asciiTheme="minorBidi" w:hAnsiTheme="minorBidi" w:cstheme="minorBidi"/>
                <w:b w:val="0"/>
                <w:bCs w:val="0"/>
              </w:rPr>
              <w:t xml:space="preserve">                           7(14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1(2%)                                   0,027</w:t>
            </w:r>
          </w:p>
          <w:p w14:paraId="21187843" w14:textId="372C62D0"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26(52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24(48%)                             0,54</w:t>
            </w:r>
          </w:p>
          <w:p w14:paraId="34D406BB" w14:textId="3650A7D3"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15(30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0,29</w:t>
            </w:r>
          </w:p>
          <w:p w14:paraId="392E5088" w14:textId="4A3A019A"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2(4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5(10%)                                0,24</w:t>
            </w:r>
          </w:p>
        </w:tc>
      </w:tr>
      <w:tr w:rsidR="00320180" w:rsidRPr="003C7B7F" w14:paraId="35661E68" w14:textId="77777777" w:rsidTr="00320180">
        <w:trPr>
          <w:trHeight w:val="611"/>
        </w:trPr>
        <w:tc>
          <w:tcPr>
            <w:cnfStyle w:val="001000000000" w:firstRow="0" w:lastRow="0" w:firstColumn="1" w:lastColumn="0" w:oddVBand="0" w:evenVBand="0" w:oddHBand="0" w:evenHBand="0" w:firstRowFirstColumn="0" w:firstRowLastColumn="0" w:lastRowFirstColumn="0" w:lastRowLastColumn="0"/>
            <w:tcW w:w="2713" w:type="dxa"/>
            <w:gridSpan w:val="2"/>
          </w:tcPr>
          <w:p w14:paraId="4470823F" w14:textId="5FD29453" w:rsidR="00C223D4" w:rsidRPr="003C7B7F" w:rsidRDefault="00C223D4" w:rsidP="003C7B7F">
            <w:pPr>
              <w:rPr>
                <w:rFonts w:asciiTheme="minorBidi" w:hAnsiTheme="minorBidi" w:cstheme="minorBidi"/>
              </w:rPr>
            </w:pPr>
            <w:r w:rsidRPr="003C7B7F">
              <w:rPr>
                <w:rFonts w:asciiTheme="minorBidi" w:hAnsiTheme="minorBidi" w:cstheme="minorBidi"/>
              </w:rPr>
              <w:t>Renouncing make-up</w:t>
            </w:r>
          </w:p>
        </w:tc>
        <w:tc>
          <w:tcPr>
            <w:tcW w:w="2445" w:type="dxa"/>
            <w:gridSpan w:val="2"/>
          </w:tcPr>
          <w:p w14:paraId="2B418EC5"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0D0ED3EA"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0CE4824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5586764F" w14:textId="77777777" w:rsidTr="00B91F3E">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5390378E" w14:textId="76DD9058"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sidRPr="00E166D7">
              <w:rPr>
                <w:rFonts w:asciiTheme="minorBidi" w:hAnsiTheme="minorBidi" w:cstheme="minorBidi"/>
                <w:b w:val="0"/>
                <w:bCs w:val="0"/>
              </w:rPr>
              <w:t xml:space="preserve">                           5(10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4(8%)                                 0,72</w:t>
            </w:r>
          </w:p>
          <w:p w14:paraId="20FBD01D" w14:textId="50367A99"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30(60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19(38%)                            0,04</w:t>
            </w:r>
          </w:p>
          <w:p w14:paraId="378FE346" w14:textId="714F1A4D"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14(28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w:t>
            </w:r>
          </w:p>
          <w:p w14:paraId="0F79FA5D" w14:textId="340E8359"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1(2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7(14%)                              0,065</w:t>
            </w:r>
          </w:p>
        </w:tc>
      </w:tr>
      <w:tr w:rsidR="00320180" w:rsidRPr="003C7B7F" w14:paraId="039FB659" w14:textId="77777777" w:rsidTr="00320180">
        <w:trPr>
          <w:trHeight w:val="637"/>
        </w:trPr>
        <w:tc>
          <w:tcPr>
            <w:cnfStyle w:val="001000000000" w:firstRow="0" w:lastRow="0" w:firstColumn="1" w:lastColumn="0" w:oddVBand="0" w:evenVBand="0" w:oddHBand="0" w:evenHBand="0" w:firstRowFirstColumn="0" w:firstRowLastColumn="0" w:lastRowFirstColumn="0" w:lastRowLastColumn="0"/>
            <w:tcW w:w="2713" w:type="dxa"/>
            <w:gridSpan w:val="2"/>
          </w:tcPr>
          <w:p w14:paraId="0D6B06D2" w14:textId="77777777" w:rsidR="00C223D4" w:rsidRPr="003C7B7F" w:rsidRDefault="00C223D4" w:rsidP="003C7B7F">
            <w:pPr>
              <w:rPr>
                <w:rFonts w:asciiTheme="minorBidi" w:hAnsiTheme="minorBidi" w:cstheme="minorBidi"/>
              </w:rPr>
            </w:pPr>
            <w:r w:rsidRPr="003C7B7F">
              <w:rPr>
                <w:rFonts w:asciiTheme="minorBidi" w:hAnsiTheme="minorBidi" w:cstheme="minorBidi"/>
              </w:rPr>
              <w:t>Disease recognition</w:t>
            </w:r>
          </w:p>
        </w:tc>
        <w:tc>
          <w:tcPr>
            <w:tcW w:w="2445" w:type="dxa"/>
            <w:gridSpan w:val="2"/>
          </w:tcPr>
          <w:p w14:paraId="5DF1578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0EB749C2"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895530C"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3CD2AAC1" w14:textId="77777777" w:rsidTr="00395468">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612E3A21" w14:textId="4C1A95A2" w:rsidR="00E166D7" w:rsidRPr="00E166D7" w:rsidRDefault="00E166D7" w:rsidP="00E166D7">
            <w:pPr>
              <w:rPr>
                <w:rFonts w:asciiTheme="minorBidi" w:hAnsiTheme="minorBidi" w:cstheme="minorBidi"/>
                <w:b w:val="0"/>
                <w:bCs w:val="0"/>
              </w:rPr>
            </w:pPr>
            <w:r w:rsidRPr="00E166D7">
              <w:rPr>
                <w:rFonts w:asciiTheme="minorBidi" w:hAnsiTheme="minorBidi" w:cstheme="minorBidi"/>
              </w:rPr>
              <w:lastRenderedPageBreak/>
              <w:t>No impact</w:t>
            </w:r>
            <w:r>
              <w:rPr>
                <w:rFonts w:asciiTheme="minorBidi" w:hAnsiTheme="minorBidi" w:cstheme="minorBidi"/>
                <w:b w:val="0"/>
                <w:bCs w:val="0"/>
              </w:rPr>
              <w:t xml:space="preserve">                            </w:t>
            </w:r>
            <w:r w:rsidRPr="00E166D7">
              <w:rPr>
                <w:rFonts w:asciiTheme="minorBidi" w:hAnsiTheme="minorBidi" w:cstheme="minorBidi"/>
                <w:b w:val="0"/>
                <w:bCs w:val="0"/>
              </w:rPr>
              <w:t>12(24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4(8%)                             0,029</w:t>
            </w:r>
          </w:p>
          <w:p w14:paraId="62738F52" w14:textId="3F2251B9"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21(42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24(48%)                         0,54</w:t>
            </w:r>
          </w:p>
          <w:p w14:paraId="710C7810" w14:textId="2957AA9B"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14(28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w:t>
            </w:r>
          </w:p>
          <w:p w14:paraId="0399C2CB" w14:textId="358861BE"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3(6</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                              0,64</w:t>
            </w:r>
          </w:p>
        </w:tc>
      </w:tr>
      <w:tr w:rsidR="00320180" w:rsidRPr="003C7B7F" w14:paraId="5D25B14B" w14:textId="77777777" w:rsidTr="006150DA">
        <w:trPr>
          <w:trHeight w:val="637"/>
        </w:trPr>
        <w:tc>
          <w:tcPr>
            <w:cnfStyle w:val="001000000000" w:firstRow="0" w:lastRow="0" w:firstColumn="1" w:lastColumn="0" w:oddVBand="0" w:evenVBand="0" w:oddHBand="0" w:evenHBand="0" w:firstRowFirstColumn="0" w:firstRowLastColumn="0" w:lastRowFirstColumn="0" w:lastRowLastColumn="0"/>
            <w:tcW w:w="2702" w:type="dxa"/>
          </w:tcPr>
          <w:p w14:paraId="18D76797" w14:textId="77777777" w:rsidR="00C223D4" w:rsidRPr="003C7B7F" w:rsidRDefault="00C223D4" w:rsidP="003C7B7F">
            <w:pPr>
              <w:rPr>
                <w:rFonts w:asciiTheme="minorBidi" w:hAnsiTheme="minorBidi" w:cstheme="minorBidi"/>
              </w:rPr>
            </w:pPr>
            <w:r w:rsidRPr="003C7B7F">
              <w:rPr>
                <w:rFonts w:asciiTheme="minorBidi" w:hAnsiTheme="minorBidi" w:cstheme="minorBidi"/>
              </w:rPr>
              <w:t xml:space="preserve">Fear of the Future </w:t>
            </w:r>
          </w:p>
        </w:tc>
        <w:tc>
          <w:tcPr>
            <w:tcW w:w="2446" w:type="dxa"/>
            <w:gridSpan w:val="2"/>
          </w:tcPr>
          <w:p w14:paraId="1AADC5A1" w14:textId="4066ACB9"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56" w:type="dxa"/>
            <w:gridSpan w:val="2"/>
          </w:tcPr>
          <w:p w14:paraId="178366B1" w14:textId="0D4237E3"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707466E" w14:textId="2A2FF7CD" w:rsidR="00C223D4" w:rsidRPr="00C01CCD"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iCs/>
              </w:rPr>
            </w:pPr>
          </w:p>
        </w:tc>
      </w:tr>
      <w:tr w:rsidR="00E166D7" w:rsidRPr="003C7B7F" w14:paraId="1CC837E7" w14:textId="77777777" w:rsidTr="00CA1C8C">
        <w:trPr>
          <w:cnfStyle w:val="000000100000" w:firstRow="0" w:lastRow="0" w:firstColumn="0" w:lastColumn="0" w:oddVBand="0" w:evenVBand="0" w:oddHBand="1" w:evenHBand="0" w:firstRowFirstColumn="0" w:firstRowLastColumn="0" w:lastRowFirstColumn="0" w:lastRowLastColumn="0"/>
          <w:trHeight w:val="2590"/>
        </w:trPr>
        <w:tc>
          <w:tcPr>
            <w:cnfStyle w:val="001000000000" w:firstRow="0" w:lastRow="0" w:firstColumn="1" w:lastColumn="0" w:oddVBand="0" w:evenVBand="0" w:oddHBand="0" w:evenHBand="0" w:firstRowFirstColumn="0" w:firstRowLastColumn="0" w:lastRowFirstColumn="0" w:lastRowLastColumn="0"/>
            <w:tcW w:w="10010" w:type="dxa"/>
            <w:gridSpan w:val="6"/>
          </w:tcPr>
          <w:p w14:paraId="61EDC6FE" w14:textId="4796F01E"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sidRPr="00E166D7">
              <w:rPr>
                <w:rFonts w:asciiTheme="minorBidi" w:hAnsiTheme="minorBidi" w:cstheme="minorBidi"/>
                <w:b w:val="0"/>
                <w:bCs w:val="0"/>
              </w:rPr>
              <w:t xml:space="preserve">                                 13(26</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 xml:space="preserve">  5(10%)                    0,0137</w:t>
            </w:r>
          </w:p>
          <w:p w14:paraId="1926A24F" w14:textId="21422F7B"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27(54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 xml:space="preserve">    29(58%)                    0,68</w:t>
            </w:r>
          </w:p>
          <w:p w14:paraId="126FCB8B" w14:textId="3765CBF9"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6(12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10(20%                     0,27</w:t>
            </w:r>
          </w:p>
          <w:p w14:paraId="10E0D7EC" w14:textId="22E41E81" w:rsidR="00E166D7" w:rsidRPr="00E166D7" w:rsidRDefault="00E166D7" w:rsidP="00E166D7">
            <w:pPr>
              <w:rPr>
                <w:rFonts w:asciiTheme="minorBidi" w:hAnsiTheme="minorBidi" w:cstheme="minorBidi"/>
                <w:b w:val="0"/>
                <w:bCs w:val="0"/>
              </w:rPr>
            </w:pPr>
            <w:r w:rsidRPr="00E166D7">
              <w:rPr>
                <w:rFonts w:asciiTheme="minorBidi" w:hAnsiTheme="minorBidi" w:cstheme="minorBidi"/>
              </w:rPr>
              <w:t>Severe impact</w:t>
            </w:r>
            <w:r w:rsidRPr="00E166D7">
              <w:rPr>
                <w:rFonts w:asciiTheme="minorBidi" w:hAnsiTheme="minorBidi" w:cstheme="minorBidi"/>
                <w:b w:val="0"/>
                <w:bCs w:val="0"/>
              </w:rPr>
              <w:t xml:space="preserve">                          4(8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6(12%)                       0,5</w:t>
            </w:r>
          </w:p>
        </w:tc>
      </w:tr>
      <w:tr w:rsidR="00320180" w:rsidRPr="003C7B7F" w14:paraId="6B93C7FC" w14:textId="77777777" w:rsidTr="00320180">
        <w:trPr>
          <w:trHeight w:val="1112"/>
        </w:trPr>
        <w:tc>
          <w:tcPr>
            <w:cnfStyle w:val="001000000000" w:firstRow="0" w:lastRow="0" w:firstColumn="1" w:lastColumn="0" w:oddVBand="0" w:evenVBand="0" w:oddHBand="0" w:evenHBand="0" w:firstRowFirstColumn="0" w:firstRowLastColumn="0" w:lastRowFirstColumn="0" w:lastRowLastColumn="0"/>
            <w:tcW w:w="2713" w:type="dxa"/>
            <w:gridSpan w:val="2"/>
          </w:tcPr>
          <w:p w14:paraId="4479C334" w14:textId="77777777" w:rsidR="00C223D4" w:rsidRPr="003C7B7F" w:rsidRDefault="00C223D4" w:rsidP="003C7B7F">
            <w:pPr>
              <w:rPr>
                <w:rFonts w:asciiTheme="minorBidi" w:hAnsiTheme="minorBidi" w:cstheme="minorBidi"/>
              </w:rPr>
            </w:pPr>
            <w:r w:rsidRPr="003C7B7F">
              <w:rPr>
                <w:rFonts w:asciiTheme="minorBidi" w:hAnsiTheme="minorBidi" w:cstheme="minorBidi"/>
              </w:rPr>
              <w:t xml:space="preserve">Emotional well-being </w:t>
            </w:r>
          </w:p>
        </w:tc>
        <w:tc>
          <w:tcPr>
            <w:tcW w:w="2445" w:type="dxa"/>
            <w:gridSpan w:val="2"/>
          </w:tcPr>
          <w:p w14:paraId="0E427F5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281B8066"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42199C73"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553E0" w:rsidRPr="003C7B7F" w14:paraId="3BFAC39B" w14:textId="77777777" w:rsidTr="00B004A7">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58D31499" w14:textId="6375A09A" w:rsidR="00C553E0" w:rsidRPr="00C553E0" w:rsidRDefault="00C553E0" w:rsidP="00C553E0">
            <w:pPr>
              <w:rPr>
                <w:rFonts w:asciiTheme="minorBidi" w:hAnsiTheme="minorBidi" w:cstheme="minorBidi"/>
                <w:b w:val="0"/>
                <w:bCs w:val="0"/>
              </w:rPr>
            </w:pPr>
            <w:r w:rsidRPr="00C553E0">
              <w:rPr>
                <w:rFonts w:asciiTheme="minorBidi" w:hAnsiTheme="minorBidi" w:cstheme="minorBidi"/>
              </w:rPr>
              <w:t>No impact</w:t>
            </w:r>
            <w:r w:rsidRPr="00C553E0">
              <w:rPr>
                <w:rFonts w:asciiTheme="minorBidi" w:hAnsiTheme="minorBidi" w:cstheme="minorBidi"/>
                <w:b w:val="0"/>
                <w:bCs w:val="0"/>
              </w:rPr>
              <w:t xml:space="preserve">                                   10(20</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2(4%)                          0,014</w:t>
            </w:r>
          </w:p>
          <w:p w14:paraId="49E29BAD" w14:textId="2F460F01" w:rsidR="00C553E0" w:rsidRPr="00C553E0" w:rsidRDefault="00C553E0" w:rsidP="00C553E0">
            <w:pPr>
              <w:rPr>
                <w:rFonts w:asciiTheme="minorBidi" w:hAnsiTheme="minorBidi" w:cstheme="minorBidi"/>
                <w:b w:val="0"/>
                <w:bCs w:val="0"/>
              </w:rPr>
            </w:pPr>
            <w:r w:rsidRPr="00C553E0">
              <w:rPr>
                <w:rFonts w:asciiTheme="minorBidi" w:hAnsiTheme="minorBidi" w:cstheme="minorBidi"/>
              </w:rPr>
              <w:t>Few impact</w:t>
            </w:r>
            <w:r w:rsidRPr="00C553E0">
              <w:rPr>
                <w:rFonts w:asciiTheme="minorBidi" w:hAnsiTheme="minorBidi" w:cstheme="minorBidi"/>
                <w:b w:val="0"/>
                <w:bCs w:val="0"/>
              </w:rPr>
              <w:t xml:space="preserve">                                19(38</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21(42%)                      0,016</w:t>
            </w:r>
          </w:p>
          <w:p w14:paraId="4A55530B" w14:textId="71B3F7C1" w:rsidR="00C553E0" w:rsidRPr="00C553E0" w:rsidRDefault="00C553E0" w:rsidP="00C553E0">
            <w:pPr>
              <w:rPr>
                <w:rFonts w:asciiTheme="minorBidi" w:hAnsiTheme="minorBidi" w:cstheme="minorBidi"/>
                <w:b w:val="0"/>
                <w:bCs w:val="0"/>
              </w:rPr>
            </w:pPr>
            <w:r w:rsidRPr="00C553E0">
              <w:rPr>
                <w:rFonts w:asciiTheme="minorBidi" w:hAnsiTheme="minorBidi" w:cstheme="minorBidi"/>
              </w:rPr>
              <w:t>Moderate impact</w:t>
            </w:r>
            <w:r w:rsidRPr="00C553E0">
              <w:rPr>
                <w:rFonts w:asciiTheme="minorBidi" w:hAnsiTheme="minorBidi" w:cstheme="minorBidi"/>
                <w:b w:val="0"/>
                <w:bCs w:val="0"/>
              </w:rPr>
              <w:t xml:space="preserve">                       15(44</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20(40%)                       0,29</w:t>
            </w:r>
          </w:p>
          <w:p w14:paraId="5B49DEF2" w14:textId="5DDEF33A" w:rsidR="00C553E0" w:rsidRPr="003C7B7F" w:rsidRDefault="00C553E0" w:rsidP="00C553E0">
            <w:pPr>
              <w:rPr>
                <w:rFonts w:asciiTheme="minorBidi" w:hAnsiTheme="minorBidi" w:cstheme="minorBidi"/>
              </w:rPr>
            </w:pPr>
            <w:r w:rsidRPr="00C553E0">
              <w:rPr>
                <w:rFonts w:asciiTheme="minorBidi" w:hAnsiTheme="minorBidi" w:cstheme="minorBidi"/>
              </w:rPr>
              <w:t>Severe impact</w:t>
            </w:r>
            <w:r w:rsidRPr="00C553E0">
              <w:rPr>
                <w:rFonts w:asciiTheme="minorBidi" w:hAnsiTheme="minorBidi" w:cstheme="minorBidi"/>
                <w:b w:val="0"/>
                <w:bCs w:val="0"/>
              </w:rPr>
              <w:t xml:space="preserve">                           6(12</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7(14%)                           0,76</w:t>
            </w:r>
          </w:p>
        </w:tc>
      </w:tr>
    </w:tbl>
    <w:p w14:paraId="3F854DBB" w14:textId="77777777" w:rsidR="00320180" w:rsidRDefault="00320180" w:rsidP="000A4770">
      <w:pPr>
        <w:pStyle w:val="Head1"/>
        <w:spacing w:after="0"/>
        <w:jc w:val="both"/>
        <w:rPr>
          <w:rFonts w:ascii="Arial" w:hAnsi="Arial" w:cs="Arial"/>
        </w:rPr>
      </w:pPr>
    </w:p>
    <w:p w14:paraId="1B6FC655" w14:textId="77777777" w:rsidR="00320180" w:rsidRDefault="00320180" w:rsidP="000A4770">
      <w:pPr>
        <w:pStyle w:val="Head1"/>
        <w:spacing w:after="0"/>
        <w:jc w:val="both"/>
        <w:rPr>
          <w:rFonts w:ascii="Arial" w:hAnsi="Arial" w:cs="Arial"/>
        </w:rPr>
      </w:pPr>
    </w:p>
    <w:p w14:paraId="5C0FA6A8" w14:textId="77777777" w:rsidR="00320180" w:rsidRDefault="00320180" w:rsidP="000A4770">
      <w:pPr>
        <w:pStyle w:val="Head1"/>
        <w:spacing w:after="0"/>
        <w:jc w:val="both"/>
        <w:rPr>
          <w:rFonts w:ascii="Arial" w:hAnsi="Arial" w:cs="Arial"/>
        </w:rPr>
      </w:pPr>
    </w:p>
    <w:p w14:paraId="72481D62" w14:textId="4E4E7FE4" w:rsidR="00EC0E3C" w:rsidRPr="00EC0E3C" w:rsidRDefault="00EC0E3C" w:rsidP="00EC0E3C">
      <w:pPr>
        <w:pStyle w:val="Head1"/>
        <w:spacing w:after="0"/>
        <w:jc w:val="both"/>
        <w:rPr>
          <w:rFonts w:ascii="Arial" w:hAnsi="Arial" w:cs="Arial"/>
          <w:b w:val="0"/>
          <w:sz w:val="20"/>
        </w:rPr>
      </w:pPr>
      <w:r w:rsidRPr="00EC0E3C">
        <w:rPr>
          <w:rFonts w:ascii="Arial" w:hAnsi="Arial" w:cs="Arial"/>
          <w:b w:val="0"/>
          <w:caps w:val="0"/>
          <w:sz w:val="20"/>
        </w:rPr>
        <w:t>Ocular surface inflammation is considered as an important pathologic factor of dry eye (</w:t>
      </w:r>
      <w:proofErr w:type="gramStart"/>
      <w:r w:rsidRPr="00EC0E3C">
        <w:rPr>
          <w:rFonts w:ascii="Arial" w:hAnsi="Arial" w:cs="Arial"/>
          <w:b w:val="0"/>
          <w:caps w:val="0"/>
          <w:sz w:val="20"/>
        </w:rPr>
        <w:t>dong</w:t>
      </w:r>
      <w:proofErr w:type="gramEnd"/>
      <w:r w:rsidRPr="00EC0E3C">
        <w:rPr>
          <w:rFonts w:ascii="Arial" w:hAnsi="Arial" w:cs="Arial"/>
          <w:b w:val="0"/>
          <w:caps w:val="0"/>
          <w:sz w:val="20"/>
        </w:rPr>
        <w:t xml:space="preserve"> et al., 2022). Des results from inadequate tear production or excessive evaporation (</w:t>
      </w:r>
      <w:proofErr w:type="spellStart"/>
      <w:r w:rsidRPr="00EC0E3C">
        <w:rPr>
          <w:rFonts w:ascii="Arial" w:hAnsi="Arial" w:cs="Arial"/>
          <w:b w:val="0"/>
          <w:caps w:val="0"/>
          <w:sz w:val="20"/>
        </w:rPr>
        <w:t>mccabe</w:t>
      </w:r>
      <w:proofErr w:type="spellEnd"/>
      <w:r w:rsidRPr="00EC0E3C">
        <w:rPr>
          <w:rFonts w:ascii="Arial" w:hAnsi="Arial" w:cs="Arial"/>
          <w:b w:val="0"/>
          <w:caps w:val="0"/>
          <w:sz w:val="20"/>
        </w:rPr>
        <w:t xml:space="preserve"> &amp; </w:t>
      </w:r>
      <w:proofErr w:type="spellStart"/>
      <w:r w:rsidRPr="00EC0E3C">
        <w:rPr>
          <w:rFonts w:ascii="Arial" w:hAnsi="Arial" w:cs="Arial"/>
          <w:b w:val="0"/>
          <w:caps w:val="0"/>
          <w:sz w:val="20"/>
        </w:rPr>
        <w:t>narayanan</w:t>
      </w:r>
      <w:proofErr w:type="spellEnd"/>
      <w:r w:rsidRPr="00EC0E3C">
        <w:rPr>
          <w:rFonts w:ascii="Arial" w:hAnsi="Arial" w:cs="Arial"/>
          <w:b w:val="0"/>
          <w:caps w:val="0"/>
          <w:sz w:val="20"/>
        </w:rPr>
        <w:t>, 2009). This evaporation increases tear hyperosmolarity, leading to discomfort and inflammation of the ocular surface (</w:t>
      </w:r>
      <w:proofErr w:type="spellStart"/>
      <w:r w:rsidRPr="00EC0E3C">
        <w:rPr>
          <w:rFonts w:ascii="Arial" w:hAnsi="Arial" w:cs="Arial"/>
          <w:b w:val="0"/>
          <w:caps w:val="0"/>
          <w:sz w:val="20"/>
        </w:rPr>
        <w:t>messmer</w:t>
      </w:r>
      <w:proofErr w:type="spellEnd"/>
      <w:r w:rsidRPr="00EC0E3C">
        <w:rPr>
          <w:rFonts w:ascii="Arial" w:hAnsi="Arial" w:cs="Arial"/>
          <w:b w:val="0"/>
          <w:caps w:val="0"/>
          <w:sz w:val="20"/>
        </w:rPr>
        <w:t xml:space="preserve"> et al., 2023). Hyperosmolarity triggers inflammation in human limbal epithelial cells by promoting the expression and production of pro-inflammatory cytokines and chemokines, including il-</w:t>
      </w:r>
      <w:r w:rsidRPr="00EC0E3C">
        <w:rPr>
          <w:rFonts w:ascii="Arial" w:hAnsi="Arial" w:cs="Arial"/>
          <w:b w:val="0"/>
          <w:sz w:val="20"/>
        </w:rPr>
        <w:t>1</w:t>
      </w:r>
      <w:r w:rsidRPr="00EC0E3C">
        <w:rPr>
          <w:rFonts w:ascii="Arial" w:hAnsi="Arial" w:cs="Arial"/>
          <w:b w:val="0"/>
          <w:caps w:val="0"/>
          <w:sz w:val="20"/>
          <w:lang w:val="fr-FR"/>
        </w:rPr>
        <w:t>β</w:t>
      </w:r>
      <w:r w:rsidRPr="00EC0E3C">
        <w:rPr>
          <w:rFonts w:ascii="Arial" w:hAnsi="Arial" w:cs="Arial"/>
          <w:b w:val="0"/>
          <w:caps w:val="0"/>
          <w:sz w:val="20"/>
        </w:rPr>
        <w:t xml:space="preserve">, </w:t>
      </w:r>
      <w:proofErr w:type="spellStart"/>
      <w:r w:rsidRPr="00EC0E3C">
        <w:rPr>
          <w:rFonts w:ascii="Arial" w:hAnsi="Arial" w:cs="Arial"/>
          <w:b w:val="0"/>
          <w:caps w:val="0"/>
          <w:sz w:val="20"/>
        </w:rPr>
        <w:t>tnf</w:t>
      </w:r>
      <w:proofErr w:type="spellEnd"/>
      <w:r w:rsidRPr="00EC0E3C">
        <w:rPr>
          <w:rFonts w:ascii="Arial" w:hAnsi="Arial" w:cs="Arial"/>
          <w:b w:val="0"/>
          <w:caps w:val="0"/>
          <w:sz w:val="20"/>
        </w:rPr>
        <w:t>-</w:t>
      </w:r>
      <w:r w:rsidRPr="00EC0E3C">
        <w:rPr>
          <w:rFonts w:ascii="Arial" w:hAnsi="Arial" w:cs="Arial"/>
          <w:b w:val="0"/>
          <w:caps w:val="0"/>
          <w:sz w:val="20"/>
          <w:lang w:val="fr-FR"/>
        </w:rPr>
        <w:t>α</w:t>
      </w:r>
      <w:r w:rsidRPr="00EC0E3C">
        <w:rPr>
          <w:rFonts w:ascii="Arial" w:hAnsi="Arial" w:cs="Arial"/>
          <w:b w:val="0"/>
          <w:caps w:val="0"/>
          <w:sz w:val="20"/>
        </w:rPr>
        <w:t xml:space="preserve"> and chemokine c-</w:t>
      </w:r>
      <w:proofErr w:type="spellStart"/>
      <w:r w:rsidRPr="00EC0E3C">
        <w:rPr>
          <w:rFonts w:ascii="Arial" w:hAnsi="Arial" w:cs="Arial"/>
          <w:b w:val="0"/>
          <w:caps w:val="0"/>
          <w:sz w:val="20"/>
        </w:rPr>
        <w:t>x-c</w:t>
      </w:r>
      <w:proofErr w:type="spellEnd"/>
      <w:r w:rsidRPr="00EC0E3C">
        <w:rPr>
          <w:rFonts w:ascii="Arial" w:hAnsi="Arial" w:cs="Arial"/>
          <w:b w:val="0"/>
          <w:caps w:val="0"/>
          <w:sz w:val="20"/>
        </w:rPr>
        <w:t xml:space="preserve"> il-8 (li et al., 2006). The pro-inflammatory cytokines il-1 and </w:t>
      </w:r>
      <w:proofErr w:type="spellStart"/>
      <w:r w:rsidRPr="00EC0E3C">
        <w:rPr>
          <w:rFonts w:ascii="Arial" w:hAnsi="Arial" w:cs="Arial"/>
          <w:b w:val="0"/>
          <w:caps w:val="0"/>
          <w:sz w:val="20"/>
        </w:rPr>
        <w:t>ifn</w:t>
      </w:r>
      <w:proofErr w:type="spellEnd"/>
      <w:r w:rsidRPr="00EC0E3C">
        <w:rPr>
          <w:rFonts w:ascii="Arial" w:hAnsi="Arial" w:cs="Arial"/>
          <w:b w:val="0"/>
          <w:caps w:val="0"/>
          <w:sz w:val="20"/>
        </w:rPr>
        <w:t>-</w:t>
      </w:r>
      <w:r w:rsidRPr="00EC0E3C">
        <w:rPr>
          <w:rFonts w:ascii="Arial" w:hAnsi="Arial" w:cs="Arial"/>
          <w:b w:val="0"/>
          <w:caps w:val="0"/>
          <w:sz w:val="20"/>
          <w:lang w:val="fr-FR"/>
        </w:rPr>
        <w:t>γ</w:t>
      </w:r>
      <w:r w:rsidRPr="00EC0E3C">
        <w:rPr>
          <w:rFonts w:ascii="Arial" w:hAnsi="Arial" w:cs="Arial"/>
          <w:b w:val="0"/>
          <w:caps w:val="0"/>
          <w:sz w:val="20"/>
        </w:rPr>
        <w:t xml:space="preserve"> inducing squamous metaplasia of ocular surface epithelial cells are increased, while decrease in the biologically inactive </w:t>
      </w:r>
      <w:r w:rsidRPr="00EC0E3C">
        <w:rPr>
          <w:rFonts w:ascii="Arial" w:hAnsi="Arial" w:cs="Arial"/>
          <w:b w:val="0"/>
          <w:caps w:val="0"/>
          <w:sz w:val="20"/>
        </w:rPr>
        <w:lastRenderedPageBreak/>
        <w:t>precursor il-1</w:t>
      </w:r>
      <w:r w:rsidRPr="00EC0E3C">
        <w:rPr>
          <w:rFonts w:ascii="Arial" w:hAnsi="Arial" w:cs="Arial"/>
          <w:b w:val="0"/>
          <w:caps w:val="0"/>
          <w:sz w:val="20"/>
          <w:lang w:val="fr-FR"/>
        </w:rPr>
        <w:t>β</w:t>
      </w:r>
      <w:r w:rsidRPr="00EC0E3C">
        <w:rPr>
          <w:rFonts w:ascii="Arial" w:hAnsi="Arial" w:cs="Arial"/>
          <w:b w:val="0"/>
          <w:caps w:val="0"/>
          <w:sz w:val="20"/>
        </w:rPr>
        <w:t xml:space="preserve"> has been found in the tear film of dry eye patients (</w:t>
      </w:r>
      <w:proofErr w:type="spellStart"/>
      <w:r w:rsidRPr="00EC0E3C">
        <w:rPr>
          <w:rFonts w:ascii="Arial" w:hAnsi="Arial" w:cs="Arial"/>
          <w:b w:val="0"/>
          <w:caps w:val="0"/>
          <w:sz w:val="20"/>
        </w:rPr>
        <w:t>hessen</w:t>
      </w:r>
      <w:proofErr w:type="spellEnd"/>
      <w:r w:rsidRPr="00EC0E3C">
        <w:rPr>
          <w:rFonts w:ascii="Arial" w:hAnsi="Arial" w:cs="Arial"/>
          <w:b w:val="0"/>
          <w:caps w:val="0"/>
          <w:sz w:val="20"/>
        </w:rPr>
        <w:t xml:space="preserve"> &amp; </w:t>
      </w:r>
      <w:proofErr w:type="spellStart"/>
      <w:r w:rsidRPr="00EC0E3C">
        <w:rPr>
          <w:rFonts w:ascii="Arial" w:hAnsi="Arial" w:cs="Arial"/>
          <w:b w:val="0"/>
          <w:caps w:val="0"/>
          <w:sz w:val="20"/>
        </w:rPr>
        <w:t>akpek</w:t>
      </w:r>
      <w:proofErr w:type="spellEnd"/>
      <w:r w:rsidRPr="00EC0E3C">
        <w:rPr>
          <w:rFonts w:ascii="Arial" w:hAnsi="Arial" w:cs="Arial"/>
          <w:b w:val="0"/>
          <w:caps w:val="0"/>
          <w:sz w:val="20"/>
        </w:rPr>
        <w:t xml:space="preserve">, 2014; </w:t>
      </w:r>
      <w:proofErr w:type="spellStart"/>
      <w:r w:rsidRPr="00EC0E3C">
        <w:rPr>
          <w:rFonts w:ascii="Arial" w:hAnsi="Arial" w:cs="Arial"/>
          <w:b w:val="0"/>
          <w:caps w:val="0"/>
          <w:sz w:val="20"/>
        </w:rPr>
        <w:t>roda</w:t>
      </w:r>
      <w:proofErr w:type="spellEnd"/>
      <w:r w:rsidRPr="00EC0E3C">
        <w:rPr>
          <w:rFonts w:ascii="Arial" w:hAnsi="Arial" w:cs="Arial"/>
          <w:b w:val="0"/>
          <w:caps w:val="0"/>
          <w:sz w:val="20"/>
        </w:rPr>
        <w:t xml:space="preserve"> et al., 2020).</w:t>
      </w:r>
    </w:p>
    <w:p w14:paraId="539C1AFB" w14:textId="0043D282" w:rsidR="00EC0E3C" w:rsidRPr="00EC0E3C" w:rsidRDefault="00EC0E3C" w:rsidP="00EC0E3C">
      <w:pPr>
        <w:pStyle w:val="Head1"/>
        <w:spacing w:after="0"/>
        <w:jc w:val="both"/>
        <w:rPr>
          <w:rFonts w:ascii="Arial" w:hAnsi="Arial" w:cs="Arial"/>
          <w:b w:val="0"/>
          <w:sz w:val="20"/>
        </w:rPr>
      </w:pPr>
      <w:r w:rsidRPr="00EC0E3C">
        <w:rPr>
          <w:rFonts w:ascii="Arial" w:hAnsi="Arial" w:cs="Arial"/>
          <w:b w:val="0"/>
          <w:caps w:val="0"/>
          <w:sz w:val="20"/>
        </w:rPr>
        <w:t>Some studies suggest that chronic stimulation of the ocular surface by environmental factors such as contact lenses, low humidity, and wind disrupt neuronal transmission to the lacrimal glands. This leads to the activation of lymphocyte trafficking, the production of pro-inflammatory cytokines, and the initiation of an autoimmune response (lee et al., 2006). Several reports have highlighted the effectiveness of topical corticosteroid treatment in patients with des (</w:t>
      </w:r>
      <w:proofErr w:type="spellStart"/>
      <w:r w:rsidRPr="00EC0E3C">
        <w:rPr>
          <w:rFonts w:ascii="Arial" w:hAnsi="Arial" w:cs="Arial"/>
          <w:b w:val="0"/>
          <w:caps w:val="0"/>
          <w:sz w:val="20"/>
        </w:rPr>
        <w:t>nguyen</w:t>
      </w:r>
      <w:proofErr w:type="spellEnd"/>
      <w:r w:rsidRPr="00EC0E3C">
        <w:rPr>
          <w:rFonts w:ascii="Arial" w:hAnsi="Arial" w:cs="Arial"/>
          <w:b w:val="0"/>
          <w:caps w:val="0"/>
          <w:sz w:val="20"/>
        </w:rPr>
        <w:t xml:space="preserve"> et al., 2023; </w:t>
      </w:r>
      <w:proofErr w:type="spellStart"/>
      <w:r w:rsidRPr="00EC0E3C">
        <w:rPr>
          <w:rFonts w:ascii="Arial" w:hAnsi="Arial" w:cs="Arial"/>
          <w:b w:val="0"/>
          <w:caps w:val="0"/>
          <w:sz w:val="20"/>
        </w:rPr>
        <w:t>liu</w:t>
      </w:r>
      <w:proofErr w:type="spellEnd"/>
      <w:r w:rsidRPr="00EC0E3C">
        <w:rPr>
          <w:rFonts w:ascii="Arial" w:hAnsi="Arial" w:cs="Arial"/>
          <w:b w:val="0"/>
          <w:caps w:val="0"/>
          <w:sz w:val="20"/>
        </w:rPr>
        <w:t xml:space="preserve"> et al., 2022; </w:t>
      </w:r>
      <w:proofErr w:type="spellStart"/>
      <w:r w:rsidRPr="00EC0E3C">
        <w:rPr>
          <w:rFonts w:ascii="Arial" w:hAnsi="Arial" w:cs="Arial"/>
          <w:b w:val="0"/>
          <w:caps w:val="0"/>
          <w:sz w:val="20"/>
        </w:rPr>
        <w:t>gupta</w:t>
      </w:r>
      <w:proofErr w:type="spellEnd"/>
      <w:r w:rsidRPr="00EC0E3C">
        <w:rPr>
          <w:rFonts w:ascii="Arial" w:hAnsi="Arial" w:cs="Arial"/>
          <w:b w:val="0"/>
          <w:caps w:val="0"/>
          <w:sz w:val="20"/>
        </w:rPr>
        <w:t xml:space="preserve"> et al., 2024). Treating the underlying cause of disease like inflammation can be an alternative therapy to lacrimal supplementation for the signs and symptoms of des (</w:t>
      </w:r>
      <w:proofErr w:type="gramStart"/>
      <w:r w:rsidRPr="00EC0E3C">
        <w:rPr>
          <w:rFonts w:ascii="Arial" w:hAnsi="Arial" w:cs="Arial"/>
          <w:b w:val="0"/>
          <w:caps w:val="0"/>
          <w:sz w:val="20"/>
        </w:rPr>
        <w:t>dong</w:t>
      </w:r>
      <w:proofErr w:type="gramEnd"/>
      <w:r w:rsidRPr="00EC0E3C">
        <w:rPr>
          <w:rFonts w:ascii="Arial" w:hAnsi="Arial" w:cs="Arial"/>
          <w:b w:val="0"/>
          <w:caps w:val="0"/>
          <w:sz w:val="20"/>
        </w:rPr>
        <w:t xml:space="preserve"> et al., 2022). The positive effects of topical steroid drops in patients with dry eye may be partly due to a decrease in the number of </w:t>
      </w:r>
      <w:proofErr w:type="spellStart"/>
      <w:r w:rsidRPr="00EC0E3C">
        <w:rPr>
          <w:rFonts w:ascii="Arial" w:hAnsi="Arial" w:cs="Arial"/>
          <w:b w:val="0"/>
          <w:caps w:val="0"/>
          <w:sz w:val="20"/>
        </w:rPr>
        <w:t>hla-dr</w:t>
      </w:r>
      <w:proofErr w:type="spellEnd"/>
      <w:r w:rsidRPr="00EC0E3C">
        <w:rPr>
          <w:rFonts w:ascii="Arial" w:hAnsi="Arial" w:cs="Arial"/>
          <w:b w:val="0"/>
          <w:caps w:val="0"/>
          <w:sz w:val="20"/>
        </w:rPr>
        <w:t>+ conjunctival cells (</w:t>
      </w:r>
      <w:proofErr w:type="spellStart"/>
      <w:r w:rsidRPr="00EC0E3C">
        <w:rPr>
          <w:rFonts w:ascii="Arial" w:hAnsi="Arial" w:cs="Arial"/>
          <w:b w:val="0"/>
          <w:caps w:val="0"/>
          <w:sz w:val="20"/>
        </w:rPr>
        <w:t>lekhanont</w:t>
      </w:r>
      <w:proofErr w:type="spellEnd"/>
      <w:r w:rsidRPr="00EC0E3C">
        <w:rPr>
          <w:rFonts w:ascii="Arial" w:hAnsi="Arial" w:cs="Arial"/>
          <w:b w:val="0"/>
          <w:caps w:val="0"/>
          <w:sz w:val="20"/>
        </w:rPr>
        <w:t xml:space="preserve"> et al., 2007). Some authors recommend using this treatment as "pulse therapy" due to the notable side effects associated with long-term use (</w:t>
      </w:r>
      <w:proofErr w:type="spellStart"/>
      <w:r w:rsidRPr="00EC0E3C">
        <w:rPr>
          <w:rFonts w:ascii="Arial" w:hAnsi="Arial" w:cs="Arial"/>
          <w:b w:val="0"/>
          <w:caps w:val="0"/>
          <w:sz w:val="20"/>
        </w:rPr>
        <w:t>nguyen</w:t>
      </w:r>
      <w:proofErr w:type="spellEnd"/>
      <w:r w:rsidRPr="00EC0E3C">
        <w:rPr>
          <w:rFonts w:ascii="Arial" w:hAnsi="Arial" w:cs="Arial"/>
          <w:b w:val="0"/>
          <w:caps w:val="0"/>
          <w:sz w:val="20"/>
        </w:rPr>
        <w:t xml:space="preserve"> et al., 2023). A recent study highlighted the benefits of combining topical steroids and topical cyclosporine for treating immune-based inflammation in patients with severe dry eye (</w:t>
      </w:r>
      <w:proofErr w:type="spellStart"/>
      <w:r w:rsidRPr="00EC0E3C">
        <w:rPr>
          <w:rFonts w:ascii="Arial" w:hAnsi="Arial" w:cs="Arial"/>
          <w:b w:val="0"/>
          <w:caps w:val="0"/>
          <w:sz w:val="20"/>
        </w:rPr>
        <w:t>byun</w:t>
      </w:r>
      <w:proofErr w:type="spellEnd"/>
      <w:r w:rsidRPr="00EC0E3C">
        <w:rPr>
          <w:rFonts w:ascii="Arial" w:hAnsi="Arial" w:cs="Arial"/>
          <w:b w:val="0"/>
          <w:caps w:val="0"/>
          <w:sz w:val="20"/>
        </w:rPr>
        <w:t xml:space="preserve"> et al., 2012).</w:t>
      </w:r>
    </w:p>
    <w:p w14:paraId="26C3FC0E" w14:textId="19318D14" w:rsidR="00EC0E3C" w:rsidRPr="00EC0E3C" w:rsidRDefault="00EC0E3C" w:rsidP="00EC0E3C">
      <w:pPr>
        <w:pStyle w:val="Head1"/>
        <w:spacing w:after="0"/>
        <w:jc w:val="both"/>
        <w:rPr>
          <w:rFonts w:ascii="Arial" w:hAnsi="Arial" w:cs="Arial"/>
          <w:b w:val="0"/>
          <w:sz w:val="20"/>
        </w:rPr>
      </w:pPr>
      <w:r w:rsidRPr="00EC0E3C">
        <w:rPr>
          <w:rFonts w:ascii="Arial" w:hAnsi="Arial" w:cs="Arial"/>
          <w:b w:val="0"/>
          <w:caps w:val="0"/>
          <w:sz w:val="20"/>
        </w:rPr>
        <w:t xml:space="preserve">The present study illustrated a statistically significant improvement in favor of taking steroidal anti-inflammatory drugs in combination with carbomer gels, with the variables all pointing in the same direction, showing improvement in symptoms compared with carbomer gels alone. This study revealed that the efficacy assessed by </w:t>
      </w:r>
      <w:proofErr w:type="spellStart"/>
      <w:r w:rsidRPr="00EC0E3C">
        <w:rPr>
          <w:rFonts w:ascii="Arial" w:hAnsi="Arial" w:cs="Arial"/>
          <w:b w:val="0"/>
          <w:caps w:val="0"/>
          <w:sz w:val="20"/>
        </w:rPr>
        <w:t>qsd-qol</w:t>
      </w:r>
      <w:proofErr w:type="spellEnd"/>
      <w:r w:rsidRPr="00EC0E3C">
        <w:rPr>
          <w:rFonts w:ascii="Arial" w:hAnsi="Arial" w:cs="Arial"/>
          <w:b w:val="0"/>
          <w:caps w:val="0"/>
          <w:sz w:val="20"/>
        </w:rPr>
        <w:t xml:space="preserve"> was statistically better for group 1. In fact, in the 7 dimensions of the </w:t>
      </w:r>
      <w:proofErr w:type="spellStart"/>
      <w:r w:rsidRPr="00EC0E3C">
        <w:rPr>
          <w:rFonts w:ascii="Arial" w:hAnsi="Arial" w:cs="Arial"/>
          <w:b w:val="0"/>
          <w:caps w:val="0"/>
          <w:sz w:val="20"/>
        </w:rPr>
        <w:t>qsd-qol</w:t>
      </w:r>
      <w:proofErr w:type="spellEnd"/>
      <w:r w:rsidRPr="00EC0E3C">
        <w:rPr>
          <w:rFonts w:ascii="Arial" w:hAnsi="Arial" w:cs="Arial"/>
          <w:b w:val="0"/>
          <w:caps w:val="0"/>
          <w:sz w:val="20"/>
        </w:rPr>
        <w:t>, the number of patients who rated their improvement as satisfactory to very satisfactory (no impact and little impact) was greater in group 1 than in group 2, with a statistically significant difference (p &lt; 0.05).</w:t>
      </w:r>
    </w:p>
    <w:p w14:paraId="306482FB" w14:textId="77777777" w:rsidR="003250E1" w:rsidRDefault="003250E1" w:rsidP="000A4770">
      <w:pPr>
        <w:pStyle w:val="Head1"/>
        <w:spacing w:after="0"/>
        <w:jc w:val="both"/>
        <w:rPr>
          <w:rFonts w:ascii="Arial" w:hAnsi="Arial" w:cs="Arial"/>
          <w:b w:val="0"/>
          <w:bCs/>
          <w:caps w:val="0"/>
          <w:sz w:val="20"/>
        </w:rPr>
      </w:pPr>
    </w:p>
    <w:p w14:paraId="2D1FDFBD" w14:textId="77777777" w:rsidR="003250E1" w:rsidRDefault="003250E1" w:rsidP="000A4770">
      <w:pPr>
        <w:pStyle w:val="Head1"/>
        <w:spacing w:after="0"/>
        <w:jc w:val="both"/>
        <w:rPr>
          <w:rFonts w:ascii="Arial" w:hAnsi="Arial" w:cs="Arial"/>
          <w:b w:val="0"/>
          <w:bCs/>
          <w:caps w:val="0"/>
          <w:sz w:val="20"/>
        </w:rPr>
      </w:pPr>
    </w:p>
    <w:p w14:paraId="20B4935B" w14:textId="77777777" w:rsidR="00790ADA" w:rsidRPr="00FB3A86" w:rsidRDefault="00790ADA" w:rsidP="00441B6F">
      <w:pPr>
        <w:pStyle w:val="Body"/>
        <w:spacing w:after="0"/>
        <w:rPr>
          <w:rFonts w:ascii="Arial" w:hAnsi="Arial" w:cs="Arial"/>
        </w:rPr>
      </w:pPr>
    </w:p>
    <w:p w14:paraId="4A85D76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A4B5D4" w14:textId="77777777" w:rsidR="00790ADA" w:rsidRPr="00FB3A86" w:rsidRDefault="00790ADA" w:rsidP="00441B6F">
      <w:pPr>
        <w:pStyle w:val="ConcHead"/>
        <w:spacing w:after="0"/>
        <w:jc w:val="both"/>
        <w:rPr>
          <w:rFonts w:ascii="Arial" w:hAnsi="Arial" w:cs="Arial"/>
        </w:rPr>
      </w:pPr>
    </w:p>
    <w:p w14:paraId="3ED43833" w14:textId="77777777" w:rsidR="00595801" w:rsidRPr="00595801" w:rsidRDefault="00595801" w:rsidP="00595801">
      <w:pPr>
        <w:pStyle w:val="Body"/>
        <w:spacing w:after="0"/>
        <w:rPr>
          <w:rFonts w:ascii="Arial" w:hAnsi="Arial" w:cs="Arial"/>
        </w:rPr>
      </w:pPr>
      <w:r w:rsidRPr="00595801">
        <w:rPr>
          <w:rFonts w:ascii="Arial" w:hAnsi="Arial" w:cs="Arial"/>
        </w:rPr>
        <w:t>This study demonstrates that combining steroidal anti-inflammatory drugs (dexamethasone 0.1%) with carbomer gel significantly improves both subjective symptoms (e.g., reflex lacrimation, pruritus, and sand-grain sensation) and objective signs (e.g., conjunctival hyperemia, fluorescein staining) of dry eye syndrome (DES) compared to carbomer gel alone. The anti-inflammatory regimen also yielded superior patient-reported outcomes, with 66% of participants rating their improvement as satisfactory to very satisfactory on the QSD-QOL questionnaire, underscoring its clinical relevance.</w:t>
      </w:r>
    </w:p>
    <w:p w14:paraId="6E7CD70A" w14:textId="77777777" w:rsidR="00595801" w:rsidRPr="00595801" w:rsidRDefault="00595801" w:rsidP="00595801">
      <w:pPr>
        <w:pStyle w:val="Body"/>
        <w:spacing w:after="0"/>
        <w:rPr>
          <w:rFonts w:ascii="Arial" w:hAnsi="Arial" w:cs="Arial"/>
        </w:rPr>
      </w:pPr>
      <w:r w:rsidRPr="00595801">
        <w:rPr>
          <w:rFonts w:ascii="Arial" w:hAnsi="Arial" w:cs="Arial"/>
        </w:rPr>
        <w:t>These findings reinforce the pivotal role of inflammation in DES pathogenesis and support the integration of short-term, supervised anti-inflammatory therapy into management protocols, particularly for patients with moderate DES and underlying inflammatory etiologies (e.g., Sjögren’s syndrome). However, limitations such as the single-center design and short follow-up period warrant further multicenter studies to evaluate long-term efficacy and safety. Future research should explore optimal dosing strategies and biomarkers to personalize anti-inflammatory treatment in DES.</w:t>
      </w:r>
    </w:p>
    <w:p w14:paraId="652CA4A7" w14:textId="77777777" w:rsidR="00595801" w:rsidRDefault="00595801" w:rsidP="00441B6F">
      <w:pPr>
        <w:pStyle w:val="Body"/>
        <w:spacing w:after="0"/>
        <w:rPr>
          <w:rFonts w:ascii="Arial" w:hAnsi="Arial" w:cs="Arial"/>
        </w:rPr>
      </w:pPr>
    </w:p>
    <w:p w14:paraId="2176348C" w14:textId="77777777" w:rsidR="00315186" w:rsidRPr="00315186" w:rsidRDefault="00315186" w:rsidP="00441B6F"/>
    <w:p w14:paraId="66B2578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94E924D" w14:textId="71AB11A0" w:rsidR="00727821" w:rsidRPr="00727821" w:rsidRDefault="00727821" w:rsidP="00727821">
      <w:pPr>
        <w:pStyle w:val="ReferHead"/>
        <w:spacing w:after="0"/>
        <w:jc w:val="both"/>
        <w:rPr>
          <w:rFonts w:ascii="Arial" w:hAnsi="Arial" w:cs="Arial"/>
          <w:b w:val="0"/>
          <w:sz w:val="20"/>
        </w:rPr>
      </w:pPr>
      <w:r w:rsidRPr="00727821">
        <w:rPr>
          <w:rFonts w:ascii="Arial" w:hAnsi="Arial" w:cs="Arial"/>
          <w:b w:val="0"/>
          <w:caps w:val="0"/>
          <w:sz w:val="20"/>
        </w:rPr>
        <w:t>The patients have given their written informed consent on admission to use their data base and files for research work.</w:t>
      </w:r>
    </w:p>
    <w:p w14:paraId="1FFA3F0A" w14:textId="28142DB2" w:rsidR="00A347C0"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 xml:space="preserve">. </w:t>
      </w:r>
    </w:p>
    <w:p w14:paraId="21AD86B4" w14:textId="77777777" w:rsidR="005C784C" w:rsidRDefault="005C784C" w:rsidP="00441B6F">
      <w:pPr>
        <w:pStyle w:val="ReferHead"/>
        <w:spacing w:after="0"/>
        <w:jc w:val="both"/>
        <w:rPr>
          <w:rFonts w:ascii="Arial" w:hAnsi="Arial" w:cs="Arial"/>
          <w:b w:val="0"/>
          <w:caps w:val="0"/>
          <w:sz w:val="20"/>
        </w:rPr>
      </w:pPr>
    </w:p>
    <w:p w14:paraId="1915665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5039488" w14:textId="77777777" w:rsidR="005C784C" w:rsidRPr="002B685A" w:rsidRDefault="005C784C" w:rsidP="00441B6F">
      <w:pPr>
        <w:pStyle w:val="ReferHead"/>
        <w:spacing w:after="0"/>
        <w:jc w:val="both"/>
        <w:rPr>
          <w:rFonts w:ascii="Arial" w:hAnsi="Arial" w:cs="Arial"/>
          <w:bCs/>
        </w:rPr>
      </w:pPr>
    </w:p>
    <w:p w14:paraId="045EE3A0" w14:textId="4081BB93" w:rsidR="004D6751" w:rsidRPr="004D6751" w:rsidRDefault="004D6751" w:rsidP="004D6751">
      <w:pPr>
        <w:pStyle w:val="ReferHead"/>
        <w:spacing w:after="0"/>
        <w:jc w:val="both"/>
        <w:rPr>
          <w:rFonts w:ascii="Arial" w:hAnsi="Arial" w:cs="Arial"/>
          <w:b w:val="0"/>
          <w:bCs/>
          <w:sz w:val="20"/>
        </w:rPr>
      </w:pPr>
      <w:r w:rsidRPr="004D6751">
        <w:rPr>
          <w:rFonts w:ascii="Arial" w:hAnsi="Arial" w:cs="Arial"/>
          <w:b w:val="0"/>
          <w:bCs/>
          <w:caps w:val="0"/>
          <w:sz w:val="20"/>
        </w:rPr>
        <w:t xml:space="preserve">Ethical approval: all procedures performed in studies involving human participants were in accordance with the ethical standards of the institutional and/or national research committee </w:t>
      </w:r>
      <w:r w:rsidRPr="004D6751">
        <w:rPr>
          <w:rFonts w:ascii="Arial" w:hAnsi="Arial" w:cs="Arial"/>
          <w:b w:val="0"/>
          <w:bCs/>
          <w:caps w:val="0"/>
          <w:sz w:val="20"/>
        </w:rPr>
        <w:lastRenderedPageBreak/>
        <w:t xml:space="preserve">and with the 1964 </w:t>
      </w:r>
      <w:proofErr w:type="spellStart"/>
      <w:r w:rsidRPr="004D6751">
        <w:rPr>
          <w:rFonts w:ascii="Arial" w:hAnsi="Arial" w:cs="Arial"/>
          <w:b w:val="0"/>
          <w:bCs/>
          <w:caps w:val="0"/>
          <w:sz w:val="20"/>
        </w:rPr>
        <w:t>helsinki</w:t>
      </w:r>
      <w:proofErr w:type="spellEnd"/>
      <w:r w:rsidRPr="004D6751">
        <w:rPr>
          <w:rFonts w:ascii="Arial" w:hAnsi="Arial" w:cs="Arial"/>
          <w:b w:val="0"/>
          <w:bCs/>
          <w:caps w:val="0"/>
          <w:sz w:val="20"/>
        </w:rPr>
        <w:t xml:space="preserve"> declaration and its later amendments or comparable ethical standards.</w:t>
      </w:r>
    </w:p>
    <w:p w14:paraId="474F1CBC" w14:textId="12F39027" w:rsidR="004D6751" w:rsidRPr="004D6751" w:rsidRDefault="004D6751" w:rsidP="004D6751">
      <w:pPr>
        <w:pStyle w:val="ReferHead"/>
        <w:spacing w:after="0"/>
        <w:jc w:val="both"/>
        <w:rPr>
          <w:rFonts w:ascii="Arial" w:hAnsi="Arial" w:cs="Arial"/>
          <w:b w:val="0"/>
          <w:bCs/>
          <w:sz w:val="20"/>
        </w:rPr>
      </w:pPr>
      <w:r w:rsidRPr="004D6751">
        <w:rPr>
          <w:rFonts w:ascii="Arial" w:hAnsi="Arial" w:cs="Arial"/>
          <w:b w:val="0"/>
          <w:bCs/>
          <w:caps w:val="0"/>
          <w:sz w:val="20"/>
        </w:rPr>
        <w:t>This retrospective analysis did not require ethical approval as it involved only anonymized data from routine clinical practice, with no intervention or identifiable information disclosed</w:t>
      </w:r>
    </w:p>
    <w:p w14:paraId="410E2732" w14:textId="0A253F86" w:rsidR="004D6751" w:rsidRPr="004D6751" w:rsidRDefault="004D6751" w:rsidP="004D6751">
      <w:pPr>
        <w:pStyle w:val="ReferHead"/>
        <w:spacing w:after="0"/>
        <w:jc w:val="both"/>
        <w:rPr>
          <w:rFonts w:ascii="Arial" w:hAnsi="Arial" w:cs="Arial"/>
          <w:b w:val="0"/>
          <w:bCs/>
          <w:sz w:val="20"/>
        </w:rPr>
      </w:pPr>
      <w:r w:rsidRPr="004D6751">
        <w:rPr>
          <w:rFonts w:ascii="Arial" w:hAnsi="Arial" w:cs="Arial"/>
          <w:b w:val="0"/>
          <w:bCs/>
          <w:caps w:val="0"/>
          <w:sz w:val="20"/>
        </w:rPr>
        <w:t>-</w:t>
      </w:r>
      <w:r w:rsidR="004826B1" w:rsidRPr="004D6751">
        <w:rPr>
          <w:rFonts w:ascii="Arial" w:hAnsi="Arial" w:cs="Arial"/>
          <w:b w:val="0"/>
          <w:bCs/>
          <w:caps w:val="0"/>
          <w:sz w:val="20"/>
        </w:rPr>
        <w:t>Patients</w:t>
      </w:r>
      <w:r w:rsidRPr="004D6751">
        <w:rPr>
          <w:rFonts w:ascii="Arial" w:hAnsi="Arial" w:cs="Arial"/>
          <w:b w:val="0"/>
          <w:bCs/>
          <w:caps w:val="0"/>
          <w:sz w:val="20"/>
        </w:rPr>
        <w:t>’ privacy was fully respected.</w:t>
      </w:r>
    </w:p>
    <w:p w14:paraId="57028D44" w14:textId="4B247564" w:rsidR="004D6751" w:rsidRDefault="004D6751" w:rsidP="004D6751">
      <w:pPr>
        <w:pStyle w:val="ReferHead"/>
        <w:spacing w:after="0"/>
        <w:jc w:val="both"/>
        <w:rPr>
          <w:rFonts w:ascii="Arial" w:hAnsi="Arial" w:cs="Arial"/>
          <w:b w:val="0"/>
          <w:bCs/>
          <w:caps w:val="0"/>
          <w:sz w:val="20"/>
        </w:rPr>
      </w:pPr>
      <w:r w:rsidRPr="004D6751">
        <w:rPr>
          <w:rFonts w:ascii="Arial" w:hAnsi="Arial" w:cs="Arial"/>
          <w:b w:val="0"/>
          <w:bCs/>
          <w:caps w:val="0"/>
          <w:sz w:val="20"/>
        </w:rPr>
        <w:t>-</w:t>
      </w:r>
      <w:r w:rsidR="004826B1">
        <w:rPr>
          <w:rFonts w:ascii="Arial" w:hAnsi="Arial" w:cs="Arial"/>
          <w:b w:val="0"/>
          <w:bCs/>
          <w:caps w:val="0"/>
          <w:sz w:val="20"/>
        </w:rPr>
        <w:t>T</w:t>
      </w:r>
      <w:r w:rsidRPr="004D6751">
        <w:rPr>
          <w:rFonts w:ascii="Arial" w:hAnsi="Arial" w:cs="Arial"/>
          <w:b w:val="0"/>
          <w:bCs/>
          <w:caps w:val="0"/>
          <w:sz w:val="20"/>
        </w:rPr>
        <w:t>here are no identifying details in our study</w:t>
      </w:r>
    </w:p>
    <w:p w14:paraId="5957BB3F" w14:textId="77777777" w:rsidR="0038685C" w:rsidRDefault="0038685C" w:rsidP="004D6751">
      <w:pPr>
        <w:pStyle w:val="ReferHead"/>
        <w:spacing w:after="0"/>
        <w:jc w:val="both"/>
        <w:rPr>
          <w:rFonts w:ascii="Arial" w:hAnsi="Arial" w:cs="Arial"/>
          <w:b w:val="0"/>
          <w:bCs/>
          <w:caps w:val="0"/>
          <w:sz w:val="20"/>
        </w:rPr>
      </w:pPr>
    </w:p>
    <w:p w14:paraId="74BB2B72" w14:textId="77777777" w:rsidR="0038685C" w:rsidRPr="0038685C" w:rsidRDefault="0038685C" w:rsidP="0038685C">
      <w:pPr>
        <w:pStyle w:val="ReferHead"/>
        <w:jc w:val="both"/>
        <w:rPr>
          <w:rFonts w:ascii="Arial" w:hAnsi="Arial" w:cs="Arial"/>
          <w:b w:val="0"/>
          <w:bCs/>
          <w:sz w:val="20"/>
        </w:rPr>
      </w:pPr>
      <w:r w:rsidRPr="0038685C">
        <w:rPr>
          <w:rFonts w:ascii="Arial" w:hAnsi="Arial" w:cs="Arial"/>
          <w:b w:val="0"/>
          <w:bCs/>
          <w:sz w:val="20"/>
        </w:rPr>
        <w:t>COMPETING INTERESTS DISCLAIMER:</w:t>
      </w:r>
    </w:p>
    <w:p w14:paraId="4B7EBAC3" w14:textId="77777777" w:rsidR="0038685C" w:rsidRPr="0038685C" w:rsidRDefault="0038685C" w:rsidP="0038685C">
      <w:pPr>
        <w:pStyle w:val="ReferHead"/>
        <w:jc w:val="both"/>
        <w:rPr>
          <w:rFonts w:ascii="Arial" w:hAnsi="Arial" w:cs="Arial"/>
          <w:b w:val="0"/>
          <w:bCs/>
          <w:sz w:val="20"/>
        </w:rPr>
      </w:pPr>
      <w:r w:rsidRPr="0038685C">
        <w:rPr>
          <w:rFonts w:ascii="Arial" w:hAnsi="Arial" w:cs="Arial"/>
          <w:b w:val="0"/>
          <w:bCs/>
          <w:sz w:val="20"/>
        </w:rPr>
        <w:t>Authors have declared that they have no known competing financial interests OR non-financial interests OR personal relationships that could have appeared to influence the work reported in this paper.</w:t>
      </w:r>
    </w:p>
    <w:p w14:paraId="7DFF900B" w14:textId="77777777" w:rsidR="0038685C" w:rsidRPr="004D6751" w:rsidRDefault="0038685C" w:rsidP="004D6751">
      <w:pPr>
        <w:pStyle w:val="ReferHead"/>
        <w:spacing w:after="0"/>
        <w:jc w:val="both"/>
        <w:rPr>
          <w:rFonts w:ascii="Arial" w:hAnsi="Arial" w:cs="Arial"/>
          <w:b w:val="0"/>
          <w:bCs/>
          <w:sz w:val="20"/>
        </w:rPr>
      </w:pPr>
    </w:p>
    <w:p w14:paraId="576E9640" w14:textId="77777777" w:rsidR="004D6751" w:rsidRDefault="004D6751" w:rsidP="00441B6F">
      <w:pPr>
        <w:pStyle w:val="ReferHead"/>
        <w:spacing w:after="0"/>
        <w:jc w:val="both"/>
        <w:rPr>
          <w:rFonts w:ascii="Arial" w:hAnsi="Arial" w:cs="Arial"/>
          <w:b w:val="0"/>
          <w:caps w:val="0"/>
          <w:sz w:val="20"/>
        </w:rPr>
      </w:pPr>
    </w:p>
    <w:p w14:paraId="026968FC" w14:textId="77777777" w:rsidR="00860000" w:rsidRDefault="00860000" w:rsidP="00441B6F">
      <w:pPr>
        <w:pStyle w:val="ReferHead"/>
        <w:spacing w:after="0"/>
        <w:jc w:val="both"/>
        <w:rPr>
          <w:rFonts w:ascii="Arial" w:hAnsi="Arial" w:cs="Arial"/>
        </w:rPr>
      </w:pPr>
    </w:p>
    <w:p w14:paraId="20ED2D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05AC9A9" w14:textId="77777777" w:rsidR="006B501C" w:rsidRDefault="006B501C" w:rsidP="00441B6F">
      <w:pPr>
        <w:pStyle w:val="ReferHead"/>
        <w:spacing w:after="0"/>
        <w:jc w:val="both"/>
        <w:rPr>
          <w:rFonts w:ascii="Arial" w:hAnsi="Arial" w:cs="Arial"/>
        </w:rPr>
      </w:pPr>
    </w:p>
    <w:p w14:paraId="066283D8" w14:textId="77777777" w:rsidR="006B501C" w:rsidRDefault="006B501C" w:rsidP="00441B6F">
      <w:pPr>
        <w:pStyle w:val="ReferHead"/>
        <w:spacing w:after="0"/>
        <w:jc w:val="both"/>
        <w:rPr>
          <w:rFonts w:ascii="Arial" w:hAnsi="Arial" w:cs="Arial"/>
        </w:rPr>
      </w:pPr>
    </w:p>
    <w:p w14:paraId="2A389CFA" w14:textId="0BC7920A"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Britten-jones, a. C., wang, m. T. M., </w:t>
      </w:r>
      <w:proofErr w:type="spellStart"/>
      <w:r w:rsidRPr="005E4509">
        <w:rPr>
          <w:rFonts w:ascii="Arial" w:hAnsi="Arial" w:cs="Arial"/>
          <w:b w:val="0"/>
          <w:bCs/>
          <w:caps w:val="0"/>
          <w:sz w:val="20"/>
        </w:rPr>
        <w:t>samuels</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jennings</w:t>
      </w:r>
      <w:proofErr w:type="spellEnd"/>
      <w:r w:rsidRPr="005E4509">
        <w:rPr>
          <w:rFonts w:ascii="Arial" w:hAnsi="Arial" w:cs="Arial"/>
          <w:b w:val="0"/>
          <w:bCs/>
          <w:caps w:val="0"/>
          <w:sz w:val="20"/>
        </w:rPr>
        <w:t xml:space="preserve">, c., </w:t>
      </w:r>
      <w:proofErr w:type="spellStart"/>
      <w:r w:rsidRPr="005E4509">
        <w:rPr>
          <w:rFonts w:ascii="Arial" w:hAnsi="Arial" w:cs="Arial"/>
          <w:b w:val="0"/>
          <w:bCs/>
          <w:caps w:val="0"/>
          <w:sz w:val="20"/>
        </w:rPr>
        <w:t>stapleton</w:t>
      </w:r>
      <w:proofErr w:type="spellEnd"/>
      <w:r w:rsidRPr="005E4509">
        <w:rPr>
          <w:rFonts w:ascii="Arial" w:hAnsi="Arial" w:cs="Arial"/>
          <w:b w:val="0"/>
          <w:bCs/>
          <w:caps w:val="0"/>
          <w:sz w:val="20"/>
        </w:rPr>
        <w:t>, f., craig, j. P., et al. (2024). Epidemiology and risk factors of dry eye disease: considerations for clinical management. </w:t>
      </w:r>
      <w:proofErr w:type="spellStart"/>
      <w:r w:rsidRPr="001C6517">
        <w:rPr>
          <w:rFonts w:ascii="Arial" w:hAnsi="Arial" w:cs="Arial"/>
          <w:b w:val="0"/>
          <w:bCs/>
          <w:i/>
          <w:iCs/>
          <w:caps w:val="0"/>
          <w:sz w:val="20"/>
        </w:rPr>
        <w:t>Medicina</w:t>
      </w:r>
      <w:proofErr w:type="spellEnd"/>
      <w:r w:rsidRPr="001C6517">
        <w:rPr>
          <w:rFonts w:ascii="Arial" w:hAnsi="Arial" w:cs="Arial"/>
          <w:b w:val="0"/>
          <w:bCs/>
          <w:i/>
          <w:iCs/>
          <w:caps w:val="0"/>
          <w:sz w:val="20"/>
        </w:rPr>
        <w:t xml:space="preserve"> (</w:t>
      </w:r>
      <w:proofErr w:type="spellStart"/>
      <w:r w:rsidRPr="001C6517">
        <w:rPr>
          <w:rFonts w:ascii="Arial" w:hAnsi="Arial" w:cs="Arial"/>
          <w:b w:val="0"/>
          <w:bCs/>
          <w:i/>
          <w:iCs/>
          <w:caps w:val="0"/>
          <w:sz w:val="20"/>
        </w:rPr>
        <w:t>kaunas</w:t>
      </w:r>
      <w:proofErr w:type="spellEnd"/>
      <w:r w:rsidRPr="001C6517">
        <w:rPr>
          <w:rFonts w:ascii="Arial" w:hAnsi="Arial" w:cs="Arial"/>
          <w:b w:val="0"/>
          <w:bCs/>
          <w:i/>
          <w:iCs/>
          <w:caps w:val="0"/>
          <w:sz w:val="20"/>
        </w:rPr>
        <w:t>)</w:t>
      </w:r>
      <w:r w:rsidR="006B501C" w:rsidRPr="001C6517">
        <w:rPr>
          <w:rFonts w:ascii="Arial" w:hAnsi="Arial" w:cs="Arial"/>
          <w:b w:val="0"/>
          <w:bCs/>
          <w:sz w:val="20"/>
        </w:rPr>
        <w:t>, *60*(9), 1458. </w:t>
      </w:r>
      <w:hyperlink r:id="rId14" w:tgtFrame="_blank" w:history="1">
        <w:r w:rsidRPr="001C6517">
          <w:rPr>
            <w:rStyle w:val="Hyperlink"/>
            <w:rFonts w:ascii="Arial" w:hAnsi="Arial" w:cs="Arial"/>
            <w:b w:val="0"/>
            <w:bCs/>
            <w:caps w:val="0"/>
            <w:color w:val="auto"/>
            <w:sz w:val="20"/>
            <w:u w:val="none"/>
          </w:rPr>
          <w:t>Https://doi.org/xx.xxxx/medicina60091458</w:t>
        </w:r>
      </w:hyperlink>
    </w:p>
    <w:p w14:paraId="58EAE61B" w14:textId="03E33A74" w:rsidR="006B501C" w:rsidRPr="006B501C" w:rsidRDefault="00530714" w:rsidP="00644664">
      <w:pPr>
        <w:pStyle w:val="ReferHead"/>
        <w:jc w:val="both"/>
        <w:rPr>
          <w:rFonts w:ascii="Arial" w:hAnsi="Arial" w:cs="Arial"/>
          <w:b w:val="0"/>
          <w:bCs/>
          <w:sz w:val="20"/>
        </w:rPr>
      </w:pPr>
      <w:r w:rsidRPr="001C6517">
        <w:rPr>
          <w:rFonts w:ascii="Arial" w:hAnsi="Arial" w:cs="Arial"/>
          <w:b w:val="0"/>
          <w:bCs/>
          <w:caps w:val="0"/>
          <w:sz w:val="20"/>
        </w:rPr>
        <w:t xml:space="preserve">Nguyen, a., </w:t>
      </w:r>
      <w:proofErr w:type="spellStart"/>
      <w:r w:rsidRPr="001C6517">
        <w:rPr>
          <w:rFonts w:ascii="Arial" w:hAnsi="Arial" w:cs="Arial"/>
          <w:b w:val="0"/>
          <w:bCs/>
          <w:caps w:val="0"/>
          <w:sz w:val="20"/>
        </w:rPr>
        <w:t>kolluru</w:t>
      </w:r>
      <w:proofErr w:type="spellEnd"/>
      <w:r w:rsidRPr="001C6517">
        <w:rPr>
          <w:rFonts w:ascii="Arial" w:hAnsi="Arial" w:cs="Arial"/>
          <w:b w:val="0"/>
          <w:bCs/>
          <w:caps w:val="0"/>
          <w:sz w:val="20"/>
        </w:rPr>
        <w:t xml:space="preserve">, a., &amp; </w:t>
      </w:r>
      <w:proofErr w:type="spellStart"/>
      <w:r w:rsidRPr="001C6517">
        <w:rPr>
          <w:rFonts w:ascii="Arial" w:hAnsi="Arial" w:cs="Arial"/>
          <w:b w:val="0"/>
          <w:bCs/>
          <w:caps w:val="0"/>
          <w:sz w:val="20"/>
        </w:rPr>
        <w:t>beglarian</w:t>
      </w:r>
      <w:proofErr w:type="spellEnd"/>
      <w:r w:rsidRPr="001C6517">
        <w:rPr>
          <w:rFonts w:ascii="Arial" w:hAnsi="Arial" w:cs="Arial"/>
          <w:b w:val="0"/>
          <w:bCs/>
          <w:caps w:val="0"/>
          <w:sz w:val="20"/>
        </w:rPr>
        <w:t xml:space="preserve">, t. (2023). </w:t>
      </w:r>
      <w:r w:rsidRPr="005E4509">
        <w:rPr>
          <w:rFonts w:ascii="Arial" w:hAnsi="Arial" w:cs="Arial"/>
          <w:b w:val="0"/>
          <w:bCs/>
          <w:caps w:val="0"/>
          <w:sz w:val="20"/>
        </w:rPr>
        <w:t>Dry eye disease: a review of anti-inflammatory therapies. </w:t>
      </w:r>
      <w:r w:rsidRPr="005E4509">
        <w:rPr>
          <w:rFonts w:ascii="Arial" w:hAnsi="Arial" w:cs="Arial"/>
          <w:b w:val="0"/>
          <w:bCs/>
          <w:i/>
          <w:iCs/>
          <w:caps w:val="0"/>
          <w:sz w:val="20"/>
        </w:rPr>
        <w:t>Taiwan journal of ophthalmology</w:t>
      </w:r>
      <w:r w:rsidR="006B501C" w:rsidRPr="006B501C">
        <w:rPr>
          <w:rFonts w:ascii="Arial" w:hAnsi="Arial" w:cs="Arial"/>
          <w:b w:val="0"/>
          <w:bCs/>
          <w:sz w:val="20"/>
        </w:rPr>
        <w:t>, *13*(1), 3-12. </w:t>
      </w:r>
      <w:hyperlink r:id="rId15" w:tgtFrame="_blank" w:history="1">
        <w:r w:rsidRPr="005E4509">
          <w:rPr>
            <w:rStyle w:val="Hyperlink"/>
            <w:rFonts w:ascii="Arial" w:hAnsi="Arial" w:cs="Arial"/>
            <w:b w:val="0"/>
            <w:bCs/>
            <w:caps w:val="0"/>
            <w:color w:val="auto"/>
            <w:sz w:val="20"/>
            <w:u w:val="none"/>
          </w:rPr>
          <w:t>Https://doi.org/xx.xxxx/tjo.1301003</w:t>
        </w:r>
      </w:hyperlink>
    </w:p>
    <w:p w14:paraId="468A77FE" w14:textId="7E540A93"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rPr>
        <w:t>Mccabe</w:t>
      </w:r>
      <w:proofErr w:type="spellEnd"/>
      <w:r w:rsidRPr="005E4509">
        <w:rPr>
          <w:rFonts w:ascii="Arial" w:hAnsi="Arial" w:cs="Arial"/>
          <w:b w:val="0"/>
          <w:bCs/>
          <w:caps w:val="0"/>
          <w:sz w:val="20"/>
        </w:rPr>
        <w:t xml:space="preserve">, e., &amp; </w:t>
      </w:r>
      <w:proofErr w:type="spellStart"/>
      <w:r w:rsidRPr="005E4509">
        <w:rPr>
          <w:rFonts w:ascii="Arial" w:hAnsi="Arial" w:cs="Arial"/>
          <w:b w:val="0"/>
          <w:bCs/>
          <w:caps w:val="0"/>
          <w:sz w:val="20"/>
        </w:rPr>
        <w:t>narayanan</w:t>
      </w:r>
      <w:proofErr w:type="spellEnd"/>
      <w:r w:rsidRPr="005E4509">
        <w:rPr>
          <w:rFonts w:ascii="Arial" w:hAnsi="Arial" w:cs="Arial"/>
          <w:b w:val="0"/>
          <w:bCs/>
          <w:caps w:val="0"/>
          <w:sz w:val="20"/>
        </w:rPr>
        <w:t>, s. (2009). Advancements in anti-inflammatory therapy for dry eye syndrome. </w:t>
      </w:r>
      <w:r w:rsidRPr="001C6517">
        <w:rPr>
          <w:rFonts w:ascii="Arial" w:hAnsi="Arial" w:cs="Arial"/>
          <w:b w:val="0"/>
          <w:bCs/>
          <w:i/>
          <w:iCs/>
          <w:caps w:val="0"/>
          <w:sz w:val="20"/>
        </w:rPr>
        <w:t>Optometry</w:t>
      </w:r>
      <w:r w:rsidR="006B501C" w:rsidRPr="001C6517">
        <w:rPr>
          <w:rFonts w:ascii="Arial" w:hAnsi="Arial" w:cs="Arial"/>
          <w:b w:val="0"/>
          <w:bCs/>
          <w:sz w:val="20"/>
        </w:rPr>
        <w:t>, *80*(10), 555-566. </w:t>
      </w:r>
      <w:hyperlink r:id="rId16" w:tgtFrame="_blank" w:history="1">
        <w:r w:rsidRPr="001C6517">
          <w:rPr>
            <w:rStyle w:val="Hyperlink"/>
            <w:rFonts w:ascii="Arial" w:hAnsi="Arial" w:cs="Arial"/>
            <w:b w:val="0"/>
            <w:bCs/>
            <w:caps w:val="0"/>
            <w:color w:val="auto"/>
            <w:sz w:val="20"/>
            <w:u w:val="none"/>
          </w:rPr>
          <w:t>Https://doi.org/xx.xxxx/opt.2009.80.555</w:t>
        </w:r>
      </w:hyperlink>
    </w:p>
    <w:p w14:paraId="492A317A" w14:textId="7D6B468F"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Rouen, p. A., &amp; white, m. L. (2018). Dry eye disease: prevalence, assessment, and management. </w:t>
      </w:r>
      <w:r w:rsidRPr="001C6517">
        <w:rPr>
          <w:rFonts w:ascii="Arial" w:hAnsi="Arial" w:cs="Arial"/>
          <w:b w:val="0"/>
          <w:bCs/>
          <w:i/>
          <w:iCs/>
          <w:caps w:val="0"/>
          <w:sz w:val="20"/>
        </w:rPr>
        <w:t>Home healthcare now</w:t>
      </w:r>
      <w:r w:rsidR="006B501C" w:rsidRPr="001C6517">
        <w:rPr>
          <w:rFonts w:ascii="Arial" w:hAnsi="Arial" w:cs="Arial"/>
          <w:b w:val="0"/>
          <w:bCs/>
          <w:sz w:val="20"/>
        </w:rPr>
        <w:t>, *36*(2), 74-83. </w:t>
      </w:r>
      <w:hyperlink r:id="rId17" w:tgtFrame="_blank" w:history="1">
        <w:r w:rsidRPr="001C6517">
          <w:rPr>
            <w:rStyle w:val="Hyperlink"/>
            <w:rFonts w:ascii="Arial" w:hAnsi="Arial" w:cs="Arial"/>
            <w:b w:val="0"/>
            <w:bCs/>
            <w:caps w:val="0"/>
            <w:color w:val="auto"/>
            <w:sz w:val="20"/>
            <w:u w:val="none"/>
          </w:rPr>
          <w:t>Https://doi.org/xx.xxxx/hhn.0000000000000018</w:t>
        </w:r>
      </w:hyperlink>
    </w:p>
    <w:p w14:paraId="72B8E5DE" w14:textId="4C0B91B4"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Rolando, m., &amp; </w:t>
      </w:r>
      <w:proofErr w:type="spellStart"/>
      <w:r w:rsidRPr="005E4509">
        <w:rPr>
          <w:rFonts w:ascii="Arial" w:hAnsi="Arial" w:cs="Arial"/>
          <w:b w:val="0"/>
          <w:bCs/>
          <w:caps w:val="0"/>
          <w:sz w:val="20"/>
        </w:rPr>
        <w:t>vagge</w:t>
      </w:r>
      <w:proofErr w:type="spellEnd"/>
      <w:r w:rsidRPr="005E4509">
        <w:rPr>
          <w:rFonts w:ascii="Arial" w:hAnsi="Arial" w:cs="Arial"/>
          <w:b w:val="0"/>
          <w:bCs/>
          <w:caps w:val="0"/>
          <w:sz w:val="20"/>
        </w:rPr>
        <w:t xml:space="preserve">, a. (2017). Safety and efficacy of cortisol phosphate in hyaluronic acid vehicle in the treatment of dry eye in </w:t>
      </w:r>
      <w:proofErr w:type="spellStart"/>
      <w:r w:rsidRPr="005E4509">
        <w:rPr>
          <w:rFonts w:ascii="Arial" w:hAnsi="Arial" w:cs="Arial"/>
          <w:b w:val="0"/>
          <w:bCs/>
          <w:caps w:val="0"/>
          <w:sz w:val="20"/>
        </w:rPr>
        <w:t>sjogren</w:t>
      </w:r>
      <w:proofErr w:type="spellEnd"/>
      <w:r w:rsidRPr="005E4509">
        <w:rPr>
          <w:rFonts w:ascii="Arial" w:hAnsi="Arial" w:cs="Arial"/>
          <w:b w:val="0"/>
          <w:bCs/>
          <w:caps w:val="0"/>
          <w:sz w:val="20"/>
        </w:rPr>
        <w:t xml:space="preserve"> syndrome. </w:t>
      </w:r>
      <w:r w:rsidRPr="005E4509">
        <w:rPr>
          <w:rFonts w:ascii="Arial" w:hAnsi="Arial" w:cs="Arial"/>
          <w:b w:val="0"/>
          <w:bCs/>
          <w:i/>
          <w:iCs/>
          <w:caps w:val="0"/>
          <w:sz w:val="20"/>
        </w:rPr>
        <w:t>Journal of ocular pharmacology and therapeutics</w:t>
      </w:r>
      <w:r w:rsidR="006B501C" w:rsidRPr="006B501C">
        <w:rPr>
          <w:rFonts w:ascii="Arial" w:hAnsi="Arial" w:cs="Arial"/>
          <w:b w:val="0"/>
          <w:bCs/>
          <w:sz w:val="20"/>
        </w:rPr>
        <w:t>, *33*(5), 383-390. </w:t>
      </w:r>
      <w:hyperlink r:id="rId18" w:tgtFrame="_blank" w:history="1">
        <w:r w:rsidRPr="005E4509">
          <w:rPr>
            <w:rStyle w:val="Hyperlink"/>
            <w:rFonts w:ascii="Arial" w:hAnsi="Arial" w:cs="Arial"/>
            <w:b w:val="0"/>
            <w:bCs/>
            <w:caps w:val="0"/>
            <w:color w:val="auto"/>
            <w:sz w:val="20"/>
            <w:u w:val="none"/>
          </w:rPr>
          <w:t>Https://doi.org/xx.xxxx/jop.2017.0330383</w:t>
        </w:r>
      </w:hyperlink>
    </w:p>
    <w:p w14:paraId="3A57599A" w14:textId="2BD54FD8"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lang w:val="fr-FR"/>
        </w:rPr>
        <w:t>Byun</w:t>
      </w:r>
      <w:proofErr w:type="spellEnd"/>
      <w:r w:rsidRPr="005E4509">
        <w:rPr>
          <w:rFonts w:ascii="Arial" w:hAnsi="Arial" w:cs="Arial"/>
          <w:b w:val="0"/>
          <w:bCs/>
          <w:caps w:val="0"/>
          <w:sz w:val="20"/>
          <w:lang w:val="fr-FR"/>
        </w:rPr>
        <w:t xml:space="preserve">, y. J.,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t. I., </w:t>
      </w:r>
      <w:proofErr w:type="spellStart"/>
      <w:r w:rsidRPr="005E4509">
        <w:rPr>
          <w:rFonts w:ascii="Arial" w:hAnsi="Arial" w:cs="Arial"/>
          <w:b w:val="0"/>
          <w:bCs/>
          <w:caps w:val="0"/>
          <w:sz w:val="20"/>
          <w:lang w:val="fr-FR"/>
        </w:rPr>
        <w:t>kwon</w:t>
      </w:r>
      <w:proofErr w:type="spellEnd"/>
      <w:r w:rsidRPr="005E4509">
        <w:rPr>
          <w:rFonts w:ascii="Arial" w:hAnsi="Arial" w:cs="Arial"/>
          <w:b w:val="0"/>
          <w:bCs/>
          <w:caps w:val="0"/>
          <w:sz w:val="20"/>
          <w:lang w:val="fr-FR"/>
        </w:rPr>
        <w:t xml:space="preserve">, s. M., </w:t>
      </w:r>
      <w:proofErr w:type="spellStart"/>
      <w:r w:rsidRPr="005E4509">
        <w:rPr>
          <w:rFonts w:ascii="Arial" w:hAnsi="Arial" w:cs="Arial"/>
          <w:b w:val="0"/>
          <w:bCs/>
          <w:caps w:val="0"/>
          <w:sz w:val="20"/>
          <w:lang w:val="fr-FR"/>
        </w:rPr>
        <w:t>seo</w:t>
      </w:r>
      <w:proofErr w:type="spellEnd"/>
      <w:r w:rsidRPr="005E4509">
        <w:rPr>
          <w:rFonts w:ascii="Arial" w:hAnsi="Arial" w:cs="Arial"/>
          <w:b w:val="0"/>
          <w:bCs/>
          <w:caps w:val="0"/>
          <w:sz w:val="20"/>
          <w:lang w:val="fr-FR"/>
        </w:rPr>
        <w:t xml:space="preserve">, k. Y.,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s. W.,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e. K., et al. </w:t>
      </w:r>
      <w:r w:rsidRPr="005E4509">
        <w:rPr>
          <w:rFonts w:ascii="Arial" w:hAnsi="Arial" w:cs="Arial"/>
          <w:b w:val="0"/>
          <w:bCs/>
          <w:caps w:val="0"/>
          <w:sz w:val="20"/>
        </w:rPr>
        <w:t>(2012). Efficacy of combined 0.05% cyclosporine and 1% methylprednisolone treatment for chronic dry eye. </w:t>
      </w:r>
      <w:r w:rsidRPr="001C6517">
        <w:rPr>
          <w:rFonts w:ascii="Arial" w:hAnsi="Arial" w:cs="Arial"/>
          <w:b w:val="0"/>
          <w:bCs/>
          <w:i/>
          <w:iCs/>
          <w:caps w:val="0"/>
          <w:sz w:val="20"/>
        </w:rPr>
        <w:t>Cornea</w:t>
      </w:r>
      <w:r w:rsidR="006B501C" w:rsidRPr="001C6517">
        <w:rPr>
          <w:rFonts w:ascii="Arial" w:hAnsi="Arial" w:cs="Arial"/>
          <w:b w:val="0"/>
          <w:bCs/>
          <w:sz w:val="20"/>
        </w:rPr>
        <w:t>, *31*(5), 509-513. </w:t>
      </w:r>
      <w:hyperlink r:id="rId19" w:tgtFrame="_blank" w:history="1">
        <w:r w:rsidRPr="001C6517">
          <w:rPr>
            <w:rStyle w:val="Hyperlink"/>
            <w:rFonts w:ascii="Arial" w:hAnsi="Arial" w:cs="Arial"/>
            <w:b w:val="0"/>
            <w:bCs/>
            <w:caps w:val="0"/>
            <w:color w:val="auto"/>
            <w:sz w:val="20"/>
            <w:u w:val="none"/>
          </w:rPr>
          <w:t>Https://doi.org/xx.xxxx/ico.0b013e31823f8c1d</w:t>
        </w:r>
      </w:hyperlink>
    </w:p>
    <w:p w14:paraId="44154EC6" w14:textId="1F69B657"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Dong, y., wang, s., </w:t>
      </w:r>
      <w:proofErr w:type="spellStart"/>
      <w:r w:rsidRPr="005E4509">
        <w:rPr>
          <w:rFonts w:ascii="Arial" w:hAnsi="Arial" w:cs="Arial"/>
          <w:b w:val="0"/>
          <w:bCs/>
          <w:caps w:val="0"/>
          <w:sz w:val="20"/>
        </w:rPr>
        <w:t>cong</w:t>
      </w:r>
      <w:proofErr w:type="spellEnd"/>
      <w:r w:rsidRPr="005E4509">
        <w:rPr>
          <w:rFonts w:ascii="Arial" w:hAnsi="Arial" w:cs="Arial"/>
          <w:b w:val="0"/>
          <w:bCs/>
          <w:caps w:val="0"/>
          <w:sz w:val="20"/>
        </w:rPr>
        <w:t xml:space="preserve">, l., </w:t>
      </w:r>
      <w:proofErr w:type="spellStart"/>
      <w:r w:rsidRPr="005E4509">
        <w:rPr>
          <w:rFonts w:ascii="Arial" w:hAnsi="Arial" w:cs="Arial"/>
          <w:b w:val="0"/>
          <w:bCs/>
          <w:caps w:val="0"/>
          <w:sz w:val="20"/>
        </w:rPr>
        <w:t>zhang</w:t>
      </w:r>
      <w:proofErr w:type="spellEnd"/>
      <w:r w:rsidRPr="005E4509">
        <w:rPr>
          <w:rFonts w:ascii="Arial" w:hAnsi="Arial" w:cs="Arial"/>
          <w:b w:val="0"/>
          <w:bCs/>
          <w:caps w:val="0"/>
          <w:sz w:val="20"/>
        </w:rPr>
        <w:t xml:space="preserve">, t., </w:t>
      </w:r>
      <w:proofErr w:type="spellStart"/>
      <w:r w:rsidRPr="005E4509">
        <w:rPr>
          <w:rFonts w:ascii="Arial" w:hAnsi="Arial" w:cs="Arial"/>
          <w:b w:val="0"/>
          <w:bCs/>
          <w:caps w:val="0"/>
          <w:sz w:val="20"/>
        </w:rPr>
        <w:t>cheng</w:t>
      </w:r>
      <w:proofErr w:type="spellEnd"/>
      <w:r w:rsidRPr="005E4509">
        <w:rPr>
          <w:rFonts w:ascii="Arial" w:hAnsi="Arial" w:cs="Arial"/>
          <w:b w:val="0"/>
          <w:bCs/>
          <w:caps w:val="0"/>
          <w:sz w:val="20"/>
        </w:rPr>
        <w:t xml:space="preserve">, j., yang, n., et al. (2022). </w:t>
      </w:r>
      <w:proofErr w:type="spellStart"/>
      <w:r w:rsidRPr="005E4509">
        <w:rPr>
          <w:rFonts w:ascii="Arial" w:hAnsi="Arial" w:cs="Arial"/>
          <w:b w:val="0"/>
          <w:bCs/>
          <w:caps w:val="0"/>
          <w:sz w:val="20"/>
        </w:rPr>
        <w:t>Tnf</w:t>
      </w:r>
      <w:proofErr w:type="spellEnd"/>
      <w:r w:rsidRPr="005E4509">
        <w:rPr>
          <w:rFonts w:ascii="Arial" w:hAnsi="Arial" w:cs="Arial"/>
          <w:b w:val="0"/>
          <w:bCs/>
          <w:caps w:val="0"/>
          <w:sz w:val="20"/>
        </w:rPr>
        <w:t>-</w:t>
      </w:r>
      <w:r w:rsidRPr="005E4509">
        <w:rPr>
          <w:rFonts w:ascii="Arial" w:hAnsi="Arial" w:cs="Arial"/>
          <w:b w:val="0"/>
          <w:bCs/>
          <w:caps w:val="0"/>
          <w:sz w:val="20"/>
          <w:lang w:val="fr-FR"/>
        </w:rPr>
        <w:t>α</w:t>
      </w:r>
      <w:r w:rsidRPr="005E4509">
        <w:rPr>
          <w:rFonts w:ascii="Arial" w:hAnsi="Arial" w:cs="Arial"/>
          <w:b w:val="0"/>
          <w:bCs/>
          <w:caps w:val="0"/>
          <w:sz w:val="20"/>
        </w:rPr>
        <w:t xml:space="preserve"> inhibitor </w:t>
      </w:r>
      <w:proofErr w:type="spellStart"/>
      <w:r w:rsidRPr="005E4509">
        <w:rPr>
          <w:rFonts w:ascii="Arial" w:hAnsi="Arial" w:cs="Arial"/>
          <w:b w:val="0"/>
          <w:bCs/>
          <w:caps w:val="0"/>
          <w:sz w:val="20"/>
        </w:rPr>
        <w:t>tanfanercept</w:t>
      </w:r>
      <w:proofErr w:type="spellEnd"/>
      <w:r w:rsidRPr="005E4509">
        <w:rPr>
          <w:rFonts w:ascii="Arial" w:hAnsi="Arial" w:cs="Arial"/>
          <w:b w:val="0"/>
          <w:bCs/>
          <w:caps w:val="0"/>
          <w:sz w:val="20"/>
        </w:rPr>
        <w:t xml:space="preserve"> (hbm9036) improves signs and symptoms of dry eye in a phase 2 trial in the controlled adverse environment in china. </w:t>
      </w:r>
      <w:r w:rsidRPr="001C6517">
        <w:rPr>
          <w:rFonts w:ascii="Arial" w:hAnsi="Arial" w:cs="Arial"/>
          <w:b w:val="0"/>
          <w:bCs/>
          <w:i/>
          <w:iCs/>
          <w:caps w:val="0"/>
          <w:sz w:val="20"/>
        </w:rPr>
        <w:t>International ophthalmology</w:t>
      </w:r>
      <w:r w:rsidR="006B501C" w:rsidRPr="001C6517">
        <w:rPr>
          <w:rFonts w:ascii="Arial" w:hAnsi="Arial" w:cs="Arial"/>
          <w:b w:val="0"/>
          <w:bCs/>
          <w:sz w:val="20"/>
        </w:rPr>
        <w:t>, *42*(8), 2459-2472. </w:t>
      </w:r>
      <w:hyperlink r:id="rId20" w:tgtFrame="_blank" w:history="1">
        <w:r w:rsidRPr="001C6517">
          <w:rPr>
            <w:rStyle w:val="Hyperlink"/>
            <w:rFonts w:ascii="Arial" w:hAnsi="Arial" w:cs="Arial"/>
            <w:b w:val="0"/>
            <w:bCs/>
            <w:caps w:val="0"/>
            <w:color w:val="auto"/>
            <w:sz w:val="20"/>
            <w:u w:val="none"/>
          </w:rPr>
          <w:t>Https://doi.org/xx.xxxx/s10792-022-02320-7</w:t>
        </w:r>
      </w:hyperlink>
    </w:p>
    <w:p w14:paraId="007BD601" w14:textId="67D18182"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Messmer, e. M., </w:t>
      </w:r>
      <w:proofErr w:type="spellStart"/>
      <w:r w:rsidRPr="005E4509">
        <w:rPr>
          <w:rFonts w:ascii="Arial" w:hAnsi="Arial" w:cs="Arial"/>
          <w:b w:val="0"/>
          <w:bCs/>
          <w:caps w:val="0"/>
          <w:sz w:val="20"/>
        </w:rPr>
        <w:t>ahmad</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benitez</w:t>
      </w:r>
      <w:proofErr w:type="spellEnd"/>
      <w:r w:rsidRPr="005E4509">
        <w:rPr>
          <w:rFonts w:ascii="Arial" w:hAnsi="Arial" w:cs="Arial"/>
          <w:b w:val="0"/>
          <w:bCs/>
          <w:caps w:val="0"/>
          <w:sz w:val="20"/>
        </w:rPr>
        <w:t xml:space="preserve"> del </w:t>
      </w:r>
      <w:proofErr w:type="spellStart"/>
      <w:r w:rsidRPr="005E4509">
        <w:rPr>
          <w:rFonts w:ascii="Arial" w:hAnsi="Arial" w:cs="Arial"/>
          <w:b w:val="0"/>
          <w:bCs/>
          <w:caps w:val="0"/>
          <w:sz w:val="20"/>
        </w:rPr>
        <w:t>castillo</w:t>
      </w:r>
      <w:proofErr w:type="spellEnd"/>
      <w:r w:rsidRPr="005E4509">
        <w:rPr>
          <w:rFonts w:ascii="Arial" w:hAnsi="Arial" w:cs="Arial"/>
          <w:b w:val="0"/>
          <w:bCs/>
          <w:caps w:val="0"/>
          <w:sz w:val="20"/>
        </w:rPr>
        <w:t xml:space="preserve">, j. M., </w:t>
      </w:r>
      <w:proofErr w:type="spellStart"/>
      <w:r w:rsidRPr="005E4509">
        <w:rPr>
          <w:rFonts w:ascii="Arial" w:hAnsi="Arial" w:cs="Arial"/>
          <w:b w:val="0"/>
          <w:bCs/>
          <w:caps w:val="0"/>
          <w:sz w:val="20"/>
        </w:rPr>
        <w:t>mrukwa-kominek</w:t>
      </w:r>
      <w:proofErr w:type="spellEnd"/>
      <w:r w:rsidRPr="005E4509">
        <w:rPr>
          <w:rFonts w:ascii="Arial" w:hAnsi="Arial" w:cs="Arial"/>
          <w:b w:val="0"/>
          <w:bCs/>
          <w:caps w:val="0"/>
          <w:sz w:val="20"/>
        </w:rPr>
        <w:t xml:space="preserve">, e., </w:t>
      </w:r>
      <w:proofErr w:type="spellStart"/>
      <w:r w:rsidRPr="005E4509">
        <w:rPr>
          <w:rFonts w:ascii="Arial" w:hAnsi="Arial" w:cs="Arial"/>
          <w:b w:val="0"/>
          <w:bCs/>
          <w:caps w:val="0"/>
          <w:sz w:val="20"/>
        </w:rPr>
        <w:t>rolando</w:t>
      </w:r>
      <w:proofErr w:type="spellEnd"/>
      <w:r w:rsidRPr="005E4509">
        <w:rPr>
          <w:rFonts w:ascii="Arial" w:hAnsi="Arial" w:cs="Arial"/>
          <w:b w:val="0"/>
          <w:bCs/>
          <w:caps w:val="0"/>
          <w:sz w:val="20"/>
        </w:rPr>
        <w:t xml:space="preserve">, m., </w:t>
      </w:r>
      <w:proofErr w:type="spellStart"/>
      <w:r w:rsidRPr="005E4509">
        <w:rPr>
          <w:rFonts w:ascii="Arial" w:hAnsi="Arial" w:cs="Arial"/>
          <w:b w:val="0"/>
          <w:bCs/>
          <w:caps w:val="0"/>
          <w:sz w:val="20"/>
        </w:rPr>
        <w:t>vitovska</w:t>
      </w:r>
      <w:proofErr w:type="spellEnd"/>
      <w:r w:rsidRPr="005E4509">
        <w:rPr>
          <w:rFonts w:ascii="Arial" w:hAnsi="Arial" w:cs="Arial"/>
          <w:b w:val="0"/>
          <w:bCs/>
          <w:caps w:val="0"/>
          <w:sz w:val="20"/>
        </w:rPr>
        <w:t xml:space="preserve">, o., et al. (2023). Management of inflammation in dry eye disease: recommendations from a </w:t>
      </w:r>
      <w:proofErr w:type="spellStart"/>
      <w:r w:rsidRPr="005E4509">
        <w:rPr>
          <w:rFonts w:ascii="Arial" w:hAnsi="Arial" w:cs="Arial"/>
          <w:b w:val="0"/>
          <w:bCs/>
          <w:caps w:val="0"/>
          <w:sz w:val="20"/>
        </w:rPr>
        <w:t>european</w:t>
      </w:r>
      <w:proofErr w:type="spellEnd"/>
      <w:r w:rsidRPr="005E4509">
        <w:rPr>
          <w:rFonts w:ascii="Arial" w:hAnsi="Arial" w:cs="Arial"/>
          <w:b w:val="0"/>
          <w:bCs/>
          <w:caps w:val="0"/>
          <w:sz w:val="20"/>
        </w:rPr>
        <w:t xml:space="preserve"> panel of experts. </w:t>
      </w:r>
      <w:r w:rsidRPr="001C6517">
        <w:rPr>
          <w:rFonts w:ascii="Arial" w:hAnsi="Arial" w:cs="Arial"/>
          <w:b w:val="0"/>
          <w:bCs/>
          <w:i/>
          <w:iCs/>
          <w:caps w:val="0"/>
          <w:sz w:val="20"/>
        </w:rPr>
        <w:t>European journal of ophthalmology</w:t>
      </w:r>
      <w:r w:rsidR="006B501C" w:rsidRPr="001C6517">
        <w:rPr>
          <w:rFonts w:ascii="Arial" w:hAnsi="Arial" w:cs="Arial"/>
          <w:b w:val="0"/>
          <w:bCs/>
          <w:sz w:val="20"/>
        </w:rPr>
        <w:t>, *33*(3), 1294-1307. </w:t>
      </w:r>
      <w:hyperlink r:id="rId21" w:tgtFrame="_blank" w:history="1">
        <w:r w:rsidRPr="001C6517">
          <w:rPr>
            <w:rStyle w:val="Hyperlink"/>
            <w:rFonts w:ascii="Arial" w:hAnsi="Arial" w:cs="Arial"/>
            <w:b w:val="0"/>
            <w:bCs/>
            <w:caps w:val="0"/>
            <w:color w:val="auto"/>
            <w:sz w:val="20"/>
            <w:u w:val="none"/>
          </w:rPr>
          <w:t>Https://doi.org/xx.xxxx/11206721231156730</w:t>
        </w:r>
      </w:hyperlink>
    </w:p>
    <w:p w14:paraId="29CD9033" w14:textId="77788644"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Li, d. Q., </w:t>
      </w:r>
      <w:proofErr w:type="spellStart"/>
      <w:r w:rsidRPr="005E4509">
        <w:rPr>
          <w:rFonts w:ascii="Arial" w:hAnsi="Arial" w:cs="Arial"/>
          <w:b w:val="0"/>
          <w:bCs/>
          <w:caps w:val="0"/>
          <w:sz w:val="20"/>
        </w:rPr>
        <w:t>luo</w:t>
      </w:r>
      <w:proofErr w:type="spellEnd"/>
      <w:r w:rsidRPr="005E4509">
        <w:rPr>
          <w:rFonts w:ascii="Arial" w:hAnsi="Arial" w:cs="Arial"/>
          <w:b w:val="0"/>
          <w:bCs/>
          <w:caps w:val="0"/>
          <w:sz w:val="20"/>
        </w:rPr>
        <w:t xml:space="preserve">, l., </w:t>
      </w:r>
      <w:proofErr w:type="spellStart"/>
      <w:r w:rsidRPr="005E4509">
        <w:rPr>
          <w:rFonts w:ascii="Arial" w:hAnsi="Arial" w:cs="Arial"/>
          <w:b w:val="0"/>
          <w:bCs/>
          <w:caps w:val="0"/>
          <w:sz w:val="20"/>
        </w:rPr>
        <w:t>chen</w:t>
      </w:r>
      <w:proofErr w:type="spellEnd"/>
      <w:r w:rsidRPr="005E4509">
        <w:rPr>
          <w:rFonts w:ascii="Arial" w:hAnsi="Arial" w:cs="Arial"/>
          <w:b w:val="0"/>
          <w:bCs/>
          <w:caps w:val="0"/>
          <w:sz w:val="20"/>
        </w:rPr>
        <w:t xml:space="preserve">, z.,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xml:space="preserve">, h. S., song, x. J., &amp; </w:t>
      </w:r>
      <w:proofErr w:type="spellStart"/>
      <w:r w:rsidRPr="005E4509">
        <w:rPr>
          <w:rFonts w:ascii="Arial" w:hAnsi="Arial" w:cs="Arial"/>
          <w:b w:val="0"/>
          <w:bCs/>
          <w:caps w:val="0"/>
          <w:sz w:val="20"/>
        </w:rPr>
        <w:t>pflugfelder</w:t>
      </w:r>
      <w:proofErr w:type="spellEnd"/>
      <w:r w:rsidRPr="005E4509">
        <w:rPr>
          <w:rFonts w:ascii="Arial" w:hAnsi="Arial" w:cs="Arial"/>
          <w:b w:val="0"/>
          <w:bCs/>
          <w:caps w:val="0"/>
          <w:sz w:val="20"/>
        </w:rPr>
        <w:t xml:space="preserve">, s. C. (2006). </w:t>
      </w:r>
      <w:proofErr w:type="spellStart"/>
      <w:r w:rsidRPr="005E4509">
        <w:rPr>
          <w:rFonts w:ascii="Arial" w:hAnsi="Arial" w:cs="Arial"/>
          <w:b w:val="0"/>
          <w:bCs/>
          <w:caps w:val="0"/>
          <w:sz w:val="20"/>
        </w:rPr>
        <w:t>Jnk</w:t>
      </w:r>
      <w:proofErr w:type="spellEnd"/>
      <w:r w:rsidRPr="005E4509">
        <w:rPr>
          <w:rFonts w:ascii="Arial" w:hAnsi="Arial" w:cs="Arial"/>
          <w:b w:val="0"/>
          <w:bCs/>
          <w:caps w:val="0"/>
          <w:sz w:val="20"/>
        </w:rPr>
        <w:t xml:space="preserve"> and </w:t>
      </w:r>
      <w:proofErr w:type="spellStart"/>
      <w:r w:rsidRPr="005E4509">
        <w:rPr>
          <w:rFonts w:ascii="Arial" w:hAnsi="Arial" w:cs="Arial"/>
          <w:b w:val="0"/>
          <w:bCs/>
          <w:caps w:val="0"/>
          <w:sz w:val="20"/>
        </w:rPr>
        <w:t>erk</w:t>
      </w:r>
      <w:proofErr w:type="spellEnd"/>
      <w:r w:rsidRPr="005E4509">
        <w:rPr>
          <w:rFonts w:ascii="Arial" w:hAnsi="Arial" w:cs="Arial"/>
          <w:b w:val="0"/>
          <w:bCs/>
          <w:caps w:val="0"/>
          <w:sz w:val="20"/>
        </w:rPr>
        <w:t xml:space="preserve"> map kinases mediate induction of il-1</w:t>
      </w:r>
      <w:r w:rsidRPr="005E4509">
        <w:rPr>
          <w:rFonts w:ascii="Arial" w:hAnsi="Arial" w:cs="Arial"/>
          <w:b w:val="0"/>
          <w:bCs/>
          <w:caps w:val="0"/>
          <w:sz w:val="20"/>
          <w:lang w:val="fr-FR"/>
        </w:rPr>
        <w:t>β</w:t>
      </w:r>
      <w:r w:rsidRPr="005E4509">
        <w:rPr>
          <w:rFonts w:ascii="Arial" w:hAnsi="Arial" w:cs="Arial"/>
          <w:b w:val="0"/>
          <w:bCs/>
          <w:caps w:val="0"/>
          <w:sz w:val="20"/>
        </w:rPr>
        <w:t xml:space="preserve">, </w:t>
      </w:r>
      <w:proofErr w:type="spellStart"/>
      <w:r w:rsidRPr="005E4509">
        <w:rPr>
          <w:rFonts w:ascii="Arial" w:hAnsi="Arial" w:cs="Arial"/>
          <w:b w:val="0"/>
          <w:bCs/>
          <w:caps w:val="0"/>
          <w:sz w:val="20"/>
        </w:rPr>
        <w:t>tnf</w:t>
      </w:r>
      <w:proofErr w:type="spellEnd"/>
      <w:r w:rsidRPr="005E4509">
        <w:rPr>
          <w:rFonts w:ascii="Arial" w:hAnsi="Arial" w:cs="Arial"/>
          <w:b w:val="0"/>
          <w:bCs/>
          <w:caps w:val="0"/>
          <w:sz w:val="20"/>
        </w:rPr>
        <w:t>-</w:t>
      </w:r>
      <w:r w:rsidRPr="005E4509">
        <w:rPr>
          <w:rFonts w:ascii="Arial" w:hAnsi="Arial" w:cs="Arial"/>
          <w:b w:val="0"/>
          <w:bCs/>
          <w:caps w:val="0"/>
          <w:sz w:val="20"/>
          <w:lang w:val="fr-FR"/>
        </w:rPr>
        <w:t>α</w:t>
      </w:r>
      <w:r w:rsidRPr="005E4509">
        <w:rPr>
          <w:rFonts w:ascii="Arial" w:hAnsi="Arial" w:cs="Arial"/>
          <w:b w:val="0"/>
          <w:bCs/>
          <w:caps w:val="0"/>
          <w:sz w:val="20"/>
        </w:rPr>
        <w:t xml:space="preserve"> and il-8 following hyperosmolar stress in human limbal </w:t>
      </w:r>
      <w:r w:rsidRPr="005E4509">
        <w:rPr>
          <w:rFonts w:ascii="Arial" w:hAnsi="Arial" w:cs="Arial"/>
          <w:b w:val="0"/>
          <w:bCs/>
          <w:caps w:val="0"/>
          <w:sz w:val="20"/>
        </w:rPr>
        <w:lastRenderedPageBreak/>
        <w:t>epithelial cells. </w:t>
      </w:r>
      <w:r w:rsidRPr="005E4509">
        <w:rPr>
          <w:rFonts w:ascii="Arial" w:hAnsi="Arial" w:cs="Arial"/>
          <w:b w:val="0"/>
          <w:bCs/>
          <w:i/>
          <w:iCs/>
          <w:caps w:val="0"/>
          <w:sz w:val="20"/>
        </w:rPr>
        <w:t>Experimental eye research</w:t>
      </w:r>
      <w:r w:rsidR="006B501C" w:rsidRPr="006B501C">
        <w:rPr>
          <w:rFonts w:ascii="Arial" w:hAnsi="Arial" w:cs="Arial"/>
          <w:b w:val="0"/>
          <w:bCs/>
          <w:sz w:val="20"/>
        </w:rPr>
        <w:t>, *82*(4), 588-596. </w:t>
      </w:r>
      <w:hyperlink r:id="rId22" w:tgtFrame="_blank" w:history="1">
        <w:r w:rsidRPr="005E4509">
          <w:rPr>
            <w:rStyle w:val="Hyperlink"/>
            <w:rFonts w:ascii="Arial" w:hAnsi="Arial" w:cs="Arial"/>
            <w:b w:val="0"/>
            <w:bCs/>
            <w:caps w:val="0"/>
            <w:color w:val="auto"/>
            <w:sz w:val="20"/>
            <w:u w:val="none"/>
          </w:rPr>
          <w:t>Https://doi.org/xx.xxxx/j.exer.2005.08.019</w:t>
        </w:r>
      </w:hyperlink>
    </w:p>
    <w:p w14:paraId="4E21B1F8" w14:textId="5D4D92CE"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Hessen, m., &amp; </w:t>
      </w:r>
      <w:proofErr w:type="spellStart"/>
      <w:r w:rsidRPr="005E4509">
        <w:rPr>
          <w:rFonts w:ascii="Arial" w:hAnsi="Arial" w:cs="Arial"/>
          <w:b w:val="0"/>
          <w:bCs/>
          <w:caps w:val="0"/>
          <w:sz w:val="20"/>
        </w:rPr>
        <w:t>akpek</w:t>
      </w:r>
      <w:proofErr w:type="spellEnd"/>
      <w:r w:rsidRPr="005E4509">
        <w:rPr>
          <w:rFonts w:ascii="Arial" w:hAnsi="Arial" w:cs="Arial"/>
          <w:b w:val="0"/>
          <w:bCs/>
          <w:caps w:val="0"/>
          <w:sz w:val="20"/>
        </w:rPr>
        <w:t>, e. K. (2014). Dry eye: an inflammatory ocular disease. </w:t>
      </w:r>
      <w:r w:rsidRPr="005E4509">
        <w:rPr>
          <w:rFonts w:ascii="Arial" w:hAnsi="Arial" w:cs="Arial"/>
          <w:b w:val="0"/>
          <w:bCs/>
          <w:i/>
          <w:iCs/>
          <w:caps w:val="0"/>
          <w:sz w:val="20"/>
        </w:rPr>
        <w:t>Journal of ophthalmic vision research</w:t>
      </w:r>
      <w:r w:rsidR="006B501C" w:rsidRPr="006B501C">
        <w:rPr>
          <w:rFonts w:ascii="Arial" w:hAnsi="Arial" w:cs="Arial"/>
          <w:b w:val="0"/>
          <w:bCs/>
          <w:sz w:val="20"/>
        </w:rPr>
        <w:t>, *9*(2), 240-250. </w:t>
      </w:r>
      <w:hyperlink r:id="rId23" w:tgtFrame="_blank" w:history="1">
        <w:r w:rsidRPr="005E4509">
          <w:rPr>
            <w:rStyle w:val="Hyperlink"/>
            <w:rFonts w:ascii="Arial" w:hAnsi="Arial" w:cs="Arial"/>
            <w:b w:val="0"/>
            <w:bCs/>
            <w:caps w:val="0"/>
            <w:color w:val="auto"/>
            <w:sz w:val="20"/>
            <w:u w:val="none"/>
          </w:rPr>
          <w:t>Https://doi.org/xx.xxxx/jovr.2014.9.2.240</w:t>
        </w:r>
      </w:hyperlink>
    </w:p>
    <w:p w14:paraId="7DB55A55" w14:textId="159DE9F0"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Lee, h. K., </w:t>
      </w:r>
      <w:proofErr w:type="spellStart"/>
      <w:r w:rsidRPr="005E4509">
        <w:rPr>
          <w:rFonts w:ascii="Arial" w:hAnsi="Arial" w:cs="Arial"/>
          <w:b w:val="0"/>
          <w:bCs/>
          <w:caps w:val="0"/>
          <w:sz w:val="20"/>
        </w:rPr>
        <w:t>ryu</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H., </w:t>
      </w:r>
      <w:proofErr w:type="spellStart"/>
      <w:r w:rsidRPr="005E4509">
        <w:rPr>
          <w:rFonts w:ascii="Arial" w:hAnsi="Arial" w:cs="Arial"/>
          <w:b w:val="0"/>
          <w:bCs/>
          <w:caps w:val="0"/>
          <w:sz w:val="20"/>
        </w:rPr>
        <w:t>seo</w:t>
      </w:r>
      <w:proofErr w:type="spellEnd"/>
      <w:r w:rsidRPr="005E4509">
        <w:rPr>
          <w:rFonts w:ascii="Arial" w:hAnsi="Arial" w:cs="Arial"/>
          <w:b w:val="0"/>
          <w:bCs/>
          <w:caps w:val="0"/>
          <w:sz w:val="20"/>
        </w:rPr>
        <w:t xml:space="preserve">, k. Y., </w:t>
      </w:r>
      <w:proofErr w:type="spellStart"/>
      <w:r w:rsidRPr="005E4509">
        <w:rPr>
          <w:rFonts w:ascii="Arial" w:hAnsi="Arial" w:cs="Arial"/>
          <w:b w:val="0"/>
          <w:bCs/>
          <w:caps w:val="0"/>
          <w:sz w:val="20"/>
        </w:rPr>
        <w:t>hong</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xml:space="preserve">, h. C., &amp;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e. K. (2006). Topical 0.1% prednisolone lowers nerve growth factor expression in keratoconjunctivitis sicca patients. </w:t>
      </w:r>
      <w:r w:rsidRPr="001C6517">
        <w:rPr>
          <w:rFonts w:ascii="Arial" w:hAnsi="Arial" w:cs="Arial"/>
          <w:b w:val="0"/>
          <w:bCs/>
          <w:i/>
          <w:iCs/>
          <w:caps w:val="0"/>
          <w:sz w:val="20"/>
        </w:rPr>
        <w:t>Ophthalmology</w:t>
      </w:r>
      <w:r w:rsidR="006B501C" w:rsidRPr="001C6517">
        <w:rPr>
          <w:rFonts w:ascii="Arial" w:hAnsi="Arial" w:cs="Arial"/>
          <w:b w:val="0"/>
          <w:bCs/>
          <w:sz w:val="20"/>
        </w:rPr>
        <w:t>, *113*(2), 198-205. </w:t>
      </w:r>
      <w:hyperlink r:id="rId24" w:tgtFrame="_blank" w:history="1">
        <w:r w:rsidRPr="001C6517">
          <w:rPr>
            <w:rStyle w:val="Hyperlink"/>
            <w:rFonts w:ascii="Arial" w:hAnsi="Arial" w:cs="Arial"/>
            <w:b w:val="0"/>
            <w:bCs/>
            <w:caps w:val="0"/>
            <w:color w:val="auto"/>
            <w:sz w:val="20"/>
            <w:u w:val="none"/>
          </w:rPr>
          <w:t>Https://doi.org/xx.xxxx/j.ophtha.2005.09.027</w:t>
        </w:r>
      </w:hyperlink>
    </w:p>
    <w:p w14:paraId="3157724E" w14:textId="1080DCFB"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Liu, s. H., </w:t>
      </w:r>
      <w:proofErr w:type="spellStart"/>
      <w:r w:rsidRPr="005E4509">
        <w:rPr>
          <w:rFonts w:ascii="Arial" w:hAnsi="Arial" w:cs="Arial"/>
          <w:b w:val="0"/>
          <w:bCs/>
          <w:caps w:val="0"/>
          <w:sz w:val="20"/>
        </w:rPr>
        <w:t>saldanha</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J., </w:t>
      </w:r>
      <w:proofErr w:type="spellStart"/>
      <w:r w:rsidRPr="005E4509">
        <w:rPr>
          <w:rFonts w:ascii="Arial" w:hAnsi="Arial" w:cs="Arial"/>
          <w:b w:val="0"/>
          <w:bCs/>
          <w:caps w:val="0"/>
          <w:sz w:val="20"/>
        </w:rPr>
        <w:t>abraham</w:t>
      </w:r>
      <w:proofErr w:type="spellEnd"/>
      <w:r w:rsidRPr="005E4509">
        <w:rPr>
          <w:rFonts w:ascii="Arial" w:hAnsi="Arial" w:cs="Arial"/>
          <w:b w:val="0"/>
          <w:bCs/>
          <w:caps w:val="0"/>
          <w:sz w:val="20"/>
        </w:rPr>
        <w:t xml:space="preserve">, a. G., </w:t>
      </w:r>
      <w:proofErr w:type="spellStart"/>
      <w:r w:rsidRPr="005E4509">
        <w:rPr>
          <w:rFonts w:ascii="Arial" w:hAnsi="Arial" w:cs="Arial"/>
          <w:b w:val="0"/>
          <w:bCs/>
          <w:caps w:val="0"/>
          <w:sz w:val="20"/>
        </w:rPr>
        <w:t>rittiphairoj</w:t>
      </w:r>
      <w:proofErr w:type="spellEnd"/>
      <w:r w:rsidRPr="005E4509">
        <w:rPr>
          <w:rFonts w:ascii="Arial" w:hAnsi="Arial" w:cs="Arial"/>
          <w:b w:val="0"/>
          <w:bCs/>
          <w:caps w:val="0"/>
          <w:sz w:val="20"/>
        </w:rPr>
        <w:t xml:space="preserve">, t., </w:t>
      </w:r>
      <w:proofErr w:type="spellStart"/>
      <w:r w:rsidRPr="005E4509">
        <w:rPr>
          <w:rFonts w:ascii="Arial" w:hAnsi="Arial" w:cs="Arial"/>
          <w:b w:val="0"/>
          <w:bCs/>
          <w:caps w:val="0"/>
          <w:sz w:val="20"/>
        </w:rPr>
        <w:t>hauswirth</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gregory</w:t>
      </w:r>
      <w:proofErr w:type="spellEnd"/>
      <w:r w:rsidRPr="005E4509">
        <w:rPr>
          <w:rFonts w:ascii="Arial" w:hAnsi="Arial" w:cs="Arial"/>
          <w:b w:val="0"/>
          <w:bCs/>
          <w:caps w:val="0"/>
          <w:sz w:val="20"/>
        </w:rPr>
        <w:t>, d., et al. (2022). Topical corticosteroids for dry eye. </w:t>
      </w:r>
      <w:r w:rsidRPr="005E4509">
        <w:rPr>
          <w:rFonts w:ascii="Arial" w:hAnsi="Arial" w:cs="Arial"/>
          <w:b w:val="0"/>
          <w:bCs/>
          <w:i/>
          <w:iCs/>
          <w:caps w:val="0"/>
          <w:sz w:val="20"/>
        </w:rPr>
        <w:t>Cochrane database of systematic reviews</w:t>
      </w:r>
      <w:r w:rsidRPr="005E4509">
        <w:rPr>
          <w:rFonts w:ascii="Arial" w:hAnsi="Arial" w:cs="Arial"/>
          <w:b w:val="0"/>
          <w:bCs/>
          <w:caps w:val="0"/>
          <w:sz w:val="20"/>
        </w:rPr>
        <w:t>, *10*(10), cd015070. </w:t>
      </w:r>
      <w:hyperlink r:id="rId25" w:tgtFrame="_blank" w:history="1">
        <w:r w:rsidRPr="001C6517">
          <w:rPr>
            <w:rStyle w:val="Hyperlink"/>
            <w:rFonts w:ascii="Arial" w:hAnsi="Arial" w:cs="Arial"/>
            <w:b w:val="0"/>
            <w:bCs/>
            <w:caps w:val="0"/>
            <w:color w:val="auto"/>
            <w:sz w:val="20"/>
            <w:u w:val="none"/>
          </w:rPr>
          <w:t>Https://doi.org/xx.xxxx/14651858.cd015070.pub2</w:t>
        </w:r>
      </w:hyperlink>
    </w:p>
    <w:p w14:paraId="02C8E4E5" w14:textId="453C0B0F" w:rsidR="006B501C" w:rsidRPr="001C6517" w:rsidRDefault="00530714" w:rsidP="00644664">
      <w:pPr>
        <w:pStyle w:val="ReferHead"/>
        <w:jc w:val="both"/>
        <w:rPr>
          <w:rFonts w:ascii="Arial" w:hAnsi="Arial" w:cs="Arial"/>
          <w:b w:val="0"/>
          <w:bCs/>
          <w:sz w:val="20"/>
        </w:rPr>
      </w:pPr>
      <w:r w:rsidRPr="001C6517">
        <w:rPr>
          <w:rFonts w:ascii="Arial" w:hAnsi="Arial" w:cs="Arial"/>
          <w:b w:val="0"/>
          <w:bCs/>
          <w:caps w:val="0"/>
          <w:sz w:val="20"/>
        </w:rPr>
        <w:t xml:space="preserve">Gupta, p. K., </w:t>
      </w:r>
      <w:proofErr w:type="spellStart"/>
      <w:r w:rsidRPr="001C6517">
        <w:rPr>
          <w:rFonts w:ascii="Arial" w:hAnsi="Arial" w:cs="Arial"/>
          <w:b w:val="0"/>
          <w:bCs/>
          <w:caps w:val="0"/>
          <w:sz w:val="20"/>
        </w:rPr>
        <w:t>toyos</w:t>
      </w:r>
      <w:proofErr w:type="spellEnd"/>
      <w:r w:rsidRPr="001C6517">
        <w:rPr>
          <w:rFonts w:ascii="Arial" w:hAnsi="Arial" w:cs="Arial"/>
          <w:b w:val="0"/>
          <w:bCs/>
          <w:caps w:val="0"/>
          <w:sz w:val="20"/>
        </w:rPr>
        <w:t xml:space="preserve">, r., </w:t>
      </w:r>
      <w:proofErr w:type="spellStart"/>
      <w:r w:rsidRPr="001C6517">
        <w:rPr>
          <w:rFonts w:ascii="Arial" w:hAnsi="Arial" w:cs="Arial"/>
          <w:b w:val="0"/>
          <w:bCs/>
          <w:caps w:val="0"/>
          <w:sz w:val="20"/>
        </w:rPr>
        <w:t>sheppard</w:t>
      </w:r>
      <w:proofErr w:type="spellEnd"/>
      <w:r w:rsidRPr="001C6517">
        <w:rPr>
          <w:rFonts w:ascii="Arial" w:hAnsi="Arial" w:cs="Arial"/>
          <w:b w:val="0"/>
          <w:bCs/>
          <w:caps w:val="0"/>
          <w:sz w:val="20"/>
        </w:rPr>
        <w:t xml:space="preserve">, j. D., </w:t>
      </w:r>
      <w:proofErr w:type="spellStart"/>
      <w:r w:rsidRPr="001C6517">
        <w:rPr>
          <w:rFonts w:ascii="Arial" w:hAnsi="Arial" w:cs="Arial"/>
          <w:b w:val="0"/>
          <w:bCs/>
          <w:caps w:val="0"/>
          <w:sz w:val="20"/>
        </w:rPr>
        <w:t>toyos</w:t>
      </w:r>
      <w:proofErr w:type="spellEnd"/>
      <w:r w:rsidRPr="001C6517">
        <w:rPr>
          <w:rFonts w:ascii="Arial" w:hAnsi="Arial" w:cs="Arial"/>
          <w:b w:val="0"/>
          <w:bCs/>
          <w:caps w:val="0"/>
          <w:sz w:val="20"/>
        </w:rPr>
        <w:t xml:space="preserve">, m., </w:t>
      </w:r>
      <w:proofErr w:type="spellStart"/>
      <w:r w:rsidRPr="001C6517">
        <w:rPr>
          <w:rFonts w:ascii="Arial" w:hAnsi="Arial" w:cs="Arial"/>
          <w:b w:val="0"/>
          <w:bCs/>
          <w:caps w:val="0"/>
          <w:sz w:val="20"/>
        </w:rPr>
        <w:t>mah</w:t>
      </w:r>
      <w:proofErr w:type="spellEnd"/>
      <w:r w:rsidRPr="001C6517">
        <w:rPr>
          <w:rFonts w:ascii="Arial" w:hAnsi="Arial" w:cs="Arial"/>
          <w:b w:val="0"/>
          <w:bCs/>
          <w:caps w:val="0"/>
          <w:sz w:val="20"/>
        </w:rPr>
        <w:t xml:space="preserve">, f. S., bird, b., et al. </w:t>
      </w:r>
      <w:r w:rsidRPr="005E4509">
        <w:rPr>
          <w:rFonts w:ascii="Arial" w:hAnsi="Arial" w:cs="Arial"/>
          <w:b w:val="0"/>
          <w:bCs/>
          <w:caps w:val="0"/>
          <w:sz w:val="20"/>
        </w:rPr>
        <w:t>(2024). Tolerability of current treatments for dry eye disease: a review of approved and investigational therapies. </w:t>
      </w:r>
      <w:r w:rsidRPr="001C6517">
        <w:rPr>
          <w:rFonts w:ascii="Arial" w:hAnsi="Arial" w:cs="Arial"/>
          <w:b w:val="0"/>
          <w:bCs/>
          <w:i/>
          <w:iCs/>
          <w:caps w:val="0"/>
          <w:sz w:val="20"/>
        </w:rPr>
        <w:t>Clinical ophthalmology</w:t>
      </w:r>
      <w:r w:rsidR="006B501C" w:rsidRPr="001C6517">
        <w:rPr>
          <w:rFonts w:ascii="Arial" w:hAnsi="Arial" w:cs="Arial"/>
          <w:b w:val="0"/>
          <w:bCs/>
          <w:sz w:val="20"/>
        </w:rPr>
        <w:t>, *18*, 2283-2302. </w:t>
      </w:r>
      <w:hyperlink r:id="rId26" w:tgtFrame="_blank" w:history="1">
        <w:r w:rsidRPr="001C6517">
          <w:rPr>
            <w:rStyle w:val="Hyperlink"/>
            <w:rFonts w:ascii="Arial" w:hAnsi="Arial" w:cs="Arial"/>
            <w:b w:val="0"/>
            <w:bCs/>
            <w:caps w:val="0"/>
            <w:color w:val="auto"/>
            <w:sz w:val="20"/>
            <w:u w:val="none"/>
          </w:rPr>
          <w:t>Https://doi.org/xx.xxxx/opth.s429876</w:t>
        </w:r>
      </w:hyperlink>
    </w:p>
    <w:p w14:paraId="7001CE66" w14:textId="6ABF0F1B"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rPr>
        <w:t>Lekhanont</w:t>
      </w:r>
      <w:proofErr w:type="spellEnd"/>
      <w:r w:rsidRPr="005E4509">
        <w:rPr>
          <w:rFonts w:ascii="Arial" w:hAnsi="Arial" w:cs="Arial"/>
          <w:b w:val="0"/>
          <w:bCs/>
          <w:caps w:val="0"/>
          <w:sz w:val="20"/>
        </w:rPr>
        <w:t xml:space="preserve">, k., </w:t>
      </w:r>
      <w:proofErr w:type="spellStart"/>
      <w:r w:rsidRPr="005E4509">
        <w:rPr>
          <w:rFonts w:ascii="Arial" w:hAnsi="Arial" w:cs="Arial"/>
          <w:b w:val="0"/>
          <w:bCs/>
          <w:caps w:val="0"/>
          <w:sz w:val="20"/>
        </w:rPr>
        <w:t>leyngold</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M., </w:t>
      </w:r>
      <w:proofErr w:type="spellStart"/>
      <w:r w:rsidRPr="005E4509">
        <w:rPr>
          <w:rFonts w:ascii="Arial" w:hAnsi="Arial" w:cs="Arial"/>
          <w:b w:val="0"/>
          <w:bCs/>
          <w:caps w:val="0"/>
          <w:sz w:val="20"/>
        </w:rPr>
        <w:t>suwan-apichon</w:t>
      </w:r>
      <w:proofErr w:type="spellEnd"/>
      <w:r w:rsidRPr="005E4509">
        <w:rPr>
          <w:rFonts w:ascii="Arial" w:hAnsi="Arial" w:cs="Arial"/>
          <w:b w:val="0"/>
          <w:bCs/>
          <w:caps w:val="0"/>
          <w:sz w:val="20"/>
        </w:rPr>
        <w:t xml:space="preserve">, o., </w:t>
      </w:r>
      <w:proofErr w:type="spellStart"/>
      <w:r w:rsidRPr="005E4509">
        <w:rPr>
          <w:rFonts w:ascii="Arial" w:hAnsi="Arial" w:cs="Arial"/>
          <w:b w:val="0"/>
          <w:bCs/>
          <w:caps w:val="0"/>
          <w:sz w:val="20"/>
        </w:rPr>
        <w:t>rangsin</w:t>
      </w:r>
      <w:proofErr w:type="spellEnd"/>
      <w:r w:rsidRPr="005E4509">
        <w:rPr>
          <w:rFonts w:ascii="Arial" w:hAnsi="Arial" w:cs="Arial"/>
          <w:b w:val="0"/>
          <w:bCs/>
          <w:caps w:val="0"/>
          <w:sz w:val="20"/>
        </w:rPr>
        <w:t>, r., &amp; chuck, r. S. (2007). Comparison of topical dry eye medications for the treatment of keratoconjunctivitis sicca in a botulinum toxin b-induced mouse model. </w:t>
      </w:r>
      <w:r w:rsidRPr="001C6517">
        <w:rPr>
          <w:rFonts w:ascii="Arial" w:hAnsi="Arial" w:cs="Arial"/>
          <w:b w:val="0"/>
          <w:bCs/>
          <w:i/>
          <w:iCs/>
          <w:caps w:val="0"/>
          <w:sz w:val="20"/>
        </w:rPr>
        <w:t>Cornea</w:t>
      </w:r>
      <w:r w:rsidR="006B501C" w:rsidRPr="001C6517">
        <w:rPr>
          <w:rFonts w:ascii="Arial" w:hAnsi="Arial" w:cs="Arial"/>
          <w:b w:val="0"/>
          <w:bCs/>
          <w:sz w:val="20"/>
        </w:rPr>
        <w:t>, *26*(1), 84-89. </w:t>
      </w:r>
      <w:hyperlink r:id="rId27" w:tgtFrame="_blank" w:history="1">
        <w:r w:rsidRPr="001C6517">
          <w:rPr>
            <w:rStyle w:val="Hyperlink"/>
            <w:rFonts w:ascii="Arial" w:hAnsi="Arial" w:cs="Arial"/>
            <w:b w:val="0"/>
            <w:bCs/>
            <w:caps w:val="0"/>
            <w:color w:val="auto"/>
            <w:sz w:val="20"/>
            <w:u w:val="none"/>
          </w:rPr>
          <w:t>Https://doi.org/xx.xxxx/01.ico.0000248384.32199.16</w:t>
        </w:r>
      </w:hyperlink>
    </w:p>
    <w:p w14:paraId="10581B84" w14:textId="7329FB0E" w:rsidR="006B501C" w:rsidRPr="006B501C" w:rsidRDefault="00530714" w:rsidP="00644664">
      <w:pPr>
        <w:pStyle w:val="ReferHead"/>
        <w:jc w:val="both"/>
        <w:rPr>
          <w:rFonts w:ascii="Arial" w:hAnsi="Arial" w:cs="Arial"/>
          <w:b w:val="0"/>
          <w:bCs/>
          <w:sz w:val="20"/>
          <w:lang w:val="fr-FR"/>
        </w:rPr>
      </w:pPr>
      <w:r w:rsidRPr="001C6517">
        <w:rPr>
          <w:rFonts w:ascii="Arial" w:hAnsi="Arial" w:cs="Arial"/>
          <w:b w:val="0"/>
          <w:bCs/>
          <w:caps w:val="0"/>
          <w:sz w:val="20"/>
        </w:rPr>
        <w:t xml:space="preserve">Roda, m., </w:t>
      </w:r>
      <w:proofErr w:type="spellStart"/>
      <w:r w:rsidRPr="001C6517">
        <w:rPr>
          <w:rFonts w:ascii="Arial" w:hAnsi="Arial" w:cs="Arial"/>
          <w:b w:val="0"/>
          <w:bCs/>
          <w:caps w:val="0"/>
          <w:sz w:val="20"/>
        </w:rPr>
        <w:t>corazza</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i</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bacchi</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reggiani</w:t>
      </w:r>
      <w:proofErr w:type="spellEnd"/>
      <w:r w:rsidRPr="001C6517">
        <w:rPr>
          <w:rFonts w:ascii="Arial" w:hAnsi="Arial" w:cs="Arial"/>
          <w:b w:val="0"/>
          <w:bCs/>
          <w:caps w:val="0"/>
          <w:sz w:val="20"/>
        </w:rPr>
        <w:t xml:space="preserve">, m. L., </w:t>
      </w:r>
      <w:proofErr w:type="spellStart"/>
      <w:r w:rsidRPr="001C6517">
        <w:rPr>
          <w:rFonts w:ascii="Arial" w:hAnsi="Arial" w:cs="Arial"/>
          <w:b w:val="0"/>
          <w:bCs/>
          <w:caps w:val="0"/>
          <w:sz w:val="20"/>
        </w:rPr>
        <w:t>pellegrini</w:t>
      </w:r>
      <w:proofErr w:type="spellEnd"/>
      <w:r w:rsidRPr="001C6517">
        <w:rPr>
          <w:rFonts w:ascii="Arial" w:hAnsi="Arial" w:cs="Arial"/>
          <w:b w:val="0"/>
          <w:bCs/>
          <w:caps w:val="0"/>
          <w:sz w:val="20"/>
        </w:rPr>
        <w:t xml:space="preserve">, m., </w:t>
      </w:r>
      <w:proofErr w:type="spellStart"/>
      <w:r w:rsidRPr="001C6517">
        <w:rPr>
          <w:rFonts w:ascii="Arial" w:hAnsi="Arial" w:cs="Arial"/>
          <w:b w:val="0"/>
          <w:bCs/>
          <w:caps w:val="0"/>
          <w:sz w:val="20"/>
        </w:rPr>
        <w:t>taroni</w:t>
      </w:r>
      <w:proofErr w:type="spellEnd"/>
      <w:r w:rsidRPr="001C6517">
        <w:rPr>
          <w:rFonts w:ascii="Arial" w:hAnsi="Arial" w:cs="Arial"/>
          <w:b w:val="0"/>
          <w:bCs/>
          <w:caps w:val="0"/>
          <w:sz w:val="20"/>
        </w:rPr>
        <w:t xml:space="preserve">, l., </w:t>
      </w:r>
      <w:proofErr w:type="spellStart"/>
      <w:r w:rsidRPr="001C6517">
        <w:rPr>
          <w:rFonts w:ascii="Arial" w:hAnsi="Arial" w:cs="Arial"/>
          <w:b w:val="0"/>
          <w:bCs/>
          <w:caps w:val="0"/>
          <w:sz w:val="20"/>
        </w:rPr>
        <w:t>giannaccare</w:t>
      </w:r>
      <w:proofErr w:type="spellEnd"/>
      <w:r w:rsidRPr="001C6517">
        <w:rPr>
          <w:rFonts w:ascii="Arial" w:hAnsi="Arial" w:cs="Arial"/>
          <w:b w:val="0"/>
          <w:bCs/>
          <w:caps w:val="0"/>
          <w:sz w:val="20"/>
        </w:rPr>
        <w:t xml:space="preserve">, g., et al. </w:t>
      </w:r>
      <w:r w:rsidRPr="005E4509">
        <w:rPr>
          <w:rFonts w:ascii="Arial" w:hAnsi="Arial" w:cs="Arial"/>
          <w:b w:val="0"/>
          <w:bCs/>
          <w:caps w:val="0"/>
          <w:sz w:val="20"/>
        </w:rPr>
        <w:t>(2020). Dry eye disease and tear cytokine levels-a meta-analysis. </w:t>
      </w:r>
      <w:r w:rsidRPr="005E4509">
        <w:rPr>
          <w:rFonts w:ascii="Arial" w:hAnsi="Arial" w:cs="Arial"/>
          <w:b w:val="0"/>
          <w:bCs/>
          <w:i/>
          <w:iCs/>
          <w:caps w:val="0"/>
          <w:sz w:val="20"/>
          <w:lang w:val="fr-FR"/>
        </w:rPr>
        <w:t xml:space="preserve">International journal of </w:t>
      </w:r>
      <w:proofErr w:type="spellStart"/>
      <w:r w:rsidRPr="005E4509">
        <w:rPr>
          <w:rFonts w:ascii="Arial" w:hAnsi="Arial" w:cs="Arial"/>
          <w:b w:val="0"/>
          <w:bCs/>
          <w:i/>
          <w:iCs/>
          <w:caps w:val="0"/>
          <w:sz w:val="20"/>
          <w:lang w:val="fr-FR"/>
        </w:rPr>
        <w:t>molecular</w:t>
      </w:r>
      <w:proofErr w:type="spellEnd"/>
      <w:r w:rsidRPr="005E4509">
        <w:rPr>
          <w:rFonts w:ascii="Arial" w:hAnsi="Arial" w:cs="Arial"/>
          <w:b w:val="0"/>
          <w:bCs/>
          <w:i/>
          <w:iCs/>
          <w:caps w:val="0"/>
          <w:sz w:val="20"/>
          <w:lang w:val="fr-FR"/>
        </w:rPr>
        <w:t xml:space="preserve"> sciences</w:t>
      </w:r>
      <w:r w:rsidR="006B501C" w:rsidRPr="006B501C">
        <w:rPr>
          <w:rFonts w:ascii="Arial" w:hAnsi="Arial" w:cs="Arial"/>
          <w:b w:val="0"/>
          <w:bCs/>
          <w:sz w:val="20"/>
          <w:lang w:val="fr-FR"/>
        </w:rPr>
        <w:t>, *21*(9), 3111. </w:t>
      </w:r>
      <w:hyperlink r:id="rId28" w:tgtFrame="_blank" w:history="1">
        <w:r w:rsidRPr="005E4509">
          <w:rPr>
            <w:rStyle w:val="Hyperlink"/>
            <w:rFonts w:ascii="Arial" w:hAnsi="Arial" w:cs="Arial"/>
            <w:b w:val="0"/>
            <w:bCs/>
            <w:caps w:val="0"/>
            <w:color w:val="auto"/>
            <w:sz w:val="20"/>
            <w:u w:val="none"/>
            <w:lang w:val="fr-FR"/>
          </w:rPr>
          <w:t>Https://doi.org/xx.xxxx/ijms21093111</w:t>
        </w:r>
      </w:hyperlink>
    </w:p>
    <w:p w14:paraId="0C59046E" w14:textId="77777777" w:rsidR="006B501C" w:rsidRPr="005E4509" w:rsidRDefault="006B501C" w:rsidP="00441B6F">
      <w:pPr>
        <w:pStyle w:val="ReferHead"/>
        <w:spacing w:after="0"/>
        <w:jc w:val="both"/>
        <w:rPr>
          <w:rFonts w:ascii="Arial" w:hAnsi="Arial" w:cs="Arial"/>
        </w:rPr>
      </w:pPr>
    </w:p>
    <w:p w14:paraId="78ED8BF0" w14:textId="77777777" w:rsidR="00FB4DB4" w:rsidRPr="005E4509" w:rsidRDefault="00FB4DB4" w:rsidP="00441B6F">
      <w:pPr>
        <w:pStyle w:val="Body"/>
        <w:spacing w:after="0"/>
      </w:pPr>
    </w:p>
    <w:sectPr w:rsidR="00FB4DB4" w:rsidRPr="005E4509" w:rsidSect="00497A5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0DD4" w14:textId="77777777" w:rsidR="002A449B" w:rsidRDefault="002A449B" w:rsidP="00C37E61">
      <w:r>
        <w:separator/>
      </w:r>
    </w:p>
  </w:endnote>
  <w:endnote w:type="continuationSeparator" w:id="0">
    <w:p w14:paraId="299F5412" w14:textId="77777777" w:rsidR="002A449B" w:rsidRDefault="002A44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1350" w14:textId="77777777" w:rsidR="00497A5C" w:rsidRDefault="0049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1FC6" w14:textId="77777777" w:rsidR="00497A5C" w:rsidRDefault="00497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E522" w14:textId="0BD42D44" w:rsidR="00754C9A" w:rsidRPr="00497A5C" w:rsidRDefault="00754C9A" w:rsidP="00497A5C">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AD5DA" w14:textId="77777777" w:rsidR="002A449B" w:rsidRDefault="002A449B" w:rsidP="00C37E61">
      <w:r>
        <w:separator/>
      </w:r>
    </w:p>
  </w:footnote>
  <w:footnote w:type="continuationSeparator" w:id="0">
    <w:p w14:paraId="1401AE7C" w14:textId="77777777" w:rsidR="002A449B" w:rsidRDefault="002A44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A978" w14:textId="35D8DF17" w:rsidR="00497A5C" w:rsidRDefault="00497A5C">
    <w:pPr>
      <w:pStyle w:val="Header"/>
    </w:pPr>
    <w:r>
      <w:rPr>
        <w:noProof/>
      </w:rPr>
      <w:pict w14:anchorId="7308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0295" w14:textId="0580095B" w:rsidR="00497A5C" w:rsidRDefault="00497A5C">
    <w:pPr>
      <w:pStyle w:val="Header"/>
    </w:pPr>
    <w:r>
      <w:rPr>
        <w:noProof/>
      </w:rPr>
      <w:pict w14:anchorId="056B6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28C4" w14:textId="075ABE61" w:rsidR="00296529" w:rsidRPr="00296529" w:rsidRDefault="00497A5C" w:rsidP="00296529">
    <w:pPr>
      <w:ind w:left="2160"/>
      <w:jc w:val="center"/>
      <w:rPr>
        <w:rFonts w:ascii="Times New Roman" w:eastAsia="Calibri" w:hAnsi="Times New Roman"/>
        <w:i/>
        <w:sz w:val="18"/>
        <w:szCs w:val="22"/>
      </w:rPr>
    </w:pPr>
    <w:r>
      <w:rPr>
        <w:noProof/>
      </w:rPr>
      <w:pict w14:anchorId="172F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9DC9A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4E25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0CCE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6BA0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EB151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95CE6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5C3C95"/>
    <w:multiLevelType w:val="multilevel"/>
    <w:tmpl w:val="B252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A01873"/>
    <w:multiLevelType w:val="multilevel"/>
    <w:tmpl w:val="737A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FA2"/>
    <w:rsid w:val="00017A7E"/>
    <w:rsid w:val="00030174"/>
    <w:rsid w:val="00041F46"/>
    <w:rsid w:val="0004579C"/>
    <w:rsid w:val="000A4770"/>
    <w:rsid w:val="000A47FA"/>
    <w:rsid w:val="000A65D3"/>
    <w:rsid w:val="000B1E33"/>
    <w:rsid w:val="000D689F"/>
    <w:rsid w:val="000E7B7B"/>
    <w:rsid w:val="000E7D62"/>
    <w:rsid w:val="00103357"/>
    <w:rsid w:val="00123C9F"/>
    <w:rsid w:val="00126190"/>
    <w:rsid w:val="00130F17"/>
    <w:rsid w:val="001320BF"/>
    <w:rsid w:val="00155575"/>
    <w:rsid w:val="00163BC4"/>
    <w:rsid w:val="00166DC7"/>
    <w:rsid w:val="00191062"/>
    <w:rsid w:val="00192B72"/>
    <w:rsid w:val="001A29D8"/>
    <w:rsid w:val="001A5CAA"/>
    <w:rsid w:val="001B0427"/>
    <w:rsid w:val="001C6517"/>
    <w:rsid w:val="001D3A51"/>
    <w:rsid w:val="001D4F1A"/>
    <w:rsid w:val="001E10D2"/>
    <w:rsid w:val="001E25B4"/>
    <w:rsid w:val="001E44FE"/>
    <w:rsid w:val="00200595"/>
    <w:rsid w:val="00204835"/>
    <w:rsid w:val="00211F05"/>
    <w:rsid w:val="00231920"/>
    <w:rsid w:val="0023195C"/>
    <w:rsid w:val="00233C19"/>
    <w:rsid w:val="0024282C"/>
    <w:rsid w:val="00242CEA"/>
    <w:rsid w:val="002460DC"/>
    <w:rsid w:val="00250985"/>
    <w:rsid w:val="002556F6"/>
    <w:rsid w:val="00283105"/>
    <w:rsid w:val="00284C4C"/>
    <w:rsid w:val="00287E68"/>
    <w:rsid w:val="00296529"/>
    <w:rsid w:val="002A449B"/>
    <w:rsid w:val="002B27FB"/>
    <w:rsid w:val="002B685A"/>
    <w:rsid w:val="002C57D2"/>
    <w:rsid w:val="002C6D91"/>
    <w:rsid w:val="002E0D56"/>
    <w:rsid w:val="00315186"/>
    <w:rsid w:val="00320180"/>
    <w:rsid w:val="003250E1"/>
    <w:rsid w:val="0033343E"/>
    <w:rsid w:val="003512C2"/>
    <w:rsid w:val="00371FB6"/>
    <w:rsid w:val="003763C1"/>
    <w:rsid w:val="00376BBE"/>
    <w:rsid w:val="00384437"/>
    <w:rsid w:val="0038685C"/>
    <w:rsid w:val="0039224F"/>
    <w:rsid w:val="003A43A4"/>
    <w:rsid w:val="003A7E18"/>
    <w:rsid w:val="003C4C86"/>
    <w:rsid w:val="003C6258"/>
    <w:rsid w:val="003C7B7F"/>
    <w:rsid w:val="003E2904"/>
    <w:rsid w:val="00401927"/>
    <w:rsid w:val="0041027F"/>
    <w:rsid w:val="00412475"/>
    <w:rsid w:val="00414F5E"/>
    <w:rsid w:val="00423789"/>
    <w:rsid w:val="00440F43"/>
    <w:rsid w:val="00441B6F"/>
    <w:rsid w:val="00446221"/>
    <w:rsid w:val="00450E62"/>
    <w:rsid w:val="004539DB"/>
    <w:rsid w:val="00471A80"/>
    <w:rsid w:val="004826B1"/>
    <w:rsid w:val="00496CC1"/>
    <w:rsid w:val="00497A5C"/>
    <w:rsid w:val="004D305E"/>
    <w:rsid w:val="004D4277"/>
    <w:rsid w:val="004D6751"/>
    <w:rsid w:val="00502516"/>
    <w:rsid w:val="00505F06"/>
    <w:rsid w:val="00506828"/>
    <w:rsid w:val="0052639E"/>
    <w:rsid w:val="0053056E"/>
    <w:rsid w:val="00530714"/>
    <w:rsid w:val="00540A7A"/>
    <w:rsid w:val="00540FC0"/>
    <w:rsid w:val="00554FDA"/>
    <w:rsid w:val="005742FD"/>
    <w:rsid w:val="00595801"/>
    <w:rsid w:val="005C784C"/>
    <w:rsid w:val="005D17F6"/>
    <w:rsid w:val="005E4509"/>
    <w:rsid w:val="005E5539"/>
    <w:rsid w:val="005E61F0"/>
    <w:rsid w:val="00602BF5"/>
    <w:rsid w:val="006150DA"/>
    <w:rsid w:val="00617FDD"/>
    <w:rsid w:val="00633614"/>
    <w:rsid w:val="00633F68"/>
    <w:rsid w:val="00636EB2"/>
    <w:rsid w:val="006375B8"/>
    <w:rsid w:val="00641A2E"/>
    <w:rsid w:val="00644664"/>
    <w:rsid w:val="0066510A"/>
    <w:rsid w:val="00673F9F"/>
    <w:rsid w:val="00686953"/>
    <w:rsid w:val="00687DEA"/>
    <w:rsid w:val="00687E67"/>
    <w:rsid w:val="006967F7"/>
    <w:rsid w:val="006A250C"/>
    <w:rsid w:val="006B21D3"/>
    <w:rsid w:val="006B501C"/>
    <w:rsid w:val="006B57D0"/>
    <w:rsid w:val="006D30FF"/>
    <w:rsid w:val="006D6940"/>
    <w:rsid w:val="006F11EC"/>
    <w:rsid w:val="0070082C"/>
    <w:rsid w:val="00710436"/>
    <w:rsid w:val="00727821"/>
    <w:rsid w:val="007369E6"/>
    <w:rsid w:val="00746E59"/>
    <w:rsid w:val="00754C9A"/>
    <w:rsid w:val="0075599A"/>
    <w:rsid w:val="00761D52"/>
    <w:rsid w:val="0077749E"/>
    <w:rsid w:val="0078336C"/>
    <w:rsid w:val="00790ADA"/>
    <w:rsid w:val="00793325"/>
    <w:rsid w:val="007D2288"/>
    <w:rsid w:val="007E088F"/>
    <w:rsid w:val="007F7B32"/>
    <w:rsid w:val="00804BC2"/>
    <w:rsid w:val="0081431A"/>
    <w:rsid w:val="0083216F"/>
    <w:rsid w:val="00860000"/>
    <w:rsid w:val="00863BD3"/>
    <w:rsid w:val="008641ED"/>
    <w:rsid w:val="00866D66"/>
    <w:rsid w:val="008671C6"/>
    <w:rsid w:val="00875803"/>
    <w:rsid w:val="008B459E"/>
    <w:rsid w:val="008B46E2"/>
    <w:rsid w:val="008E13AE"/>
    <w:rsid w:val="008E1506"/>
    <w:rsid w:val="008E1E73"/>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70D"/>
    <w:rsid w:val="00A24E7E"/>
    <w:rsid w:val="00A258C3"/>
    <w:rsid w:val="00A347C0"/>
    <w:rsid w:val="00A51431"/>
    <w:rsid w:val="00A539AD"/>
    <w:rsid w:val="00A54C88"/>
    <w:rsid w:val="00A60B0D"/>
    <w:rsid w:val="00A72930"/>
    <w:rsid w:val="00A94063"/>
    <w:rsid w:val="00AA0A04"/>
    <w:rsid w:val="00AA6219"/>
    <w:rsid w:val="00AA74E0"/>
    <w:rsid w:val="00AB703F"/>
    <w:rsid w:val="00AC6BB8"/>
    <w:rsid w:val="00AC6D96"/>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1CCD"/>
    <w:rsid w:val="00C166EF"/>
    <w:rsid w:val="00C17EB0"/>
    <w:rsid w:val="00C2048F"/>
    <w:rsid w:val="00C223D4"/>
    <w:rsid w:val="00C27F5F"/>
    <w:rsid w:val="00C30A0F"/>
    <w:rsid w:val="00C37E61"/>
    <w:rsid w:val="00C42762"/>
    <w:rsid w:val="00C553E0"/>
    <w:rsid w:val="00C70F1B"/>
    <w:rsid w:val="00C71A47"/>
    <w:rsid w:val="00C7464C"/>
    <w:rsid w:val="00C85588"/>
    <w:rsid w:val="00CA1D97"/>
    <w:rsid w:val="00CD6755"/>
    <w:rsid w:val="00CD6856"/>
    <w:rsid w:val="00CE0089"/>
    <w:rsid w:val="00CE793C"/>
    <w:rsid w:val="00CF1336"/>
    <w:rsid w:val="00CF193C"/>
    <w:rsid w:val="00D00B87"/>
    <w:rsid w:val="00D173F1"/>
    <w:rsid w:val="00D31A5A"/>
    <w:rsid w:val="00D4205B"/>
    <w:rsid w:val="00D74CB0"/>
    <w:rsid w:val="00D8295D"/>
    <w:rsid w:val="00DC2A65"/>
    <w:rsid w:val="00DE15F0"/>
    <w:rsid w:val="00DE5663"/>
    <w:rsid w:val="00DE78AA"/>
    <w:rsid w:val="00E053D0"/>
    <w:rsid w:val="00E12A4A"/>
    <w:rsid w:val="00E15994"/>
    <w:rsid w:val="00E166D7"/>
    <w:rsid w:val="00E22117"/>
    <w:rsid w:val="00E3114E"/>
    <w:rsid w:val="00E31A70"/>
    <w:rsid w:val="00E35B02"/>
    <w:rsid w:val="00E635C2"/>
    <w:rsid w:val="00E66496"/>
    <w:rsid w:val="00E66B35"/>
    <w:rsid w:val="00E66E10"/>
    <w:rsid w:val="00E769F6"/>
    <w:rsid w:val="00E8407C"/>
    <w:rsid w:val="00E84F3C"/>
    <w:rsid w:val="00EA012C"/>
    <w:rsid w:val="00EA5B0F"/>
    <w:rsid w:val="00EB285C"/>
    <w:rsid w:val="00EC0E3C"/>
    <w:rsid w:val="00EC6A55"/>
    <w:rsid w:val="00ED0288"/>
    <w:rsid w:val="00EE009A"/>
    <w:rsid w:val="00EE52CB"/>
    <w:rsid w:val="00EF581D"/>
    <w:rsid w:val="00EF7FD8"/>
    <w:rsid w:val="00F06F59"/>
    <w:rsid w:val="00F17988"/>
    <w:rsid w:val="00F469F0"/>
    <w:rsid w:val="00F53273"/>
    <w:rsid w:val="00F755E4"/>
    <w:rsid w:val="00F77D02"/>
    <w:rsid w:val="00FA40F7"/>
    <w:rsid w:val="00FB3A86"/>
    <w:rsid w:val="00FB4DB4"/>
    <w:rsid w:val="00FD08D0"/>
    <w:rsid w:val="00FD36C8"/>
    <w:rsid w:val="00FD3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B80C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B4D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223D4"/>
    <w:pPr>
      <w:spacing w:after="160" w:line="48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semiHidden/>
    <w:rsid w:val="00FB4DB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qFormat/>
    <w:rsid w:val="00A24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6757678">
      <w:bodyDiv w:val="1"/>
      <w:marLeft w:val="0"/>
      <w:marRight w:val="0"/>
      <w:marTop w:val="0"/>
      <w:marBottom w:val="0"/>
      <w:divBdr>
        <w:top w:val="none" w:sz="0" w:space="0" w:color="auto"/>
        <w:left w:val="none" w:sz="0" w:space="0" w:color="auto"/>
        <w:bottom w:val="none" w:sz="0" w:space="0" w:color="auto"/>
        <w:right w:val="none" w:sz="0" w:space="0" w:color="auto"/>
      </w:divBdr>
    </w:div>
    <w:div w:id="507521333">
      <w:bodyDiv w:val="1"/>
      <w:marLeft w:val="0"/>
      <w:marRight w:val="0"/>
      <w:marTop w:val="0"/>
      <w:marBottom w:val="0"/>
      <w:divBdr>
        <w:top w:val="none" w:sz="0" w:space="0" w:color="auto"/>
        <w:left w:val="none" w:sz="0" w:space="0" w:color="auto"/>
        <w:bottom w:val="none" w:sz="0" w:space="0" w:color="auto"/>
        <w:right w:val="none" w:sz="0" w:space="0" w:color="auto"/>
      </w:divBdr>
    </w:div>
    <w:div w:id="5332703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451806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77679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1702966">
      <w:bodyDiv w:val="1"/>
      <w:marLeft w:val="0"/>
      <w:marRight w:val="0"/>
      <w:marTop w:val="0"/>
      <w:marBottom w:val="0"/>
      <w:divBdr>
        <w:top w:val="none" w:sz="0" w:space="0" w:color="auto"/>
        <w:left w:val="none" w:sz="0" w:space="0" w:color="auto"/>
        <w:bottom w:val="none" w:sz="0" w:space="0" w:color="auto"/>
        <w:right w:val="none" w:sz="0" w:space="0" w:color="auto"/>
      </w:divBdr>
    </w:div>
    <w:div w:id="1218278024">
      <w:bodyDiv w:val="1"/>
      <w:marLeft w:val="0"/>
      <w:marRight w:val="0"/>
      <w:marTop w:val="0"/>
      <w:marBottom w:val="0"/>
      <w:divBdr>
        <w:top w:val="none" w:sz="0" w:space="0" w:color="auto"/>
        <w:left w:val="none" w:sz="0" w:space="0" w:color="auto"/>
        <w:bottom w:val="none" w:sz="0" w:space="0" w:color="auto"/>
        <w:right w:val="none" w:sz="0" w:space="0" w:color="auto"/>
      </w:divBdr>
    </w:div>
    <w:div w:id="1301499183">
      <w:bodyDiv w:val="1"/>
      <w:marLeft w:val="0"/>
      <w:marRight w:val="0"/>
      <w:marTop w:val="0"/>
      <w:marBottom w:val="0"/>
      <w:divBdr>
        <w:top w:val="none" w:sz="0" w:space="0" w:color="auto"/>
        <w:left w:val="none" w:sz="0" w:space="0" w:color="auto"/>
        <w:bottom w:val="none" w:sz="0" w:space="0" w:color="auto"/>
        <w:right w:val="none" w:sz="0" w:space="0" w:color="auto"/>
      </w:divBdr>
    </w:div>
    <w:div w:id="1560705318">
      <w:bodyDiv w:val="1"/>
      <w:marLeft w:val="0"/>
      <w:marRight w:val="0"/>
      <w:marTop w:val="0"/>
      <w:marBottom w:val="0"/>
      <w:divBdr>
        <w:top w:val="none" w:sz="0" w:space="0" w:color="auto"/>
        <w:left w:val="none" w:sz="0" w:space="0" w:color="auto"/>
        <w:bottom w:val="none" w:sz="0" w:space="0" w:color="auto"/>
        <w:right w:val="none" w:sz="0" w:space="0" w:color="auto"/>
      </w:divBdr>
    </w:div>
    <w:div w:id="1577781961">
      <w:bodyDiv w:val="1"/>
      <w:marLeft w:val="0"/>
      <w:marRight w:val="0"/>
      <w:marTop w:val="0"/>
      <w:marBottom w:val="0"/>
      <w:divBdr>
        <w:top w:val="none" w:sz="0" w:space="0" w:color="auto"/>
        <w:left w:val="none" w:sz="0" w:space="0" w:color="auto"/>
        <w:bottom w:val="none" w:sz="0" w:space="0" w:color="auto"/>
        <w:right w:val="none" w:sz="0" w:space="0" w:color="auto"/>
      </w:divBdr>
    </w:div>
    <w:div w:id="1581910564">
      <w:bodyDiv w:val="1"/>
      <w:marLeft w:val="0"/>
      <w:marRight w:val="0"/>
      <w:marTop w:val="0"/>
      <w:marBottom w:val="0"/>
      <w:divBdr>
        <w:top w:val="none" w:sz="0" w:space="0" w:color="auto"/>
        <w:left w:val="none" w:sz="0" w:space="0" w:color="auto"/>
        <w:bottom w:val="none" w:sz="0" w:space="0" w:color="auto"/>
        <w:right w:val="none" w:sz="0" w:space="0" w:color="auto"/>
      </w:divBdr>
    </w:div>
    <w:div w:id="16325118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43367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6956603">
      <w:bodyDiv w:val="1"/>
      <w:marLeft w:val="0"/>
      <w:marRight w:val="0"/>
      <w:marTop w:val="0"/>
      <w:marBottom w:val="0"/>
      <w:divBdr>
        <w:top w:val="none" w:sz="0" w:space="0" w:color="auto"/>
        <w:left w:val="none" w:sz="0" w:space="0" w:color="auto"/>
        <w:bottom w:val="none" w:sz="0" w:space="0" w:color="auto"/>
        <w:right w:val="none" w:sz="0" w:space="0" w:color="auto"/>
      </w:divBdr>
    </w:div>
    <w:div w:id="2077623139">
      <w:bodyDiv w:val="1"/>
      <w:marLeft w:val="0"/>
      <w:marRight w:val="0"/>
      <w:marTop w:val="0"/>
      <w:marBottom w:val="0"/>
      <w:divBdr>
        <w:top w:val="none" w:sz="0" w:space="0" w:color="auto"/>
        <w:left w:val="none" w:sz="0" w:space="0" w:color="auto"/>
        <w:bottom w:val="none" w:sz="0" w:space="0" w:color="auto"/>
        <w:right w:val="none" w:sz="0" w:space="0" w:color="auto"/>
      </w:divBdr>
    </w:div>
    <w:div w:id="21340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xx.xxxx/jop.2017.0330383" TargetMode="External"/><Relationship Id="rId26" Type="http://schemas.openxmlformats.org/officeDocument/2006/relationships/hyperlink" Target="https://doi.org/xx.xxxx/OPTH.S429876" TargetMode="External"/><Relationship Id="rId3" Type="http://schemas.openxmlformats.org/officeDocument/2006/relationships/styles" Target="styles.xml"/><Relationship Id="rId21" Type="http://schemas.openxmlformats.org/officeDocument/2006/relationships/hyperlink" Target="https://doi.org/xx.xxxx/1120672123115673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xx.xxxx/HHN.0000000000000018" TargetMode="External"/><Relationship Id="rId25" Type="http://schemas.openxmlformats.org/officeDocument/2006/relationships/hyperlink" Target="https://doi.org/xx.xxxx/14651858.CD015070.pub2" TargetMode="External"/><Relationship Id="rId2" Type="http://schemas.openxmlformats.org/officeDocument/2006/relationships/numbering" Target="numbering.xml"/><Relationship Id="rId16" Type="http://schemas.openxmlformats.org/officeDocument/2006/relationships/hyperlink" Target="https://doi.org/xx.xxxx/opt.2009.80.555" TargetMode="External"/><Relationship Id="rId20" Type="http://schemas.openxmlformats.org/officeDocument/2006/relationships/hyperlink" Target="https://doi.org/xx.xxxx/s10792-022-0232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xx.xxxx/j.ophtha.2005.09.027" TargetMode="External"/><Relationship Id="rId5" Type="http://schemas.openxmlformats.org/officeDocument/2006/relationships/webSettings" Target="webSettings.xml"/><Relationship Id="rId15" Type="http://schemas.openxmlformats.org/officeDocument/2006/relationships/hyperlink" Target="https://doi.org/xx.xxxx/tjo.1301003" TargetMode="External"/><Relationship Id="rId23" Type="http://schemas.openxmlformats.org/officeDocument/2006/relationships/hyperlink" Target="https://doi.org/xx.xxxx/jovr.2014.9.2.240" TargetMode="External"/><Relationship Id="rId28" Type="http://schemas.openxmlformats.org/officeDocument/2006/relationships/hyperlink" Target="https://doi.org/xx.xxxx/ijms21093111" TargetMode="External"/><Relationship Id="rId10" Type="http://schemas.openxmlformats.org/officeDocument/2006/relationships/footer" Target="footer1.xml"/><Relationship Id="rId19" Type="http://schemas.openxmlformats.org/officeDocument/2006/relationships/hyperlink" Target="https://doi.org/xx.xxxx/ICO.0b013e31823f8c1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xx.xxxx/medicina60091458" TargetMode="External"/><Relationship Id="rId22" Type="http://schemas.openxmlformats.org/officeDocument/2006/relationships/hyperlink" Target="https://doi.org/xx.xxxx/j.exer.2005.08.019" TargetMode="External"/><Relationship Id="rId27" Type="http://schemas.openxmlformats.org/officeDocument/2006/relationships/hyperlink" Target="https://doi.org/xx.xxxx/01.ico.0000248384.32199.1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B042-E325-4321-802B-BB7FB59B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376</TotalTime>
  <Pages>10</Pages>
  <Words>3647</Words>
  <Characters>20789</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24388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58</cp:revision>
  <cp:lastPrinted>1999-07-06T11:00:00Z</cp:lastPrinted>
  <dcterms:created xsi:type="dcterms:W3CDTF">2025-07-06T12:11:00Z</dcterms:created>
  <dcterms:modified xsi:type="dcterms:W3CDTF">2025-07-08T07:21:00Z</dcterms:modified>
</cp:coreProperties>
</file>