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97DA" w14:textId="6CB612B1" w:rsidR="00CC48AB" w:rsidRDefault="008F1FA1" w:rsidP="008F1FA1">
      <w:pPr>
        <w:spacing w:line="480" w:lineRule="auto"/>
        <w:jc w:val="center"/>
        <w:rPr>
          <w:rFonts w:ascii="Times New Roman" w:hAnsi="Times New Roman" w:cs="Times New Roman"/>
          <w:b/>
          <w:bCs/>
          <w:sz w:val="24"/>
          <w:szCs w:val="24"/>
        </w:rPr>
      </w:pPr>
      <w:r w:rsidRPr="009944BB">
        <w:rPr>
          <w:rFonts w:ascii="Times New Roman" w:hAnsi="Times New Roman" w:cs="Times New Roman"/>
          <w:b/>
          <w:bCs/>
          <w:sz w:val="24"/>
          <w:szCs w:val="24"/>
        </w:rPr>
        <w:t>ASSESSMENT OF ACCOMMODATIVE CHANGES IN MYOPIC PATIENTS WITH ASTHENOPIC SYMPTOMS: A PROSPECTIVE OBSERVATIONAL STUDY</w:t>
      </w:r>
    </w:p>
    <w:p w14:paraId="27E46C5D" w14:textId="34216962" w:rsidR="008F1FA1" w:rsidRDefault="008F1FA1" w:rsidP="008F1FA1">
      <w:pPr>
        <w:spacing w:line="480" w:lineRule="auto"/>
        <w:jc w:val="center"/>
        <w:rPr>
          <w:rFonts w:ascii="Times New Roman" w:hAnsi="Times New Roman" w:cs="Times New Roman"/>
          <w:sz w:val="24"/>
          <w:szCs w:val="24"/>
          <w:lang w:val="en-IN"/>
        </w:rPr>
      </w:pPr>
    </w:p>
    <w:p w14:paraId="00D4A65A" w14:textId="77777777" w:rsidR="00095B12" w:rsidRPr="008F1FA1" w:rsidRDefault="00095B12" w:rsidP="008F1FA1">
      <w:pPr>
        <w:spacing w:line="480" w:lineRule="auto"/>
        <w:jc w:val="center"/>
        <w:rPr>
          <w:rFonts w:ascii="Times New Roman" w:hAnsi="Times New Roman" w:cs="Times New Roman"/>
          <w:sz w:val="24"/>
          <w:szCs w:val="24"/>
          <w:lang w:val="en-IN"/>
        </w:rPr>
      </w:pPr>
    </w:p>
    <w:p w14:paraId="138441EB" w14:textId="36C65CFB"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ABSTRACT</w:t>
      </w:r>
    </w:p>
    <w:p w14:paraId="471822B6" w14:textId="72D13616"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Background:</w:t>
      </w:r>
      <w:r w:rsidRPr="00CC48AB">
        <w:rPr>
          <w:rFonts w:ascii="Times New Roman" w:hAnsi="Times New Roman" w:cs="Times New Roman"/>
          <w:sz w:val="24"/>
          <w:szCs w:val="24"/>
          <w:lang w:val="en-IN"/>
        </w:rPr>
        <w:t xml:space="preserve"> Myopia is a widespread refractive error characterized by an inability to clearly see distant objects due to the eye’s axial length being longer than normal or its refractive components being too strong. This condition can lead to asthenopia—symptoms such as eye strain, headache, and blurred vision—especially during prolonged near tasks. While refractive correction alleviates symptoms for many, some patients continue to experience discomfort due to undiagnosed accommodative anomalies. This study aims to evaluate accommodative dysfunctions 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w:t>
      </w:r>
      <w:r w:rsidR="00453493">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Methods:</w:t>
      </w:r>
      <w:r w:rsidRPr="00CC48AB">
        <w:rPr>
          <w:rFonts w:ascii="Times New Roman" w:hAnsi="Times New Roman" w:cs="Times New Roman"/>
          <w:sz w:val="24"/>
          <w:szCs w:val="24"/>
          <w:lang w:val="en-IN"/>
        </w:rPr>
        <w:t xml:space="preserve"> A prospective observational study was conducted at an urban tertiary eye care </w:t>
      </w:r>
      <w:proofErr w:type="spellStart"/>
      <w:r w:rsidRPr="00CC48AB">
        <w:rPr>
          <w:rFonts w:ascii="Times New Roman" w:hAnsi="Times New Roman" w:cs="Times New Roman"/>
          <w:sz w:val="24"/>
          <w:szCs w:val="24"/>
          <w:lang w:val="en-IN"/>
        </w:rPr>
        <w:t>center</w:t>
      </w:r>
      <w:proofErr w:type="spellEnd"/>
      <w:r w:rsidRPr="00CC48AB">
        <w:rPr>
          <w:rFonts w:ascii="Times New Roman" w:hAnsi="Times New Roman" w:cs="Times New Roman"/>
          <w:sz w:val="24"/>
          <w:szCs w:val="24"/>
          <w:lang w:val="en-IN"/>
        </w:rPr>
        <w:t xml:space="preserve"> in North India. Ninety-eight subjects aged 18–39 years with untreated myopia and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were included. All underwent refraction and a full orthoptic workup including negative and positive relative accommodation (NRA, PRA), near point of accommodation (NPA), monocular estimated method (MEM), and other binocular function tests. Glasses were prescribed based on refraction results, and patients were reassessed after six weeks to evaluate symptom resolution. Persistent cases were investigated for accommodative insufficiency (AI) or accommodative excess (AE).</w:t>
      </w:r>
      <w:r w:rsidR="00453493">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Results:</w:t>
      </w:r>
      <w:r w:rsidRPr="00CC48AB">
        <w:rPr>
          <w:rFonts w:ascii="Times New Roman" w:hAnsi="Times New Roman" w:cs="Times New Roman"/>
          <w:sz w:val="24"/>
          <w:szCs w:val="24"/>
          <w:lang w:val="en-IN"/>
        </w:rPr>
        <w:t xml:space="preserve"> Among the 98 participants, 56 were female and 42 were male, with a mean age of 24.13 ± 6.22 years. Distribution of refractive errors showed that 23% had simple myopia (SM), 5% moderate myopia (MM), 43% simple myopic astigmatism (SMA), and 29% compound myopic astigmatism (CMA). After spectacle correction, 26.53% of participants reported symptom relief. However, 73.47% continued to have symptoms and </w:t>
      </w:r>
      <w:r w:rsidRPr="00CC48AB">
        <w:rPr>
          <w:rFonts w:ascii="Times New Roman" w:hAnsi="Times New Roman" w:cs="Times New Roman"/>
          <w:sz w:val="24"/>
          <w:szCs w:val="24"/>
          <w:lang w:val="en-IN"/>
        </w:rPr>
        <w:lastRenderedPageBreak/>
        <w:t>were found to have accommodative dysfunction—43.88% had AI and 29.59% had AE. SMA patients had the highest AI prevalence.</w:t>
      </w:r>
      <w:r w:rsidR="008F1FA1">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Conclusion:</w:t>
      </w:r>
      <w:r w:rsidRPr="00CC48AB">
        <w:rPr>
          <w:rFonts w:ascii="Times New Roman" w:hAnsi="Times New Roman" w:cs="Times New Roman"/>
          <w:sz w:val="24"/>
          <w:szCs w:val="24"/>
          <w:lang w:val="en-IN"/>
        </w:rPr>
        <w:t xml:space="preserve"> Accommodative dysfunctions are significantly prevalent in untreated myopic individuals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particularly in those with astigmatic components. Comprehensive accommodative evaluation should be a routine component of optometric examination in symptomatic myopic patients, even after refractive correction.</w:t>
      </w:r>
    </w:p>
    <w:p w14:paraId="6BDEFB08" w14:textId="29E15A93"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Keywords:</w:t>
      </w:r>
      <w:r w:rsidRPr="00CC48AB">
        <w:rPr>
          <w:rFonts w:ascii="Times New Roman" w:hAnsi="Times New Roman" w:cs="Times New Roman"/>
          <w:sz w:val="24"/>
          <w:szCs w:val="24"/>
          <w:lang w:val="en-IN"/>
        </w:rPr>
        <w:t xml:space="preserve"> Myopia, Asthenopia, Accommodation, Accommodative Insufficiency, Accommodative Excess, Myopic Astigmatism</w:t>
      </w:r>
    </w:p>
    <w:p w14:paraId="64514A0E" w14:textId="0E8113D8"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INTRODUCTION</w:t>
      </w:r>
    </w:p>
    <w:p w14:paraId="47D6CE44" w14:textId="1326FDA5"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Refractive errors constitute one of the most common causes of visual impairment globally, with myopia being among the most prevalent forms. Myopia, also known as shortsightedness, is characterized by the focal point of parallel light rays falling anterior to the retina when the eye’s accommodation is at rest. This results in clear vision for near objects but blurred vision for distant objects, significantly affecting daily functioning and quality of life. The increasing prevalence of myopia has become a major public health concern, particularly among younger populations engaged in near work activities.</w:t>
      </w:r>
      <w:r w:rsidR="00453493">
        <w:rPr>
          <w:rFonts w:ascii="Times New Roman" w:hAnsi="Times New Roman" w:cs="Times New Roman"/>
          <w:sz w:val="24"/>
          <w:szCs w:val="24"/>
          <w:lang w:val="en-IN"/>
        </w:rPr>
        <w:t xml:space="preserve"> [1]</w:t>
      </w:r>
    </w:p>
    <w:p w14:paraId="16B3DA40" w14:textId="6F9BA4AC"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Myopia can be classified into different categories based on the degree of refractive error. Simple myopia refers to refractive errors ranging from -0.25 </w:t>
      </w:r>
      <w:proofErr w:type="spellStart"/>
      <w:r w:rsidRPr="00CC48AB">
        <w:rPr>
          <w:rFonts w:ascii="Times New Roman" w:hAnsi="Times New Roman" w:cs="Times New Roman"/>
          <w:sz w:val="24"/>
          <w:szCs w:val="24"/>
          <w:lang w:val="en-IN"/>
        </w:rPr>
        <w:t>diopters</w:t>
      </w:r>
      <w:proofErr w:type="spellEnd"/>
      <w:r w:rsidRPr="00CC48AB">
        <w:rPr>
          <w:rFonts w:ascii="Times New Roman" w:hAnsi="Times New Roman" w:cs="Times New Roman"/>
          <w:sz w:val="24"/>
          <w:szCs w:val="24"/>
          <w:lang w:val="en-IN"/>
        </w:rPr>
        <w:t xml:space="preserve"> (D) to -3.00 D spherical equivalent. Moderate myopia includes refractive errors between -3.25 D and -6.00 D, while high myopia is classified as refractive errors greater than -6.25 D spherical equivalent. Each category presents unique challenges in terms of management, progression risk, and associated ocular complications.</w:t>
      </w:r>
      <w:r w:rsidR="00453493">
        <w:rPr>
          <w:rFonts w:ascii="Times New Roman" w:hAnsi="Times New Roman" w:cs="Times New Roman"/>
          <w:sz w:val="24"/>
          <w:szCs w:val="24"/>
          <w:lang w:val="en-IN"/>
        </w:rPr>
        <w:t>[2]</w:t>
      </w:r>
    </w:p>
    <w:p w14:paraId="0CC89109" w14:textId="2A31A220"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Additionally, myopic astigmatism is a common subtype of refractive error characterized by varying refractive power across different meridians of the eye, leading to blurred or distorted </w:t>
      </w:r>
      <w:r w:rsidRPr="00CC48AB">
        <w:rPr>
          <w:rFonts w:ascii="Times New Roman" w:hAnsi="Times New Roman" w:cs="Times New Roman"/>
          <w:sz w:val="24"/>
          <w:szCs w:val="24"/>
          <w:lang w:val="en-IN"/>
        </w:rPr>
        <w:lastRenderedPageBreak/>
        <w:t>vision. It is further divided into simple myopic astigmatism, where only one meridian is affected, and compound myopic astigmatism, where both principal meridians have myopic refractive error but differ in their curvature. The pathophysiology of myopia and myopic astigmatism is multifactorial, involving alterations in axial length (axial myopia), corneal curvature, and lens shape. Changes in these anatomical structures influence how light is focused on the retina, contributing to the degree and type of refractive error.</w:t>
      </w:r>
      <w:r w:rsidR="008F1FA1">
        <w:rPr>
          <w:rFonts w:ascii="Times New Roman" w:hAnsi="Times New Roman" w:cs="Times New Roman"/>
          <w:sz w:val="24"/>
          <w:szCs w:val="24"/>
          <w:lang w:val="en-IN"/>
        </w:rPr>
        <w:t xml:space="preserve"> [3]</w:t>
      </w:r>
    </w:p>
    <w:p w14:paraId="0570BA33" w14:textId="726E95BC"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The </w:t>
      </w:r>
      <w:proofErr w:type="spellStart"/>
      <w:r w:rsidRPr="00CC48AB">
        <w:rPr>
          <w:rFonts w:ascii="Times New Roman" w:hAnsi="Times New Roman" w:cs="Times New Roman"/>
          <w:sz w:val="24"/>
          <w:szCs w:val="24"/>
          <w:lang w:val="en-IN"/>
        </w:rPr>
        <w:t>etiology</w:t>
      </w:r>
      <w:proofErr w:type="spellEnd"/>
      <w:r w:rsidRPr="00CC48AB">
        <w:rPr>
          <w:rFonts w:ascii="Times New Roman" w:hAnsi="Times New Roman" w:cs="Times New Roman"/>
          <w:sz w:val="24"/>
          <w:szCs w:val="24"/>
          <w:lang w:val="en-IN"/>
        </w:rPr>
        <w:t xml:space="preserve"> of myopia is complex, involving both genetic predisposition and environmental influences. Family history plays a significant role in the likelihood of developing myopia; however, lifestyle factors have garnered increasing attention, especially with the rise in near work activities such as prolonged reading, computer use, smartphone engagement, and video gaming. Studies suggest that excessive near work, especially with digital devices, increases the risk of myopia development by approximately 30%, and this risk may escalate to as high as 80% with continuous and intensive screen time. This is particularly concerning in the modern era, where children and young adults spend increasing hours on electronic devices, potentially exacerbating the global myopia </w:t>
      </w:r>
      <w:r w:rsidR="008F1FA1" w:rsidRPr="00CC48AB">
        <w:rPr>
          <w:rFonts w:ascii="Times New Roman" w:hAnsi="Times New Roman" w:cs="Times New Roman"/>
          <w:sz w:val="24"/>
          <w:szCs w:val="24"/>
          <w:lang w:val="en-IN"/>
        </w:rPr>
        <w:t>epidemic.</w:t>
      </w:r>
      <w:r w:rsidR="008F1FA1">
        <w:rPr>
          <w:rFonts w:ascii="Times New Roman" w:hAnsi="Times New Roman" w:cs="Times New Roman"/>
          <w:sz w:val="24"/>
          <w:szCs w:val="24"/>
          <w:lang w:val="en-IN"/>
        </w:rPr>
        <w:t xml:space="preserve"> [4,5,6]</w:t>
      </w:r>
    </w:p>
    <w:p w14:paraId="50A3E548" w14:textId="7C98C504"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Patients with myopia often present with common complaints such as blurred distance vision and the need to hold reading materials closer to the eyes. Those with myopic astigmatism may experience additional symptoms like ocular pain, eye strain, and headaches, especially during prolonged near tasks. These symptoms are collectively referred to as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and are indicative of underlying accommodative or binocular vision anomalies. Accommodative insufficiency, where the ability of the eye to focus on near objects is reduced, and accommodative excess, characterized by excessive and often spasmodic accommodation, are frequently implicated in the development of such </w:t>
      </w:r>
      <w:proofErr w:type="gramStart"/>
      <w:r w:rsidRPr="00CC48AB">
        <w:rPr>
          <w:rFonts w:ascii="Times New Roman" w:hAnsi="Times New Roman" w:cs="Times New Roman"/>
          <w:sz w:val="24"/>
          <w:szCs w:val="24"/>
          <w:lang w:val="en-IN"/>
        </w:rPr>
        <w:t>symptoms.</w:t>
      </w:r>
      <w:r w:rsidR="008F1FA1">
        <w:rPr>
          <w:rFonts w:ascii="Times New Roman" w:hAnsi="Times New Roman" w:cs="Times New Roman"/>
          <w:sz w:val="24"/>
          <w:szCs w:val="24"/>
          <w:lang w:val="en-IN"/>
        </w:rPr>
        <w:t>[</w:t>
      </w:r>
      <w:proofErr w:type="gramEnd"/>
      <w:r w:rsidR="008F1FA1">
        <w:rPr>
          <w:rFonts w:ascii="Times New Roman" w:hAnsi="Times New Roman" w:cs="Times New Roman"/>
          <w:sz w:val="24"/>
          <w:szCs w:val="24"/>
          <w:lang w:val="en-IN"/>
        </w:rPr>
        <w:t>7,8]</w:t>
      </w:r>
    </w:p>
    <w:p w14:paraId="3A9FE22F" w14:textId="6483BE35"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Accommodation is a dynamic process by which the crystalline lens changes shape to focus on objects at varying distances. This process involves contraction and relaxation of the ciliary muscles, affecting the tension on the zonules of Zinn and altering the curvature of the lens.</w:t>
      </w:r>
      <w:r w:rsidR="008F1FA1">
        <w:rPr>
          <w:rFonts w:ascii="Times New Roman" w:hAnsi="Times New Roman" w:cs="Times New Roman"/>
          <w:sz w:val="24"/>
          <w:szCs w:val="24"/>
          <w:lang w:val="en-IN"/>
        </w:rPr>
        <w:t xml:space="preserve"> [9,10] </w:t>
      </w:r>
      <w:r w:rsidRPr="00CC48AB">
        <w:rPr>
          <w:rFonts w:ascii="Times New Roman" w:hAnsi="Times New Roman" w:cs="Times New Roman"/>
          <w:sz w:val="24"/>
          <w:szCs w:val="24"/>
          <w:lang w:val="en-IN"/>
        </w:rPr>
        <w:t>Anomalies in accommodation can lead to visual discomfort and symptoms commonly encountered in patients with refractive errors, especially myopia. Accommodative insufficiency is often caused by fatigue, uncorrected refractive errors, or ciliary muscle dysfunction, whereas accommodative excess may be related to muscle spasm or convergence insufficiency.</w:t>
      </w:r>
      <w:r w:rsidR="00453493">
        <w:rPr>
          <w:rFonts w:ascii="Times New Roman" w:hAnsi="Times New Roman" w:cs="Times New Roman"/>
          <w:sz w:val="24"/>
          <w:szCs w:val="24"/>
          <w:lang w:val="en-IN"/>
        </w:rPr>
        <w:t xml:space="preserve"> [</w:t>
      </w:r>
      <w:r w:rsidR="008F1FA1">
        <w:rPr>
          <w:rFonts w:ascii="Times New Roman" w:hAnsi="Times New Roman" w:cs="Times New Roman"/>
          <w:sz w:val="24"/>
          <w:szCs w:val="24"/>
          <w:lang w:val="en-IN"/>
        </w:rPr>
        <w:t>11</w:t>
      </w:r>
      <w:r w:rsidR="00453493">
        <w:rPr>
          <w:rFonts w:ascii="Times New Roman" w:hAnsi="Times New Roman" w:cs="Times New Roman"/>
          <w:sz w:val="24"/>
          <w:szCs w:val="24"/>
          <w:lang w:val="en-IN"/>
        </w:rPr>
        <w:t>]</w:t>
      </w:r>
    </w:p>
    <w:p w14:paraId="22B4F58D" w14:textId="3D28021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Diagnosis of accommodative anomalies requires a comprehensive assessment including refractive correction, cover testing, measurement of near point of accommodation (NPA), monocular estimated method (MEM) retinoscopy, accommodative facility testing, and evaluation of positive and negative relative accommodation (PRA and NRA). Management strategies focus on correcting refractive errors, vision therapy exercises (such as Brock string and accommodative flippers), and lifestyle modifications to reduce strain, including minimizing screen time and improving ambient lighting during near work.</w:t>
      </w:r>
      <w:r w:rsidR="00453493">
        <w:rPr>
          <w:rFonts w:ascii="Times New Roman" w:hAnsi="Times New Roman" w:cs="Times New Roman"/>
          <w:sz w:val="24"/>
          <w:szCs w:val="24"/>
          <w:lang w:val="en-IN"/>
        </w:rPr>
        <w:t>[</w:t>
      </w:r>
      <w:r w:rsidR="008F1FA1">
        <w:rPr>
          <w:rFonts w:ascii="Times New Roman" w:hAnsi="Times New Roman" w:cs="Times New Roman"/>
          <w:sz w:val="24"/>
          <w:szCs w:val="24"/>
          <w:lang w:val="en-IN"/>
        </w:rPr>
        <w:t>12</w:t>
      </w:r>
      <w:r w:rsidR="00453493">
        <w:rPr>
          <w:rFonts w:ascii="Times New Roman" w:hAnsi="Times New Roman" w:cs="Times New Roman"/>
          <w:sz w:val="24"/>
          <w:szCs w:val="24"/>
          <w:lang w:val="en-IN"/>
        </w:rPr>
        <w:t>]</w:t>
      </w:r>
    </w:p>
    <w:p w14:paraId="133CD8D9" w14:textId="27E740A9"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Given the increasing prevalence of myopia and its associated visual symptoms, especially in the context of modern lifestyle factors, it is essential to understand the accommodative changes 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This understanding aids in more effective diagnosis and management, improving patient outcomes and reducing visual discomfort.</w:t>
      </w:r>
      <w:r w:rsidR="00453493">
        <w:rPr>
          <w:rFonts w:ascii="Times New Roman" w:hAnsi="Times New Roman" w:cs="Times New Roman"/>
          <w:sz w:val="24"/>
          <w:szCs w:val="24"/>
          <w:lang w:val="en-IN"/>
        </w:rPr>
        <w:t xml:space="preserve"> [</w:t>
      </w:r>
      <w:r w:rsidR="008F1FA1">
        <w:rPr>
          <w:rFonts w:ascii="Times New Roman" w:hAnsi="Times New Roman" w:cs="Times New Roman"/>
          <w:sz w:val="24"/>
          <w:szCs w:val="24"/>
          <w:lang w:val="en-IN"/>
        </w:rPr>
        <w:t>13</w:t>
      </w:r>
      <w:r w:rsidR="00453493">
        <w:rPr>
          <w:rFonts w:ascii="Times New Roman" w:hAnsi="Times New Roman" w:cs="Times New Roman"/>
          <w:sz w:val="24"/>
          <w:szCs w:val="24"/>
          <w:lang w:val="en-IN"/>
        </w:rPr>
        <w:t>]</w:t>
      </w:r>
    </w:p>
    <w:p w14:paraId="11CB64EA" w14:textId="1974C00A" w:rsidR="008F1FA1" w:rsidRPr="008A589C"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study aims to assess accommodative changes in untreated myopic patients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categorizing myopia into simple, moderate, and high myopia, along with simple and compound myopic astigmatism. By correlating refractive error types with </w:t>
      </w:r>
      <w:r w:rsidRPr="00CC48AB">
        <w:rPr>
          <w:rFonts w:ascii="Times New Roman" w:hAnsi="Times New Roman" w:cs="Times New Roman"/>
          <w:sz w:val="24"/>
          <w:szCs w:val="24"/>
          <w:lang w:val="en-IN"/>
        </w:rPr>
        <w:lastRenderedPageBreak/>
        <w:t>accommodative dysfunctions, the study seeks to provide insights into the clinical management of myopic patients experiencing visual fatigue.</w:t>
      </w:r>
    </w:p>
    <w:p w14:paraId="27A6B6AB" w14:textId="46C1BF0E"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MATERIALS AND METHODS</w:t>
      </w:r>
    </w:p>
    <w:p w14:paraId="7CBDB17E"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prospective observational study was conducted in a clinical setting in New Delhi and involved a total of 98 subjects diagnosed with myopia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The study population included both males and females aged between 18 and 39 years, with an approximately equal gender distribution. All participants were selected based on specific inclusion and exclusion criteria to ensure the reliability and relevance of the findings. The inclusion criteria comprised adults aged 18 to 39 years with a confirmed diagnosis of myopia or myopic astigmatism and experiencing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such as eye strain, headache, or visual discomfort. Participants were also required to be previous spectacle users to ensure familiarity with refractive correction. Individuals with ocular diseases, history of ocular trauma, neurological or systemic illnesses affecting ocular health, and those outside the specified age range were excluded from the study.</w:t>
      </w:r>
    </w:p>
    <w:p w14:paraId="144F2E87"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refractive errors of the participants were categorized into five groups: simple myopia (SM), moderate myopia (MM), high myopia (HM), simple myopic astigmatism (SMA), and compound myopic astigmatism (CMA). Simple myopia was defined as a spherical equivalent between -0.25 D and -3.00 D, moderate myopia between -3.25 D and -6.00 D, and high myopia as greater than -6.25 D. Simple myopic astigmatism referred to myopia affecting a single meridian, while compound myopic astigmatism involved myopic refractive error in both principal meridians with differing curvatures.</w:t>
      </w:r>
    </w:p>
    <w:p w14:paraId="3CB8BF58"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Participants underwent a comprehensive orthoptic workup, which included measurement of visual acuity using standardized distance vision charts, objective and subjective refraction assessments with retinoscopy and trial lenses, and accommodative function testing. The </w:t>
      </w:r>
      <w:r w:rsidRPr="00CC48AB">
        <w:rPr>
          <w:rFonts w:ascii="Times New Roman" w:hAnsi="Times New Roman" w:cs="Times New Roman"/>
          <w:sz w:val="24"/>
          <w:szCs w:val="24"/>
          <w:lang w:val="en-IN"/>
        </w:rPr>
        <w:lastRenderedPageBreak/>
        <w:t>accommodative assessment comprised several standardized tests to evaluate different parameters of accommodation. Near point of accommodation (NPA) was measured using the Royal Air Force (RAF) rule, which determines the closest point at which the subject can maintain a clear image. The monocular estimated method (MEM) retinoscopy was performed to evaluate accommodative response accuracy. Additionally, negative relative accommodation (NRA) and positive relative accommodation (PRA) were assessed to understand the flexibility and range of accommodation under binocular viewing conditions.</w:t>
      </w:r>
    </w:p>
    <w:p w14:paraId="169165B1"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All subjects were initially prescribed appropriate corrective spectacles based on their refractive error. After a six-week adaptation period wearing the prescribed correction, participants were asked to return for follow-up evaluation. During this follow-up, if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persisted, a detailed orthoptic examination was repeated to identify any accommodative anomalies. These anomalies were classified into accommodative insufficiency (AI) or accommodative excess (AE) based on the results of the accommodative tests.</w:t>
      </w:r>
    </w:p>
    <w:p w14:paraId="62F6FF28"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Data collected during the study, including refractive error category, accommodative test results, and symptomatology, were systematically recorded in an Excel spreadsheet for further analysis. Ethical approval was obtained prior to study commencement, and informed consent was secured from all participants after providing detailed information about the study objectives and procedures.</w:t>
      </w:r>
    </w:p>
    <w:p w14:paraId="38A782CA" w14:textId="5340B242" w:rsidR="00CC48AB" w:rsidRPr="00CC48AB" w:rsidRDefault="00CC48AB" w:rsidP="00CC48AB">
      <w:pPr>
        <w:spacing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mc:AlternateContent>
          <mc:Choice Requires="wpi">
            <w:drawing>
              <wp:anchor distT="0" distB="0" distL="114300" distR="114300" simplePos="0" relativeHeight="251659264" behindDoc="0" locked="0" layoutInCell="1" allowOverlap="1" wp14:anchorId="740366EA" wp14:editId="3D83E2AE">
                <wp:simplePos x="0" y="0"/>
                <wp:positionH relativeFrom="column">
                  <wp:posOffset>-1414840</wp:posOffset>
                </wp:positionH>
                <wp:positionV relativeFrom="paragraph">
                  <wp:posOffset>42433</wp:posOffset>
                </wp:positionV>
                <wp:extent cx="360" cy="360"/>
                <wp:effectExtent l="38100" t="38100" r="38100" b="38100"/>
                <wp:wrapNone/>
                <wp:docPr id="1768153650"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B0B1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1.75pt;margin-top:3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">
                <v:imagedata r:id="rId8" o:title=""/>
              </v:shape>
            </w:pict>
          </mc:Fallback>
        </mc:AlternateContent>
      </w:r>
      <w:r w:rsidRPr="00CC48AB">
        <w:rPr>
          <w:rFonts w:ascii="Times New Roman" w:hAnsi="Times New Roman" w:cs="Times New Roman"/>
          <w:sz w:val="24"/>
          <w:szCs w:val="24"/>
          <w:lang w:val="en-IN"/>
        </w:rPr>
        <w:t xml:space="preserve">The study focused on correlating the type of myopia and presence of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with specific accommodative changes. The data were </w:t>
      </w:r>
      <w:proofErr w:type="spellStart"/>
      <w:r w:rsidRPr="00CC48AB">
        <w:rPr>
          <w:rFonts w:ascii="Times New Roman" w:hAnsi="Times New Roman" w:cs="Times New Roman"/>
          <w:sz w:val="24"/>
          <w:szCs w:val="24"/>
          <w:lang w:val="en-IN"/>
        </w:rPr>
        <w:t>analyzed</w:t>
      </w:r>
      <w:proofErr w:type="spellEnd"/>
      <w:r w:rsidRPr="00CC48AB">
        <w:rPr>
          <w:rFonts w:ascii="Times New Roman" w:hAnsi="Times New Roman" w:cs="Times New Roman"/>
          <w:sz w:val="24"/>
          <w:szCs w:val="24"/>
          <w:lang w:val="en-IN"/>
        </w:rPr>
        <w:t xml:space="preserve"> to determine the prevalence of accommodative insufficiency and excess among the different myopic subgroups, thereby enhancing understanding of the accommodative dysfunctions commonly associated with myopia and myopic astigmatism in symptomatic patients.</w:t>
      </w:r>
    </w:p>
    <w:p w14:paraId="1C0651FD"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Ethical Considerations</w:t>
      </w:r>
    </w:p>
    <w:p w14:paraId="39840FDB"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Informed consent was obtained from all participants. The study protocol adhered to the tenets of the Declaration of Helsinki and was approved by the institutional ethical review board.</w:t>
      </w:r>
    </w:p>
    <w:p w14:paraId="7E25588F" w14:textId="6397B887"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 xml:space="preserve">RESULTS </w:t>
      </w:r>
    </w:p>
    <w:p w14:paraId="79C36BFE"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Demographics and Refractive Distribution</w:t>
      </w:r>
    </w:p>
    <w:p w14:paraId="5912EDD3"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Of the 98 participants, 56 (57.14%) were female and 42 (42.86%) were male. The age range was 18–34 years, with a mean age of 24.13 years (SD ± 6.22). Participants were categorized into four refractive subtypes based on spherical and cylindrical components.</w:t>
      </w:r>
    </w:p>
    <w:p w14:paraId="463AAFEA" w14:textId="77777777" w:rsidR="00CC48AB" w:rsidRPr="00CC48AB" w:rsidRDefault="00CC48AB" w:rsidP="00CC48AB">
      <w:pPr>
        <w:spacing w:line="480" w:lineRule="auto"/>
        <w:jc w:val="center"/>
        <w:rPr>
          <w:rFonts w:ascii="Times New Roman" w:hAnsi="Times New Roman" w:cs="Times New Roman"/>
          <w:sz w:val="24"/>
          <w:szCs w:val="24"/>
          <w:lang w:val="en-IN"/>
        </w:rPr>
      </w:pPr>
      <w:r w:rsidRPr="00CC48AB">
        <w:rPr>
          <w:rFonts w:ascii="Times New Roman" w:hAnsi="Times New Roman" w:cs="Times New Roman"/>
          <w:b/>
          <w:bCs/>
          <w:sz w:val="24"/>
          <w:szCs w:val="24"/>
          <w:lang w:val="en-IN"/>
        </w:rPr>
        <w:t>Table 1: Refractive Error Distribution</w:t>
      </w:r>
    </w:p>
    <w:tbl>
      <w:tblPr>
        <w:tblStyle w:val="TableGrid"/>
        <w:tblW w:w="0" w:type="auto"/>
        <w:jc w:val="center"/>
        <w:tblLook w:val="04A0" w:firstRow="1" w:lastRow="0" w:firstColumn="1" w:lastColumn="0" w:noHBand="0" w:noVBand="1"/>
      </w:tblPr>
      <w:tblGrid>
        <w:gridCol w:w="4130"/>
        <w:gridCol w:w="2035"/>
        <w:gridCol w:w="1805"/>
      </w:tblGrid>
      <w:tr w:rsidR="00CC48AB" w:rsidRPr="00CC48AB" w14:paraId="48845861" w14:textId="77777777" w:rsidTr="008F1FA1">
        <w:trPr>
          <w:jc w:val="center"/>
        </w:trPr>
        <w:tc>
          <w:tcPr>
            <w:tcW w:w="0" w:type="auto"/>
            <w:hideMark/>
          </w:tcPr>
          <w:p w14:paraId="547B6BF0"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Refractive Type</w:t>
            </w:r>
          </w:p>
        </w:tc>
        <w:tc>
          <w:tcPr>
            <w:tcW w:w="0" w:type="auto"/>
            <w:hideMark/>
          </w:tcPr>
          <w:p w14:paraId="1DE8BE6A"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Frequency (n=98)</w:t>
            </w:r>
          </w:p>
        </w:tc>
        <w:tc>
          <w:tcPr>
            <w:tcW w:w="0" w:type="auto"/>
            <w:hideMark/>
          </w:tcPr>
          <w:p w14:paraId="04DDB563"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Percentage (%)</w:t>
            </w:r>
          </w:p>
        </w:tc>
      </w:tr>
      <w:tr w:rsidR="00CC48AB" w:rsidRPr="00CC48AB" w14:paraId="7DC50695" w14:textId="77777777" w:rsidTr="008F1FA1">
        <w:trPr>
          <w:jc w:val="center"/>
        </w:trPr>
        <w:tc>
          <w:tcPr>
            <w:tcW w:w="0" w:type="auto"/>
            <w:hideMark/>
          </w:tcPr>
          <w:p w14:paraId="183F4AAC"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Simple Myopia (SM)</w:t>
            </w:r>
          </w:p>
        </w:tc>
        <w:tc>
          <w:tcPr>
            <w:tcW w:w="0" w:type="auto"/>
            <w:hideMark/>
          </w:tcPr>
          <w:p w14:paraId="4F205C4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w:t>
            </w:r>
          </w:p>
        </w:tc>
        <w:tc>
          <w:tcPr>
            <w:tcW w:w="0" w:type="auto"/>
            <w:hideMark/>
          </w:tcPr>
          <w:p w14:paraId="27803D8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23.00%</w:t>
            </w:r>
          </w:p>
        </w:tc>
      </w:tr>
      <w:tr w:rsidR="00CC48AB" w:rsidRPr="00CC48AB" w14:paraId="6BD4E3E2" w14:textId="77777777" w:rsidTr="008F1FA1">
        <w:trPr>
          <w:jc w:val="center"/>
        </w:trPr>
        <w:tc>
          <w:tcPr>
            <w:tcW w:w="0" w:type="auto"/>
            <w:hideMark/>
          </w:tcPr>
          <w:p w14:paraId="0A9A7838"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Moderate Myopia (MM)</w:t>
            </w:r>
          </w:p>
        </w:tc>
        <w:tc>
          <w:tcPr>
            <w:tcW w:w="0" w:type="auto"/>
            <w:hideMark/>
          </w:tcPr>
          <w:p w14:paraId="6302BA0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w:t>
            </w:r>
          </w:p>
        </w:tc>
        <w:tc>
          <w:tcPr>
            <w:tcW w:w="0" w:type="auto"/>
            <w:hideMark/>
          </w:tcPr>
          <w:p w14:paraId="7AA6CB5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5.00%</w:t>
            </w:r>
          </w:p>
        </w:tc>
      </w:tr>
      <w:tr w:rsidR="00CC48AB" w:rsidRPr="00CC48AB" w14:paraId="0AA3A2DB" w14:textId="77777777" w:rsidTr="008F1FA1">
        <w:trPr>
          <w:jc w:val="center"/>
        </w:trPr>
        <w:tc>
          <w:tcPr>
            <w:tcW w:w="0" w:type="auto"/>
            <w:hideMark/>
          </w:tcPr>
          <w:p w14:paraId="6137565A"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Simple Myopic Astigmatism (SMA)</w:t>
            </w:r>
          </w:p>
        </w:tc>
        <w:tc>
          <w:tcPr>
            <w:tcW w:w="0" w:type="auto"/>
            <w:hideMark/>
          </w:tcPr>
          <w:p w14:paraId="22F8A14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42</w:t>
            </w:r>
          </w:p>
        </w:tc>
        <w:tc>
          <w:tcPr>
            <w:tcW w:w="0" w:type="auto"/>
            <w:hideMark/>
          </w:tcPr>
          <w:p w14:paraId="374FC775"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43.00%</w:t>
            </w:r>
          </w:p>
        </w:tc>
      </w:tr>
      <w:tr w:rsidR="00CC48AB" w:rsidRPr="00CC48AB" w14:paraId="21BD73E2" w14:textId="77777777" w:rsidTr="008F1FA1">
        <w:trPr>
          <w:jc w:val="center"/>
        </w:trPr>
        <w:tc>
          <w:tcPr>
            <w:tcW w:w="0" w:type="auto"/>
            <w:hideMark/>
          </w:tcPr>
          <w:p w14:paraId="42AB6CB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Compound Myopic Astigmatism (CMA)</w:t>
            </w:r>
          </w:p>
        </w:tc>
        <w:tc>
          <w:tcPr>
            <w:tcW w:w="0" w:type="auto"/>
            <w:hideMark/>
          </w:tcPr>
          <w:p w14:paraId="4577B64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28</w:t>
            </w:r>
          </w:p>
        </w:tc>
        <w:tc>
          <w:tcPr>
            <w:tcW w:w="0" w:type="auto"/>
            <w:hideMark/>
          </w:tcPr>
          <w:p w14:paraId="1C9881E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29.00%</w:t>
            </w:r>
          </w:p>
        </w:tc>
      </w:tr>
    </w:tbl>
    <w:p w14:paraId="1234AA66" w14:textId="77777777" w:rsidR="008F1FA1" w:rsidRDefault="008F1FA1" w:rsidP="00CC48AB">
      <w:pPr>
        <w:spacing w:line="480" w:lineRule="auto"/>
        <w:jc w:val="both"/>
        <w:rPr>
          <w:rFonts w:ascii="Times New Roman" w:hAnsi="Times New Roman" w:cs="Times New Roman"/>
          <w:sz w:val="24"/>
          <w:szCs w:val="24"/>
          <w:lang w:val="en-IN"/>
        </w:rPr>
      </w:pPr>
    </w:p>
    <w:p w14:paraId="7C137891" w14:textId="45A2D0E5"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highest proportion of patients (43%) presented with simple myopic astigmatism, indicating a notable burden of astigmatic error in this population.</w:t>
      </w:r>
    </w:p>
    <w:p w14:paraId="12056038"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Post-Correction Symptoms and Accommodative Changes</w:t>
      </w:r>
    </w:p>
    <w:p w14:paraId="7348FC76"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After 6 weeks of spectacle wear:</w:t>
      </w:r>
    </w:p>
    <w:p w14:paraId="520A3CF1" w14:textId="77777777" w:rsidR="00CC48AB" w:rsidRPr="00CC48AB" w:rsidRDefault="00CC48AB" w:rsidP="00CC48AB">
      <w:pPr>
        <w:numPr>
          <w:ilvl w:val="0"/>
          <w:numId w:val="8"/>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26.53% (n=26) reported complete symptom relief</w:t>
      </w:r>
    </w:p>
    <w:p w14:paraId="6DD0CFFA" w14:textId="77777777" w:rsidR="00CC48AB" w:rsidRPr="00CC48AB" w:rsidRDefault="00CC48AB" w:rsidP="00CC48AB">
      <w:pPr>
        <w:numPr>
          <w:ilvl w:val="0"/>
          <w:numId w:val="8"/>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73.47% (n=72) continued to experience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w:t>
      </w:r>
    </w:p>
    <w:p w14:paraId="7EC78F45"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Further accommodative testing of these 72 symptomatic patients revealed:</w:t>
      </w:r>
    </w:p>
    <w:p w14:paraId="48D0482C"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43.88% (n=43) had Accommodative Insufficiency (AI)</w:t>
      </w:r>
    </w:p>
    <w:p w14:paraId="796D8E6E"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29.59% (n=29) had Accommodative Excess (AE)</w:t>
      </w:r>
    </w:p>
    <w:p w14:paraId="7AFE18FA"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26.53% (n=26) had No Anomaly (NA)</w:t>
      </w:r>
    </w:p>
    <w:p w14:paraId="01113B51" w14:textId="77777777" w:rsidR="00CC48AB" w:rsidRPr="00CC48AB" w:rsidRDefault="00CC48AB" w:rsidP="00CC48AB">
      <w:pPr>
        <w:spacing w:line="480" w:lineRule="auto"/>
        <w:jc w:val="center"/>
        <w:rPr>
          <w:rFonts w:ascii="Times New Roman" w:hAnsi="Times New Roman" w:cs="Times New Roman"/>
          <w:sz w:val="24"/>
          <w:szCs w:val="24"/>
          <w:lang w:val="en-IN"/>
        </w:rPr>
      </w:pPr>
      <w:r w:rsidRPr="00CC48AB">
        <w:rPr>
          <w:rFonts w:ascii="Times New Roman" w:hAnsi="Times New Roman" w:cs="Times New Roman"/>
          <w:b/>
          <w:bCs/>
          <w:sz w:val="24"/>
          <w:szCs w:val="24"/>
          <w:lang w:val="en-IN"/>
        </w:rPr>
        <w:t>Table 2: Accommodative Status by Refractive Type</w:t>
      </w:r>
    </w:p>
    <w:tbl>
      <w:tblPr>
        <w:tblStyle w:val="TableGrid"/>
        <w:tblW w:w="0" w:type="auto"/>
        <w:jc w:val="center"/>
        <w:tblLook w:val="04A0" w:firstRow="1" w:lastRow="0" w:firstColumn="1" w:lastColumn="0" w:noHBand="0" w:noVBand="1"/>
      </w:tblPr>
      <w:tblGrid>
        <w:gridCol w:w="1840"/>
        <w:gridCol w:w="943"/>
        <w:gridCol w:w="1010"/>
        <w:gridCol w:w="1950"/>
      </w:tblGrid>
      <w:tr w:rsidR="00CC48AB" w:rsidRPr="00CC48AB" w14:paraId="7C3D17C3" w14:textId="77777777" w:rsidTr="00CC48AB">
        <w:trPr>
          <w:jc w:val="center"/>
        </w:trPr>
        <w:tc>
          <w:tcPr>
            <w:tcW w:w="0" w:type="auto"/>
            <w:hideMark/>
          </w:tcPr>
          <w:p w14:paraId="0D1D35B8" w14:textId="77777777" w:rsidR="00CC48AB" w:rsidRPr="00CC48AB" w:rsidRDefault="00CC48AB" w:rsidP="00CC48AB">
            <w:pPr>
              <w:spacing w:after="160"/>
              <w:jc w:val="center"/>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Refractive Type</w:t>
            </w:r>
          </w:p>
        </w:tc>
        <w:tc>
          <w:tcPr>
            <w:tcW w:w="0" w:type="auto"/>
            <w:hideMark/>
          </w:tcPr>
          <w:p w14:paraId="34A29C87"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AI (%)</w:t>
            </w:r>
          </w:p>
        </w:tc>
        <w:tc>
          <w:tcPr>
            <w:tcW w:w="0" w:type="auto"/>
            <w:hideMark/>
          </w:tcPr>
          <w:p w14:paraId="5D5BAD5D"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AE (%)</w:t>
            </w:r>
          </w:p>
        </w:tc>
        <w:tc>
          <w:tcPr>
            <w:tcW w:w="0" w:type="auto"/>
            <w:hideMark/>
          </w:tcPr>
          <w:p w14:paraId="2116A177"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No Anomaly (%)</w:t>
            </w:r>
          </w:p>
        </w:tc>
      </w:tr>
      <w:tr w:rsidR="00CC48AB" w:rsidRPr="00CC48AB" w14:paraId="33A2763A" w14:textId="77777777" w:rsidTr="00CC48AB">
        <w:trPr>
          <w:jc w:val="center"/>
        </w:trPr>
        <w:tc>
          <w:tcPr>
            <w:tcW w:w="0" w:type="auto"/>
            <w:hideMark/>
          </w:tcPr>
          <w:p w14:paraId="4EC5834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SM</w:t>
            </w:r>
          </w:p>
        </w:tc>
        <w:tc>
          <w:tcPr>
            <w:tcW w:w="0" w:type="auto"/>
            <w:hideMark/>
          </w:tcPr>
          <w:p w14:paraId="0A4958B7"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39.13</w:t>
            </w:r>
          </w:p>
        </w:tc>
        <w:tc>
          <w:tcPr>
            <w:tcW w:w="0" w:type="auto"/>
            <w:hideMark/>
          </w:tcPr>
          <w:p w14:paraId="3ADD20E0"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43.48</w:t>
            </w:r>
          </w:p>
        </w:tc>
        <w:tc>
          <w:tcPr>
            <w:tcW w:w="0" w:type="auto"/>
            <w:hideMark/>
          </w:tcPr>
          <w:p w14:paraId="5042F449"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17.39</w:t>
            </w:r>
          </w:p>
        </w:tc>
      </w:tr>
      <w:tr w:rsidR="00CC48AB" w:rsidRPr="00CC48AB" w14:paraId="60CDF522" w14:textId="77777777" w:rsidTr="00CC48AB">
        <w:trPr>
          <w:jc w:val="center"/>
        </w:trPr>
        <w:tc>
          <w:tcPr>
            <w:tcW w:w="0" w:type="auto"/>
            <w:hideMark/>
          </w:tcPr>
          <w:p w14:paraId="7A9E6383"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MM</w:t>
            </w:r>
          </w:p>
        </w:tc>
        <w:tc>
          <w:tcPr>
            <w:tcW w:w="0" w:type="auto"/>
            <w:hideMark/>
          </w:tcPr>
          <w:p w14:paraId="295C8DA1"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40.00</w:t>
            </w:r>
          </w:p>
        </w:tc>
        <w:tc>
          <w:tcPr>
            <w:tcW w:w="0" w:type="auto"/>
            <w:hideMark/>
          </w:tcPr>
          <w:p w14:paraId="5EB228D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20.00</w:t>
            </w:r>
          </w:p>
        </w:tc>
        <w:tc>
          <w:tcPr>
            <w:tcW w:w="0" w:type="auto"/>
            <w:hideMark/>
          </w:tcPr>
          <w:p w14:paraId="73D5814A"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40.00</w:t>
            </w:r>
          </w:p>
        </w:tc>
      </w:tr>
      <w:tr w:rsidR="00CC48AB" w:rsidRPr="00CC48AB" w14:paraId="34767561" w14:textId="77777777" w:rsidTr="00CC48AB">
        <w:trPr>
          <w:jc w:val="center"/>
        </w:trPr>
        <w:tc>
          <w:tcPr>
            <w:tcW w:w="0" w:type="auto"/>
            <w:hideMark/>
          </w:tcPr>
          <w:p w14:paraId="5841FFED"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SMA</w:t>
            </w:r>
          </w:p>
        </w:tc>
        <w:tc>
          <w:tcPr>
            <w:tcW w:w="0" w:type="auto"/>
            <w:hideMark/>
          </w:tcPr>
          <w:p w14:paraId="77041A7C"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52.38</w:t>
            </w:r>
          </w:p>
        </w:tc>
        <w:tc>
          <w:tcPr>
            <w:tcW w:w="0" w:type="auto"/>
            <w:hideMark/>
          </w:tcPr>
          <w:p w14:paraId="7378FCC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23.81</w:t>
            </w:r>
          </w:p>
        </w:tc>
        <w:tc>
          <w:tcPr>
            <w:tcW w:w="0" w:type="auto"/>
            <w:hideMark/>
          </w:tcPr>
          <w:p w14:paraId="0385861B"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23.81</w:t>
            </w:r>
          </w:p>
        </w:tc>
      </w:tr>
      <w:tr w:rsidR="00CC48AB" w:rsidRPr="00CC48AB" w14:paraId="4302F77B" w14:textId="77777777" w:rsidTr="00CC48AB">
        <w:trPr>
          <w:jc w:val="center"/>
        </w:trPr>
        <w:tc>
          <w:tcPr>
            <w:tcW w:w="0" w:type="auto"/>
            <w:hideMark/>
          </w:tcPr>
          <w:p w14:paraId="3F81CD39"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CMA</w:t>
            </w:r>
          </w:p>
        </w:tc>
        <w:tc>
          <w:tcPr>
            <w:tcW w:w="0" w:type="auto"/>
            <w:hideMark/>
          </w:tcPr>
          <w:p w14:paraId="71AAEC61"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35.71</w:t>
            </w:r>
          </w:p>
        </w:tc>
        <w:tc>
          <w:tcPr>
            <w:tcW w:w="0" w:type="auto"/>
            <w:hideMark/>
          </w:tcPr>
          <w:p w14:paraId="453B3BED"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28.57</w:t>
            </w:r>
          </w:p>
        </w:tc>
        <w:tc>
          <w:tcPr>
            <w:tcW w:w="0" w:type="auto"/>
            <w:hideMark/>
          </w:tcPr>
          <w:p w14:paraId="0C76C227"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35.71</w:t>
            </w:r>
          </w:p>
        </w:tc>
      </w:tr>
    </w:tbl>
    <w:p w14:paraId="641804F3" w14:textId="77777777" w:rsidR="00CC48AB" w:rsidRDefault="00CC48AB" w:rsidP="00CC48AB">
      <w:pPr>
        <w:spacing w:line="480" w:lineRule="auto"/>
        <w:jc w:val="both"/>
        <w:rPr>
          <w:rFonts w:ascii="Times New Roman" w:hAnsi="Times New Roman" w:cs="Times New Roman"/>
          <w:sz w:val="24"/>
          <w:szCs w:val="24"/>
          <w:lang w:val="en-IN"/>
        </w:rPr>
      </w:pPr>
    </w:p>
    <w:p w14:paraId="1BEB307D" w14:textId="0979D04B"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SMA group showed the highest proportion of</w:t>
      </w:r>
      <w:r>
        <w:rPr>
          <w:rFonts w:ascii="Times New Roman" w:hAnsi="Times New Roman" w:cs="Times New Roman"/>
          <w:sz w:val="24"/>
          <w:szCs w:val="24"/>
          <w:lang w:val="en-IN"/>
        </w:rPr>
        <w:t xml:space="preserve"> </w:t>
      </w:r>
      <w:r w:rsidRPr="00CC48AB">
        <w:rPr>
          <w:rFonts w:ascii="Times New Roman" w:hAnsi="Times New Roman" w:cs="Times New Roman"/>
          <w:sz w:val="24"/>
          <w:szCs w:val="24"/>
          <w:lang w:val="en-IN"/>
        </w:rPr>
        <w:t>AI (52.38%), highlighting a possible correlation between irregular astigmatism and accommodative fatigue.</w:t>
      </w:r>
    </w:p>
    <w:p w14:paraId="27724CAB" w14:textId="43C0B1BB"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DISCUSSION</w:t>
      </w:r>
    </w:p>
    <w:p w14:paraId="78FEC8DA"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study evaluated the presence of accommodative dysfunctions—specifically accommodative insufficiency (AI) and accommodative excess (AE)—in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Our findings reveal a substantial prevalence of accommodative anomalies in this population, even after appropriate spectacle correction, underscoring the multifactorial nature of visual fatigue and discomfort.</w:t>
      </w:r>
    </w:p>
    <w:p w14:paraId="616C3CC4"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 total of 73.47% of participants continued to experience symptoms after refractive correction, with 43.88% diagnosed with AI and 29.59% with AE. Notably, simple myopic astigmatism (SMA) was the most affected refractive group, followed by compound myopic astigmatism (CMA), suggesting that individuals with cylindrical refractive components are more susceptible to accommodative anomalies.</w:t>
      </w:r>
    </w:p>
    <w:p w14:paraId="6D804AD9"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Our results suggest that a significant proportion of symptomatic myopic individuals have underlying accommodative dysfunctions that are not addressed by refractive correction alone. </w:t>
      </w:r>
      <w:r w:rsidRPr="00CC48AB">
        <w:rPr>
          <w:rFonts w:ascii="Times New Roman" w:hAnsi="Times New Roman" w:cs="Times New Roman"/>
          <w:sz w:val="24"/>
          <w:szCs w:val="24"/>
          <w:lang w:val="en-IN"/>
        </w:rPr>
        <w:lastRenderedPageBreak/>
        <w:t>This is consistent with the physiological understanding that sustained near work, especially in uncorrected or under-corrected myopia, can strain the accommodative system. AI is often associated with symptoms like blurred near vision, fatigue, and headache, while AE is linked to difficulty relaxing focus when shifting to distance viewing.</w:t>
      </w:r>
    </w:p>
    <w:p w14:paraId="6DC4593F"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high prevalence of AI in the SMA group (52.38%) may be due to unequal optical focus across meridians, causing continuous accommodative micro-adjustments. Such adjustments may fatigue the ciliary muscle over time, particularly during tasks requiring prolonged near focus, such as reading or screen use. Similarly, AE found in 28.57% of CMA cases may relate to ciliary muscle overexertion from attempting to overcome the astigmatic blur, especially in patients engaging in digital device use for extended periods.</w:t>
      </w:r>
    </w:p>
    <w:p w14:paraId="20A0ADD1"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impact of near work is particularly noteworthy. Many patients reported extended screen exposure due to professional or academic requirements, often without adequate breaks. This aligns with existing literature suggesting a strong correlation between digital screen use and accommodative strain, especially in younger populations who are more reliant on smartphones and computers.</w:t>
      </w:r>
    </w:p>
    <w:p w14:paraId="535CEB3A" w14:textId="1A1929BD"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Our findings complement and expand upon previous research in this area. Gwiazda et al. (1993) demonstrated that myopic children exhibited insufficient accommodative response to negative lenses, suggesting a weakened or lagging accommodative mechanism. While their focus was on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patients and emmetropic comparisons, our study narrows in on symptomatic adult myopes and still identifies a high incidence of accommodative dysfunction, reinforcing that this issue persists beyond childhood.</w:t>
      </w:r>
      <w:r w:rsidR="008F1FA1">
        <w:rPr>
          <w:rFonts w:ascii="Times New Roman" w:hAnsi="Times New Roman" w:cs="Times New Roman"/>
          <w:sz w:val="24"/>
          <w:szCs w:val="24"/>
          <w:lang w:val="en-IN"/>
        </w:rPr>
        <w:t xml:space="preserve"> </w:t>
      </w:r>
      <w:r w:rsidR="00453493">
        <w:rPr>
          <w:rFonts w:ascii="Times New Roman" w:hAnsi="Times New Roman" w:cs="Times New Roman"/>
          <w:sz w:val="24"/>
          <w:szCs w:val="24"/>
          <w:lang w:val="en-IN"/>
        </w:rPr>
        <w:t>[</w:t>
      </w:r>
      <w:r w:rsidR="008F1FA1">
        <w:rPr>
          <w:rFonts w:ascii="Times New Roman" w:hAnsi="Times New Roman" w:cs="Times New Roman"/>
          <w:sz w:val="24"/>
          <w:szCs w:val="24"/>
          <w:lang w:val="en-IN"/>
        </w:rPr>
        <w:t>2</w:t>
      </w:r>
      <w:r w:rsidR="00453493">
        <w:rPr>
          <w:rFonts w:ascii="Times New Roman" w:hAnsi="Times New Roman" w:cs="Times New Roman"/>
          <w:sz w:val="24"/>
          <w:szCs w:val="24"/>
          <w:lang w:val="en-IN"/>
        </w:rPr>
        <w:t>]</w:t>
      </w:r>
    </w:p>
    <w:p w14:paraId="2EB8FA3F" w14:textId="72B6EF12"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Mutti et al. (2006) explored the lag of accommodation before and after the onset of myopia, reporting no significant differences. However, their methodology did not directly evaluate AI or AE, and the emphasis was on longitudinal development rather than symptomatic relief. Our </w:t>
      </w:r>
      <w:r w:rsidRPr="00CC48AB">
        <w:rPr>
          <w:rFonts w:ascii="Times New Roman" w:hAnsi="Times New Roman" w:cs="Times New Roman"/>
          <w:sz w:val="24"/>
          <w:szCs w:val="24"/>
          <w:lang w:val="en-IN"/>
        </w:rPr>
        <w:lastRenderedPageBreak/>
        <w:t>work adds value by emphasizing the clinical manifestation of accommodative anomalies in symptomatic individuals rather than tracking accommodative lag alone.</w:t>
      </w:r>
      <w:r w:rsidR="008F1FA1">
        <w:rPr>
          <w:rFonts w:ascii="Times New Roman" w:hAnsi="Times New Roman" w:cs="Times New Roman"/>
          <w:sz w:val="24"/>
          <w:szCs w:val="24"/>
          <w:lang w:val="en-IN"/>
        </w:rPr>
        <w:t>[3]</w:t>
      </w:r>
    </w:p>
    <w:p w14:paraId="09650521" w14:textId="7ABCAA36"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Trine Langaas et al. (2008) also evaluated variability in accommodative response and pupil size but found no significant differences in response between myopes and emmetropes. These differences in outcomes may arise from population characteristics, methods, or the specific symptomatic criteria applied in our study, which focused exclusively on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complaints. In fact, one of the unique contributions of this study is that it isolates a clinically relevant group—symptomatic, untreated myopic adults—making the results highly applicable in daily optometric practice.</w:t>
      </w:r>
      <w:r w:rsidR="008F1FA1">
        <w:rPr>
          <w:rFonts w:ascii="Times New Roman" w:hAnsi="Times New Roman" w:cs="Times New Roman"/>
          <w:sz w:val="24"/>
          <w:szCs w:val="24"/>
          <w:lang w:val="en-IN"/>
        </w:rPr>
        <w:t xml:space="preserve"> [4]</w:t>
      </w:r>
    </w:p>
    <w:p w14:paraId="038265FC"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Clinical Implications</w:t>
      </w:r>
    </w:p>
    <w:p w14:paraId="3C8F215B"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These results highlight the importance of going beyond simple refractive correction when managing patients with myopia and visual discomfort. Even when best-corrected visual acuity is achieved, residual symptoms may persist due to unaddressed accommodative anomalies. This necessitates the integration of orthoptic testing in routine optometric and ophthalmic examinations, particularly in younger adults and students who report eye strain or headaches despite recent spectacle correction.</w:t>
      </w:r>
    </w:p>
    <w:p w14:paraId="59FF6B5C"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Management of these anomalies may include:</w:t>
      </w:r>
    </w:p>
    <w:p w14:paraId="36C69751"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Vision therapy:</w:t>
      </w:r>
      <w:r w:rsidRPr="00CC48AB">
        <w:rPr>
          <w:rFonts w:ascii="Times New Roman" w:hAnsi="Times New Roman" w:cs="Times New Roman"/>
          <w:sz w:val="24"/>
          <w:szCs w:val="24"/>
          <w:lang w:val="en-IN"/>
        </w:rPr>
        <w:t xml:space="preserve"> Exercises to strengthen accommodative facility and flexibility.</w:t>
      </w:r>
    </w:p>
    <w:p w14:paraId="7BA7D1AB"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Low plus lens additions</w:t>
      </w:r>
      <w:r w:rsidRPr="00CC48AB">
        <w:rPr>
          <w:rFonts w:ascii="Times New Roman" w:hAnsi="Times New Roman" w:cs="Times New Roman"/>
          <w:sz w:val="24"/>
          <w:szCs w:val="24"/>
          <w:lang w:val="en-IN"/>
        </w:rPr>
        <w:t xml:space="preserve"> for near work in cases of AI.</w:t>
      </w:r>
    </w:p>
    <w:p w14:paraId="702385C1"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Cycloplegic therapy</w:t>
      </w:r>
      <w:r w:rsidRPr="00CC48AB">
        <w:rPr>
          <w:rFonts w:ascii="Times New Roman" w:hAnsi="Times New Roman" w:cs="Times New Roman"/>
          <w:sz w:val="24"/>
          <w:szCs w:val="24"/>
          <w:lang w:val="en-IN"/>
        </w:rPr>
        <w:t xml:space="preserve"> or near-point stress management in cases of AE.</w:t>
      </w:r>
    </w:p>
    <w:p w14:paraId="1DCF280A"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Lifestyle modifications</w:t>
      </w:r>
      <w:r w:rsidRPr="00CC48AB">
        <w:rPr>
          <w:rFonts w:ascii="Times New Roman" w:hAnsi="Times New Roman" w:cs="Times New Roman"/>
          <w:sz w:val="24"/>
          <w:szCs w:val="24"/>
          <w:lang w:val="en-IN"/>
        </w:rPr>
        <w:t>, including structured screen time and 20-20-20 rule adherence.</w:t>
      </w:r>
    </w:p>
    <w:p w14:paraId="2F3FC2E7"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In clinical settings, early diagnosis and intervention can reduce the risk of chronic discomfort, enhance academic/work performance, and prevent misdiagnosis of symptoms as being psychogenic or neurological in origin.</w:t>
      </w:r>
    </w:p>
    <w:p w14:paraId="3C24E565"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Limitations</w:t>
      </w:r>
    </w:p>
    <w:p w14:paraId="6E81267C"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While our study offers important insights, it is not without limitations:</w:t>
      </w:r>
    </w:p>
    <w:p w14:paraId="6BAE583B"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Sample size</w:t>
      </w:r>
      <w:r w:rsidRPr="00CC48AB">
        <w:rPr>
          <w:rFonts w:ascii="Times New Roman" w:hAnsi="Times New Roman" w:cs="Times New Roman"/>
          <w:sz w:val="24"/>
          <w:szCs w:val="24"/>
          <w:lang w:val="en-IN"/>
        </w:rPr>
        <w:t xml:space="preserve"> was modest (n=98), and larger multicentric studies could validate the prevalence rates further.</w:t>
      </w:r>
    </w:p>
    <w:p w14:paraId="1A7BD2EF"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Age group restriction (18–39 years)</w:t>
      </w:r>
      <w:r w:rsidRPr="00CC48AB">
        <w:rPr>
          <w:rFonts w:ascii="Times New Roman" w:hAnsi="Times New Roman" w:cs="Times New Roman"/>
          <w:sz w:val="24"/>
          <w:szCs w:val="24"/>
          <w:lang w:val="en-IN"/>
        </w:rPr>
        <w:t xml:space="preserve"> limits generalizability to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and older populations. Children and adolescents, who have a higher risk of myopia progression, may exhibit different accommodative patterns.</w:t>
      </w:r>
    </w:p>
    <w:p w14:paraId="1B57EC46"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Absence of control groups</w:t>
      </w:r>
      <w:r w:rsidRPr="00CC48AB">
        <w:rPr>
          <w:rFonts w:ascii="Times New Roman" w:hAnsi="Times New Roman" w:cs="Times New Roman"/>
          <w:sz w:val="24"/>
          <w:szCs w:val="24"/>
          <w:lang w:val="en-IN"/>
        </w:rPr>
        <w:t xml:space="preserve"> (e.g., emmetropic or hyperopic individuals) means we cannot directly compare rates of accommodative dysfunction across refractive types.</w:t>
      </w:r>
    </w:p>
    <w:p w14:paraId="170FFDEB"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Symptom quantification</w:t>
      </w:r>
      <w:r w:rsidRPr="00CC48AB">
        <w:rPr>
          <w:rFonts w:ascii="Times New Roman" w:hAnsi="Times New Roman" w:cs="Times New Roman"/>
          <w:sz w:val="24"/>
          <w:szCs w:val="24"/>
          <w:lang w:val="en-IN"/>
        </w:rPr>
        <w:t xml:space="preserve"> was qualitative; future studies may benefit from validated symptom questionnaires (e.g., the Convergence Insufficiency Symptom Survey - CISS).</w:t>
      </w:r>
    </w:p>
    <w:p w14:paraId="5B8CD498"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 xml:space="preserve">Environmental and </w:t>
      </w:r>
      <w:proofErr w:type="spellStart"/>
      <w:r w:rsidRPr="00CC48AB">
        <w:rPr>
          <w:rFonts w:ascii="Times New Roman" w:hAnsi="Times New Roman" w:cs="Times New Roman"/>
          <w:b/>
          <w:bCs/>
          <w:sz w:val="24"/>
          <w:szCs w:val="24"/>
          <w:lang w:val="en-IN"/>
        </w:rPr>
        <w:t>behavioral</w:t>
      </w:r>
      <w:proofErr w:type="spellEnd"/>
      <w:r w:rsidRPr="00CC48AB">
        <w:rPr>
          <w:rFonts w:ascii="Times New Roman" w:hAnsi="Times New Roman" w:cs="Times New Roman"/>
          <w:b/>
          <w:bCs/>
          <w:sz w:val="24"/>
          <w:szCs w:val="24"/>
          <w:lang w:val="en-IN"/>
        </w:rPr>
        <w:t xml:space="preserve"> data</w:t>
      </w:r>
      <w:r w:rsidRPr="00CC48AB">
        <w:rPr>
          <w:rFonts w:ascii="Times New Roman" w:hAnsi="Times New Roman" w:cs="Times New Roman"/>
          <w:sz w:val="24"/>
          <w:szCs w:val="24"/>
          <w:lang w:val="en-IN"/>
        </w:rPr>
        <w:t xml:space="preserve"> (e.g., hours of near work, digital device use) were not quantified but could influence results.</w:t>
      </w:r>
    </w:p>
    <w:p w14:paraId="44C4BC36"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No dynamic retinoscopy or objective lag assessment tools</w:t>
      </w:r>
      <w:r w:rsidRPr="00CC48AB">
        <w:rPr>
          <w:rFonts w:ascii="Times New Roman" w:hAnsi="Times New Roman" w:cs="Times New Roman"/>
          <w:sz w:val="24"/>
          <w:szCs w:val="24"/>
          <w:lang w:val="en-IN"/>
        </w:rPr>
        <w:t xml:space="preserve"> (like open-field autorefractors) were used, which could have added more precision in diagnosing accommodation anomalies.</w:t>
      </w:r>
    </w:p>
    <w:p w14:paraId="4A753A29"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Future Directions</w:t>
      </w:r>
    </w:p>
    <w:p w14:paraId="0E4508DF"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Future research could consider:</w:t>
      </w:r>
    </w:p>
    <w:p w14:paraId="0971FB8D"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 xml:space="preserve">Investigating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populations where accommodation plays a role in myopia development and progression.</w:t>
      </w:r>
    </w:p>
    <w:p w14:paraId="74CC0DF6"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Comparative studies involving emmetropes, </w:t>
      </w:r>
      <w:proofErr w:type="spellStart"/>
      <w:r w:rsidRPr="00CC48AB">
        <w:rPr>
          <w:rFonts w:ascii="Times New Roman" w:hAnsi="Times New Roman" w:cs="Times New Roman"/>
          <w:sz w:val="24"/>
          <w:szCs w:val="24"/>
          <w:lang w:val="en-IN"/>
        </w:rPr>
        <w:t>hypermetropes</w:t>
      </w:r>
      <w:proofErr w:type="spellEnd"/>
      <w:r w:rsidRPr="00CC48AB">
        <w:rPr>
          <w:rFonts w:ascii="Times New Roman" w:hAnsi="Times New Roman" w:cs="Times New Roman"/>
          <w:sz w:val="24"/>
          <w:szCs w:val="24"/>
          <w:lang w:val="en-IN"/>
        </w:rPr>
        <w:t>, and different levels of myopia.</w:t>
      </w:r>
    </w:p>
    <w:p w14:paraId="534089FB"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Longitudinal follow-up to assess whether managing accommodative dysfunction reduces the risk of myopia progression.</w:t>
      </w:r>
    </w:p>
    <w:p w14:paraId="6DFA4683"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role of digital device overuse and environmental lighting in accommodative fatigue.</w:t>
      </w:r>
    </w:p>
    <w:p w14:paraId="24180A2B" w14:textId="0C014F1E"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Conclusion</w:t>
      </w:r>
    </w:p>
    <w:p w14:paraId="554ED58C" w14:textId="7910F83D" w:rsid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The study underscores the high prevalence of accommodative dysfunctions in untreated myopic patients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While refractive correction remains the first line of management, optometrists must be vigilant in evaluating accommodation, especially in those with persistent symptoms.</w:t>
      </w:r>
      <w:r w:rsidR="00977606">
        <w:rPr>
          <w:rFonts w:ascii="Times New Roman" w:hAnsi="Times New Roman" w:cs="Times New Roman"/>
          <w:sz w:val="24"/>
          <w:szCs w:val="24"/>
          <w:lang w:val="en-IN"/>
        </w:rPr>
        <w:t xml:space="preserve"> </w:t>
      </w:r>
      <w:r w:rsidRPr="00CC48AB">
        <w:rPr>
          <w:rFonts w:ascii="Times New Roman" w:hAnsi="Times New Roman" w:cs="Times New Roman"/>
          <w:sz w:val="24"/>
          <w:szCs w:val="24"/>
          <w:lang w:val="en-IN"/>
        </w:rPr>
        <w:t>Routine use of accommodative tests, including NPA, NRA, PRA, and MEM, is recommended in symptomatic patients. Visual hygiene practices, near-work moderation, and specific accommodative therapies like flipper exercises or plus lens therapy should be considered as adjuncts.</w:t>
      </w:r>
    </w:p>
    <w:p w14:paraId="4650F9D6" w14:textId="77777777" w:rsidR="00B7328A" w:rsidRPr="00B7328A" w:rsidRDefault="00B7328A" w:rsidP="00B7328A">
      <w:pPr>
        <w:spacing w:line="480" w:lineRule="auto"/>
        <w:jc w:val="both"/>
        <w:rPr>
          <w:rFonts w:ascii="Times New Roman" w:hAnsi="Times New Roman" w:cs="Times New Roman"/>
          <w:sz w:val="24"/>
          <w:szCs w:val="24"/>
          <w:lang w:val="en-IN"/>
        </w:rPr>
      </w:pPr>
      <w:bookmarkStart w:id="0" w:name="_GoBack"/>
      <w:bookmarkEnd w:id="0"/>
      <w:r w:rsidRPr="00B7328A">
        <w:rPr>
          <w:rFonts w:ascii="Times New Roman" w:hAnsi="Times New Roman" w:cs="Times New Roman"/>
          <w:sz w:val="24"/>
          <w:szCs w:val="24"/>
          <w:lang w:val="en-IN"/>
        </w:rPr>
        <w:t>COMPETING INTERESTS DISCLAIMER:</w:t>
      </w:r>
    </w:p>
    <w:p w14:paraId="2906CB98" w14:textId="2B8D6E5F" w:rsidR="00B7328A" w:rsidRPr="00CC48AB" w:rsidRDefault="00B7328A" w:rsidP="00B7328A">
      <w:pPr>
        <w:spacing w:line="480" w:lineRule="auto"/>
        <w:jc w:val="both"/>
        <w:rPr>
          <w:rFonts w:ascii="Times New Roman" w:hAnsi="Times New Roman" w:cs="Times New Roman"/>
          <w:sz w:val="24"/>
          <w:szCs w:val="24"/>
          <w:lang w:val="en-IN"/>
        </w:rPr>
      </w:pPr>
      <w:r w:rsidRPr="00B7328A">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14:paraId="1D5F5258" w14:textId="5AF61385" w:rsidR="00453493" w:rsidRPr="00453493" w:rsidRDefault="00453493" w:rsidP="00453493">
      <w:pPr>
        <w:spacing w:line="480" w:lineRule="auto"/>
        <w:jc w:val="both"/>
        <w:rPr>
          <w:rFonts w:ascii="Times New Roman" w:hAnsi="Times New Roman" w:cs="Times New Roman"/>
          <w:b/>
          <w:bCs/>
          <w:sz w:val="24"/>
          <w:szCs w:val="24"/>
          <w:lang w:val="en-IN"/>
        </w:rPr>
      </w:pPr>
      <w:r w:rsidRPr="00453493">
        <w:rPr>
          <w:rFonts w:ascii="Times New Roman" w:hAnsi="Times New Roman" w:cs="Times New Roman"/>
          <w:b/>
          <w:bCs/>
          <w:sz w:val="24"/>
          <w:szCs w:val="24"/>
          <w:lang w:val="en-IN"/>
        </w:rPr>
        <w:t>REFRENCES</w:t>
      </w:r>
    </w:p>
    <w:p w14:paraId="6B5340A8" w14:textId="655AF5DB"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Nicola S. </w:t>
      </w:r>
      <w:proofErr w:type="spellStart"/>
      <w:proofErr w:type="gramStart"/>
      <w:r w:rsidRPr="00453493">
        <w:rPr>
          <w:rFonts w:ascii="Times New Roman" w:hAnsi="Times New Roman" w:cs="Times New Roman"/>
          <w:sz w:val="24"/>
          <w:szCs w:val="24"/>
          <w:lang w:val="en-IN"/>
        </w:rPr>
        <w:t>Logan,et</w:t>
      </w:r>
      <w:proofErr w:type="spellEnd"/>
      <w:proofErr w:type="gramEnd"/>
      <w:r w:rsidRPr="00453493">
        <w:rPr>
          <w:rFonts w:ascii="Times New Roman" w:hAnsi="Times New Roman" w:cs="Times New Roman"/>
          <w:sz w:val="24"/>
          <w:szCs w:val="24"/>
          <w:lang w:val="en-IN"/>
        </w:rPr>
        <w:t xml:space="preserve"> al(April/2021),IMI Accommodation and Binocular Vision in Myopia development and progression.</w:t>
      </w:r>
    </w:p>
    <w:p w14:paraId="73E468E3" w14:textId="075494FF"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lastRenderedPageBreak/>
        <w:t>J Gwiazda et al (1993), Myopic children show insufficient accommodative response to blur.</w:t>
      </w:r>
    </w:p>
    <w:p w14:paraId="1C98B00C" w14:textId="575B3C7A"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Donald O Mutti et al (2006), Accommodation lag before after the onset of myopia.</w:t>
      </w:r>
    </w:p>
    <w:p w14:paraId="166D5BC7" w14:textId="73DAA6BC"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Trine </w:t>
      </w:r>
      <w:proofErr w:type="spellStart"/>
      <w:r w:rsidRPr="00453493">
        <w:rPr>
          <w:rFonts w:ascii="Times New Roman" w:hAnsi="Times New Roman" w:cs="Times New Roman"/>
          <w:sz w:val="24"/>
          <w:szCs w:val="24"/>
          <w:lang w:val="en-IN"/>
        </w:rPr>
        <w:t>Langaas</w:t>
      </w:r>
      <w:proofErr w:type="spellEnd"/>
      <w:r w:rsidRPr="00453493">
        <w:rPr>
          <w:rFonts w:ascii="Times New Roman" w:hAnsi="Times New Roman" w:cs="Times New Roman"/>
          <w:sz w:val="24"/>
          <w:szCs w:val="24"/>
          <w:lang w:val="en-IN"/>
        </w:rPr>
        <w:t xml:space="preserve"> at </w:t>
      </w:r>
      <w:proofErr w:type="spellStart"/>
      <w:r w:rsidRPr="00453493">
        <w:rPr>
          <w:rFonts w:ascii="Times New Roman" w:hAnsi="Times New Roman" w:cs="Times New Roman"/>
          <w:sz w:val="24"/>
          <w:szCs w:val="24"/>
          <w:lang w:val="en-IN"/>
        </w:rPr>
        <w:t>al</w:t>
      </w:r>
      <w:proofErr w:type="spellEnd"/>
      <w:r w:rsidRPr="00453493">
        <w:rPr>
          <w:rFonts w:ascii="Times New Roman" w:hAnsi="Times New Roman" w:cs="Times New Roman"/>
          <w:sz w:val="24"/>
          <w:szCs w:val="24"/>
          <w:lang w:val="en-IN"/>
        </w:rPr>
        <w:t xml:space="preserve"> (2008), Variability of the accommodative response in early onset of myopia. American optometric association, myopia (</w:t>
      </w:r>
      <w:proofErr w:type="spellStart"/>
      <w:r w:rsidRPr="00453493">
        <w:rPr>
          <w:rFonts w:ascii="Times New Roman" w:hAnsi="Times New Roman" w:cs="Times New Roman"/>
          <w:sz w:val="24"/>
          <w:szCs w:val="24"/>
          <w:lang w:val="en-IN"/>
        </w:rPr>
        <w:t>nearsightness</w:t>
      </w:r>
      <w:proofErr w:type="spellEnd"/>
      <w:r w:rsidRPr="00453493">
        <w:rPr>
          <w:rFonts w:ascii="Times New Roman" w:hAnsi="Times New Roman" w:cs="Times New Roman"/>
          <w:sz w:val="24"/>
          <w:szCs w:val="24"/>
          <w:lang w:val="en-IN"/>
        </w:rPr>
        <w:t>).</w:t>
      </w:r>
    </w:p>
    <w:p w14:paraId="7C668F5F" w14:textId="1FF8BAC1"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proofErr w:type="spellStart"/>
      <w:r w:rsidRPr="00453493">
        <w:rPr>
          <w:rFonts w:ascii="Times New Roman" w:hAnsi="Times New Roman" w:cs="Times New Roman"/>
          <w:sz w:val="24"/>
          <w:szCs w:val="24"/>
          <w:lang w:val="en-IN"/>
        </w:rPr>
        <w:t>Enaholo</w:t>
      </w:r>
      <w:proofErr w:type="spellEnd"/>
      <w:r w:rsidRPr="00453493">
        <w:rPr>
          <w:rFonts w:ascii="Times New Roman" w:hAnsi="Times New Roman" w:cs="Times New Roman"/>
          <w:sz w:val="24"/>
          <w:szCs w:val="24"/>
          <w:lang w:val="en-IN"/>
        </w:rPr>
        <w:t xml:space="preserve"> ES, Musa MJ, </w:t>
      </w:r>
      <w:proofErr w:type="spellStart"/>
      <w:r w:rsidRPr="00453493">
        <w:rPr>
          <w:rFonts w:ascii="Times New Roman" w:hAnsi="Times New Roman" w:cs="Times New Roman"/>
          <w:sz w:val="24"/>
          <w:szCs w:val="24"/>
          <w:lang w:val="en-IN"/>
        </w:rPr>
        <w:t>Zeppineri</w:t>
      </w:r>
      <w:proofErr w:type="spellEnd"/>
      <w:r w:rsidRPr="00453493">
        <w:rPr>
          <w:rFonts w:ascii="Times New Roman" w:hAnsi="Times New Roman" w:cs="Times New Roman"/>
          <w:sz w:val="24"/>
          <w:szCs w:val="24"/>
          <w:lang w:val="en-IN"/>
        </w:rPr>
        <w:t xml:space="preserve"> M, et </w:t>
      </w:r>
      <w:proofErr w:type="gramStart"/>
      <w:r w:rsidRPr="00453493">
        <w:rPr>
          <w:rFonts w:ascii="Times New Roman" w:hAnsi="Times New Roman" w:cs="Times New Roman"/>
          <w:sz w:val="24"/>
          <w:szCs w:val="24"/>
          <w:lang w:val="en-IN"/>
        </w:rPr>
        <w:t>al ,</w:t>
      </w:r>
      <w:proofErr w:type="gramEnd"/>
      <w:r w:rsidRPr="00453493">
        <w:rPr>
          <w:rFonts w:ascii="Times New Roman" w:hAnsi="Times New Roman" w:cs="Times New Roman"/>
          <w:sz w:val="24"/>
          <w:szCs w:val="24"/>
          <w:lang w:val="en-IN"/>
        </w:rPr>
        <w:t xml:space="preserve"> Accommodative insufficiency.</w:t>
      </w:r>
    </w:p>
    <w:p w14:paraId="12620493" w14:textId="531C4F24"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Kaufman PL. Accommodation and presbyopia: neuromuscular and biophysical aspects. Hart WM, ed. IN: Adler&amp;#</w:t>
      </w:r>
      <w:proofErr w:type="gramStart"/>
      <w:r w:rsidRPr="00453493">
        <w:rPr>
          <w:rFonts w:ascii="Times New Roman" w:hAnsi="Times New Roman" w:cs="Times New Roman"/>
          <w:sz w:val="24"/>
          <w:szCs w:val="24"/>
          <w:lang w:val="en-IN"/>
        </w:rPr>
        <w:t>39;s</w:t>
      </w:r>
      <w:proofErr w:type="gramEnd"/>
      <w:r w:rsidRPr="00453493">
        <w:rPr>
          <w:rFonts w:ascii="Times New Roman" w:hAnsi="Times New Roman" w:cs="Times New Roman"/>
          <w:sz w:val="24"/>
          <w:szCs w:val="24"/>
          <w:lang w:val="en-IN"/>
        </w:rPr>
        <w:t xml:space="preserve"> physiology of the eye 9th. St Louis: Mosby Year Book 1992: 391- 411.</w:t>
      </w:r>
    </w:p>
    <w:p w14:paraId="55563C97" w14:textId="0EB5DEB9"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Bennett AG, Rabbetts RB. Clinical visual optics. Boston: Butterworths 1984: 73-75.</w:t>
      </w:r>
    </w:p>
    <w:p w14:paraId="2A502A87" w14:textId="605F588F"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Guyton DL. Automated clinical refraction. Tasman W, Jaeger EA, ed. IN: Duane&amp;#</w:t>
      </w:r>
      <w:proofErr w:type="gramStart"/>
      <w:r w:rsidRPr="00453493">
        <w:rPr>
          <w:rFonts w:ascii="Times New Roman" w:hAnsi="Times New Roman" w:cs="Times New Roman"/>
          <w:sz w:val="24"/>
          <w:szCs w:val="24"/>
          <w:lang w:val="en-IN"/>
        </w:rPr>
        <w:t>39;s</w:t>
      </w:r>
      <w:proofErr w:type="gramEnd"/>
      <w:r w:rsidRPr="00453493">
        <w:rPr>
          <w:rFonts w:ascii="Times New Roman" w:hAnsi="Times New Roman" w:cs="Times New Roman"/>
          <w:sz w:val="24"/>
          <w:szCs w:val="24"/>
          <w:lang w:val="en-IN"/>
        </w:rPr>
        <w:t xml:space="preserve"> clinical </w:t>
      </w:r>
      <w:proofErr w:type="spellStart"/>
      <w:r w:rsidRPr="00453493">
        <w:rPr>
          <w:rFonts w:ascii="Times New Roman" w:hAnsi="Times New Roman" w:cs="Times New Roman"/>
          <w:sz w:val="24"/>
          <w:szCs w:val="24"/>
          <w:lang w:val="en-IN"/>
        </w:rPr>
        <w:t>opththalmology</w:t>
      </w:r>
      <w:proofErr w:type="spellEnd"/>
      <w:r w:rsidRPr="00453493">
        <w:rPr>
          <w:rFonts w:ascii="Times New Roman" w:hAnsi="Times New Roman" w:cs="Times New Roman"/>
          <w:sz w:val="24"/>
          <w:szCs w:val="24"/>
          <w:lang w:val="en-IN"/>
        </w:rPr>
        <w:t>. Philadelphia: J. B. Lippincott 1992:1-5.</w:t>
      </w:r>
    </w:p>
    <w:p w14:paraId="1A270FEB" w14:textId="023DD831"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Daum KM. Accommodative response. </w:t>
      </w:r>
      <w:r w:rsidRPr="006F4A81">
        <w:rPr>
          <w:rFonts w:ascii="Times New Roman" w:hAnsi="Times New Roman" w:cs="Times New Roman"/>
          <w:sz w:val="24"/>
          <w:szCs w:val="24"/>
          <w:lang w:val="en-IN"/>
        </w:rPr>
        <w:t xml:space="preserve">Eskridge JB, Amos JF, Bartlett JD, ed. </w:t>
      </w:r>
      <w:r w:rsidRPr="00453493">
        <w:rPr>
          <w:rFonts w:ascii="Times New Roman" w:hAnsi="Times New Roman" w:cs="Times New Roman"/>
          <w:sz w:val="24"/>
          <w:szCs w:val="24"/>
          <w:lang w:val="en-IN"/>
        </w:rPr>
        <w:t>IN: Clinical Procedures in Optometry. Philadelphia: J. B. Lippincott Co. 1991: 677-686.</w:t>
      </w:r>
    </w:p>
    <w:p w14:paraId="679A6B2F" w14:textId="0E1557CA"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Scheiman M, Wick B. Clinical Management of Binocular Vision: </w:t>
      </w:r>
      <w:proofErr w:type="spellStart"/>
      <w:r w:rsidRPr="00453493">
        <w:rPr>
          <w:rFonts w:ascii="Times New Roman" w:hAnsi="Times New Roman" w:cs="Times New Roman"/>
          <w:sz w:val="24"/>
          <w:szCs w:val="24"/>
          <w:lang w:val="en-IN"/>
        </w:rPr>
        <w:t>Heterophoric</w:t>
      </w:r>
      <w:proofErr w:type="spellEnd"/>
      <w:r w:rsidRPr="00453493">
        <w:rPr>
          <w:rFonts w:ascii="Times New Roman" w:hAnsi="Times New Roman" w:cs="Times New Roman"/>
          <w:sz w:val="24"/>
          <w:szCs w:val="24"/>
          <w:lang w:val="en-IN"/>
        </w:rPr>
        <w:t>, Accommodative, and</w:t>
      </w:r>
    </w:p>
    <w:p w14:paraId="2A0EC87C" w14:textId="77777777"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Eye Movement Disorders. Philadelphia: J. B. Lippincott Co. 1994: 19-26.</w:t>
      </w:r>
    </w:p>
    <w:p w14:paraId="466D5CEE" w14:textId="0CDE5153"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Scheiman M, Wick B. Clinical Management of Binocular Vision: </w:t>
      </w:r>
      <w:proofErr w:type="spellStart"/>
      <w:r w:rsidRPr="00453493">
        <w:rPr>
          <w:rFonts w:ascii="Times New Roman" w:hAnsi="Times New Roman" w:cs="Times New Roman"/>
          <w:sz w:val="24"/>
          <w:szCs w:val="24"/>
          <w:lang w:val="en-IN"/>
        </w:rPr>
        <w:t>Heterophoric</w:t>
      </w:r>
      <w:proofErr w:type="spellEnd"/>
      <w:r w:rsidRPr="00453493">
        <w:rPr>
          <w:rFonts w:ascii="Times New Roman" w:hAnsi="Times New Roman" w:cs="Times New Roman"/>
          <w:sz w:val="24"/>
          <w:szCs w:val="24"/>
          <w:lang w:val="en-IN"/>
        </w:rPr>
        <w:t>, Accommodative, and Eye Movement Disorders. Philadelphia: J. B. Lippincott Co. 1994: 339-378.</w:t>
      </w:r>
    </w:p>
    <w:p w14:paraId="7AFC6C47" w14:textId="32093529" w:rsidR="006933D6" w:rsidRPr="008F1FA1" w:rsidRDefault="00453493" w:rsidP="008F1FA1">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Wick B, Hall P. Relation among accommodative facility, lag, and amplitude in elementary school children. Am J </w:t>
      </w:r>
      <w:proofErr w:type="spellStart"/>
      <w:r w:rsidRPr="00453493">
        <w:rPr>
          <w:rFonts w:ascii="Times New Roman" w:hAnsi="Times New Roman" w:cs="Times New Roman"/>
          <w:sz w:val="24"/>
          <w:szCs w:val="24"/>
          <w:lang w:val="en-IN"/>
        </w:rPr>
        <w:t>Optom</w:t>
      </w:r>
      <w:proofErr w:type="spellEnd"/>
      <w:r w:rsidRPr="00453493">
        <w:rPr>
          <w:rFonts w:ascii="Times New Roman" w:hAnsi="Times New Roman" w:cs="Times New Roman"/>
          <w:sz w:val="24"/>
          <w:szCs w:val="24"/>
          <w:lang w:val="en-IN"/>
        </w:rPr>
        <w:t xml:space="preserve"> </w:t>
      </w:r>
      <w:proofErr w:type="spellStart"/>
      <w:r w:rsidRPr="00453493">
        <w:rPr>
          <w:rFonts w:ascii="Times New Roman" w:hAnsi="Times New Roman" w:cs="Times New Roman"/>
          <w:sz w:val="24"/>
          <w:szCs w:val="24"/>
          <w:lang w:val="en-IN"/>
        </w:rPr>
        <w:t>Physiol</w:t>
      </w:r>
      <w:proofErr w:type="spellEnd"/>
      <w:r w:rsidRPr="00453493">
        <w:rPr>
          <w:rFonts w:ascii="Times New Roman" w:hAnsi="Times New Roman" w:cs="Times New Roman"/>
          <w:sz w:val="24"/>
          <w:szCs w:val="24"/>
          <w:lang w:val="en-IN"/>
        </w:rPr>
        <w:t xml:space="preserve"> </w:t>
      </w:r>
      <w:proofErr w:type="spellStart"/>
      <w:r w:rsidRPr="00453493">
        <w:rPr>
          <w:rFonts w:ascii="Times New Roman" w:hAnsi="Times New Roman" w:cs="Times New Roman"/>
          <w:sz w:val="24"/>
          <w:szCs w:val="24"/>
          <w:lang w:val="en-IN"/>
        </w:rPr>
        <w:t>Opt</w:t>
      </w:r>
      <w:proofErr w:type="spellEnd"/>
      <w:r w:rsidRPr="00453493">
        <w:rPr>
          <w:rFonts w:ascii="Times New Roman" w:hAnsi="Times New Roman" w:cs="Times New Roman"/>
          <w:sz w:val="24"/>
          <w:szCs w:val="24"/>
          <w:lang w:val="en-IN"/>
        </w:rPr>
        <w:t xml:space="preserve"> 1987; 64(8): 593-598.</w:t>
      </w:r>
    </w:p>
    <w:sectPr w:rsidR="006933D6" w:rsidRPr="008F1F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1522" w14:textId="77777777" w:rsidR="00346E6B" w:rsidRDefault="00346E6B" w:rsidP="00095B12">
      <w:pPr>
        <w:spacing w:after="0" w:line="240" w:lineRule="auto"/>
      </w:pPr>
      <w:r>
        <w:separator/>
      </w:r>
    </w:p>
  </w:endnote>
  <w:endnote w:type="continuationSeparator" w:id="0">
    <w:p w14:paraId="5E7E566C" w14:textId="77777777" w:rsidR="00346E6B" w:rsidRDefault="00346E6B" w:rsidP="0009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5FDC" w14:textId="77777777" w:rsidR="00095B12" w:rsidRDefault="0009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58A7" w14:textId="77777777" w:rsidR="00095B12" w:rsidRDefault="00095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DCAB" w14:textId="77777777" w:rsidR="00095B12" w:rsidRDefault="0009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265DD" w14:textId="77777777" w:rsidR="00346E6B" w:rsidRDefault="00346E6B" w:rsidP="00095B12">
      <w:pPr>
        <w:spacing w:after="0" w:line="240" w:lineRule="auto"/>
      </w:pPr>
      <w:r>
        <w:separator/>
      </w:r>
    </w:p>
  </w:footnote>
  <w:footnote w:type="continuationSeparator" w:id="0">
    <w:p w14:paraId="29737A8A" w14:textId="77777777" w:rsidR="00346E6B" w:rsidRDefault="00346E6B" w:rsidP="0009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9C0C" w14:textId="1947E32C" w:rsidR="00095B12" w:rsidRDefault="00095B12">
    <w:pPr>
      <w:pStyle w:val="Header"/>
    </w:pPr>
    <w:r>
      <w:rPr>
        <w:noProof/>
      </w:rPr>
      <w:pict w14:anchorId="1A9D2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12C0" w14:textId="298824DC" w:rsidR="00095B12" w:rsidRDefault="00095B12">
    <w:pPr>
      <w:pStyle w:val="Header"/>
    </w:pPr>
    <w:r>
      <w:rPr>
        <w:noProof/>
      </w:rPr>
      <w:pict w14:anchorId="7DAE7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0D8C" w14:textId="590630E1" w:rsidR="00095B12" w:rsidRDefault="00095B12">
    <w:pPr>
      <w:pStyle w:val="Header"/>
    </w:pPr>
    <w:r>
      <w:rPr>
        <w:noProof/>
      </w:rPr>
      <w:pict w14:anchorId="1A7A1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A66"/>
    <w:multiLevelType w:val="hybridMultilevel"/>
    <w:tmpl w:val="6D524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71E4E"/>
    <w:multiLevelType w:val="multilevel"/>
    <w:tmpl w:val="8A6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22A51"/>
    <w:multiLevelType w:val="multilevel"/>
    <w:tmpl w:val="5ED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41D14"/>
    <w:multiLevelType w:val="multilevel"/>
    <w:tmpl w:val="7EC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86147"/>
    <w:multiLevelType w:val="multilevel"/>
    <w:tmpl w:val="2AA20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7388B"/>
    <w:multiLevelType w:val="hybridMultilevel"/>
    <w:tmpl w:val="DEBA4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310467"/>
    <w:multiLevelType w:val="hybridMultilevel"/>
    <w:tmpl w:val="28BC28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E320230"/>
    <w:multiLevelType w:val="multilevel"/>
    <w:tmpl w:val="376E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B17A8"/>
    <w:multiLevelType w:val="multilevel"/>
    <w:tmpl w:val="569A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5138B"/>
    <w:multiLevelType w:val="multilevel"/>
    <w:tmpl w:val="DD4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A6542"/>
    <w:multiLevelType w:val="multilevel"/>
    <w:tmpl w:val="AD8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C6D89"/>
    <w:multiLevelType w:val="multilevel"/>
    <w:tmpl w:val="D5F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221DF"/>
    <w:multiLevelType w:val="multilevel"/>
    <w:tmpl w:val="2AE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82C32"/>
    <w:multiLevelType w:val="multilevel"/>
    <w:tmpl w:val="8B42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873E3"/>
    <w:multiLevelType w:val="multilevel"/>
    <w:tmpl w:val="36A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2"/>
  </w:num>
  <w:num w:numId="4">
    <w:abstractNumId w:val="8"/>
  </w:num>
  <w:num w:numId="5">
    <w:abstractNumId w:val="13"/>
  </w:num>
  <w:num w:numId="6">
    <w:abstractNumId w:val="7"/>
  </w:num>
  <w:num w:numId="7">
    <w:abstractNumId w:val="3"/>
  </w:num>
  <w:num w:numId="8">
    <w:abstractNumId w:val="4"/>
  </w:num>
  <w:num w:numId="9">
    <w:abstractNumId w:val="9"/>
  </w:num>
  <w:num w:numId="10">
    <w:abstractNumId w:val="2"/>
  </w:num>
  <w:num w:numId="11">
    <w:abstractNumId w:val="11"/>
  </w:num>
  <w:num w:numId="12">
    <w:abstractNumId w:val="10"/>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24"/>
    <w:rsid w:val="00070075"/>
    <w:rsid w:val="00095B12"/>
    <w:rsid w:val="001C287B"/>
    <w:rsid w:val="001C5632"/>
    <w:rsid w:val="002C146E"/>
    <w:rsid w:val="00346E6B"/>
    <w:rsid w:val="00453493"/>
    <w:rsid w:val="006933D6"/>
    <w:rsid w:val="006F4A81"/>
    <w:rsid w:val="008A589C"/>
    <w:rsid w:val="008F1FA1"/>
    <w:rsid w:val="00977606"/>
    <w:rsid w:val="009944BB"/>
    <w:rsid w:val="009A538B"/>
    <w:rsid w:val="009D7446"/>
    <w:rsid w:val="00A31550"/>
    <w:rsid w:val="00B7328A"/>
    <w:rsid w:val="00B92FC2"/>
    <w:rsid w:val="00BB39C7"/>
    <w:rsid w:val="00C8083E"/>
    <w:rsid w:val="00CC48AB"/>
    <w:rsid w:val="00D27224"/>
    <w:rsid w:val="00ED46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90FBB"/>
  <w15:chartTrackingRefBased/>
  <w15:docId w15:val="{8EDE34C2-60E9-4D16-8949-A8705A56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27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2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D2722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D27224"/>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D27224"/>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27224"/>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D2722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2722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2722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2722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27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22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27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22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27224"/>
    <w:pPr>
      <w:spacing w:before="160"/>
      <w:jc w:val="center"/>
    </w:pPr>
    <w:rPr>
      <w:i/>
      <w:iCs/>
      <w:color w:val="404040" w:themeColor="text1" w:themeTint="BF"/>
    </w:rPr>
  </w:style>
  <w:style w:type="character" w:customStyle="1" w:styleId="QuoteChar">
    <w:name w:val="Quote Char"/>
    <w:basedOn w:val="DefaultParagraphFont"/>
    <w:link w:val="Quote"/>
    <w:uiPriority w:val="29"/>
    <w:rsid w:val="00D27224"/>
    <w:rPr>
      <w:i/>
      <w:iCs/>
      <w:color w:val="404040" w:themeColor="text1" w:themeTint="BF"/>
      <w:lang w:val="en-US"/>
    </w:rPr>
  </w:style>
  <w:style w:type="paragraph" w:styleId="ListParagraph">
    <w:name w:val="List Paragraph"/>
    <w:basedOn w:val="Normal"/>
    <w:uiPriority w:val="34"/>
    <w:qFormat/>
    <w:rsid w:val="00D27224"/>
    <w:pPr>
      <w:ind w:left="720"/>
      <w:contextualSpacing/>
    </w:pPr>
  </w:style>
  <w:style w:type="character" w:styleId="IntenseEmphasis">
    <w:name w:val="Intense Emphasis"/>
    <w:basedOn w:val="DefaultParagraphFont"/>
    <w:uiPriority w:val="21"/>
    <w:qFormat/>
    <w:rsid w:val="00D27224"/>
    <w:rPr>
      <w:i/>
      <w:iCs/>
      <w:color w:val="2F5496" w:themeColor="accent1" w:themeShade="BF"/>
    </w:rPr>
  </w:style>
  <w:style w:type="paragraph" w:styleId="IntenseQuote">
    <w:name w:val="Intense Quote"/>
    <w:basedOn w:val="Normal"/>
    <w:next w:val="Normal"/>
    <w:link w:val="IntenseQuoteChar"/>
    <w:uiPriority w:val="30"/>
    <w:qFormat/>
    <w:rsid w:val="00D2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224"/>
    <w:rPr>
      <w:i/>
      <w:iCs/>
      <w:color w:val="2F5496" w:themeColor="accent1" w:themeShade="BF"/>
      <w:lang w:val="en-US"/>
    </w:rPr>
  </w:style>
  <w:style w:type="character" w:styleId="IntenseReference">
    <w:name w:val="Intense Reference"/>
    <w:basedOn w:val="DefaultParagraphFont"/>
    <w:uiPriority w:val="32"/>
    <w:qFormat/>
    <w:rsid w:val="00D27224"/>
    <w:rPr>
      <w:b/>
      <w:bCs/>
      <w:smallCaps/>
      <w:color w:val="2F5496" w:themeColor="accent1" w:themeShade="BF"/>
      <w:spacing w:val="5"/>
    </w:rPr>
  </w:style>
  <w:style w:type="table" w:styleId="TableGrid">
    <w:name w:val="Table Grid"/>
    <w:basedOn w:val="TableNormal"/>
    <w:uiPriority w:val="39"/>
    <w:rsid w:val="00B9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A81"/>
    <w:rPr>
      <w:color w:val="0563C1" w:themeColor="hyperlink"/>
      <w:u w:val="single"/>
    </w:rPr>
  </w:style>
  <w:style w:type="character" w:styleId="UnresolvedMention">
    <w:name w:val="Unresolved Mention"/>
    <w:basedOn w:val="DefaultParagraphFont"/>
    <w:uiPriority w:val="99"/>
    <w:semiHidden/>
    <w:unhideWhenUsed/>
    <w:rsid w:val="00A31550"/>
    <w:rPr>
      <w:color w:val="605E5C"/>
      <w:shd w:val="clear" w:color="auto" w:fill="E1DFDD"/>
    </w:rPr>
  </w:style>
  <w:style w:type="paragraph" w:styleId="Header">
    <w:name w:val="header"/>
    <w:basedOn w:val="Normal"/>
    <w:link w:val="HeaderChar"/>
    <w:uiPriority w:val="99"/>
    <w:unhideWhenUsed/>
    <w:rsid w:val="0009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12"/>
    <w:rPr>
      <w:lang w:val="en-US"/>
    </w:rPr>
  </w:style>
  <w:style w:type="paragraph" w:styleId="Footer">
    <w:name w:val="footer"/>
    <w:basedOn w:val="Normal"/>
    <w:link w:val="FooterChar"/>
    <w:uiPriority w:val="99"/>
    <w:unhideWhenUsed/>
    <w:rsid w:val="0009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5672">
      <w:bodyDiv w:val="1"/>
      <w:marLeft w:val="0"/>
      <w:marRight w:val="0"/>
      <w:marTop w:val="0"/>
      <w:marBottom w:val="0"/>
      <w:divBdr>
        <w:top w:val="none" w:sz="0" w:space="0" w:color="auto"/>
        <w:left w:val="none" w:sz="0" w:space="0" w:color="auto"/>
        <w:bottom w:val="none" w:sz="0" w:space="0" w:color="auto"/>
        <w:right w:val="none" w:sz="0" w:space="0" w:color="auto"/>
      </w:divBdr>
    </w:div>
    <w:div w:id="160197364">
      <w:bodyDiv w:val="1"/>
      <w:marLeft w:val="0"/>
      <w:marRight w:val="0"/>
      <w:marTop w:val="0"/>
      <w:marBottom w:val="0"/>
      <w:divBdr>
        <w:top w:val="none" w:sz="0" w:space="0" w:color="auto"/>
        <w:left w:val="none" w:sz="0" w:space="0" w:color="auto"/>
        <w:bottom w:val="none" w:sz="0" w:space="0" w:color="auto"/>
        <w:right w:val="none" w:sz="0" w:space="0" w:color="auto"/>
      </w:divBdr>
    </w:div>
    <w:div w:id="172035736">
      <w:bodyDiv w:val="1"/>
      <w:marLeft w:val="0"/>
      <w:marRight w:val="0"/>
      <w:marTop w:val="0"/>
      <w:marBottom w:val="0"/>
      <w:divBdr>
        <w:top w:val="none" w:sz="0" w:space="0" w:color="auto"/>
        <w:left w:val="none" w:sz="0" w:space="0" w:color="auto"/>
        <w:bottom w:val="none" w:sz="0" w:space="0" w:color="auto"/>
        <w:right w:val="none" w:sz="0" w:space="0" w:color="auto"/>
      </w:divBdr>
    </w:div>
    <w:div w:id="188682570">
      <w:bodyDiv w:val="1"/>
      <w:marLeft w:val="0"/>
      <w:marRight w:val="0"/>
      <w:marTop w:val="0"/>
      <w:marBottom w:val="0"/>
      <w:divBdr>
        <w:top w:val="none" w:sz="0" w:space="0" w:color="auto"/>
        <w:left w:val="none" w:sz="0" w:space="0" w:color="auto"/>
        <w:bottom w:val="none" w:sz="0" w:space="0" w:color="auto"/>
        <w:right w:val="none" w:sz="0" w:space="0" w:color="auto"/>
      </w:divBdr>
    </w:div>
    <w:div w:id="471290398">
      <w:bodyDiv w:val="1"/>
      <w:marLeft w:val="0"/>
      <w:marRight w:val="0"/>
      <w:marTop w:val="0"/>
      <w:marBottom w:val="0"/>
      <w:divBdr>
        <w:top w:val="none" w:sz="0" w:space="0" w:color="auto"/>
        <w:left w:val="none" w:sz="0" w:space="0" w:color="auto"/>
        <w:bottom w:val="none" w:sz="0" w:space="0" w:color="auto"/>
        <w:right w:val="none" w:sz="0" w:space="0" w:color="auto"/>
      </w:divBdr>
    </w:div>
    <w:div w:id="614602145">
      <w:bodyDiv w:val="1"/>
      <w:marLeft w:val="0"/>
      <w:marRight w:val="0"/>
      <w:marTop w:val="0"/>
      <w:marBottom w:val="0"/>
      <w:divBdr>
        <w:top w:val="none" w:sz="0" w:space="0" w:color="auto"/>
        <w:left w:val="none" w:sz="0" w:space="0" w:color="auto"/>
        <w:bottom w:val="none" w:sz="0" w:space="0" w:color="auto"/>
        <w:right w:val="none" w:sz="0" w:space="0" w:color="auto"/>
      </w:divBdr>
    </w:div>
    <w:div w:id="730076331">
      <w:bodyDiv w:val="1"/>
      <w:marLeft w:val="0"/>
      <w:marRight w:val="0"/>
      <w:marTop w:val="0"/>
      <w:marBottom w:val="0"/>
      <w:divBdr>
        <w:top w:val="none" w:sz="0" w:space="0" w:color="auto"/>
        <w:left w:val="none" w:sz="0" w:space="0" w:color="auto"/>
        <w:bottom w:val="none" w:sz="0" w:space="0" w:color="auto"/>
        <w:right w:val="none" w:sz="0" w:space="0" w:color="auto"/>
      </w:divBdr>
    </w:div>
    <w:div w:id="938639117">
      <w:bodyDiv w:val="1"/>
      <w:marLeft w:val="0"/>
      <w:marRight w:val="0"/>
      <w:marTop w:val="0"/>
      <w:marBottom w:val="0"/>
      <w:divBdr>
        <w:top w:val="none" w:sz="0" w:space="0" w:color="auto"/>
        <w:left w:val="none" w:sz="0" w:space="0" w:color="auto"/>
        <w:bottom w:val="none" w:sz="0" w:space="0" w:color="auto"/>
        <w:right w:val="none" w:sz="0" w:space="0" w:color="auto"/>
      </w:divBdr>
    </w:div>
    <w:div w:id="1178615311">
      <w:bodyDiv w:val="1"/>
      <w:marLeft w:val="0"/>
      <w:marRight w:val="0"/>
      <w:marTop w:val="0"/>
      <w:marBottom w:val="0"/>
      <w:divBdr>
        <w:top w:val="none" w:sz="0" w:space="0" w:color="auto"/>
        <w:left w:val="none" w:sz="0" w:space="0" w:color="auto"/>
        <w:bottom w:val="none" w:sz="0" w:space="0" w:color="auto"/>
        <w:right w:val="none" w:sz="0" w:space="0" w:color="auto"/>
      </w:divBdr>
    </w:div>
    <w:div w:id="1910112531">
      <w:bodyDiv w:val="1"/>
      <w:marLeft w:val="0"/>
      <w:marRight w:val="0"/>
      <w:marTop w:val="0"/>
      <w:marBottom w:val="0"/>
      <w:divBdr>
        <w:top w:val="none" w:sz="0" w:space="0" w:color="auto"/>
        <w:left w:val="none" w:sz="0" w:space="0" w:color="auto"/>
        <w:bottom w:val="none" w:sz="0" w:space="0" w:color="auto"/>
        <w:right w:val="none" w:sz="0" w:space="0" w:color="auto"/>
      </w:divBdr>
    </w:div>
    <w:div w:id="1983390710">
      <w:bodyDiv w:val="1"/>
      <w:marLeft w:val="0"/>
      <w:marRight w:val="0"/>
      <w:marTop w:val="0"/>
      <w:marBottom w:val="0"/>
      <w:divBdr>
        <w:top w:val="none" w:sz="0" w:space="0" w:color="auto"/>
        <w:left w:val="none" w:sz="0" w:space="0" w:color="auto"/>
        <w:bottom w:val="none" w:sz="0" w:space="0" w:color="auto"/>
        <w:right w:val="none" w:sz="0" w:space="0" w:color="auto"/>
      </w:divBdr>
    </w:div>
    <w:div w:id="19874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01T08:50:55.745"/>
    </inkml:context>
    <inkml:brush xml:id="br0">
      <inkml:brushProperty name="width" value="0.025" units="cm"/>
      <inkml:brushProperty name="height" value="0.025" units="cm"/>
    </inkml:brush>
  </inkml:definitions>
  <inkml:trace contextRef="#ctx0" brushRef="#br0">0 0 18991 0 0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Ragni Kumari</dc:creator>
  <cp:keywords/>
  <dc:description/>
  <cp:lastModifiedBy>SDI 1084</cp:lastModifiedBy>
  <cp:revision>21</cp:revision>
  <dcterms:created xsi:type="dcterms:W3CDTF">2025-07-01T08:31:00Z</dcterms:created>
  <dcterms:modified xsi:type="dcterms:W3CDTF">2025-07-03T06:58:00Z</dcterms:modified>
</cp:coreProperties>
</file>