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B63D" w14:textId="63FBC69A" w:rsidR="002E4A01" w:rsidRPr="002E4A01" w:rsidRDefault="002E4A01" w:rsidP="00C6173A">
      <w:pPr>
        <w:tabs>
          <w:tab w:val="left" w:pos="1917"/>
        </w:tabs>
        <w:spacing w:line="360" w:lineRule="auto"/>
        <w:rPr>
          <w:rFonts w:ascii="Times New Roman" w:eastAsia="SimSun" w:hAnsi="Times New Roman" w:cs="Times New Roman"/>
          <w:b/>
          <w:u w:val="single"/>
        </w:rPr>
      </w:pPr>
      <w:r w:rsidRPr="002E4A01">
        <w:rPr>
          <w:rFonts w:ascii="Times New Roman" w:eastAsia="SimSun" w:hAnsi="Times New Roman" w:cs="Times New Roman"/>
          <w:b/>
          <w:u w:val="single"/>
        </w:rPr>
        <w:t>Original Research Article</w:t>
      </w:r>
    </w:p>
    <w:p w14:paraId="5D12D6AB" w14:textId="3B3B8EE5" w:rsidR="00C6173A" w:rsidRPr="00570AA4" w:rsidRDefault="00C655AB" w:rsidP="00C6173A">
      <w:pPr>
        <w:tabs>
          <w:tab w:val="left" w:pos="1917"/>
        </w:tabs>
        <w:spacing w:line="360" w:lineRule="auto"/>
        <w:rPr>
          <w:rFonts w:ascii="Times New Roman" w:eastAsia="SimSun" w:hAnsi="Times New Roman" w:cs="Times New Roman"/>
          <w:b/>
        </w:rPr>
      </w:pPr>
      <w:r>
        <w:rPr>
          <w:rFonts w:ascii="Times New Roman" w:eastAsia="SimSun" w:hAnsi="Times New Roman" w:cs="Times New Roman"/>
          <w:b/>
        </w:rPr>
        <w:t>Myopia progression</w:t>
      </w:r>
      <w:r w:rsidR="00C6173A" w:rsidRPr="00570AA4">
        <w:rPr>
          <w:rFonts w:ascii="Times New Roman" w:eastAsia="SimSun" w:hAnsi="Times New Roman" w:cs="Times New Roman"/>
          <w:b/>
        </w:rPr>
        <w:t xml:space="preserve"> and associated factors among myopic pediatric patients attending </w:t>
      </w:r>
      <w:r w:rsidR="00E43DB2">
        <w:rPr>
          <w:rFonts w:ascii="Times New Roman" w:eastAsia="SimSun" w:hAnsi="Times New Roman" w:cs="Times New Roman"/>
          <w:b/>
        </w:rPr>
        <w:t xml:space="preserve">a </w:t>
      </w:r>
      <w:r w:rsidR="00C6173A" w:rsidRPr="00570AA4">
        <w:rPr>
          <w:rFonts w:ascii="Times New Roman" w:eastAsia="SimSun" w:hAnsi="Times New Roman" w:cs="Times New Roman"/>
          <w:b/>
        </w:rPr>
        <w:t xml:space="preserve">Tertiary hospital </w:t>
      </w:r>
      <w:r w:rsidR="00344E76">
        <w:rPr>
          <w:rFonts w:ascii="Times New Roman" w:eastAsia="SimSun" w:hAnsi="Times New Roman" w:cs="Times New Roman"/>
          <w:b/>
        </w:rPr>
        <w:t xml:space="preserve">in </w:t>
      </w:r>
      <w:r w:rsidR="00C6173A" w:rsidRPr="00570AA4">
        <w:rPr>
          <w:rFonts w:ascii="Times New Roman" w:eastAsia="SimSun" w:hAnsi="Times New Roman" w:cs="Times New Roman"/>
          <w:b/>
        </w:rPr>
        <w:t>Northern Tanzania</w:t>
      </w:r>
    </w:p>
    <w:p w14:paraId="0700E381" w14:textId="77777777" w:rsidR="00FA1F7A" w:rsidRDefault="00FA1F7A" w:rsidP="00717E04">
      <w:pPr>
        <w:tabs>
          <w:tab w:val="left" w:pos="1917"/>
        </w:tabs>
        <w:spacing w:line="360" w:lineRule="auto"/>
        <w:rPr>
          <w:rFonts w:ascii="Times New Roman" w:eastAsia="SimSun" w:hAnsi="Times New Roman" w:cs="Times New Roman"/>
          <w:b/>
        </w:rPr>
      </w:pPr>
    </w:p>
    <w:p w14:paraId="72944801" w14:textId="0D336045" w:rsidR="00717E04" w:rsidRDefault="00717E04" w:rsidP="00717E04">
      <w:pPr>
        <w:tabs>
          <w:tab w:val="left" w:pos="1917"/>
        </w:tabs>
        <w:spacing w:line="360" w:lineRule="auto"/>
        <w:rPr>
          <w:rFonts w:ascii="Times New Roman" w:eastAsia="SimSun" w:hAnsi="Times New Roman" w:cs="Times New Roman"/>
          <w:b/>
        </w:rPr>
      </w:pPr>
      <w:r w:rsidRPr="00570AA4">
        <w:rPr>
          <w:rFonts w:ascii="Times New Roman" w:eastAsia="SimSun" w:hAnsi="Times New Roman" w:cs="Times New Roman"/>
          <w:b/>
        </w:rPr>
        <w:t>Abstract</w:t>
      </w:r>
    </w:p>
    <w:p w14:paraId="3D9B45CD"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Objective:</w:t>
      </w:r>
      <w:r w:rsidRPr="00EF2FC2">
        <w:rPr>
          <w:rFonts w:ascii="Times New Roman" w:eastAsia="Times New Roman" w:hAnsi="Times New Roman" w:cs="Times New Roman"/>
        </w:rPr>
        <w:t xml:space="preserve"> To</w:t>
      </w:r>
      <w:r w:rsidR="00744817" w:rsidRPr="00EF2FC2">
        <w:rPr>
          <w:rFonts w:ascii="Times New Roman" w:eastAsia="Times New Roman" w:hAnsi="Times New Roman" w:cs="Times New Roman"/>
        </w:rPr>
        <w:t xml:space="preserve"> determine the proportion and factors associated with myopia progression among pediatric patients attending the Kilimanjaro Christian Medical Centre (KCMC) in Northern Tanzania.</w:t>
      </w:r>
    </w:p>
    <w:p w14:paraId="08D191A2"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Methods:</w:t>
      </w:r>
      <w:r w:rsidRPr="00EF2FC2">
        <w:rPr>
          <w:rFonts w:ascii="Times New Roman" w:eastAsia="Times New Roman" w:hAnsi="Times New Roman" w:cs="Times New Roman"/>
        </w:rPr>
        <w:t xml:space="preserve"> A</w:t>
      </w:r>
      <w:r w:rsidR="00744817" w:rsidRPr="00EF2FC2">
        <w:rPr>
          <w:rFonts w:ascii="Times New Roman" w:eastAsia="Times New Roman" w:hAnsi="Times New Roman" w:cs="Times New Roman"/>
        </w:rPr>
        <w:t xml:space="preserve"> hospital-based analytical cross-sectional study was conducted at the Pediatric Eye Clinic of KCMC from January 2022 to April 2024. Pediatric patients aged 4–18 years diagnosed with myopia (spherical equivalent ≤ –0.50D) and with follow-up refraction 11–13 months after baseline were included. Data were collected through clinical assessments and structured face-to-face interviews. Myopia progression was defined as an increase in spherical equivalent between visits. Generalized linear models with Poisson distribution and robust standard errors were used to estimate crude and adjusted prevalence ratios (PRs) with 95% confidence intervals (CIs).</w:t>
      </w:r>
    </w:p>
    <w:p w14:paraId="6ACCA441" w14:textId="77777777" w:rsidR="00744817" w:rsidRPr="00EF2FC2" w:rsidRDefault="00B40393"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Results:</w:t>
      </w:r>
      <w:r w:rsidRPr="00EF2FC2">
        <w:rPr>
          <w:rFonts w:ascii="Times New Roman" w:eastAsia="Times New Roman" w:hAnsi="Times New Roman" w:cs="Times New Roman"/>
        </w:rPr>
        <w:t xml:space="preserve"> Of</w:t>
      </w:r>
      <w:r w:rsidR="00744817" w:rsidRPr="00EF2FC2">
        <w:rPr>
          <w:rFonts w:ascii="Times New Roman" w:eastAsia="Times New Roman" w:hAnsi="Times New Roman" w:cs="Times New Roman"/>
        </w:rPr>
        <w:t xml:space="preserve"> 201 eligible participants, 63.2% (n=127) demonstrated myopia progression. In unadjusted analyses, significant associations with progression were observed for male sex (PR=0.79; 95% CI: 0.63–0.98), non-spectacle wear (PR=1.37; 95% CI: 1.12–1.69), mobile device use (PR=1.49; 95% CI: 1.22–1.82), viewing television at ≤2 meters (PR=1.65; 95% CI: 1.33–2.06), prolonged near work (&gt;2 hours/day) (PR=1.74; 95% CI: 1.42–2.14), reduced outdoor time (&lt;1 hour/day) (PR=0.65; 95% CI: 0.45–0.92), and a positive family history of myopia (PR=1.80; 95% CI: 1.42–2.29). In adjusted analysis, four factors remained independently associated with progression: older age &gt;13 years was protective (PR=0.64; 95% CI: 0.43–0.96), while near work &gt;2 hours/day (PR=1.55; 95% CI: 1.23–1.94), television viewing distance ≤2 meters (PR=1.31; 95% CI: 1.07–1.62), and a positive family history (PR=1.53; 95% CI: 1.23–1.91) were associated with increased risk.</w:t>
      </w:r>
    </w:p>
    <w:p w14:paraId="47C6387D" w14:textId="77777777" w:rsidR="000A7E83" w:rsidRPr="00EF2FC2" w:rsidRDefault="00B40393" w:rsidP="00744817">
      <w:pPr>
        <w:spacing w:before="100" w:beforeAutospacing="1" w:after="100" w:afterAutospacing="1" w:line="240" w:lineRule="auto"/>
      </w:pPr>
      <w:r w:rsidRPr="00EF2FC2">
        <w:rPr>
          <w:rFonts w:ascii="Times New Roman" w:eastAsia="Times New Roman" w:hAnsi="Times New Roman" w:cs="Times New Roman"/>
          <w:b/>
          <w:bCs/>
        </w:rPr>
        <w:t>Conclusion:</w:t>
      </w:r>
      <w:r w:rsidRPr="00EF2FC2">
        <w:rPr>
          <w:rFonts w:ascii="Times New Roman" w:hAnsi="Times New Roman" w:cs="Times New Roman"/>
        </w:rPr>
        <w:t xml:space="preserve"> Myopia</w:t>
      </w:r>
      <w:r w:rsidR="000A7E83" w:rsidRPr="00EF2FC2">
        <w:rPr>
          <w:rFonts w:ascii="Times New Roman" w:hAnsi="Times New Roman" w:cs="Times New Roman"/>
        </w:rPr>
        <w:t xml:space="preserve"> progression was </w:t>
      </w:r>
      <w:r w:rsidR="00047469">
        <w:rPr>
          <w:rFonts w:ascii="Times New Roman" w:hAnsi="Times New Roman" w:cs="Times New Roman"/>
        </w:rPr>
        <w:t>notably prevalent</w:t>
      </w:r>
      <w:r w:rsidR="000A7E83" w:rsidRPr="00EF2FC2">
        <w:rPr>
          <w:rFonts w:ascii="Times New Roman" w:hAnsi="Times New Roman" w:cs="Times New Roman"/>
        </w:rPr>
        <w:t>. Younger age, prolonged near work, close television viewing, and a positive family history emerged as independent risk factors. These findings highlight the urgent need for early screening, behavior-focused education, and targeted interventions to address modifiable risk factors and mitigate the rising burden of myopia among pediatric populations in African settings.</w:t>
      </w:r>
    </w:p>
    <w:p w14:paraId="1A71FC63" w14:textId="77777777" w:rsidR="00744817" w:rsidRPr="00EF2FC2" w:rsidRDefault="00744817" w:rsidP="00744817">
      <w:pPr>
        <w:spacing w:before="100" w:beforeAutospacing="1" w:after="100" w:afterAutospacing="1" w:line="240" w:lineRule="auto"/>
        <w:rPr>
          <w:rFonts w:ascii="Times New Roman" w:eastAsia="Times New Roman" w:hAnsi="Times New Roman" w:cs="Times New Roman"/>
        </w:rPr>
      </w:pPr>
      <w:r w:rsidRPr="00EF2FC2">
        <w:rPr>
          <w:rFonts w:ascii="Times New Roman" w:eastAsia="Times New Roman" w:hAnsi="Times New Roman" w:cs="Times New Roman"/>
          <w:b/>
          <w:bCs/>
        </w:rPr>
        <w:t>Keywords:</w:t>
      </w:r>
      <w:r w:rsidRPr="00EF2FC2">
        <w:rPr>
          <w:rFonts w:ascii="Times New Roman" w:eastAsia="Times New Roman" w:hAnsi="Times New Roman" w:cs="Times New Roman"/>
        </w:rPr>
        <w:t xml:space="preserve"> Myopia progression, children, near work, screen time, spectacle use, Tanzania</w:t>
      </w:r>
    </w:p>
    <w:p w14:paraId="21EC27CD" w14:textId="77777777" w:rsidR="00744817" w:rsidRDefault="00744817" w:rsidP="00717E04">
      <w:pPr>
        <w:tabs>
          <w:tab w:val="left" w:pos="1917"/>
        </w:tabs>
        <w:spacing w:line="360" w:lineRule="auto"/>
        <w:rPr>
          <w:rFonts w:ascii="Times New Roman" w:eastAsia="SimSun" w:hAnsi="Times New Roman" w:cs="Times New Roman"/>
          <w:b/>
        </w:rPr>
      </w:pPr>
    </w:p>
    <w:p w14:paraId="551532DD" w14:textId="77777777" w:rsidR="00AF1AB5" w:rsidRPr="00570AA4" w:rsidRDefault="00D2431F" w:rsidP="00717E04">
      <w:pPr>
        <w:rPr>
          <w:rFonts w:ascii="Times New Roman" w:hAnsi="Times New Roman" w:cs="Times New Roman"/>
          <w:b/>
        </w:rPr>
      </w:pPr>
      <w:r w:rsidRPr="00570AA4">
        <w:rPr>
          <w:rFonts w:ascii="Times New Roman" w:hAnsi="Times New Roman" w:cs="Times New Roman"/>
          <w:b/>
        </w:rPr>
        <w:t>INTRODUCTION</w:t>
      </w:r>
    </w:p>
    <w:p w14:paraId="294D2DBD"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Globally, uncorrected myopia is the leading cause of blindness</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{"citationItems":[{"id":"ITEM-1","itemData":{"author":[{"dropping-particle":"","family":"Fricke","given":"Timothy Robert","non-dropping-particle":"","parse-names":false,"suffix":""},{"dropping-particle":"","family":"Flanagan","given":"Judith","non-dropping-particle":"","parse-names":false,"suffix":""}],"id":"ITEM-1","issue":"January","issued":{"date-parts":[["2019"]]},"page":"27-28","title":"Myopia : a growing epidemic","type":"article-journal"},"uris":["http://www.mendeley.com/documents/?uuid=55496e45-96c7-4fc4-8004-c55e402bbcb4"]}],"mendeley":{"formattedCitation":"(Fricke and Flanagan, 2019)","plainTextFormattedCitation":"(Fricke and Flanagan, 2019)","previouslyFormattedCitation":"(Fricke and Flanagan, 2019)"},"properties":{"noteIndex":0},"schema":"https://github.com/citation-style-language/schema/raw/master/csl-citation.json"}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(Fricke and Flanagan, 2019)</w:t>
      </w:r>
      <w:r w:rsidR="007D1CD9" w:rsidRPr="009D51EF">
        <w:rPr>
          <w:rFonts w:ascii="Times New Roman" w:hAnsi="Times New Roman" w:cs="Times New Roman"/>
        </w:rPr>
        <w:fldChar w:fldCharType="end"/>
      </w:r>
      <w:r w:rsidR="007D1CD9" w:rsidRPr="009D51EF">
        <w:rPr>
          <w:rFonts w:ascii="Times New Roman" w:hAnsi="Times New Roman" w:cs="Times New Roman"/>
        </w:rPr>
        <w:t xml:space="preserve">. </w:t>
      </w:r>
      <w:r w:rsidRPr="009D51EF">
        <w:rPr>
          <w:rFonts w:ascii="Times New Roman" w:hAnsi="Times New Roman" w:cs="Times New Roman"/>
        </w:rPr>
        <w:t>Ne</w:t>
      </w:r>
      <w:r w:rsidR="0059640F">
        <w:rPr>
          <w:rFonts w:ascii="Times New Roman" w:hAnsi="Times New Roman" w:cs="Times New Roman"/>
        </w:rPr>
        <w:t xml:space="preserve">arly 2 billion people worldwide </w:t>
      </w:r>
      <w:r w:rsidRPr="009D51EF">
        <w:rPr>
          <w:rFonts w:ascii="Times New Roman" w:hAnsi="Times New Roman" w:cs="Times New Roman"/>
        </w:rPr>
        <w:t>approximately</w:t>
      </w:r>
      <w:r w:rsidR="00FA0D59">
        <w:rPr>
          <w:rFonts w:ascii="Times New Roman" w:hAnsi="Times New Roman" w:cs="Times New Roman"/>
        </w:rPr>
        <w:t xml:space="preserve"> 28.3% of the global population </w:t>
      </w:r>
      <w:r w:rsidRPr="009D51EF">
        <w:rPr>
          <w:rFonts w:ascii="Times New Roman" w:hAnsi="Times New Roman" w:cs="Times New Roman"/>
        </w:rPr>
        <w:t>are affected by myopia, and of these, 277 million (4.0%) suffer from high myopia</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{"citationItems":[{"id":"ITEM-1","itemData":{"DOI":"10.1016/j.ophtha.2016.01.006","ISSN":"15494713","PMID":"26875007","abstract":"Purpose Myopia is a common cause of vision loss, with uncorrected myopia the leading cause of distance vision impairment globally. Individual studies show variations in the prevalence of myopia and high myopia between regions and ethnic groups, and there continues to be uncertainty regarding increasing prevalence of myopia. Design Systematic review and meta-analysis. Methods We performed a systematic review and meta-analysis of the prevalence of myopia and high myopia and estimated temporal trends from 2000 to 2050 using data published since 1995. The primary data were gathered into 5-year age groups from 0 to ≥100, in urban or rural populations in each country, standardized to definitions of myopia of -0.50 diopter (D) or less and of high myopia of -5.00 D or less, projected to the year 2010, then meta-analyzed within Global Burden of Disease (GBD) regions. Any urban or rural age group that lacked data in a GBD region took data from the most similar region. The prevalence data were combined with urbanization data and population data from United Nations Population Department (UNPD) to estimate the prevalence of myopia and high myopia in each country of the world. These estimates were combined with myopia change estimates over time derived from regression analysis of published evidence to project to each decade from 2000 through 2050. Results We included data from 145 studies covering 2.1 million participants. We estimated 1406 million people with myopia (22.9% of the world population; 95% confidence interval [CI], 932-1932 million [15.2%-31.5%]) and 163 million people with high myopia (2.7% of the world population; 95% CI, 86-387 million [1.4%-6.3%]) in 2000. We predict by 2050 there will be 4758 million people with myopia (49.8% of the world population; 3620-6056 million [95% CI, 43.4%-55.7%]) and 938 million people with high myopia (9.8% of the world population; 479-2104 million [95% CI, 5.7%-19.4%]). Conclusions Myopia and high myopia estimates from 2000 to 2050 suggest significant increases in prevalences globally, with implications for planning services, including managing and preventing myopia-related ocular complications and vision loss among almost 1 billion people with high myopia.","author":[{"dropping-particle":"","family":"Holden","given":"Brien A.","non-dropping-particle":"","parse-names":false,"suffix":""},{"dropping-particle":"","family":"Fricke","given":"Timothy R.","non-dropping-particle":"","parse-names":false,"suffix":""},{"dropping-particle":"","family":"Wilson","given":"David A.","non-dropping-particle":"","parse-names":false,"suffix":""},{"dropping-particle":"","family":"Jong","given":"Monica","non-dropping-particle":"","parse-names":false,"suffix":""},{"dropping-particle":"","family":"Naidoo","given":"Kovin S.","non-dropping-particle":"","parse-names":false,"suffix":""},{"dropping-particle":"","family":"Sankaridurg","given":"Padmaja","non-dropping-particle":"","parse-names":false,"suffix":""},{"dropping-particle":"","family":"Wong","given":"Tien Y.","non-dropping-particle":"","parse-names":false,"suffix":""},{"dropping-particle":"","family":"Naduvilath","given":"Thomas J.","non-dropping-particle":"","parse-names":false,"suffix":""},{"dropping-particle":"","family":"Resnikoff","given":"Serge","non-dropping-particle":"","parse-names":false,"suffix":""}],"container-title":"Ophthalmology","id":"ITEM-1","issue":"5","issued":{"date-parts":[["2016"]]},"page":"1036-1042","publisher":"American Academy of Ophthalmology","title":"Global Prevalence of Myopia and High Myopia and Temporal Trends from 2000 through 2050","type":"article-journal","volume":"123"},"uris":["http://www.mendeley.com/documents/?uuid=4984c3f3-994c-4957-9dd2-7cf79ec48682","http://www.mendeley.com/documents/?uuid=d79bcff9-aaca-47a2-8f40-896054c3ad2f"]}],"mendeley":{"formattedCitation":"(Holden &lt;i&gt;et al.&lt;/i&gt;, 2016)","plainTextFormattedCitation":"(Holden et al., 2016)","previouslyFormattedCitation":"(Holden &lt;i&gt;et al.&lt;/i&gt;, 2016)"},"properties":{"noteIndex":0},"schema":"https://github.com/citation-style-language/schema/raw/master/csl-citation.json"}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 xml:space="preserve">(Holden </w:t>
      </w:r>
      <w:r w:rsidR="007D1CD9" w:rsidRPr="009D51EF">
        <w:rPr>
          <w:rFonts w:ascii="Times New Roman" w:hAnsi="Times New Roman" w:cs="Times New Roman"/>
          <w:i/>
          <w:noProof/>
        </w:rPr>
        <w:t>et al.</w:t>
      </w:r>
      <w:r w:rsidR="007D1CD9" w:rsidRPr="009D51EF">
        <w:rPr>
          <w:rFonts w:ascii="Times New Roman" w:hAnsi="Times New Roman" w:cs="Times New Roman"/>
          <w:noProof/>
        </w:rPr>
        <w:t>, 2016)</w:t>
      </w:r>
      <w:r w:rsidR="007D1CD9" w:rsidRPr="009D51EF">
        <w:rPr>
          <w:rFonts w:ascii="Times New Roman" w:hAnsi="Times New Roman" w:cs="Times New Roman"/>
        </w:rPr>
        <w:fldChar w:fldCharType="end"/>
      </w:r>
      <w:r w:rsidRPr="009D51EF">
        <w:rPr>
          <w:rFonts w:ascii="Times New Roman" w:hAnsi="Times New Roman" w:cs="Times New Roman"/>
        </w:rPr>
        <w:t>. The prevalence of myopia among schoolchildren is reported to be 42% in North America and 40% in Europe, reflecting a growing global concern</w:t>
      </w:r>
      <w:r w:rsidR="007D1CD9" w:rsidRPr="009D51EF">
        <w:rPr>
          <w:rFonts w:ascii="Times New Roman" w:hAnsi="Times New Roman" w:cs="Times New Roman"/>
        </w:rPr>
        <w:t xml:space="preserve"> </w:t>
      </w:r>
      <w:r w:rsidR="007D1CD9" w:rsidRPr="009D51EF">
        <w:rPr>
          <w:rFonts w:ascii="Times New Roman" w:hAnsi="Times New Roman" w:cs="Times New Roman"/>
        </w:rPr>
        <w:fldChar w:fldCharType="begin" w:fldLock="1"/>
      </w:r>
      <w:r w:rsidR="007D1CD9" w:rsidRPr="009D51EF">
        <w:rPr>
          <w:rFonts w:ascii="Times New Roman" w:hAnsi="Times New Roman" w:cs="Times New Roman"/>
        </w:rPr>
        <w:instrText>ADDIN CSL_CITATION {"citationItems":[{"id":"ITEM-1","itemData":{"ISSN":"14712415","PMID":"31937276","abstract":"BACKGROUND: Due to high prevalence myopia has gained importance in epidemiological studies. Children with early onset are at particular risk of complications associated with myopia, as progression over time might result in high myopia and myopic macular degeneration. Both genetic and environmental factors play a role in the increasing prevalence of myopia. The aim of this study is to review the current literature on epidemiology and risk factors for myopia in school children (aged 6-19 years) around the world. MAIN BODY: PubMed and Medline were searched for the following keywords: prevalence, incidence, myopia, refractive error, risk factors, children and visual impairment. English language articles published between Jan 2013 and Mar 2019 were included in the study. Studies were critically reviewed for study methodology and robustness of data. Eighty studies were included in this literature review. Myopia prevalence remains higher in Asia (60%) compared with Europe (40%) using cycloplegic refraction examinations. Studies reporting on non-cycloplegic measurements show exceptionally high myopia prevalence rates in school children in East Asia (73%), and high rates in North America (42%). Low prevalence under 10% was described in African and South American children. In recent studies, risk factors for myopia in schoolchildren included low outdoor time and near work, dim light exposure, the use of LED lamps for homework, low sleeping hours, reading distance less than 25 cm and living in an urban environment. CONCLUSION: Low levels of outdoor activity and near work are well-established risk factors for myopia; this review provides evidence on additional environmental risk factors. New epidemiological studies should be carried out on implementation of public health strategies to tackle and avoid myopia. As the myopia prevalence rates in non-cycloplegic studies are overestimated, we recommend considering only cycloplegic measurements.","author":[{"dropping-particle":"","family":"Grzybowski","given":"Andrzej","non-dropping-particle":"","parse-names":false,"suffix":""},{"dropping-particle":"","family":"Kanclerz","given":"Piotr","non-dropping-particle":"","parse-names":false,"suffix":""},{"dropping-particle":"","family":"Tsubota","given":"Kazuo","non-dropping-particle":"","parse-names":false,"suffix":""},{"dropping-particle":"","family":"Lanca","given":"Carla","non-dropping-particle":"","parse-names":false,"suffix":""},{"dropping-particle":"","family":"Saw","given":"Seang Mei","non-dropping-particle":"","parse-names":false,"suffix":""}],"container-title":"BMC ophthalmology","id":"ITEM-1","issue":"1","issued":{"date-parts":[["2020"]]},"page":"27","publisher":"BMC Ophthalmology","title":"</w:instrText>
      </w:r>
      <w:r w:rsidR="007D1CD9" w:rsidRPr="009D51EF">
        <w:rPr>
          <w:rFonts w:ascii="Times New Roman" w:eastAsia="MS Gothic" w:hAnsi="Times New Roman" w:cs="Times New Roman"/>
        </w:rPr>
        <w:instrText>全球。儿童。近</w:instrText>
      </w:r>
      <w:r w:rsidR="007D1CD9" w:rsidRPr="009D51EF">
        <w:rPr>
          <w:rFonts w:ascii="Times New Roman" w:eastAsia="Microsoft JhengHei" w:hAnsi="Times New Roman" w:cs="Times New Roman"/>
        </w:rPr>
        <w:instrText>视发病率。</w:instrText>
      </w:r>
      <w:r w:rsidR="007D1CD9" w:rsidRPr="009D51EF">
        <w:rPr>
          <w:rFonts w:ascii="Times New Roman" w:hAnsi="Times New Roman" w:cs="Times New Roman"/>
        </w:rPr>
        <w:instrText>","type":"article-journal","volume":"20"},"uris":["http://www.mendeley.com/documents/?uuid=777a83ec-91b0-4380-959e-6062c2163c54"]}],"mendeley":{"formattedCitation":"(Grzybowski &lt;i&gt;et al.&lt;/i&gt;, 2020)","plainTextFormattedCitation":"(Grzybowski et al., 2020)","previouslyFormattedCitation":"(Grzybowski &lt;i&gt;et al.&lt;/i&gt;, 2020)"},"properties":{"noteIndex":0},"schema":"https://github.com/citation-style-language/schema/raw/master/csl-citation.json"}</w:instrText>
      </w:r>
      <w:r w:rsidR="007D1CD9" w:rsidRPr="009D51EF">
        <w:rPr>
          <w:rFonts w:ascii="Times New Roman" w:hAnsi="Times New Roman" w:cs="Times New Roman"/>
        </w:rPr>
        <w:fldChar w:fldCharType="separate"/>
      </w:r>
      <w:r w:rsidR="007D1CD9" w:rsidRPr="009D51EF">
        <w:rPr>
          <w:rFonts w:ascii="Times New Roman" w:hAnsi="Times New Roman" w:cs="Times New Roman"/>
          <w:noProof/>
        </w:rPr>
        <w:t xml:space="preserve">(Grzybowski </w:t>
      </w:r>
      <w:r w:rsidR="007D1CD9" w:rsidRPr="009D51EF">
        <w:rPr>
          <w:rFonts w:ascii="Times New Roman" w:hAnsi="Times New Roman" w:cs="Times New Roman"/>
          <w:i/>
          <w:noProof/>
        </w:rPr>
        <w:t>et al.</w:t>
      </w:r>
      <w:r w:rsidR="007D1CD9" w:rsidRPr="009D51EF">
        <w:rPr>
          <w:rFonts w:ascii="Times New Roman" w:hAnsi="Times New Roman" w:cs="Times New Roman"/>
          <w:noProof/>
        </w:rPr>
        <w:t>, 2020)</w:t>
      </w:r>
      <w:r w:rsidR="007D1CD9" w:rsidRPr="009D51EF">
        <w:rPr>
          <w:rFonts w:ascii="Times New Roman" w:hAnsi="Times New Roman" w:cs="Times New Roman"/>
        </w:rPr>
        <w:fldChar w:fldCharType="end"/>
      </w:r>
      <w:r w:rsidR="007D1CD9" w:rsidRPr="009D51EF">
        <w:rPr>
          <w:rFonts w:ascii="Times New Roman" w:hAnsi="Times New Roman" w:cs="Times New Roman"/>
        </w:rPr>
        <w:t xml:space="preserve">. </w:t>
      </w:r>
      <w:r w:rsidRPr="009D51EF">
        <w:rPr>
          <w:rFonts w:ascii="Times New Roman" w:hAnsi="Times New Roman" w:cs="Times New Roman"/>
        </w:rPr>
        <w:t>The burden is most pronounced in East and Southeast Asia, where myopia prevalence among students completing secondary education reaches 80–90%</w:t>
      </w:r>
      <w:r w:rsidR="00BC22B3" w:rsidRPr="009D51EF">
        <w:rPr>
          <w:rFonts w:ascii="Times New Roman" w:hAnsi="Times New Roman" w:cs="Times New Roman"/>
        </w:rPr>
        <w:t xml:space="preserve"> </w:t>
      </w:r>
      <w:r w:rsidRPr="009D51EF">
        <w:rPr>
          <w:rFonts w:ascii="Times New Roman" w:hAnsi="Times New Roman" w:cs="Times New Roman"/>
        </w:rPr>
        <w:t xml:space="preserve"> </w:t>
      </w:r>
      <w:r w:rsidR="00BC22B3"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{"citationItems":[{"id":"ITEM-1","itemData":{"DOI":"10.1111/cxo.12845","author":[{"dropping-particle":"","family":"Graddipneurosci","given":"Kathryn A Rose","non-dropping-particle":"","parse-names":false,"suffix":""}],"id":"ITEM-1","issued":{"date-parts":[["2018"]]},"page":"1-15","title":"C L I N I C A L A N D E X P E R I M E N TA L Myopia : is the nature-nurture debate fi nally over ?","type":"article-journal"},"uris":["http://www.mendeley.com/documents/?uuid=2d7bbcf6-f354-495e-be57-0dc65a81c152"]}],"mendeley":{"formattedCitation":"(Graddipneurosci, 2018)","plainTextFormattedCitation":"(Graddipneurosci, 2018)","previouslyFormattedCitation":"(Graddipneurosci, 2018)"},"properties":{"noteIndex":0},"schema":"https://github.com/citation-style-language/schema/raw/master/csl-citation.json"}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(Graddipneurosci, 2018)</w:t>
      </w:r>
      <w:r w:rsidR="00BC22B3" w:rsidRPr="009D51EF">
        <w:rPr>
          <w:rFonts w:ascii="Times New Roman" w:hAnsi="Times New Roman" w:cs="Times New Roman"/>
        </w:rPr>
        <w:fldChar w:fldCharType="end"/>
      </w:r>
    </w:p>
    <w:p w14:paraId="10E08341"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 xml:space="preserve">In Africa, although the overall prevalence is comparatively lower, it has been steadily rising. A systematic review showed that the prevalence of myopia between 2011 and 2021 was nearly double </w:t>
      </w:r>
      <w:r w:rsidRPr="009D51EF">
        <w:rPr>
          <w:rFonts w:ascii="Times New Roman" w:hAnsi="Times New Roman" w:cs="Times New Roman"/>
        </w:rPr>
        <w:lastRenderedPageBreak/>
        <w:t xml:space="preserve">that reported from 2000 to 2010. The highest prevalence is found in North Africa (6.8%), followed by Southern Africa (6.3%), East Africa (4.7%), and West Africa (3.5%) </w:t>
      </w:r>
      <w:r w:rsidR="00BC22B3"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{"citationItems":[{"id":"ITEM-1","itemData":{"DOI":"10.1111/opo.13035","ISSN":"14751313","PMID":"35959749","abstract":"Purpose: To provide contemporary and future estimates of childhood myopia prevalence in Africa. Methods: A systematic online literature search was conducted for articles on childhood (≤18 years) myopia (spherical equivalent [SE] ≤ −0.50D; high myopia: SE ≤ −6.00D) in Africa. Population- or school-based cross-sectional studies published from 1 Jan 2000 to 30 May 2021 were included. Meta-analysis using Freeman–Tukey double arcsine transformation was performed to estimate the prevalence of childhood myopia and high myopia. Myopia prevalence from subgroup analyses for age groups and settings were used as baseline for generating a prediction model using linear regression. Results: Forty-two studies from 19 (of 54) African countries were included in the meta-analysis (N = 737,859). Overall prevalence of childhood myopia and high myopia were 4.7% (95% CI: 3.3%–6.5%) and 0.6% (95% CI: 0.2%–1.1%), respectively. Estimated prevalence across the African regions was highest in the North (6.8% [95% CI: 4.0%–10.2%]), followed by Southern (6.3% [95% CI: 3.9%–9.1%]), East (4.7% [95% CI: 3.1%–6.7%]) and West (3.5% [95% CI: 1.9%–6.3%]) Africa. Prevalence from 2011 to 2021 was approximately double that from 2000 to 2010 for all studies combined, and between 1.5 and 2.5 times higher for ages 5–11 and 12–18 years, for boys and girls and for urban and rural settings, separately. Childhood myopia prevalence is projected to increase in urban settings and older children to 11.1% and 10.8% by 2030, 14.4% and 14.1% by 2040 and 17.7% and 17.4% by 2050, respectively; marginally higher than projected in the overall population (16.4% by 2050). Conclusions: Childhood myopia prevalence has approximately doubled since 2010, with a further threefold increase predicted by 2050. Given this trajectory and the specific public health challenges in Africa, it is imperative to implement basic myopia prevention programmes, enhance spectacle coverage and ophthalmic services and generate more data to understand the changing myopia epidemiology to mitigate the expanding risk of the African population.","author":[{"dropping-particle":"","family":"Kobia-Acquah","given":"Emmanuel","non-dropping-particle":"","parse-names":false,"suffix":""},{"dropping-particle":"","family":"Flitcroft","given":"Daniel Ian","non-dropping-particle":"","parse-names":false,"suffix":""},{"dropping-particle":"","family":"Akowuah","given":"Prince Kwaku","non-dropping-particle":"","parse-names":false,"suffix":""},{"dropping-particle":"","family":"Lingham","given":"Gareth","non-dropping-particle":"","parse-names":false,"suffix":""},{"dropping-particle":"","family":"Loughman","given":"James","non-dropping-particle":"","parse-names":false,"suffix":""}],"container-title":"Ophthalmic and Physiological Optics","id":"ITEM-1","issue":"6","issued":{"date-parts":[["2022"]]},"page":"1232-1252","title":"Regional variations and temporal trends of childhood myopia prevalence in Africa: A systematic review and meta-analysis","type":"article-journal","volume":"42"},"uris":["http://www.mendeley.com/documents/?uuid=d5dc4575-7bc8-4521-87fa-3e18cdc9e2ca"]}],"mendeley":{"formattedCitation":"(Kobia-Acquah &lt;i&gt;et al.&lt;/i&gt;, 2022)","plainTextFormattedCitation":"(Kobia-Acquah et al., 2022)","previouslyFormattedCitation":"(Kobia-Acquah &lt;i&gt;et al.&lt;/i&gt;, 2022)"},"properties":{"noteIndex":0},"schema":"https://github.com/citation-style-language/schema/raw/master/csl-citation.json"}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 xml:space="preserve">(Kobia-Acquah </w:t>
      </w:r>
      <w:r w:rsidR="00BC22B3" w:rsidRPr="009D51EF">
        <w:rPr>
          <w:rFonts w:ascii="Times New Roman" w:hAnsi="Times New Roman" w:cs="Times New Roman"/>
          <w:i/>
          <w:noProof/>
        </w:rPr>
        <w:t>et al.</w:t>
      </w:r>
      <w:r w:rsidR="00BC22B3" w:rsidRPr="009D51EF">
        <w:rPr>
          <w:rFonts w:ascii="Times New Roman" w:hAnsi="Times New Roman" w:cs="Times New Roman"/>
          <w:noProof/>
        </w:rPr>
        <w:t>, 2022)</w:t>
      </w:r>
      <w:r w:rsidR="00BC22B3" w:rsidRPr="009D51EF">
        <w:rPr>
          <w:rFonts w:ascii="Times New Roman" w:hAnsi="Times New Roman" w:cs="Times New Roman"/>
        </w:rPr>
        <w:fldChar w:fldCharType="end"/>
      </w:r>
      <w:r w:rsidR="00BC22B3" w:rsidRPr="009D51EF">
        <w:rPr>
          <w:rFonts w:ascii="Times New Roman" w:hAnsi="Times New Roman" w:cs="Times New Roman"/>
        </w:rPr>
        <w:t xml:space="preserve"> .</w:t>
      </w:r>
      <w:r w:rsidRPr="009D51EF">
        <w:rPr>
          <w:rFonts w:ascii="Times New Roman" w:hAnsi="Times New Roman" w:cs="Times New Roman"/>
        </w:rPr>
        <w:t xml:space="preserve">In Tanzania, the most recent study, conducted in Mwanza City in 2002, reported a prevalence of 5.6% among secondary school students, identifying myopia as the most common refractive error in this group </w:t>
      </w:r>
      <w:r w:rsidR="00BC22B3" w:rsidRPr="009D51EF">
        <w:rPr>
          <w:rFonts w:ascii="Times New Roman" w:hAnsi="Times New Roman" w:cs="Times New Roman"/>
        </w:rPr>
        <w:fldChar w:fldCharType="begin" w:fldLock="1"/>
      </w:r>
      <w:r w:rsidR="00BC22B3" w:rsidRPr="009D51EF">
        <w:rPr>
          <w:rFonts w:ascii="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programme","type":"article-journal","volume":"86"},"uris":["http://www.mendeley.com/documents/?uuid=1d889f71-9a92-4e56-918a-80320e8e9e9a","http://www.mendeley.com/documents/?uuid=068855ac-5ed3-4093-9f34-81ee0995402d"]}],"mendeley":{"formattedCitation":"(Wedner &lt;i&gt;et al.&lt;/i&gt;, 2002)","plainTextFormattedCitation":"(Wedner et al., 2002)","previouslyFormattedCitation":"(Wedner &lt;i&gt;et al.&lt;/i&gt;, 2002)"},"properties":{"noteIndex":0},"schema":"https://github.com/citation-style-language/schema/raw/master/csl-citation.json"}</w:instrText>
      </w:r>
      <w:r w:rsidR="00BC22B3" w:rsidRPr="009D51EF">
        <w:rPr>
          <w:rFonts w:ascii="Times New Roman" w:hAnsi="Times New Roman" w:cs="Times New Roman"/>
        </w:rPr>
        <w:fldChar w:fldCharType="separate"/>
      </w:r>
      <w:r w:rsidR="00BC22B3" w:rsidRPr="009D51EF">
        <w:rPr>
          <w:rFonts w:ascii="Times New Roman" w:hAnsi="Times New Roman" w:cs="Times New Roman"/>
          <w:noProof/>
        </w:rPr>
        <w:t xml:space="preserve">(Wedner </w:t>
      </w:r>
      <w:r w:rsidR="00BC22B3" w:rsidRPr="009D51EF">
        <w:rPr>
          <w:rFonts w:ascii="Times New Roman" w:hAnsi="Times New Roman" w:cs="Times New Roman"/>
          <w:i/>
          <w:noProof/>
        </w:rPr>
        <w:t>et al.</w:t>
      </w:r>
      <w:r w:rsidR="00BC22B3" w:rsidRPr="009D51EF">
        <w:rPr>
          <w:rFonts w:ascii="Times New Roman" w:hAnsi="Times New Roman" w:cs="Times New Roman"/>
          <w:noProof/>
        </w:rPr>
        <w:t>, 2002)</w:t>
      </w:r>
      <w:r w:rsidR="00BC22B3" w:rsidRPr="009D51EF">
        <w:rPr>
          <w:rFonts w:ascii="Times New Roman" w:hAnsi="Times New Roman" w:cs="Times New Roman"/>
        </w:rPr>
        <w:fldChar w:fldCharType="end"/>
      </w:r>
      <w:r w:rsidR="00BC22B3" w:rsidRPr="009D51EF">
        <w:rPr>
          <w:rFonts w:ascii="Times New Roman" w:hAnsi="Times New Roman" w:cs="Times New Roman"/>
        </w:rPr>
        <w:t>.</w:t>
      </w:r>
    </w:p>
    <w:p w14:paraId="1018150E"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Myopia development and progression are influenced by a combination of genetic predisposition and environmental exposures. The mechanical stretching of the eye, coupled with biochemical forces related to axial elongation, leads to thinning and structura</w:t>
      </w:r>
      <w:r w:rsidR="00BC22B3" w:rsidRPr="009D51EF">
        <w:rPr>
          <w:rFonts w:ascii="Times New Roman" w:hAnsi="Times New Roman" w:cs="Times New Roman"/>
        </w:rPr>
        <w:t xml:space="preserve">l alterations in ocular tissues </w:t>
      </w:r>
      <w:r w:rsidRPr="009D51EF">
        <w:rPr>
          <w:rFonts w:ascii="Times New Roman" w:hAnsi="Times New Roman" w:cs="Times New Roman"/>
        </w:rPr>
        <w:t>including the retina, choroid, and sclera</w:t>
      </w:r>
      <w:r w:rsidR="009E6B15" w:rsidRPr="009D51EF">
        <w:rPr>
          <w:rFonts w:ascii="Times New Roman" w:hAnsi="Times New Roman" w:cs="Times New Roman"/>
        </w:rPr>
        <w:t xml:space="preserve"> </w:t>
      </w:r>
      <w:r w:rsidR="009E6B15" w:rsidRPr="009D51EF">
        <w:rPr>
          <w:rFonts w:ascii="Times New Roman" w:hAnsi="Times New Roman" w:cs="Times New Roman"/>
        </w:rPr>
        <w:fldChar w:fldCharType="begin" w:fldLock="1"/>
      </w:r>
      <w:r w:rsidR="009E6B15" w:rsidRPr="009D51EF">
        <w:rPr>
          <w:rFonts w:ascii="Times New Roman" w:hAnsi="Times New Roman" w:cs="Times New Roman"/>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caksana","given":"Arif","non-dropping-particle":"","parse-names":false,"suffix":""},{"dropping-particle":"","family":"Rachman","given":"Tahar","non-dropping-particle":"","parse-names":false,"suffix":""}],"container-title":"Angewandte Chemie International Edition, 6(11), 951–952.","id":"ITEM-1","issue":"1","issued":{"date-parts":[["2018"]]},"number-of-pages":"10-27","title":"</w:instrText>
      </w:r>
      <w:r w:rsidR="009E6B15" w:rsidRPr="009D51EF">
        <w:rPr>
          <w:rFonts w:ascii="Times New Roman" w:eastAsia="MS Gothic" w:hAnsi="Times New Roman" w:cs="Times New Roman"/>
        </w:rPr>
        <w:instrText>済無</w:instrText>
      </w:r>
      <w:r w:rsidR="009E6B15" w:rsidRPr="009D51EF">
        <w:rPr>
          <w:rFonts w:ascii="Times New Roman" w:hAnsi="Times New Roman" w:cs="Times New Roman"/>
        </w:rPr>
        <w:instrText>No Title No Title No Title","type":"book","volume":"3"},"uris":["http://www.mendeley.com/documents/?uuid=7d44bb9b-5043-44c9-8ed7-21ca36ea9d1f"]}],"mendeley":{"formattedCitation":"(Wicaksana and Rachman, 2018)","plainTextFormattedCitation":"(Wicaksana and Rachman, 2018)","previouslyFormattedCitation":"(Wicaksana and Rachman, 2018)"},"properties":{"noteIndex":0},"schema":"https://github.com/citation-style-language/schema/raw/master/csl-citation.json"}</w:instrText>
      </w:r>
      <w:r w:rsidR="009E6B15" w:rsidRPr="009D51EF">
        <w:rPr>
          <w:rFonts w:ascii="Times New Roman" w:hAnsi="Times New Roman" w:cs="Times New Roman"/>
        </w:rPr>
        <w:fldChar w:fldCharType="separate"/>
      </w:r>
      <w:r w:rsidR="009E6B15" w:rsidRPr="009D51EF">
        <w:rPr>
          <w:rFonts w:ascii="Times New Roman" w:hAnsi="Times New Roman" w:cs="Times New Roman"/>
          <w:noProof/>
        </w:rPr>
        <w:t>(Wicaksana and Rachman, 2018)</w:t>
      </w:r>
      <w:r w:rsidR="009E6B15" w:rsidRPr="009D51EF">
        <w:rPr>
          <w:rFonts w:ascii="Times New Roman" w:hAnsi="Times New Roman" w:cs="Times New Roman"/>
        </w:rPr>
        <w:fldChar w:fldCharType="end"/>
      </w:r>
      <w:r w:rsidR="009E6B15" w:rsidRPr="009D51EF">
        <w:rPr>
          <w:rFonts w:ascii="Times New Roman" w:hAnsi="Times New Roman" w:cs="Times New Roman"/>
        </w:rPr>
        <w:t xml:space="preserve">. </w:t>
      </w:r>
      <w:r w:rsidRPr="009D51EF">
        <w:rPr>
          <w:rFonts w:ascii="Times New Roman" w:hAnsi="Times New Roman" w:cs="Times New Roman"/>
        </w:rPr>
        <w:t>A strong familial component has been observed, with children of myopic parents more likely to develop and experience faster progression of the condition.</w:t>
      </w:r>
    </w:p>
    <w:p w14:paraId="06EC75A8"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Environmental risk factors significantly contribute to myopia onset and progression. These include prolonged near work, increased screen time, high academic demands, reduced outdoor activity, urban living, and longer reading hours</w:t>
      </w:r>
      <w:r w:rsidR="009E6B15" w:rsidRPr="009D51EF">
        <w:rPr>
          <w:rFonts w:ascii="Times New Roman" w:hAnsi="Times New Roman" w:cs="Times New Roman"/>
        </w:rPr>
        <w:t xml:space="preserve"> </w:t>
      </w:r>
      <w:r w:rsidR="009E6B15" w:rsidRPr="009D51EF">
        <w:rPr>
          <w:rFonts w:ascii="Times New Roman" w:hAnsi="Times New Roman" w:cs="Times New Roman"/>
        </w:rPr>
        <w:fldChar w:fldCharType="begin" w:fldLock="1"/>
      </w:r>
      <w:r w:rsidR="00A529D4" w:rsidRPr="009D51EF">
        <w:rPr>
          <w:rFonts w:ascii="Times New Roman" w:hAnsi="Times New Roman" w:cs="Times New Roman"/>
        </w:rPr>
        <w:instrText>ADDIN CSL_CITATION {"citationItems":[{"id":"ITEM-1","itemData":{"DOI":"10.5114/ko.2022.116834","ISSN":"00232157","author":[{"dropping-particle":"","family":"Nouraeinejad","given":"Ali","non-dropping-particle":"","parse-names":false,"suffix":""}],"container-title":"Klinika Oczna","id":"ITEM-1","issue":"2","issued":{"date-parts":[["2022"]]},"page":"124-125","title":"Urbanization as a factor for myopia progression","type":"article-journal","volume":"124"},"uris":["http://www.mendeley.com/documents/?uuid=100b4b55-152a-47e3-aeac-f040e0b1bd47"]},{"id":"ITEM-2","itemData":{"DOI":"10.1167/iovs.07-0804","ISSN":"01460404","PMID":"18579757","abstract":"PURPOSE. To examine the association of time spent in near work and reading with spherical equivalent refraction (SER) in a population-based sample of 12-year-old Australian schoolchildren. METHODS. Data on the time spent in near-work or outdoor activities per week and estimates for the duration of continuous reading and reading distances, were collected in questionnaires (2353 participants, 75.3% response) in the Sydney Myopia Study between 2004 and 2005; 2339 children underwent a comprehensive eye examination, including cycloplegia. RESULTS. Longer time spent on reading for pleasure and reports of close reading distance (&lt;30 cm) were associated with a more myopic refraction after adjustment for age, sex, ethnicity, and school type (Ptrend = 0.02 and P = 0.0003, respectively). Time spent in individual near-work activities, however, correlated poorly with SER (all r ≤ 0.2) and was not significant in multivariate analyses for myopia (SER ≤ -0.50 D), with adjustment for age, sex, ethnicity, parental myopia, school type, and outdoor activity. Children of European Caucasian ethnicity reported spending marginally less time in near work than children of East Asian ethnicity (26.0 h/wk vs. 32.5 h/wk, P &lt; 0.0001). East Asian ethnicity, however, was associated with substantially greater odds of having myopia (odds ratio [OR], 11.0; 95% confidence interval [CI], 7.0 -17.4). Near work such as close reading distance (&lt;30 cm) and continuous reading (&gt;30 minutes) independently increased the odds of having myopia in this sample of children. CONCLUSIONS. Although myopia was not significantly associated with time spent in near work after adjustment for other factors, there were significant independent associations with close reading distance and continuous reading. These associations may indicate that the intensity rather than the total duration of near work is an important factor. Copyright © Association for Research in Vision and Ophthalmology.","author":[{"dropping-particle":"","family":"Ip","given":"Jenny M.","non-dropping-particle":"","parse-names":false,"suffix":""},{"dropping-particle":"","family":"Saw","given":"Seang Mei","non-dropping-particle":"","parse-names":false,"suffix":""},{"dropping-particle":"","family":"Rose","given":"Kathryn A.","non-dropping-particle":"","parse-names":false,"suffix":""},{"dropping-particle":"","family":"Morgan","given":"Ian G.","non-dropping-particle":"","parse-names":false,"suffix":""},{"dropping-particle":"","family":"Kifley","given":"Annette","non-dropping-particle":"","parse-names":false,"suffix":""},{"dropping-particle":"","family":"Wang","given":"Jie Jin","non-dropping-particle":"","parse-names":false,"suffix":""},{"dropping-particle":"","family":"Mitchell","given":"Paul","non-dropping-particle":"","parse-names":false,"suffix":""}],"container-title":"Investigative Ophthalmology and Visual Science","id":"ITEM-2","issue":"7","issued":{"date-parts":[["2008"]]},"page":"2903-2910","title":"Role of near work in myopia: Findings in a sample of Australian school children","type":"article-journal","volume":"49"},"uris":["http://www.mendeley.com/documents/?uuid=215ebc40-3b9c-4fca-bf13-a91183736cd3"]},{"id":"ITEM-3","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-3","issued":{"date-parts":[["2017"]]},"page":"1-12","title":"Incidence and progression of myopia and associated factors in urban school children in Delhi : The North India Myopia Study ( NIM Study )","type":"article-journal"},"uris":["http://www.mendeley.com/documents/?uuid=8e1a8586-294b-44f3-ab2c-2ce80911937e"]}],"mendeley":{"formattedCitation":"(Ip &lt;i&gt;et al.&lt;/i&gt;, 2008; Saxena &lt;i&gt;et al.&lt;/i&gt;, 2017; Nouraeinejad, 2022)","plainTextFormattedCitation":"(Ip et al., 2008; Saxena et al., 2017; Nouraeinejad, 2022)","previouslyFormattedCitation":"(Ip &lt;i&gt;et al.&lt;/i&gt;, 2008; Saxena &lt;i&gt;et al.&lt;/i&gt;, 2017; Nouraeinejad, 2022)"},"properties":{"noteIndex":0},"schema":"https://github.com/citation-style-language/schema/raw/master/csl-citation.json"}</w:instrText>
      </w:r>
      <w:r w:rsidR="009E6B15" w:rsidRPr="009D51EF">
        <w:rPr>
          <w:rFonts w:ascii="Times New Roman" w:hAnsi="Times New Roman" w:cs="Times New Roman"/>
        </w:rPr>
        <w:fldChar w:fldCharType="separate"/>
      </w:r>
      <w:r w:rsidR="009E6B15" w:rsidRPr="009D51EF">
        <w:rPr>
          <w:rFonts w:ascii="Times New Roman" w:hAnsi="Times New Roman" w:cs="Times New Roman"/>
          <w:noProof/>
        </w:rPr>
        <w:t xml:space="preserve">(Ip </w:t>
      </w:r>
      <w:r w:rsidR="009E6B15" w:rsidRPr="009D51EF">
        <w:rPr>
          <w:rFonts w:ascii="Times New Roman" w:hAnsi="Times New Roman" w:cs="Times New Roman"/>
          <w:i/>
          <w:noProof/>
        </w:rPr>
        <w:t>et al.</w:t>
      </w:r>
      <w:r w:rsidR="009E6B15" w:rsidRPr="009D51EF">
        <w:rPr>
          <w:rFonts w:ascii="Times New Roman" w:hAnsi="Times New Roman" w:cs="Times New Roman"/>
          <w:noProof/>
        </w:rPr>
        <w:t xml:space="preserve">, 2008; Saxena </w:t>
      </w:r>
      <w:r w:rsidR="009E6B15" w:rsidRPr="009D51EF">
        <w:rPr>
          <w:rFonts w:ascii="Times New Roman" w:hAnsi="Times New Roman" w:cs="Times New Roman"/>
          <w:i/>
          <w:noProof/>
        </w:rPr>
        <w:t>et al.</w:t>
      </w:r>
      <w:r w:rsidR="009E6B15" w:rsidRPr="009D51EF">
        <w:rPr>
          <w:rFonts w:ascii="Times New Roman" w:hAnsi="Times New Roman" w:cs="Times New Roman"/>
          <w:noProof/>
        </w:rPr>
        <w:t>, 2017; Nouraeinejad, 2022)</w:t>
      </w:r>
      <w:r w:rsidR="009E6B15" w:rsidRPr="009D51EF">
        <w:rPr>
          <w:rFonts w:ascii="Times New Roman" w:hAnsi="Times New Roman" w:cs="Times New Roman"/>
        </w:rPr>
        <w:fldChar w:fldCharType="end"/>
      </w:r>
      <w:r w:rsidRPr="009D51EF">
        <w:rPr>
          <w:rFonts w:ascii="Times New Roman" w:hAnsi="Times New Roman" w:cs="Times New Roman"/>
        </w:rPr>
        <w:t>. However, the protective role of outdoor activity remains inconclusive, with some studies showing no consistent association</w:t>
      </w:r>
      <w:r w:rsidR="00A529D4" w:rsidRPr="009D51EF">
        <w:rPr>
          <w:rFonts w:ascii="Times New Roman" w:hAnsi="Times New Roman" w:cs="Times New Roman"/>
        </w:rPr>
        <w:t xml:space="preserve"> </w:t>
      </w:r>
      <w:r w:rsidR="001E38B4" w:rsidRPr="009D51EF">
        <w:rPr>
          <w:rFonts w:ascii="Times New Roman" w:hAnsi="Times New Roman" w:cs="Times New Roman"/>
        </w:rPr>
        <w:fldChar w:fldCharType="begin" w:fldLock="1"/>
      </w:r>
      <w:r w:rsidR="00B57B79" w:rsidRPr="009D51EF">
        <w:rPr>
          <w:rFonts w:ascii="Times New Roman" w:hAnsi="Times New Roman" w:cs="Times New Roman"/>
        </w:rPr>
        <w:instrText>ADDIN CSL_CITATION {"citationItems":[{"id":"ITEM-1","itemData":{"DOI":"10.1136/bjophthalmol-2016-309299","ISSN":"14682079","PMID":"28315834","abstract":"Purpose To evaluate the 1-year progression of myopia and associated risk factors in second-grade primary school children. Methods The myopia investigation study in Taipei provided semiannual visual acuity testing and cycloplegic refraction for all second-grade primary school children (mean age: 7.49 years) in Taipei who provided parental consent. A questionnaire was distributed to the participants' parents before the first and third examinations. We evaluated 1-year follow-up data for children noted to have myopia on the first examination. Multinomial logistic regression models were applied to assess risk factors associated with myopia progression. Myopia progression was categorised, based on the change in spherical equivalent (ΔSE) over 1 year, as slow (ΔSE&gt;-0.5 dioptres (D)), moderate (-1.0 D&lt;ΔSE≤-0.5 D) or fast (ΔSE≤-1.0 D). Of the 4214 myopic children, data were analysed for 3256 (77.3%) who completed the 1-year follow-up evaluation. Results The baseline SE was -1.43±1.1 D. The average ΔSE was -0.42±0.85 D, with 46.96%, 28.50% and 24.54% of the study subjects showing slow, moderate and fast myopia progression, respectively. When compared with slow myopia progression, fast myopia progression was associated with a greater myopic SE at baseline (OR: 0.67, 95% CI: 0.61 to 0.72) and a shorter eye-object distance when doing near work (OR: 1.45, 95% CI: 1.18 to 1.78). More outdoor activity time and self-reported cycloplegic treatment were not associated with slow myopia progression. Conclusions Children with fast annual myopia progression were more myopic at baseline and had a shorter reading distance. Our study results highlight the importance of having children keep a proper reading distance.","author":[{"dropping-particle":"","family":"Hsu","given":"Chih Chien","non-dropping-particle":"","parse-names":false,"suffix":""},{"dropping-particle":"","family":"Huang","given":"Nicole","non-dropping-particle":"","parse-names":false,"suffix":""},{"dropping-particle":"","family":"Lin","given":"Pei Yu","non-dropping-particle":"","parse-names":false,"suffix":""},{"dropping-particle":"","family":"Fang","given":"Shao You","non-dropping-particle":"","parse-names":false,"suffix":""},{"dropping-particle":"","family":"Tsai","given":"Der Chong","non-dropping-particle":"","parse-names":false,"suffix":""},{"dropping-particle":"","family":"Chen","given":"Shing Yi","non-dropping-particle":"","parse-names":false,"suffix":""},{"dropping-particle":"","family":"Tsai","given":"Ching Yao","non-dropping-particle":"","parse-names":false,"suffix":""},{"dropping-particle":"","family":"Woung","given":"Lin Chung","non-dropping-particle":"","parse-names":false,"suffix":""},{"dropping-particle":"","family":"Chiou","given":"Shih Hwa","non-dropping-particle":"","parse-names":false,"suffix":""},{"dropping-particle":"","family":"Liu","given":"Catherine Jui Ling","non-dropping-particle":"","parse-names":false,"suffix":""}],"container-title":"British Journal of Ophthalmology","id":"ITEM-1","issue":"12","issued":{"date-parts":[["2017"]]},"page":"1611-1617","title":"Risk factors for myopia progression in second-grade primary school children in Taipei: A population-based cohort study","type":"article-journal","volume":"101"},"uris":["http://www.mendeley.com/documents/?uuid=9ceced92-d005-4eae-9ed5-27881286b34a"]},{"id":"ITEM-2","itemData":{"DOI":"10.1016/j.ophtha.2012.11.009","ISSN":"01616420","PMID":"23462271","abstract":"Purpose: The aim of this study was to investigate the effect of outdoor activity during class recess on myopia changes among elementary school students in a suburban area of Taiwan. Design: Prospective, comparative, consecutive, interventional study. Participants: Elementary school students 7 to 11 years of age recruited from 2 nearby schools located in a suburban area of southern Taiwan. Intervention: The children of one school participated in the interventions, whereas those from the other school served as the control group. The interventions consisted of performing a recess outside the classroom (ROC) program that encouraged children to go outside for outdoor activities during recess. The control school did not have any special programs during recess. Main Outcome Measures: Data were obtained by means of a parent questionnaire and ocular evaluations that included axial length and cycloplegic autorefraction at the beginning and after 1 year. Results: Five hundred seventy-one students were recruited for this study, of whom 333 students participated in the interventional program, and 238 students were in the control school. At the beginning of the study, there were no significant differences between these 2 schools with regard to age, gender, baseline refraction, and myopia prevalence (47.75% vs. 49.16%). After 1 year, new onset of myopia was significantly lower in the ROC group than in the control group (8.41% vs. 17.65%; P&lt;0.001). There was also significantly lower myopic shift in the ROC group compared with the control group (-0.25 diopter [D]/year vs. -0.38 D/year; P = 0.029). The multivariate analysis demonstrated that the variables of intervention of the ROC program and higher school year proved to be a protective factor against myopia shift in nonmyopic subjects (P = 0.020 and P = 0.017, respectively). For myopic subjects, school year was the only variable significantly associated with myopia progression (P = 0.006). Conclusions: Outdoor activities during class recess in school have a significant effect on myopia onset and myopic shift. Such activities have a prominent effect on the control of myopia shift, especially in nonmyopic children. © 2013 American Academy of Ophthalmology.","author":[{"dropping-particle":"","family":"Wu","given":"Pei Chang","non-dropping-particle":"","parse-names":false,"suffix":""},{"dropping-particle":"","family":"Tsai","given":"Chia Ling","non-dropping-particle":"","parse-names":false,"suffix":""},{"dropping-particle":"","family":"Wu","given":"Hsiang Lin","non-dropping-particle":"","parse-names":false,"suffix":""},{"dropping-particle":"","family":"Yang","given":"Yi Hsin","non-dropping-particle":"","parse-names":false,"suffix":""},{"dropping-particle":"","family":"Kuo","given":"Hsi Kung","non-dropping-particle":"","parse-names":false,"suffix":""}],"container-title":"Ophthalmology","id":"ITEM-2","issue":"5","issued":{"date-parts":[["2013"]]},"page":"1080-1085","title":"Outdoor activity during class recess reduces myopia onset and progression in school children","type":"article-journal","volume":"120"},"uris":["http://www.mendeley.com/documents/?uuid=4ea76d41-295f-4471-a0a1-7108ffcfcce5"]},{"id":"ITEM-3","itemData":{"DOI":"10.1167/iovs.11-8336","ISSN":"01460404","PMID":"22977132","abstract":"PURPOSE. To investigate the association between myopia progression and time spent outdoors and in various visual activities. METHODS. Subjects were 835 myopes (both principal meridians -0.75 diopters [D] or more myopia by cycloplegic autorefraction) in the Collaborative Longitudinal Evaluation of Ethnicity and Refractive Error (CLEERE) Study with both progression data and at least one measure of activity associated with a progression interval. Activity data were collected by parental survey. Average activity level (mean of the activity at the beginning and the end of a 1-year progression interval) was the primary predictor in a repeated-measures mixed model. The model controlled for age, sex, ethnicity, refractive error at the beginning of the progression interval, clinic site, and type of autorefractor used. Effects were scaled based on performing an additional 10 hours per week of an activity. RESULTS. In the multivariate model, the number of hours of reading for pleasure per week was not significantly associated with annual myopia progression at an a priori level of P ≤ 0.01, nor were the other near activities, the near-work composite variable diopter-hours, or outdoor/sports activity. The magnitude of effects was clinically small. For example, the largest multivariate effect was that each additional 10 hours of reading for pleasure per week at the end of a progression interval was associated with an increase in average annual progression by -0.08 D. CONCLUSIONS. Despite protective associations previously reported for time outdoors reducing the risk of myopia onset, outdoor/sports activity was not associated with less myopia progression following onset. Near work also had little meaningful effect on the rate of myopia progression. © 2012 The Association for Research in Vision and Ophthalmology, Inc.","author":[{"dropping-particle":"","family":"Jones-Jordan","given":"Lisa A.","non-dropping-particle":"","parse-names":false,"suffix":""},{"dropping-particle":"","family":"Sinnott","given":"Loraine T.","non-dropping-particle":"","parse-names":false,"suffix":""},{"dropping-particle":"","family":"Cotter","given":"Susan A.","non-dropping-particle":"","parse-names":false,"suffix":""},{"dropping-particle":"","family":"Kleinstein","given":"Robert N.","non-dropping-particle":"","parse-names":false,"suffix":""},{"dropping-particle":"","family":"Manny","given":"Ruth E.","non-dropping-particle":"","parse-names":false,"suffix":""},{"dropping-particle":"","family":"Mutti","given":"Donald O.","non-dropping-particle":"","parse-names":false,"suffix":""},{"dropping-particle":"","family":"Daniel Twelker","given":"J.","non-dropping-particle":"","parse-names":false,"suffix":""},{"dropping-particle":"","family":"Zadnik","given":"Karla","non-dropping-particle":"","parse-names":false,"suffix":""}],"container-title":"Investigative Ophthalmology and Visual Science","id":"ITEM-3","issue":"11","issued":{"date-parts":[["2012"]]},"page":"7169-7175","title":"Time outdoors, visual activity, and myopia progression in juvenile-onset myopes","type":"article-journal","volume":"53"},"uris":["http://www.mendeley.com/documents/?uuid=2982f0ae-9fbc-4453-af34-6c63adf16047"]}],"mendeley":{"formattedCitation":"(Jones-Jordan &lt;i&gt;et al.&lt;/i&gt;, 2012; Wu &lt;i&gt;et al.&lt;/i&gt;, 2013; Hsu &lt;i&gt;et al.&lt;/i&gt;, 2017)","plainTextFormattedCitation":"(Jones-Jordan et al., 2012; Wu et al., 2013; Hsu et al., 2017)","previouslyFormattedCitation":"(Jones-Jordan &lt;i&gt;et al.&lt;/i&gt;, 2012; Wu &lt;i&gt;et al.&lt;/i&gt;, 2013; Hsu &lt;i&gt;et al.&lt;/i&gt;, 2017)"},"properties":{"noteIndex":0},"schema":"https://github.com/citation-style-language/schema/raw/master/csl-citation.json"}</w:instrText>
      </w:r>
      <w:r w:rsidR="001E38B4" w:rsidRPr="009D51EF">
        <w:rPr>
          <w:rFonts w:ascii="Times New Roman" w:hAnsi="Times New Roman" w:cs="Times New Roman"/>
        </w:rPr>
        <w:fldChar w:fldCharType="separate"/>
      </w:r>
      <w:r w:rsidR="001E38B4" w:rsidRPr="009D51EF">
        <w:rPr>
          <w:rFonts w:ascii="Times New Roman" w:hAnsi="Times New Roman" w:cs="Times New Roman"/>
          <w:noProof/>
        </w:rPr>
        <w:t xml:space="preserve">(Jones-Jordan </w:t>
      </w:r>
      <w:r w:rsidR="001E38B4" w:rsidRPr="009D51EF">
        <w:rPr>
          <w:rFonts w:ascii="Times New Roman" w:hAnsi="Times New Roman" w:cs="Times New Roman"/>
          <w:i/>
          <w:noProof/>
        </w:rPr>
        <w:t>et al.</w:t>
      </w:r>
      <w:r w:rsidR="001E38B4" w:rsidRPr="009D51EF">
        <w:rPr>
          <w:rFonts w:ascii="Times New Roman" w:hAnsi="Times New Roman" w:cs="Times New Roman"/>
          <w:noProof/>
        </w:rPr>
        <w:t xml:space="preserve">, 2012; Wu </w:t>
      </w:r>
      <w:r w:rsidR="001E38B4" w:rsidRPr="009D51EF">
        <w:rPr>
          <w:rFonts w:ascii="Times New Roman" w:hAnsi="Times New Roman" w:cs="Times New Roman"/>
          <w:i/>
          <w:noProof/>
        </w:rPr>
        <w:t>et al.</w:t>
      </w:r>
      <w:r w:rsidR="001E38B4" w:rsidRPr="009D51EF">
        <w:rPr>
          <w:rFonts w:ascii="Times New Roman" w:hAnsi="Times New Roman" w:cs="Times New Roman"/>
          <w:noProof/>
        </w:rPr>
        <w:t xml:space="preserve">, 2013; Hsu </w:t>
      </w:r>
      <w:r w:rsidR="001E38B4" w:rsidRPr="009D51EF">
        <w:rPr>
          <w:rFonts w:ascii="Times New Roman" w:hAnsi="Times New Roman" w:cs="Times New Roman"/>
          <w:i/>
          <w:noProof/>
        </w:rPr>
        <w:t>et al.</w:t>
      </w:r>
      <w:r w:rsidR="001E38B4" w:rsidRPr="009D51EF">
        <w:rPr>
          <w:rFonts w:ascii="Times New Roman" w:hAnsi="Times New Roman" w:cs="Times New Roman"/>
          <w:noProof/>
        </w:rPr>
        <w:t>, 2017)</w:t>
      </w:r>
      <w:r w:rsidR="001E38B4" w:rsidRPr="009D51EF">
        <w:rPr>
          <w:rFonts w:ascii="Times New Roman" w:hAnsi="Times New Roman" w:cs="Times New Roman"/>
        </w:rPr>
        <w:fldChar w:fldCharType="end"/>
      </w:r>
    </w:p>
    <w:p w14:paraId="386A7105"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An earlier age of onset is associated with faster progression of myopia, possibly due to increased responsiveness of younger eyes to environmental stimuli during critical developmental periods</w:t>
      </w:r>
      <w:r w:rsidR="00F82FC5" w:rsidRPr="009D51EF">
        <w:rPr>
          <w:rFonts w:ascii="Times New Roman" w:hAnsi="Times New Roman" w:cs="Times New Roman"/>
        </w:rPr>
        <w:t xml:space="preserve"> </w:t>
      </w:r>
      <w:r w:rsidR="00F82FC5" w:rsidRPr="009D51EF">
        <w:rPr>
          <w:rFonts w:ascii="Times New Roman" w:hAnsi="Times New Roman" w:cs="Times New Roman"/>
        </w:rPr>
        <w:fldChar w:fldCharType="begin" w:fldLock="1"/>
      </w:r>
      <w:r w:rsidR="00F82FC5" w:rsidRPr="009D51EF">
        <w:rPr>
          <w:rFonts w:ascii="Times New Roman" w:hAnsi="Times New Roman" w:cs="Times New Roman"/>
        </w:rPr>
        <w:instrText>ADDIN CSL_CITATION {"citationItems":[{"id":"ITEM-1","itemData":{"DOI":"10.1016/j.jcma.2016.02.011","ISSN":"17287731","PMID":"27349942","abstract":"Background High myopia is associated with multiple ocular morbidities that may lead to irreversible blindness. Because high myopia in an adult is thought to be related to onset of myopia in very early childhood, detecting myopia early and working to improve modifiable risk factors may help reduce the development of high myopia. In this study, we tried to evaluate the prevalence of myopia and associated risk factors in second-grade primary school children in Taipei, Taiwan. Methods A questionnaire was distributed to the participants’ parents, and their written informed consent was obtained before performing eye examinations that included visual acuity testing and cycloplegic autorefraction. Multiple logistic regression models were applied to assess possible risk factors associated with myopia. Myopia was defined as spherical equivalent of −0.50 D or less in either eye. Results The prevalence of myopia in the second graders was 36.4%. After adjustment for other characteristics, the following variables were significantly associated with a higher risk of myopia: male sex [odds ratio (OR) = 1.24, p &lt; 0.001]; suburban residence (vs. urban; OR = 1.10, p = 0.02); lower maternal education level (OR = 1.25, p &lt; 0.001); the presence of myopia in one parent (OR = 1.66, p &lt; 0.001) or both parents (OR = 2.82, p &lt; 0.001); time spent on near-work activity every day (OR = 1.21, p &lt; 0.001); shorter visual distance when doing near-work activity (OR = 1.17, p &lt; 0.001); and participation in an after-school tutorial program (OR = 1.20, p &lt; 0.001). By contrast, resting after 30 minutes of near-work activity (OR = 0.84, p &lt; 0.001) and spending more time participating in outdoor activities on weekends (OR = 0.91, p = 0.03) were significantly associated with a lower risk of myopia. Conclusion Our findings indicate that lifestyle and reading habits impact the development of myopia during early childhood. Behavior modification, such as more time spent outside during the day and limited near-work activity, may be a feasible strategy for curbing the increasingly high prevalence of myopia in Taipei.","author":[{"dropping-particle":"","family":"Hsu","given":"Chih Chien","non-dropping-particle":"","parse-names":false,"suffix":""},{"dropping-particle":"","family":"Huang","given":"Nicole","non-dropping-particle":"","parse-names":false,"suffix":""},{"dropping-particle":"","family":"Lin","given":"Pei Yu","non-dropping-particle":"","parse-names":false,"suffix":""},{"dropping-particle":"","family":"Tsai","given":"Der Chong","non-dropping-particle":"","parse-names":false,"suffix":""},{"dropping-particle":"","family":"Tsai","given":"Ching Yao","non-dropping-particle":"","parse-names":false,"suffix":""},{"dropping-particle":"","family":"Woung","given":"Lin Chung","non-dropping-particle":"","parse-names":false,"suffix":""},{"dropping-particle":"","family":"Liu","given":"Catherine Jui Ling","non-dropping-particle":"","parse-names":false,"suffix":""}],"container-title":"Journal of the Chinese Medical Association","id":"ITEM-1","issue":"11","issued":{"date-parts":[["2016"]]},"page":"625-632","publisher":"Elsevier Ltd","title":"Prevalence and risk factors for myopia in second-grade primary school children in Taipei: A population-based study","type":"article-journal","volume":"79"},"uris":["http://www.mendeley.com/documents/?uuid=65924352-5ea2-44c8-85e8-1af8d6b6bf8a","http://www.mendeley.com/documents/?uuid=90369746-c563-4660-afb6-da1d7debe802"]}],"mendeley":{"formattedCitation":"(Hsu &lt;i&gt;et al.&lt;/i&gt;, 2016)","plainTextFormattedCitation":"(Hsu et al., 2016)","previouslyFormattedCitation":"(Hsu &lt;i&gt;et al.&lt;/i&gt;, 2016)"},"properties":{"noteIndex":0},"schema":"https://github.com/citation-style-language/schema/raw/master/csl-citation.json"}</w:instrText>
      </w:r>
      <w:r w:rsidR="00F82FC5" w:rsidRPr="009D51EF">
        <w:rPr>
          <w:rFonts w:ascii="Times New Roman" w:hAnsi="Times New Roman" w:cs="Times New Roman"/>
        </w:rPr>
        <w:fldChar w:fldCharType="separate"/>
      </w:r>
      <w:r w:rsidR="00F82FC5" w:rsidRPr="009D51EF">
        <w:rPr>
          <w:rFonts w:ascii="Times New Roman" w:hAnsi="Times New Roman" w:cs="Times New Roman"/>
          <w:noProof/>
        </w:rPr>
        <w:t xml:space="preserve">(Hsu </w:t>
      </w:r>
      <w:r w:rsidR="00F82FC5" w:rsidRPr="009D51EF">
        <w:rPr>
          <w:rFonts w:ascii="Times New Roman" w:hAnsi="Times New Roman" w:cs="Times New Roman"/>
          <w:i/>
          <w:noProof/>
        </w:rPr>
        <w:t>et al.</w:t>
      </w:r>
      <w:r w:rsidR="00F82FC5" w:rsidRPr="009D51EF">
        <w:rPr>
          <w:rFonts w:ascii="Times New Roman" w:hAnsi="Times New Roman" w:cs="Times New Roman"/>
          <w:noProof/>
        </w:rPr>
        <w:t>, 2016)</w:t>
      </w:r>
      <w:r w:rsidR="00F82FC5" w:rsidRPr="009D51EF">
        <w:rPr>
          <w:rFonts w:ascii="Times New Roman" w:hAnsi="Times New Roman" w:cs="Times New Roman"/>
        </w:rPr>
        <w:fldChar w:fldCharType="end"/>
      </w:r>
      <w:r w:rsidR="00F82FC5" w:rsidRPr="009D51EF">
        <w:rPr>
          <w:rFonts w:ascii="Times New Roman" w:hAnsi="Times New Roman" w:cs="Times New Roman"/>
        </w:rPr>
        <w:t xml:space="preserve"> .</w:t>
      </w:r>
      <w:r w:rsidRPr="009D51EF">
        <w:rPr>
          <w:rFonts w:ascii="Times New Roman" w:hAnsi="Times New Roman" w:cs="Times New Roman"/>
        </w:rPr>
        <w:t>Gender has also emerged as a co</w:t>
      </w:r>
      <w:r w:rsidR="00F07592">
        <w:rPr>
          <w:rFonts w:ascii="Times New Roman" w:hAnsi="Times New Roman" w:cs="Times New Roman"/>
        </w:rPr>
        <w:t xml:space="preserve">ntributing factor, with females </w:t>
      </w:r>
      <w:r w:rsidR="00411326">
        <w:rPr>
          <w:rFonts w:ascii="Times New Roman" w:hAnsi="Times New Roman" w:cs="Times New Roman"/>
        </w:rPr>
        <w:t xml:space="preserve">especially school-aged girls </w:t>
      </w:r>
      <w:r w:rsidRPr="009D51EF">
        <w:rPr>
          <w:rFonts w:ascii="Times New Roman" w:hAnsi="Times New Roman" w:cs="Times New Roman"/>
        </w:rPr>
        <w:t>being more pron</w:t>
      </w:r>
      <w:r w:rsidR="00BD5753" w:rsidRPr="009D51EF">
        <w:rPr>
          <w:rFonts w:ascii="Times New Roman" w:hAnsi="Times New Roman" w:cs="Times New Roman"/>
        </w:rPr>
        <w:t xml:space="preserve">e to faster myopia progression </w:t>
      </w:r>
      <w:r w:rsidR="00BD5753" w:rsidRPr="009D51EF">
        <w:rPr>
          <w:rFonts w:ascii="Times New Roman" w:hAnsi="Times New Roman" w:cs="Times New Roman"/>
        </w:rPr>
        <w:fldChar w:fldCharType="begin" w:fldLock="1"/>
      </w:r>
      <w:r w:rsidR="00293BBA" w:rsidRPr="009D51EF">
        <w:rPr>
          <w:rFonts w:ascii="Times New Roman" w:hAnsi="Times New Roman" w:cs="Times New Roman"/>
        </w:rPr>
        <w:instrText>ADDIN CSL_CITATION {"citationItems":[{"id":"ITEM-1","itemData":{"DOI":"10.1136/bjophthalmol-2020-318256","author":[{"dropping-particle":"","family":"Tricard","given":"Dorian","non-dropping-particle":"","parse-names":false,"suffix":""},{"dropping-particle":"","family":"Marillet","given":"Simon","non-dropping-particle":"","parse-names":false,"suffix":""},{"dropping-particle":"","family":"Ingrand","given":"Pierre","non-dropping-particle":"","parse-names":false,"suffix":""},{"dropping-particle":"","family":"Bullimore","given":"Mark A","non-dropping-particle":"","parse-names":false,"suffix":""},{"dropping-particle":"","family":"Bourne","given":"Rupert R A","non-dropping-particle":"","parse-names":false,"suffix":""},{"dropping-particle":"","family":"Leveziel","given":"Nicolas","non-dropping-particle":"","parse-names":false,"suffix":""}],"id":"ITEM-1","issued":{"date-parts":[["2022"]]},"page":"1104-1109","title":"Progression of myopia in children and teenagers : a nationwide longitudinal study","type":"article-journal"},"uris":["http://www.mendeley.com/documents/?uuid=33b3705a-7b98-4889-8fbd-38d7210defa7","http://www.mendeley.com/documents/?uuid=1b01365f-5dc8-4eb3-b739-a1483e8b13a6"]}],"mendeley":{"formattedCitation":"(Tricard &lt;i&gt;et al.&lt;/i&gt;, 2022)","manualFormatting":"(Tricard et al., 2022)","plainTextFormattedCitation":"(Tricard et al., 2022)","previouslyFormattedCitation":"(Tricard &lt;i&gt;et al.&lt;/i&gt;, 2022)"},"properties":{"noteIndex":0},"schema":"https://github.com/citation-style-language/schema/raw/master/csl-citation.json"}</w:instrText>
      </w:r>
      <w:r w:rsidR="00BD5753" w:rsidRPr="009D51EF">
        <w:rPr>
          <w:rFonts w:ascii="Times New Roman" w:hAnsi="Times New Roman" w:cs="Times New Roman"/>
        </w:rPr>
        <w:fldChar w:fldCharType="separate"/>
      </w:r>
      <w:r w:rsidR="00BD5753" w:rsidRPr="009D51EF">
        <w:rPr>
          <w:rFonts w:ascii="Times New Roman" w:hAnsi="Times New Roman" w:cs="Times New Roman"/>
          <w:noProof/>
        </w:rPr>
        <w:t xml:space="preserve">(Tricard </w:t>
      </w:r>
      <w:r w:rsidR="00BD5753" w:rsidRPr="009D51EF">
        <w:rPr>
          <w:rFonts w:ascii="Times New Roman" w:hAnsi="Times New Roman" w:cs="Times New Roman"/>
          <w:i/>
          <w:noProof/>
        </w:rPr>
        <w:t>et al.</w:t>
      </w:r>
      <w:r w:rsidR="00BD5753" w:rsidRPr="009D51EF">
        <w:rPr>
          <w:rFonts w:ascii="Times New Roman" w:hAnsi="Times New Roman" w:cs="Times New Roman"/>
          <w:noProof/>
        </w:rPr>
        <w:t>, 2022)</w:t>
      </w:r>
      <w:r w:rsidR="00BD5753" w:rsidRPr="009D51EF">
        <w:rPr>
          <w:rFonts w:ascii="Times New Roman" w:hAnsi="Times New Roman" w:cs="Times New Roman"/>
        </w:rPr>
        <w:fldChar w:fldCharType="end"/>
      </w:r>
      <w:r w:rsidR="00BD5753" w:rsidRPr="009D51EF">
        <w:rPr>
          <w:rFonts w:ascii="Times New Roman" w:hAnsi="Times New Roman" w:cs="Times New Roman"/>
        </w:rPr>
        <w:t>.</w:t>
      </w:r>
    </w:p>
    <w:p w14:paraId="667E8F20"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Additionally, the degree of myopia at baseline, often quantified using the spherical equivalent,</w:t>
      </w:r>
      <w:r w:rsidR="00717E04" w:rsidRPr="009D51EF">
        <w:rPr>
          <w:rFonts w:ascii="Times New Roman" w:hAnsi="Times New Roman" w:cs="Times New Roman"/>
        </w:rPr>
        <w:t xml:space="preserve"> has </w:t>
      </w:r>
      <w:r w:rsidR="00F82FC5" w:rsidRPr="009D51EF">
        <w:rPr>
          <w:rFonts w:ascii="Times New Roman" w:hAnsi="Times New Roman" w:cs="Times New Roman"/>
        </w:rPr>
        <w:t>been linked to progression with</w:t>
      </w:r>
      <w:r w:rsidR="00B57B79" w:rsidRPr="009D51EF">
        <w:rPr>
          <w:rFonts w:ascii="Times New Roman" w:hAnsi="Times New Roman" w:cs="Times New Roman"/>
        </w:rPr>
        <w:t xml:space="preserve"> h</w:t>
      </w:r>
      <w:r w:rsidR="00717E04" w:rsidRPr="009D51EF">
        <w:rPr>
          <w:rFonts w:ascii="Times New Roman" w:hAnsi="Times New Roman" w:cs="Times New Roman"/>
        </w:rPr>
        <w:t>igher baseline myopia being</w:t>
      </w:r>
      <w:r w:rsidRPr="009D51EF">
        <w:rPr>
          <w:rFonts w:ascii="Times New Roman" w:hAnsi="Times New Roman" w:cs="Times New Roman"/>
        </w:rPr>
        <w:t xml:space="preserve"> hypothesized to progress more rapidly</w:t>
      </w:r>
      <w:r w:rsidR="00B57B79" w:rsidRPr="009D51EF">
        <w:rPr>
          <w:rFonts w:ascii="Times New Roman" w:hAnsi="Times New Roman" w:cs="Times New Roman"/>
        </w:rPr>
        <w:t xml:space="preserve"> </w:t>
      </w:r>
      <w:r w:rsidR="00B57B79" w:rsidRPr="009D51EF">
        <w:rPr>
          <w:rFonts w:ascii="Times New Roman" w:hAnsi="Times New Roman" w:cs="Times New Roman"/>
        </w:rPr>
        <w:fldChar w:fldCharType="begin" w:fldLock="1"/>
      </w:r>
      <w:r w:rsidR="001943BF" w:rsidRPr="009D51EF">
        <w:rPr>
          <w:rFonts w:ascii="Times New Roman" w:hAnsi="Times New Roman" w:cs="Times New Roman"/>
        </w:rPr>
        <w:instrText>ADDIN CSL_CITATION {"citationItems":[{"id":"ITEM-1","itemData":{"DOI":"10.1371/journal.pone.0241759","ISBN":"1111111111","author":[{"dropping-particle":"","family":"Kumar","given":"Pavan","non-dropping-particle":"","parse-names":false,"suffix":""},{"dropping-particle":"","family":"Id","given":"Verkicharla","non-dropping-particle":"","parse-names":false,"suffix":""},{"dropping-particle":"","family":"Id","given":"Priyanka Kammari","non-dropping-particle":"","parse-names":false,"suffix":""},{"dropping-particle":"","family":"Das","given":"Anthony Vipin","non-dropping-particle":"","parse-names":false,"suffix":""}],"id":"ITEM-1","issued":{"date-parts":[["2020"]]},"page":"1-9","title":"Myopia progression varies with age and severity of myopia","type":"article-journal"},"uris":["http://www.mendeley.com/documents/?uuid=f92773af-ad38-4ba2-b2c0-1c5c63648770"]}],"mendeley":{"formattedCitation":"(Kumar &lt;i&gt;et al.&lt;/i&gt;, 2020)","plainTextFormattedCitation":"(Kumar et al., 2020)","previouslyFormattedCitation":"(Kumar &lt;i&gt;et al.&lt;/i&gt;, 2020)"},"properties":{"noteIndex":0},"schema":"https://github.com/citation-style-language/schema/raw/master/csl-citation.json"}</w:instrText>
      </w:r>
      <w:r w:rsidR="00B57B79" w:rsidRPr="009D51EF">
        <w:rPr>
          <w:rFonts w:ascii="Times New Roman" w:hAnsi="Times New Roman" w:cs="Times New Roman"/>
        </w:rPr>
        <w:fldChar w:fldCharType="separate"/>
      </w:r>
      <w:r w:rsidR="00B57B79" w:rsidRPr="009D51EF">
        <w:rPr>
          <w:rFonts w:ascii="Times New Roman" w:hAnsi="Times New Roman" w:cs="Times New Roman"/>
          <w:noProof/>
        </w:rPr>
        <w:t xml:space="preserve">(Kumar </w:t>
      </w:r>
      <w:r w:rsidR="00B57B79" w:rsidRPr="009D51EF">
        <w:rPr>
          <w:rFonts w:ascii="Times New Roman" w:hAnsi="Times New Roman" w:cs="Times New Roman"/>
          <w:i/>
          <w:noProof/>
        </w:rPr>
        <w:t>et al.</w:t>
      </w:r>
      <w:r w:rsidR="00B57B79" w:rsidRPr="009D51EF">
        <w:rPr>
          <w:rFonts w:ascii="Times New Roman" w:hAnsi="Times New Roman" w:cs="Times New Roman"/>
          <w:noProof/>
        </w:rPr>
        <w:t>, 2020)</w:t>
      </w:r>
      <w:r w:rsidR="00B57B79" w:rsidRPr="009D51EF">
        <w:rPr>
          <w:rFonts w:ascii="Times New Roman" w:hAnsi="Times New Roman" w:cs="Times New Roman"/>
        </w:rPr>
        <w:fldChar w:fldCharType="end"/>
      </w:r>
      <w:r w:rsidR="00B57B79" w:rsidRPr="009D51EF">
        <w:rPr>
          <w:rFonts w:ascii="Times New Roman" w:hAnsi="Times New Roman" w:cs="Times New Roman"/>
        </w:rPr>
        <w:t>.</w:t>
      </w:r>
    </w:p>
    <w:p w14:paraId="2045B550" w14:textId="77777777" w:rsidR="00717E04" w:rsidRPr="009D51EF" w:rsidRDefault="00717E04" w:rsidP="00AF1AB5">
      <w:pPr>
        <w:rPr>
          <w:rFonts w:ascii="Times New Roman" w:hAnsi="Times New Roman" w:cs="Times New Roman"/>
        </w:rPr>
      </w:pPr>
      <w:r w:rsidRPr="009D51EF">
        <w:rPr>
          <w:rFonts w:ascii="Times New Roman" w:hAnsi="Times New Roman" w:cs="Times New Roman"/>
        </w:rPr>
        <w:t>Myopia control strategies include behavioral and optical interventions. Behavioral approaches such as increased outdoor activity, longer recess, maintaining reading distances over 30 cm, and taking breaks every 30 minutes during near work help slow progression</w:t>
      </w:r>
      <w:r w:rsidR="001943BF" w:rsidRPr="009D51EF">
        <w:rPr>
          <w:rFonts w:ascii="Times New Roman" w:hAnsi="Times New Roman" w:cs="Times New Roman"/>
        </w:rPr>
        <w:t xml:space="preserve"> </w:t>
      </w:r>
      <w:r w:rsidRPr="009D51EF">
        <w:rPr>
          <w:rFonts w:ascii="Times New Roman" w:hAnsi="Times New Roman" w:cs="Times New Roman"/>
        </w:rPr>
        <w:t xml:space="preserve"> </w:t>
      </w:r>
      <w:r w:rsidR="001943BF" w:rsidRPr="009D51EF">
        <w:rPr>
          <w:rFonts w:ascii="Times New Roman" w:hAnsi="Times New Roman" w:cs="Times New Roman"/>
        </w:rPr>
        <w:fldChar w:fldCharType="begin" w:fldLock="1"/>
      </w:r>
      <w:r w:rsidR="00B1303A" w:rsidRPr="009D51EF">
        <w:rPr>
          <w:rFonts w:ascii="Times New Roman" w:hAnsi="Times New Roman" w:cs="Times New Roman"/>
        </w:rPr>
        <w:instrText>ADDIN CSL_CITATION {"citationItems":[{"id":"ITEM-1","itemData":{"DOI":"10.1016/j.ophtha.2017.12.011","ISSN":"15494713","PMID":"29371008","abstract":"Purpose: To investigate the effectiveness of a school-based program promoting outdoor activities in Taiwan for myopia prevention and to identify protective light intensities. Design: Multi-area, cluster-randomized intervention controlled trial. Participants: A total 693 grade 1 schoolchildren in 16 schools participated. Two hundred sixty-seven schoolchildren were in the intervention group and 426 were in the control group. Methods: Initially, 24 schools were randomized into the intervention and control groups, but 5 and 3 schools in the intervention and control groups, respectively, withdrew before enrollment. A school-based Recess Outside Classroom Trial was implemented in the intervention group, in which schoolchildren were encouraged to go outdoors for up to 11 hours weekly. Data collection included eye examinations, cycloplegic refraction, noncontact axial length measurements, light meter recorders, diary logs, and questionnaires. Main Outcome Measures: Change in spherical equivalent and axial length after 1 year and the intensity and duration of outdoor light exposures. Results: The intervention group showed significantly less myopic shift and axial elongation compared with the control group (0.35 diopter [D] vs. 0.47 D; 0.28 vs. 0.33 mm; P = 0.002 and P = 0.003) and a 54% lower risk of rapid myopia progression (odds ratio, 0.46; 95% confidence interval [CI], 0.28–0.77; P = 0.003). The myopic protective effects were significant in both nonmyopic and myopic children compared with controls. Regarding spending outdoor time of at least 11 hours weekly with exposure to 1000 lux or more of light, the intervention group had significantly more participants compared with the control group (49.79% vs. 22.73%; P &lt; 0.001). Schoolchildren with longer outdoor time in school (≥200 minutes) showed significantly less myopic shift (measured by light meters; ≥1000 lux: 0.14 D; 95% CI, 0.02–0.27; P = 0.02; ≥3000 lux: 0.16 D; 95% CI, 0.002–0.32; P = 0.048). Conclusions: The school-based outdoor promotion program effectively reduced the myopia change in both nonmyopic and myopic children. Outdoor activities with strong sunlight exposure may not be necessary for myopia prevention. Relatively lower outdoor light intensity activity with longer time outdoors, such as in hallways or under trees, also can be considered.","author":[{"dropping-particle":"","family":"Wu","given":"Pei Chang","non-dropping-particle":"","parse-names":false,"suffix":""},{"dropping-particle":"","family":"Chen","given":"Chueh Tan","non-dropping-particle":"","parse-names":false,"suffix":""},{"dropping-particle":"","family":"Lin","given":"Ken Kuo","non-dropping-particle":"","parse-names":false,"suffix":""},{"dropping-particle":"","family":"Sun","given":"Chi Chin","non-dropping-particle":"","parse-names":false,"suffix":""},{"dropping-particle":"","family":"Kuo","given":"Chien Neng","non-dropping-particle":"","parse-names":false,"suffix":""},{"dropping-particle":"","family":"Huang","given":"Hsiu Mei","non-dropping-particle":"","parse-names":false,"suffix":""},{"dropping-particle":"","family":"Poon","given":"Yi Chieh","non-dropping-particle":"","parse-names":false,"suffix":""},{"dropping-particle":"","family":"Yang","given":"Meng Ling","non-dropping-particle":"","parse-names":false,"suffix":""},{"dropping-particle":"","family":"Chen","given":"Chau Yin","non-dropping-particle":"","parse-names":false,"suffix":""},{"dropping-particle":"","family":"Huang","given":"Jou Chen","non-dropping-particle":"","parse-names":false,"suffix":""},{"dropping-particle":"","family":"Wu","given":"Pei Chen","non-dropping-particle":"","parse-names":false,"suffix":""},{"dropping-particle":"","family":"Yang","given":"I. Hui","non-dropping-particle":"","parse-names":false,"suffix":""},{"dropping-particle":"","family":"Yu","given":"Hun Ju","non-dropping-particle":"","parse-names":false,"suffix":""},{"dropping-particle":"","family":"Fang","given":"Po Chiung","non-dropping-particle":"","parse-names":false,"suffix":""},{"dropping-particle":"","family":"Tsai","given":"Chia Ling","non-dropping-particle":"","parse-names":false,"suffix":""},{"dropping-particle":"","family":"Chiou","given":"Shu Ti","non-dropping-particle":"","parse-names":false,"suffix":""},{"dropping-particle":"","family":"Yang","given":"Yi Hsin","non-dropping-particle":"","parse-names":false,"suffix":""}],"container-title":"Ophthalmology","id":"ITEM-1","issue":"8","issued":{"date-parts":[["2018"]]},"page":"1239-1250","publisher":"American Academy of Ophthalmology","title":"Myopia Prevention and Outdoor Light Intensity in a School-Based Cluster Randomized Trial","type":"article-journal","volume":"125"},"uris":["http://www.mendeley.com/documents/?uuid=e57322df-dcb8-451f-a088-be01ec81cb0a"]},{"id":"ITEM-2","itemData":{"DOI":"10.1167/iovs.17-23506","ISSN":"15525783","PMID":"30933262","abstract":"PURPOSE. To assess the incidence rate of myopia, refractive change, and the effects of influencing factors on a group of highly selected senior high school students in an Aviation Cadet prerecruitment class in China. METHODS. A total of 800 nonmyopic, male, Grade 9 students aged 14- to 16-years old with cycloplegic refraction of -0.25 or greater diopters (D) to 1.75 D or less in both eyes were enrolled in May 2016. During their senior high school studies, students had one 20-minute physical training period a day, and they were encouraged to participate in outdoor activities during class recess without any time limits. The first follow-up was 8 months after enrollment when they were in Grade 10, and the second follow-up was 1 year after the first follow-up when they were in Grade 11. Comprehensive ocular examinations and a detailed questionnaire, which included questions about outdoor activity time, parental myopia, and near work, were completed at each follow-up. RESULTS. The average spherical equivalent refraction (SER) of the right eyes was 0.39 ± 0.44 D at baseline, 0.16 ± 0.41 D at the first follow-up, and -0.10 ± 0.38 D at the second follow-up. The cumulative refractive change was -0.50 D (95% confidence interval [CI], -0.53 to -0.47). The cumulative incidence rate of myopia was 15.5% (124/800). Incident myopia was significantly associated with outdoor activity for more than 1 versus less than 0.5 hr/d (odds ratio [OR] = 0.272, 95% CI, 0.132–0.560), baseline refraction (OR = 0.079, 95% CI, 0.041-0.153), maternal myopia (OR = 2.251, 95% CI, 1.160–4.368), longer class time (OR =3.215, 95% CI, 1.088–9.499), frequent, continuous, and long time reading/writing (OR = 1.620, 95% CI, 1.022–2.570), and shorter reading/writing distance (OR = 1.828, 95% CI, 1.065–3.140). In multiple linear regression model, having outdoor activity for more than 1 hr/d was protective from cumulative SER decrease. A higher baseline refraction together with longer reading/ writing time, frequent, continuous, and longtime reading/writing, and shorter reading/ writing distance were risk factors for SER decrease. CONCLUSIONS. In this cohort of highly selected, nonmyopic students, longer outdoor activity time was a protective factor for both incident myopia and refractive change of myopic shift. The risk factors for incident myopia included lower hyperopic baseline refraction, more near work, and maternal myopia. The risk factors for refractive change of myopic shift included more h…","author":[{"dropping-particle":"","family":"Yao","given":"Lu","non-dropping-particle":"","parse-names":false,"suffix":""},{"dropping-particle":"","family":"Qi","given":"Lin Song","non-dropping-particle":"","parse-names":false,"suffix":""},{"dropping-particle":"","family":"Wang","given":"Xue Feng","non-dropping-particle":"","parse-names":false,"suffix":""},{"dropping-particle":"","family":"Tian","given":"Qing","non-dropping-particle":"","parse-names":false,"suffix":""},{"dropping-particle":"","family":"Yang","given":"Qing Hong","non-dropping-particle":"","parse-names":false,"suffix":""},{"dropping-particle":"","family":"Wu","given":"Teng Yun","non-dropping-particle":"","parse-names":false,"suffix":""},{"dropping-particle":"","family":"Chang","given":"Yao Ming","non-dropping-particle":"","parse-names":false,"suffix":""},{"dropping-particle":"","family":"Zou","given":"Zhi Kang","non-dropping-particle":"","parse-names":false,"suffix":""}],"container-title":"Investigative Ophthalmology and Visual Science","id":"ITEM-2","issue":"5","issued":{"date-parts":[["2019"]]},"page":"1344-1352","title":"Refractive change and incidence of myopia among a group of highly selected senior high school students in China: A prospective study in an aviation cadet prerecruitment class","type":"article-journal","volume":"60"},"uris":["http://www.mendeley.com/documents/?uuid=14eb8987-ee46-466f-a05d-db1687706d14"]},{"id":"ITEM-3","itemData":{"DOI":"10.1167/iovs.07-0804","ISSN":"01460404","PMID":"18579757","abstract":"PURPOSE. To examine the association of time spent in near work and reading with spherical equivalent refraction (SER) in a population-based sample of 12-year-old Australian schoolchildren. METHODS. Data on the time spent in near-work or outdoor activities per week and estimates for the duration of continuous reading and reading distances, were collected in questionnaires (2353 participants, 75.3% response) in the Sydney Myopia Study between 2004 and 2005; 2339 children underwent a comprehensive eye examination, including cycloplegia. RESULTS. Longer time spent on reading for pleasure and reports of close reading distance (&lt;30 cm) were associated with a more myopic refraction after adjustment for age, sex, ethnicity, and school type (Ptrend = 0.02 and P = 0.0003, respectively). Time spent in individual near-work activities, however, correlated poorly with SER (all r ≤ 0.2) and was not significant in multivariate analyses for myopia (SER ≤ -0.50 D), with adjustment for age, sex, ethnicity, parental myopia, school type, and outdoor activity. Children of European Caucasian ethnicity reported spending marginally less time in near work than children of East Asian ethnicity (26.0 h/wk vs. 32.5 h/wk, P &lt; 0.0001). East Asian ethnicity, however, was associated with substantially greater odds of having myopia (odds ratio [OR], 11.0; 95% confidence interval [CI], 7.0 -17.4). Near work such as close reading distance (&lt;30 cm) and continuous reading (&gt;30 minutes) independently increased the odds of having myopia in this sample of children. CONCLUSIONS. Although myopia was not significantly associated with time spent in near work after adjustment for other factors, there were significant independent associations with close reading distance and continuous reading. These associations may indicate that the intensity rather than the total duration of near work is an important factor. Copyright © Association for Research in Vision and Ophthalmology.","author":[{"dropping-particle":"","family":"Ip","given":"Jenny M.","non-dropping-particle":"","parse-names":false,"suffix":""},{"dropping-particle":"","family":"Saw","given":"Seang Mei","non-dropping-particle":"","parse-names":false,"suffix":""},{"dropping-particle":"","family":"Rose","given":"Kathryn A.","non-dropping-particle":"","parse-names":false,"suffix":""},{"dropping-particle":"","family":"Morgan","given":"Ian G.","non-dropping-particle":"","parse-names":false,"suffix":""},{"dropping-particle":"","family":"Kifley","given":"Annette","non-dropping-particle":"","parse-names":false,"suffix":""},{"dropping-particle":"","family":"Wang","given":"Jie Jin","non-dropping-particle":"","parse-names":false,"suffix":""},{"dropping-particle":"","family":"Mitchell","given":"Paul","non-dropping-particle":"","parse-names":false,"suffix":""}],"container-title":"Investigative Ophthalmology and Visual Science","id":"ITEM-3","issue":"7","issued":{"date-parts":[["2008"]]},"page":"2903-2910","title":"Role of near work in myopia: Findings in a sample of Australian school children","type":"article-journal","volume":"49"},"uris":["http://www.mendeley.com/documents/?uuid=215ebc40-3b9c-4fca-bf13-a91183736cd3"]}],"mendeley":{"formattedCitation":"(Ip &lt;i&gt;et al.&lt;/i&gt;, 2008; Wu &lt;i&gt;et al.&lt;/i&gt;, 2018; Yao &lt;i&gt;et al.&lt;/i&gt;, 2019)","plainTextFormattedCitation":"(Ip et al., 2008; Wu et al., 2018; Yao et al., 2019)","previouslyFormattedCitation":"(Ip &lt;i&gt;et al.&lt;/i&gt;, 2008; Wu &lt;i&gt;et al.&lt;/i&gt;, 2018; Yao &lt;i&gt;et al.&lt;/i&gt;, 2019)"},"properties":{"noteIndex":0},"schema":"https://github.com/citation-style-language/schema/raw/master/csl-citation.json"}</w:instrText>
      </w:r>
      <w:r w:rsidR="001943BF" w:rsidRPr="009D51EF">
        <w:rPr>
          <w:rFonts w:ascii="Times New Roman" w:hAnsi="Times New Roman" w:cs="Times New Roman"/>
        </w:rPr>
        <w:fldChar w:fldCharType="separate"/>
      </w:r>
      <w:r w:rsidR="001943BF" w:rsidRPr="009D51EF">
        <w:rPr>
          <w:rFonts w:ascii="Times New Roman" w:hAnsi="Times New Roman" w:cs="Times New Roman"/>
          <w:noProof/>
        </w:rPr>
        <w:t xml:space="preserve">(Ip </w:t>
      </w:r>
      <w:r w:rsidR="001943BF" w:rsidRPr="009D51EF">
        <w:rPr>
          <w:rFonts w:ascii="Times New Roman" w:hAnsi="Times New Roman" w:cs="Times New Roman"/>
          <w:i/>
          <w:noProof/>
        </w:rPr>
        <w:t>et al.</w:t>
      </w:r>
      <w:r w:rsidR="001943BF" w:rsidRPr="009D51EF">
        <w:rPr>
          <w:rFonts w:ascii="Times New Roman" w:hAnsi="Times New Roman" w:cs="Times New Roman"/>
          <w:noProof/>
        </w:rPr>
        <w:t xml:space="preserve">, 2008; Wu </w:t>
      </w:r>
      <w:r w:rsidR="001943BF" w:rsidRPr="009D51EF">
        <w:rPr>
          <w:rFonts w:ascii="Times New Roman" w:hAnsi="Times New Roman" w:cs="Times New Roman"/>
          <w:i/>
          <w:noProof/>
        </w:rPr>
        <w:t>et al.</w:t>
      </w:r>
      <w:r w:rsidR="001943BF" w:rsidRPr="009D51EF">
        <w:rPr>
          <w:rFonts w:ascii="Times New Roman" w:hAnsi="Times New Roman" w:cs="Times New Roman"/>
          <w:noProof/>
        </w:rPr>
        <w:t xml:space="preserve">, 2018; Yao </w:t>
      </w:r>
      <w:r w:rsidR="001943BF" w:rsidRPr="009D51EF">
        <w:rPr>
          <w:rFonts w:ascii="Times New Roman" w:hAnsi="Times New Roman" w:cs="Times New Roman"/>
          <w:i/>
          <w:noProof/>
        </w:rPr>
        <w:t>et al.</w:t>
      </w:r>
      <w:r w:rsidR="001943BF" w:rsidRPr="009D51EF">
        <w:rPr>
          <w:rFonts w:ascii="Times New Roman" w:hAnsi="Times New Roman" w:cs="Times New Roman"/>
          <w:noProof/>
        </w:rPr>
        <w:t>, 2019)</w:t>
      </w:r>
      <w:r w:rsidR="001943BF" w:rsidRPr="009D51EF">
        <w:rPr>
          <w:rFonts w:ascii="Times New Roman" w:hAnsi="Times New Roman" w:cs="Times New Roman"/>
        </w:rPr>
        <w:fldChar w:fldCharType="end"/>
      </w:r>
      <w:r w:rsidRPr="009D51EF">
        <w:rPr>
          <w:rFonts w:ascii="Times New Roman" w:hAnsi="Times New Roman" w:cs="Times New Roman"/>
        </w:rPr>
        <w:t>. Optical methods like spectacles and contact lenses are commonly used. Advanced options include orthokeratology and low-dose atropine eye drops, which are effective but face challenges like side effects and adherence</w:t>
      </w:r>
      <w:r w:rsidR="00B1303A" w:rsidRPr="009D51EF">
        <w:rPr>
          <w:rFonts w:ascii="Times New Roman" w:hAnsi="Times New Roman" w:cs="Times New Roman"/>
        </w:rPr>
        <w:t xml:space="preserve"> </w:t>
      </w:r>
      <w:r w:rsidR="00B1303A" w:rsidRPr="009D51EF">
        <w:rPr>
          <w:rFonts w:ascii="Times New Roman" w:hAnsi="Times New Roman" w:cs="Times New Roman"/>
        </w:rPr>
        <w:fldChar w:fldCharType="begin" w:fldLock="1"/>
      </w:r>
      <w:r w:rsidR="00A25BB2" w:rsidRPr="009D51EF">
        <w:rPr>
          <w:rFonts w:ascii="Times New Roman" w:hAnsi="Times New Roman" w:cs="Times New Roman"/>
        </w:rPr>
        <w:instrText>ADDIN CSL_CITATION {"citationItems":[{"id":"ITEM-1","itemData":{"DOI":"10.1097/ICL.0000000000000499","ISBN":"0000000000000","author":[{"dropping-particle":"","family":"Cooper","given":"Jeffrey","non-dropping-particle":"","parse-names":false,"suffix":""},{"dropping-particle":"V","family":"Tkatchenko","given":"Andrei","non-dropping-particle":"","parse-names":false,"suffix":""}],"id":"ITEM-1","issue":"4","issued":{"date-parts":[["2018"]]},"title":"A Review of Current Concepts of the Etiology and Treatment of Myopia","type":"article-journal","volume":"44"},"uris":["http://www.mendeley.com/documents/?uuid=1cac05cb-58ca-463a-a39d-4f307d95bf74"]}],"mendeley":{"formattedCitation":"(Cooper and Tkatchenko, 2018)","plainTextFormattedCitation":"(Cooper and Tkatchenko, 2018)","previouslyFormattedCitation":"(Cooper and Tkatchenko, 2018)"},"properties":{"noteIndex":0},"schema":"https://github.com/citation-style-language/schema/raw/master/csl-citation.json"}</w:instrText>
      </w:r>
      <w:r w:rsidR="00B1303A" w:rsidRPr="009D51EF">
        <w:rPr>
          <w:rFonts w:ascii="Times New Roman" w:hAnsi="Times New Roman" w:cs="Times New Roman"/>
        </w:rPr>
        <w:fldChar w:fldCharType="separate"/>
      </w:r>
      <w:r w:rsidR="00B1303A" w:rsidRPr="009D51EF">
        <w:rPr>
          <w:rFonts w:ascii="Times New Roman" w:hAnsi="Times New Roman" w:cs="Times New Roman"/>
          <w:noProof/>
        </w:rPr>
        <w:t>(Cooper and Tkatchenko, 2018)</w:t>
      </w:r>
      <w:r w:rsidR="00B1303A" w:rsidRPr="009D51EF">
        <w:rPr>
          <w:rFonts w:ascii="Times New Roman" w:hAnsi="Times New Roman" w:cs="Times New Roman"/>
        </w:rPr>
        <w:fldChar w:fldCharType="end"/>
      </w:r>
      <w:r w:rsidR="00B1303A" w:rsidRPr="009D51EF">
        <w:rPr>
          <w:rFonts w:ascii="Times New Roman" w:hAnsi="Times New Roman" w:cs="Times New Roman"/>
        </w:rPr>
        <w:t xml:space="preserve">. </w:t>
      </w:r>
      <w:r w:rsidRPr="009D51EF">
        <w:rPr>
          <w:rFonts w:ascii="Times New Roman" w:hAnsi="Times New Roman" w:cs="Times New Roman"/>
        </w:rPr>
        <w:t>These treatments are often inaccessible in low-resource settings due to high costs and limited availability of specialized services.</w:t>
      </w:r>
    </w:p>
    <w:p w14:paraId="2D498D1D"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 xml:space="preserve">Complications associated with high or pathological myopia are severe and may include irreversible visual impairment due to glaucoma, myopic macular degeneration, and retinal detachment </w:t>
      </w:r>
      <w:r w:rsidR="00A25BB2" w:rsidRPr="009D51EF">
        <w:rPr>
          <w:rFonts w:ascii="Times New Roman" w:hAnsi="Times New Roman" w:cs="Times New Roman"/>
        </w:rPr>
        <w:fldChar w:fldCharType="begin" w:fldLock="1"/>
      </w:r>
      <w:r w:rsidR="009529E2" w:rsidRPr="009D51EF">
        <w:rPr>
          <w:rFonts w:ascii="Times New Roman" w:hAnsi="Times New Roman" w:cs="Times New Roman"/>
        </w:rPr>
        <w:instrText>ADDIN CSL_CITATION {"citationItems":[{"id":"ITEM-1","itemData":{"DOI":"10.1016/j.ajo.2013.08.010","ISSN":"0002-9394","author":[{"dropping-particle":"","family":"Wong","given":"Tien Y","non-dropping-particle":"","parse-names":false,"suffix":""},{"dropping-particle":"","family":"Ferreira","given":"Alberto","non-dropping-particle":"","parse-names":false,"suffix":""},{"dropping-particle":"","family":"Hughes","given":"Rowena","non-dropping-particle":"","parse-names":false,"suffix":""},{"dropping-particle":"","family":"Carter","given":"Gemma","non-dropping-particle":"","parse-names":false,"suffix":""},{"dropping-particle":"","family":"Mitchell","given":"Paul","non-dropping-particle":"","parse-names":false,"suffix":""}],"container-title":"American Journal of Ophthalmology","id":"ITEM-1","issue":"1","issued":{"date-parts":[["2014"]]},"page":"9-25.e12","publisher":"Elsevier Inc.","title":"Epidemiology and Disease Burden of Pathologic Myopia and Myopic Choroidal Neovascularization: An Evidence-Based Systematic Review","type":"article-journal","volume":"157"},"uris":["http://www.mendeley.com/documents/?uuid=664a19bb-31b7-41f7-af96-9cfa59671499"]}],"mendeley":{"formattedCitation":"(Wong &lt;i&gt;et al.&lt;/i&gt;, 2014)","plainTextFormattedCitation":"(Wong et al., 2014)","previouslyFormattedCitation":"(Wong &lt;i&gt;et al.&lt;/i&gt;, 2014)"},"properties":{"noteIndex":0},"schema":"https://github.com/citation-style-language/schema/raw/master/csl-citation.json"}</w:instrText>
      </w:r>
      <w:r w:rsidR="00A25BB2" w:rsidRPr="009D51EF">
        <w:rPr>
          <w:rFonts w:ascii="Times New Roman" w:hAnsi="Times New Roman" w:cs="Times New Roman"/>
        </w:rPr>
        <w:fldChar w:fldCharType="separate"/>
      </w:r>
      <w:r w:rsidR="00A25BB2" w:rsidRPr="009D51EF">
        <w:rPr>
          <w:rFonts w:ascii="Times New Roman" w:hAnsi="Times New Roman" w:cs="Times New Roman"/>
          <w:noProof/>
        </w:rPr>
        <w:t xml:space="preserve">(Wong </w:t>
      </w:r>
      <w:r w:rsidR="00A25BB2" w:rsidRPr="009D51EF">
        <w:rPr>
          <w:rFonts w:ascii="Times New Roman" w:hAnsi="Times New Roman" w:cs="Times New Roman"/>
          <w:i/>
          <w:noProof/>
        </w:rPr>
        <w:t>et al.</w:t>
      </w:r>
      <w:r w:rsidR="00A25BB2" w:rsidRPr="009D51EF">
        <w:rPr>
          <w:rFonts w:ascii="Times New Roman" w:hAnsi="Times New Roman" w:cs="Times New Roman"/>
          <w:noProof/>
        </w:rPr>
        <w:t>, 2014)</w:t>
      </w:r>
      <w:r w:rsidR="00A25BB2" w:rsidRPr="009D51EF">
        <w:rPr>
          <w:rFonts w:ascii="Times New Roman" w:hAnsi="Times New Roman" w:cs="Times New Roman"/>
        </w:rPr>
        <w:fldChar w:fldCharType="end"/>
      </w:r>
      <w:r w:rsidR="00A25BB2" w:rsidRPr="009D51EF">
        <w:rPr>
          <w:rFonts w:ascii="Times New Roman" w:hAnsi="Times New Roman" w:cs="Times New Roman"/>
        </w:rPr>
        <w:t xml:space="preserve"> .</w:t>
      </w:r>
      <w:r w:rsidR="00717E04" w:rsidRPr="009D51EF">
        <w:rPr>
          <w:rFonts w:ascii="Times New Roman" w:hAnsi="Times New Roman" w:cs="Times New Roman"/>
        </w:rPr>
        <w:t xml:space="preserve">These outcomes emphasize </w:t>
      </w:r>
      <w:r w:rsidRPr="009D51EF">
        <w:rPr>
          <w:rFonts w:ascii="Times New Roman" w:hAnsi="Times New Roman" w:cs="Times New Roman"/>
        </w:rPr>
        <w:t>the importance of early identification and management of progressive myopia, particularly in pediatric populations.</w:t>
      </w:r>
    </w:p>
    <w:p w14:paraId="79B75D36" w14:textId="77777777" w:rsidR="00AF1AB5" w:rsidRPr="009D51EF" w:rsidRDefault="00AF1AB5" w:rsidP="00AF1AB5">
      <w:pPr>
        <w:rPr>
          <w:rFonts w:ascii="Times New Roman" w:hAnsi="Times New Roman" w:cs="Times New Roman"/>
        </w:rPr>
      </w:pPr>
      <w:r w:rsidRPr="009D51EF">
        <w:rPr>
          <w:rFonts w:ascii="Times New Roman" w:hAnsi="Times New Roman" w:cs="Times New Roman"/>
        </w:rPr>
        <w:t>Despite the growing global burden of myopia, there remains a significant gap in data from Africa, particularly from Tanzania. Compared to other regions where multiple studies and meta-analyses have been conducted, Africa is underrepresented in myopia research. This lack of localized data hampers efforts to design effective prevention and control strategies tailored to the region.</w:t>
      </w:r>
    </w:p>
    <w:p w14:paraId="0A7FCBFE" w14:textId="77777777" w:rsidR="00D2431F" w:rsidRPr="009D51EF" w:rsidRDefault="00AF1AB5" w:rsidP="00AF1AB5">
      <w:pPr>
        <w:rPr>
          <w:rFonts w:ascii="Times New Roman" w:hAnsi="Times New Roman" w:cs="Times New Roman"/>
        </w:rPr>
      </w:pPr>
      <w:r w:rsidRPr="009D51EF">
        <w:rPr>
          <w:rFonts w:ascii="Times New Roman" w:hAnsi="Times New Roman" w:cs="Times New Roman"/>
        </w:rPr>
        <w:t>To address this gap, the present study was conducted at the Eye Clinic of Kilimanjaro Christian Medical Centre (KCMC) in Nort</w:t>
      </w:r>
      <w:r w:rsidR="00717E04" w:rsidRPr="009D51EF">
        <w:rPr>
          <w:rFonts w:ascii="Times New Roman" w:hAnsi="Times New Roman" w:cs="Times New Roman"/>
        </w:rPr>
        <w:t xml:space="preserve">hern Tanzania </w:t>
      </w:r>
      <w:r w:rsidRPr="009D51EF">
        <w:rPr>
          <w:rFonts w:ascii="Times New Roman" w:hAnsi="Times New Roman" w:cs="Times New Roman"/>
        </w:rPr>
        <w:t>to assess the rate of myopia progression and identify associated risk factors among the pediatric myopic population. The findings aim to enhance understanding and inform targeted interventions for myopia management in Tanzania and similar low-resource settings</w:t>
      </w:r>
      <w:r w:rsidR="009020B6">
        <w:rPr>
          <w:rFonts w:ascii="Times New Roman" w:hAnsi="Times New Roman" w:cs="Times New Roman"/>
        </w:rPr>
        <w:t>.</w:t>
      </w:r>
    </w:p>
    <w:p w14:paraId="63C18DFD" w14:textId="77777777" w:rsidR="000E3F48" w:rsidRPr="00570AA4" w:rsidRDefault="000E3F48" w:rsidP="00AF1AB5">
      <w:pPr>
        <w:rPr>
          <w:rFonts w:ascii="Times New Roman" w:hAnsi="Times New Roman" w:cs="Times New Roman"/>
        </w:rPr>
      </w:pPr>
    </w:p>
    <w:p w14:paraId="1370FE07" w14:textId="77777777" w:rsidR="009A0C05" w:rsidRPr="00570AA4" w:rsidRDefault="005647FC" w:rsidP="009A0C05">
      <w:pPr>
        <w:pStyle w:val="NormalWeb"/>
        <w:rPr>
          <w:rStyle w:val="Strong"/>
          <w:sz w:val="22"/>
          <w:szCs w:val="22"/>
        </w:rPr>
      </w:pPr>
      <w:r w:rsidRPr="00570AA4">
        <w:rPr>
          <w:rStyle w:val="Strong"/>
          <w:sz w:val="22"/>
          <w:szCs w:val="22"/>
        </w:rPr>
        <w:lastRenderedPageBreak/>
        <w:t>METHODOLOGY</w:t>
      </w:r>
    </w:p>
    <w:p w14:paraId="70CE0138" w14:textId="77777777" w:rsidR="005647FC" w:rsidRPr="00570AA4" w:rsidRDefault="005647FC" w:rsidP="005647FC">
      <w:pPr>
        <w:pStyle w:val="NormalWeb"/>
        <w:rPr>
          <w:b/>
          <w:sz w:val="22"/>
          <w:szCs w:val="22"/>
        </w:rPr>
      </w:pPr>
      <w:r w:rsidRPr="00570AA4">
        <w:rPr>
          <w:b/>
          <w:sz w:val="22"/>
          <w:szCs w:val="22"/>
        </w:rPr>
        <w:t>Study Design and Setting</w:t>
      </w:r>
    </w:p>
    <w:p w14:paraId="2A11C7C4" w14:textId="77777777" w:rsidR="005647FC" w:rsidRPr="00570AA4" w:rsidRDefault="005647FC" w:rsidP="005647FC">
      <w:pPr>
        <w:pStyle w:val="NormalWeb"/>
        <w:rPr>
          <w:b/>
          <w:sz w:val="22"/>
          <w:szCs w:val="22"/>
        </w:rPr>
      </w:pPr>
      <w:r w:rsidRPr="00570AA4">
        <w:rPr>
          <w:sz w:val="22"/>
          <w:szCs w:val="22"/>
        </w:rPr>
        <w:t>This analytical hos</w:t>
      </w:r>
      <w:r w:rsidR="00C655AB">
        <w:rPr>
          <w:sz w:val="22"/>
          <w:szCs w:val="22"/>
        </w:rPr>
        <w:t xml:space="preserve">pital-based </w:t>
      </w:r>
      <w:proofErr w:type="gramStart"/>
      <w:r w:rsidR="00C655AB">
        <w:rPr>
          <w:sz w:val="22"/>
          <w:szCs w:val="22"/>
        </w:rPr>
        <w:t>cross sectional</w:t>
      </w:r>
      <w:proofErr w:type="gramEnd"/>
      <w:r w:rsidR="00C655AB">
        <w:rPr>
          <w:sz w:val="22"/>
          <w:szCs w:val="22"/>
        </w:rPr>
        <w:t xml:space="preserve"> study</w:t>
      </w:r>
      <w:r w:rsidRPr="00570AA4">
        <w:rPr>
          <w:sz w:val="22"/>
          <w:szCs w:val="22"/>
        </w:rPr>
        <w:t xml:space="preserve">, was conducted at the </w:t>
      </w:r>
      <w:proofErr w:type="spellStart"/>
      <w:r w:rsidRPr="00570AA4">
        <w:rPr>
          <w:sz w:val="22"/>
          <w:szCs w:val="22"/>
        </w:rPr>
        <w:t>Pediatric</w:t>
      </w:r>
      <w:proofErr w:type="spellEnd"/>
      <w:r w:rsidRPr="00570AA4">
        <w:rPr>
          <w:sz w:val="22"/>
          <w:szCs w:val="22"/>
        </w:rPr>
        <w:t xml:space="preserve"> Eye Clinic of Kilimanjaro Christian Medical Centre (KCMC) in Moshi, Tanzania, from January 2022 to April 2024. KCMC is one of four zonal referral hospitals in northeastern Tanzania, serving a population of over 15 million across the northern, eastern, and central regions, in addition to international patients. The hospital houses more than 450 beds and handles hundreds of outpatient visits daily. The Eye Department, which serves as the primary ophthalmic referral </w:t>
      </w:r>
      <w:proofErr w:type="spellStart"/>
      <w:r w:rsidRPr="00570AA4">
        <w:rPr>
          <w:sz w:val="22"/>
          <w:szCs w:val="22"/>
        </w:rPr>
        <w:t>center</w:t>
      </w:r>
      <w:proofErr w:type="spellEnd"/>
      <w:r w:rsidRPr="00570AA4">
        <w:rPr>
          <w:sz w:val="22"/>
          <w:szCs w:val="22"/>
        </w:rPr>
        <w:t xml:space="preserve"> in the region, attends to approxi</w:t>
      </w:r>
      <w:r w:rsidR="008D3A5F" w:rsidRPr="00570AA4">
        <w:rPr>
          <w:sz w:val="22"/>
          <w:szCs w:val="22"/>
        </w:rPr>
        <w:t xml:space="preserve">mately 38,000 patients annually </w:t>
      </w:r>
      <w:r w:rsidRPr="00570AA4">
        <w:rPr>
          <w:sz w:val="22"/>
          <w:szCs w:val="22"/>
        </w:rPr>
        <w:t>including around</w:t>
      </w:r>
      <w:r w:rsidR="008D3A5F" w:rsidRPr="00570AA4">
        <w:rPr>
          <w:sz w:val="22"/>
          <w:szCs w:val="22"/>
        </w:rPr>
        <w:t xml:space="preserve"> 3,000 refractive error cases </w:t>
      </w:r>
      <w:r w:rsidRPr="00570AA4">
        <w:rPr>
          <w:sz w:val="22"/>
          <w:szCs w:val="22"/>
        </w:rPr>
        <w:t xml:space="preserve">and accommodates 49 inpatient beds. It also functions as a key training </w:t>
      </w:r>
      <w:proofErr w:type="spellStart"/>
      <w:r w:rsidRPr="00570AA4">
        <w:rPr>
          <w:sz w:val="22"/>
          <w:szCs w:val="22"/>
        </w:rPr>
        <w:t>center</w:t>
      </w:r>
      <w:proofErr w:type="spellEnd"/>
      <w:r w:rsidRPr="00570AA4">
        <w:rPr>
          <w:sz w:val="22"/>
          <w:szCs w:val="22"/>
        </w:rPr>
        <w:t xml:space="preserve"> for ophthalmologists, </w:t>
      </w:r>
      <w:proofErr w:type="spellStart"/>
      <w:r w:rsidRPr="00570AA4">
        <w:rPr>
          <w:sz w:val="22"/>
          <w:szCs w:val="22"/>
        </w:rPr>
        <w:t>pediatric</w:t>
      </w:r>
      <w:proofErr w:type="spellEnd"/>
      <w:r w:rsidRPr="00570AA4">
        <w:rPr>
          <w:sz w:val="22"/>
          <w:szCs w:val="22"/>
        </w:rPr>
        <w:t xml:space="preserve"> ophthalmologists, vitreoretinal surgeons, optometrists, ophthalmic nurses, assistants, and medical students.</w:t>
      </w:r>
    </w:p>
    <w:p w14:paraId="07297EF3" w14:textId="77777777" w:rsidR="005647FC" w:rsidRPr="00570AA4" w:rsidRDefault="005647FC" w:rsidP="005647FC">
      <w:pPr>
        <w:pStyle w:val="NormalWeb"/>
        <w:rPr>
          <w:b/>
          <w:sz w:val="22"/>
          <w:szCs w:val="22"/>
        </w:rPr>
      </w:pPr>
      <w:r w:rsidRPr="00570AA4">
        <w:rPr>
          <w:b/>
          <w:sz w:val="22"/>
          <w:szCs w:val="22"/>
        </w:rPr>
        <w:t>Study Population and Eligibility Criteria</w:t>
      </w:r>
    </w:p>
    <w:p w14:paraId="5DF7F476" w14:textId="77777777" w:rsidR="005647FC" w:rsidRPr="00570AA4" w:rsidRDefault="005647FC" w:rsidP="005647FC">
      <w:pPr>
        <w:pStyle w:val="NormalWeb"/>
        <w:rPr>
          <w:sz w:val="22"/>
          <w:szCs w:val="22"/>
        </w:rPr>
      </w:pPr>
      <w:r w:rsidRPr="00570AA4">
        <w:rPr>
          <w:sz w:val="22"/>
          <w:szCs w:val="22"/>
        </w:rPr>
        <w:t xml:space="preserve">The study included </w:t>
      </w:r>
      <w:proofErr w:type="spellStart"/>
      <w:r w:rsidRPr="00570AA4">
        <w:rPr>
          <w:sz w:val="22"/>
          <w:szCs w:val="22"/>
        </w:rPr>
        <w:t>pediatric</w:t>
      </w:r>
      <w:proofErr w:type="spellEnd"/>
      <w:r w:rsidRPr="00570AA4">
        <w:rPr>
          <w:sz w:val="22"/>
          <w:szCs w:val="22"/>
        </w:rPr>
        <w:t xml:space="preserve"> patients aged 4 to 18 years who were diagnosed with myopia and attended the KCMC Eye Clinic during the study period. The lower age limit of 4 years was selected due to the low prevalence of myopia in younger children, as well as practical challenges in obtaining accurate refractive measurements and assessing associated risk factors. While KCMC typically classifies </w:t>
      </w:r>
      <w:proofErr w:type="spellStart"/>
      <w:r w:rsidRPr="00570AA4">
        <w:rPr>
          <w:sz w:val="22"/>
          <w:szCs w:val="22"/>
        </w:rPr>
        <w:t>pediatric</w:t>
      </w:r>
      <w:proofErr w:type="spellEnd"/>
      <w:r w:rsidRPr="00570AA4">
        <w:rPr>
          <w:sz w:val="22"/>
          <w:szCs w:val="22"/>
        </w:rPr>
        <w:t xml:space="preserve"> patients as those aged 15 years and younger, the upper limit of 18 years was used to align with the World Health Organization (WHO) definition of a child.</w:t>
      </w:r>
    </w:p>
    <w:p w14:paraId="0C6A37F3" w14:textId="77777777" w:rsidR="005647FC" w:rsidRPr="00A40C18" w:rsidRDefault="005647FC" w:rsidP="005647FC">
      <w:pPr>
        <w:pStyle w:val="NormalWeb"/>
        <w:rPr>
          <w:sz w:val="22"/>
          <w:szCs w:val="22"/>
        </w:rPr>
      </w:pPr>
      <w:r w:rsidRPr="00A40C18">
        <w:rPr>
          <w:sz w:val="22"/>
          <w:szCs w:val="22"/>
        </w:rPr>
        <w:t xml:space="preserve">Eligible participants were those who had a documented spherical equivalent (SE) refractive error of at least -0.50 </w:t>
      </w:r>
      <w:proofErr w:type="spellStart"/>
      <w:r w:rsidRPr="00A40C18">
        <w:rPr>
          <w:sz w:val="22"/>
          <w:szCs w:val="22"/>
        </w:rPr>
        <w:t>diopters</w:t>
      </w:r>
      <w:proofErr w:type="spellEnd"/>
      <w:r w:rsidR="00D7372B" w:rsidRPr="00A40C18">
        <w:rPr>
          <w:sz w:val="22"/>
          <w:szCs w:val="22"/>
        </w:rPr>
        <w:t xml:space="preserve"> </w:t>
      </w:r>
      <w:r w:rsidR="00D7372B" w:rsidRPr="00A40C18">
        <w:rPr>
          <w:sz w:val="22"/>
          <w:szCs w:val="22"/>
        </w:rPr>
        <w:fldChar w:fldCharType="begin" w:fldLock="1"/>
      </w:r>
      <w:r w:rsidR="006C2C79">
        <w:rPr>
          <w:sz w:val="22"/>
          <w:szCs w:val="22"/>
        </w:rPr>
        <w:instrText>ADDIN CSL_CITATION {"citationItems":[{"id":"ITEM-1","itemData":{"DOI":"10.1167/iovs.18-25957","ISSN":"15525783","PMID":"30817826","abstract":"PURPOSE. We provide a standardized set of terminology, definitions, and thresholds of myopia and its main ocular complications. METHODS. Critical review of current terminology and choice of myopia thresholds was done to ensure that the proposed standards are appropriate for clinical research purposes, relevant to the underlying biology of myopia, acceptable to researchers in the field, and useful for developing health policy. RESULTS. We recommend that the many descriptive terms of myopia be consolidated into the following descriptive categories: myopia, secondary myopia, axial myopia, and refractive myopia. To provide a framework for research into myopia prevention, the condition of ‘‘pre-myopia’’ is defined. As a quantitative trait, we recommend that myopia be divided into myopia (i.e., all myopia), low myopia, and high myopia. The current consensus threshold value for myopia is a spherical equivalent refractive error 0.50 diopters (D), but this carries significant risks of classification bias. The current consensus threshold value for high myopia is a spherical equivalent refractive error 6.00 D. ‘‘Pathologic myopia’’ is proposed as the categorical term for the adverse, structural complications of myopia. A clinical classification is proposed to encompass the scope of such structural complications. CONCLUSIONS. Standardized definitions and consistent choice of thresholds are essential elements of evidence-based medicine. It is hoped that these proposals, or derivations from them, will facilitate rigorous, evidence-based approaches to the study and management of myopia.","author":[{"dropping-particle":"","family":"Flitcroft","given":"Daniel Ian","non-dropping-particle":"","parse-names":false,"suffix":""},{"dropping-particle":"","family":"He","given":"Mingguang","non-dropping-particle":"","parse-names":false,"suffix":""},{"dropping-particle":"","family":"Jonas","given":"Jost B.","non-dropping-particle":"","parse-names":false,"suffix":""},{"dropping-particle":"","family":"Jong","given":"Monica","non-dropping-particle":"","parse-names":false,"suffix":""},{"dropping-particle":"","family":"Naidoo","given":"Kovin","non-dropping-particle":"","parse-names":false,"suffix":""},{"dropping-particle":"","family":"Ohno-Matsui","given":"Kyoko","non-dropping-particle":"","parse-names":false,"suffix":""},{"dropping-particle":"","family":"Rahi","given":"Jugnoo","non-dropping-particle":"","parse-names":false,"suffix":""},{"dropping-particle":"","family":"Resnikoff","given":"Serge","non-dropping-particle":"","parse-names":false,"suffix":""},{"dropping-particle":"","family":"Vitale","given":"Susan","non-dropping-particle":"","parse-names":false,"suffix":""},{"dropping-particle":"","family":"Yannuzzi","given":"Lawrence","non-dropping-particle":"","parse-names":false,"suffix":""}],"container-title":"Investigative Ophthalmology and Visual Science","id":"ITEM-1","issue":"3","issued":{"date-parts":[["2019"]]},"page":"M20-M30","title":"IMI – Defining and classifying myopia: A proposed set of standards for clinical and epidemiologic studies","type":"article-journal","volume":"60"},"uris":["http://www.mendeley.com/documents/?uuid=ced7f2f3-3239-48d8-a952-64ee4056c207"]}],"mendeley":{"formattedCitation":"(Flitcroft &lt;i&gt;et al.&lt;/i&gt;, 2019)","plainTextFormattedCitation":"(Flitcroft et al., 2019)","previouslyFormattedCitation":"(Flitcroft &lt;i&gt;et al.&lt;/i&gt;, 2019)"},"properties":{"noteIndex":0},"schema":"https://github.com/citation-style-language/schema/raw/master/csl-citation.json"}</w:instrText>
      </w:r>
      <w:r w:rsidR="00D7372B" w:rsidRPr="00A40C18">
        <w:rPr>
          <w:sz w:val="22"/>
          <w:szCs w:val="22"/>
        </w:rPr>
        <w:fldChar w:fldCharType="separate"/>
      </w:r>
      <w:r w:rsidR="00D7372B" w:rsidRPr="00A40C18">
        <w:rPr>
          <w:noProof/>
          <w:sz w:val="22"/>
          <w:szCs w:val="22"/>
        </w:rPr>
        <w:t xml:space="preserve">(Flitcroft </w:t>
      </w:r>
      <w:r w:rsidR="00D7372B" w:rsidRPr="00A40C18">
        <w:rPr>
          <w:i/>
          <w:noProof/>
          <w:sz w:val="22"/>
          <w:szCs w:val="22"/>
        </w:rPr>
        <w:t>et al.</w:t>
      </w:r>
      <w:r w:rsidR="00D7372B" w:rsidRPr="00A40C18">
        <w:rPr>
          <w:noProof/>
          <w:sz w:val="22"/>
          <w:szCs w:val="22"/>
        </w:rPr>
        <w:t>, 2019)</w:t>
      </w:r>
      <w:r w:rsidR="00D7372B" w:rsidRPr="00A40C18">
        <w:rPr>
          <w:sz w:val="22"/>
          <w:szCs w:val="22"/>
        </w:rPr>
        <w:fldChar w:fldCharType="end"/>
      </w:r>
      <w:r w:rsidRPr="00A40C18">
        <w:rPr>
          <w:sz w:val="22"/>
          <w:szCs w:val="22"/>
        </w:rPr>
        <w:t xml:space="preserve"> in the least myopic eye at their initial visit during t</w:t>
      </w:r>
      <w:r w:rsidR="00E0555F" w:rsidRPr="00A40C18">
        <w:rPr>
          <w:sz w:val="22"/>
          <w:szCs w:val="22"/>
        </w:rPr>
        <w:t xml:space="preserve">he study period. </w:t>
      </w:r>
      <w:r w:rsidR="00C6768B">
        <w:rPr>
          <w:sz w:val="22"/>
          <w:szCs w:val="22"/>
        </w:rPr>
        <w:t xml:space="preserve">To be included in the </w:t>
      </w:r>
      <w:r w:rsidRPr="00A40C18">
        <w:rPr>
          <w:sz w:val="22"/>
          <w:szCs w:val="22"/>
        </w:rPr>
        <w:t>analysis, participants were also required to have undergone a sec</w:t>
      </w:r>
      <w:r w:rsidR="00C655AB">
        <w:rPr>
          <w:sz w:val="22"/>
          <w:szCs w:val="22"/>
        </w:rPr>
        <w:t>ond refraction between 11 and 13</w:t>
      </w:r>
      <w:r w:rsidRPr="00A40C18">
        <w:rPr>
          <w:sz w:val="22"/>
          <w:szCs w:val="22"/>
        </w:rPr>
        <w:t xml:space="preserve"> months after the initial assessment, with both visits falling within the study period. </w:t>
      </w:r>
      <w:r w:rsidR="00A40C18" w:rsidRPr="00A40C18">
        <w:rPr>
          <w:sz w:val="22"/>
          <w:szCs w:val="22"/>
        </w:rPr>
        <w:t xml:space="preserve">Only the least myopic eye was </w:t>
      </w:r>
      <w:proofErr w:type="spellStart"/>
      <w:r w:rsidR="00A40C18" w:rsidRPr="00A40C18">
        <w:rPr>
          <w:sz w:val="22"/>
          <w:szCs w:val="22"/>
        </w:rPr>
        <w:t>analyzed</w:t>
      </w:r>
      <w:proofErr w:type="spellEnd"/>
      <w:r w:rsidR="00A40C18" w:rsidRPr="00A40C18">
        <w:rPr>
          <w:sz w:val="22"/>
          <w:szCs w:val="22"/>
        </w:rPr>
        <w:t xml:space="preserve"> to minimize the risk of overestimating the severity and progression of myopia, as well as to avoid anisometropic bias. </w:t>
      </w:r>
      <w:r w:rsidRPr="00A40C18">
        <w:rPr>
          <w:sz w:val="22"/>
          <w:szCs w:val="22"/>
        </w:rPr>
        <w:t>Written informed consent (or assent, where applicable) was obtained from all participants or their guardians. Patients were excluded if they had ocular anomalies such as cataract or keratoconus, or a history of ocular surgery, including cataract extraction, corneal procedures, or refractive surgery.</w:t>
      </w:r>
    </w:p>
    <w:p w14:paraId="61F11A06" w14:textId="77777777" w:rsidR="009020B6" w:rsidRDefault="009020B6" w:rsidP="005647FC">
      <w:pPr>
        <w:pStyle w:val="NormalWeb"/>
        <w:rPr>
          <w:b/>
          <w:sz w:val="22"/>
          <w:szCs w:val="22"/>
        </w:rPr>
      </w:pPr>
    </w:p>
    <w:p w14:paraId="79805395" w14:textId="77777777" w:rsidR="00C655AB" w:rsidRDefault="005647FC" w:rsidP="005647FC">
      <w:pPr>
        <w:pStyle w:val="NormalWeb"/>
        <w:rPr>
          <w:b/>
          <w:sz w:val="22"/>
          <w:szCs w:val="22"/>
        </w:rPr>
      </w:pPr>
      <w:r w:rsidRPr="00570AA4">
        <w:rPr>
          <w:b/>
          <w:sz w:val="22"/>
          <w:szCs w:val="22"/>
        </w:rPr>
        <w:t>Data Collection Methods</w:t>
      </w:r>
    </w:p>
    <w:p w14:paraId="4B13818D" w14:textId="77777777" w:rsidR="005647FC" w:rsidRPr="00C655AB" w:rsidRDefault="005647FC" w:rsidP="005647FC">
      <w:pPr>
        <w:pStyle w:val="NormalWeb"/>
        <w:rPr>
          <w:b/>
          <w:sz w:val="22"/>
          <w:szCs w:val="22"/>
        </w:rPr>
      </w:pPr>
      <w:r w:rsidRPr="00570AA4">
        <w:rPr>
          <w:sz w:val="22"/>
          <w:szCs w:val="22"/>
        </w:rPr>
        <w:t>Data were extracted from the hospital’s Electronic Health Management System (EHMS) based on the inclusion criteria. Baseline SE values and degree of myopia were recorded and categorized as low (-0.50D to -3.00D), moderate (-3.25D to -4.75D), or high (-5.00D and above). A</w:t>
      </w:r>
      <w:r w:rsidR="008D3A5F" w:rsidRPr="00570AA4">
        <w:rPr>
          <w:sz w:val="22"/>
          <w:szCs w:val="22"/>
        </w:rPr>
        <w:t xml:space="preserve">dditional sociodemographic data </w:t>
      </w:r>
      <w:r w:rsidRPr="00570AA4">
        <w:rPr>
          <w:sz w:val="22"/>
          <w:szCs w:val="22"/>
        </w:rPr>
        <w:t>such as age, sex, residence, a</w:t>
      </w:r>
      <w:r w:rsidR="008D3A5F" w:rsidRPr="00570AA4">
        <w:rPr>
          <w:sz w:val="22"/>
          <w:szCs w:val="22"/>
        </w:rPr>
        <w:t xml:space="preserve">nd parental contact information </w:t>
      </w:r>
      <w:r w:rsidRPr="00570AA4">
        <w:rPr>
          <w:sz w:val="22"/>
          <w:szCs w:val="22"/>
        </w:rPr>
        <w:t>were also documented.</w:t>
      </w:r>
    </w:p>
    <w:p w14:paraId="465DD2F7" w14:textId="77777777" w:rsidR="005647FC" w:rsidRPr="00570AA4" w:rsidRDefault="00C655AB" w:rsidP="005647FC">
      <w:pPr>
        <w:pStyle w:val="NormalWeb"/>
        <w:rPr>
          <w:sz w:val="22"/>
          <w:szCs w:val="22"/>
        </w:rPr>
      </w:pPr>
      <w:r>
        <w:rPr>
          <w:sz w:val="22"/>
          <w:szCs w:val="22"/>
        </w:rPr>
        <w:t xml:space="preserve">This study </w:t>
      </w:r>
      <w:r w:rsidR="005647FC" w:rsidRPr="00570AA4">
        <w:rPr>
          <w:sz w:val="22"/>
          <w:szCs w:val="22"/>
        </w:rPr>
        <w:t xml:space="preserve">involved clinical </w:t>
      </w:r>
      <w:r w:rsidR="004B341E">
        <w:rPr>
          <w:sz w:val="22"/>
          <w:szCs w:val="22"/>
        </w:rPr>
        <w:t xml:space="preserve">refractive assessments and face to </w:t>
      </w:r>
      <w:r w:rsidR="005647FC" w:rsidRPr="00570AA4">
        <w:rPr>
          <w:sz w:val="22"/>
          <w:szCs w:val="22"/>
        </w:rPr>
        <w:t>face interviews with participants and/or their parents or caregivers. Appointments were scheduled via telephone, and all assessments were conducted in private to maintain confidentiality.</w:t>
      </w:r>
    </w:p>
    <w:p w14:paraId="18733848" w14:textId="77777777" w:rsidR="005647FC" w:rsidRPr="00570AA4" w:rsidRDefault="005647FC" w:rsidP="005647FC">
      <w:pPr>
        <w:pStyle w:val="NormalWeb"/>
        <w:rPr>
          <w:b/>
          <w:sz w:val="22"/>
          <w:szCs w:val="22"/>
        </w:rPr>
      </w:pPr>
      <w:r w:rsidRPr="00570AA4">
        <w:rPr>
          <w:b/>
          <w:sz w:val="22"/>
          <w:szCs w:val="22"/>
        </w:rPr>
        <w:t>Refractive Assessment</w:t>
      </w:r>
    </w:p>
    <w:p w14:paraId="1742E0E0" w14:textId="77777777" w:rsidR="005647FC" w:rsidRPr="00570AA4" w:rsidRDefault="005647FC" w:rsidP="005647FC">
      <w:pPr>
        <w:pStyle w:val="NormalWeb"/>
        <w:rPr>
          <w:sz w:val="22"/>
          <w:szCs w:val="22"/>
        </w:rPr>
      </w:pPr>
      <w:r w:rsidRPr="00570AA4">
        <w:rPr>
          <w:sz w:val="22"/>
          <w:szCs w:val="22"/>
        </w:rPr>
        <w:t xml:space="preserve">For children under 6 years of age, and for older children who were uncooperative during standard testing, cycloplegic refraction was performed by an </w:t>
      </w:r>
      <w:r w:rsidR="009935A0">
        <w:rPr>
          <w:sz w:val="22"/>
          <w:szCs w:val="22"/>
        </w:rPr>
        <w:t xml:space="preserve">experienced </w:t>
      </w:r>
      <w:r w:rsidRPr="00570AA4">
        <w:rPr>
          <w:sz w:val="22"/>
          <w:szCs w:val="22"/>
        </w:rPr>
        <w:t xml:space="preserve">optometrist using two drops of 1% cyclopentolate administered five minutes apart. Refraction was assessed 30 minutes after the final </w:t>
      </w:r>
      <w:r w:rsidRPr="00570AA4">
        <w:rPr>
          <w:sz w:val="22"/>
          <w:szCs w:val="22"/>
        </w:rPr>
        <w:lastRenderedPageBreak/>
        <w:t>instillation. If pupillary light respo</w:t>
      </w:r>
      <w:r w:rsidR="00BB0194">
        <w:rPr>
          <w:sz w:val="22"/>
          <w:szCs w:val="22"/>
        </w:rPr>
        <w:t xml:space="preserve">nse persisted, an additional </w:t>
      </w:r>
      <w:proofErr w:type="gramStart"/>
      <w:r w:rsidR="00BB0194">
        <w:rPr>
          <w:sz w:val="22"/>
          <w:szCs w:val="22"/>
        </w:rPr>
        <w:t xml:space="preserve">20 </w:t>
      </w:r>
      <w:r w:rsidRPr="00570AA4">
        <w:rPr>
          <w:sz w:val="22"/>
          <w:szCs w:val="22"/>
        </w:rPr>
        <w:t>minute</w:t>
      </w:r>
      <w:proofErr w:type="gramEnd"/>
      <w:r w:rsidRPr="00570AA4">
        <w:rPr>
          <w:sz w:val="22"/>
          <w:szCs w:val="22"/>
        </w:rPr>
        <w:t xml:space="preserve"> wait was observed be</w:t>
      </w:r>
      <w:r w:rsidR="00E00C8B">
        <w:rPr>
          <w:sz w:val="22"/>
          <w:szCs w:val="22"/>
        </w:rPr>
        <w:t xml:space="preserve">fore conducting cycloplegic </w:t>
      </w:r>
      <w:r w:rsidRPr="00570AA4">
        <w:rPr>
          <w:sz w:val="22"/>
          <w:szCs w:val="22"/>
        </w:rPr>
        <w:t>refraction</w:t>
      </w:r>
      <w:r w:rsidR="00E00C8B">
        <w:rPr>
          <w:sz w:val="22"/>
          <w:szCs w:val="22"/>
        </w:rPr>
        <w:t xml:space="preserve"> with a retinoscope</w:t>
      </w:r>
      <w:r w:rsidRPr="00570AA4">
        <w:rPr>
          <w:sz w:val="22"/>
          <w:szCs w:val="22"/>
        </w:rPr>
        <w:t>. For cooperative participants aged 6 years and above, standard (non-cycloplegic) refraction was performed. Objective refraction results from the least myopic eye were recorded. Myopia progression was defined as an increase in SE between the baseline and follow-up visits.</w:t>
      </w:r>
    </w:p>
    <w:p w14:paraId="7BB9A61F" w14:textId="77777777" w:rsidR="003579F8" w:rsidRDefault="005647FC" w:rsidP="003579F8">
      <w:pPr>
        <w:pStyle w:val="NormalWeb"/>
        <w:rPr>
          <w:b/>
          <w:sz w:val="22"/>
          <w:szCs w:val="22"/>
        </w:rPr>
      </w:pPr>
      <w:r w:rsidRPr="00570AA4">
        <w:rPr>
          <w:b/>
          <w:sz w:val="22"/>
          <w:szCs w:val="22"/>
        </w:rPr>
        <w:t>Interviews</w:t>
      </w:r>
    </w:p>
    <w:p w14:paraId="1C26EEAC" w14:textId="77777777" w:rsidR="005647FC" w:rsidRPr="00D70080" w:rsidRDefault="002765AF" w:rsidP="003579F8">
      <w:pPr>
        <w:pStyle w:val="NormalWeb"/>
        <w:rPr>
          <w:b/>
          <w:sz w:val="22"/>
          <w:szCs w:val="22"/>
        </w:rPr>
      </w:pPr>
      <w:r>
        <w:rPr>
          <w:sz w:val="22"/>
          <w:szCs w:val="22"/>
        </w:rPr>
        <w:t xml:space="preserve">Structured face to </w:t>
      </w:r>
      <w:r w:rsidR="00D8683F" w:rsidRPr="00D8683F">
        <w:rPr>
          <w:sz w:val="22"/>
          <w:szCs w:val="22"/>
        </w:rPr>
        <w:t>face interviews lasting 10 to 15 minutes were conducted with participants and their parents or caregivers. Written and verbal informed consent (and assent, where appropriate) was obtained prior to participation. Data were collected using a structured, i</w:t>
      </w:r>
      <w:r w:rsidR="00881150">
        <w:rPr>
          <w:sz w:val="22"/>
          <w:szCs w:val="22"/>
        </w:rPr>
        <w:t xml:space="preserve">nterviewer </w:t>
      </w:r>
      <w:r w:rsidR="00D8683F" w:rsidRPr="00D8683F">
        <w:rPr>
          <w:sz w:val="22"/>
          <w:szCs w:val="22"/>
        </w:rPr>
        <w:t>administered questionnaire adapted from existing literature</w:t>
      </w:r>
      <w:r w:rsidR="00881150">
        <w:rPr>
          <w:sz w:val="22"/>
          <w:szCs w:val="22"/>
        </w:rPr>
        <w:t xml:space="preserve"> </w:t>
      </w:r>
      <w:r w:rsidR="00881150">
        <w:rPr>
          <w:sz w:val="22"/>
          <w:szCs w:val="22"/>
        </w:rPr>
        <w:fldChar w:fldCharType="begin" w:fldLock="1"/>
      </w:r>
      <w:r w:rsidR="00C1691C">
        <w:rPr>
          <w:sz w:val="22"/>
          <w:szCs w:val="22"/>
        </w:rPr>
        <w:instrText>ADDIN CSL_CITATION {"citationItems":[{"id":"ITEM-1","itemData":{"DOI":"10.1371/journal.pone.0248936","ISBN":"1111111111","author":[{"dropping-particle":"","family":"Sinshaw","given":"Abel","non-dropping-particle":"","parse-names":false,"suffix":""},{"dropping-particle":"","family":"Id","given":"Assem","non-dropping-particle":"","parse-names":false,"suffix":""},{"dropping-particle":"","family":"Tegegne","given":"Mebratu Mulusew","non-dropping-particle":"","parse-names":false,"suffix":""},{"dropping-particle":"","family":"Fekadu","given":"Sofonias Addis","non-dropping-particle":"","parse-names":false,"suffix":""}],"id":"ITEM-1","issued":{"date-parts":[["2021"]]},"page":"14-18","title":"Prevalence and associated factors of myopia among school children in Bahir Dar city ,","type":"article-journal","volume":"51"},"uris":["http://www.mendeley.com/documents/?uuid=73df2e75-8f45-4891-94ff-d4086e381d04"]},{"id":"ITEM-2","itemData":{"DOI":"10.1136/bjo.86.11.1200","ISSN":"00071161","PMID":"12386067","abstract":"Background/aims: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Ophthalmology","id":"ITEM-2","issue":"11","issued":{"date-parts":[["2002"]]},"page":"1200-1206","title":"Myopia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 Sinshaw &lt;i&gt;et al.&lt;/i&gt;, 2021)","plainTextFormattedCitation":"(Wedner et al., 2002; Sinshaw et al., 2021)","previouslyFormattedCitation":"(Wedner &lt;i&gt;et al.&lt;/i&gt;, 2002; Sinshaw &lt;i&gt;et al.&lt;/i&gt;, 2021)"},"properties":{"noteIndex":0},"schema":"https://github.com/citation-style-language/schema/raw/master/csl-citation.json"}</w:instrText>
      </w:r>
      <w:r w:rsidR="00881150">
        <w:rPr>
          <w:sz w:val="22"/>
          <w:szCs w:val="22"/>
        </w:rPr>
        <w:fldChar w:fldCharType="separate"/>
      </w:r>
      <w:r w:rsidR="00881150" w:rsidRPr="00881150">
        <w:rPr>
          <w:noProof/>
          <w:sz w:val="22"/>
          <w:szCs w:val="22"/>
        </w:rPr>
        <w:t xml:space="preserve">(Wedner </w:t>
      </w:r>
      <w:r w:rsidR="00881150" w:rsidRPr="00881150">
        <w:rPr>
          <w:i/>
          <w:noProof/>
          <w:sz w:val="22"/>
          <w:szCs w:val="22"/>
        </w:rPr>
        <w:t>et al.</w:t>
      </w:r>
      <w:r w:rsidR="00881150" w:rsidRPr="00881150">
        <w:rPr>
          <w:noProof/>
          <w:sz w:val="22"/>
          <w:szCs w:val="22"/>
        </w:rPr>
        <w:t xml:space="preserve">, 2002; Sinshaw </w:t>
      </w:r>
      <w:r w:rsidR="00881150" w:rsidRPr="00881150">
        <w:rPr>
          <w:i/>
          <w:noProof/>
          <w:sz w:val="22"/>
          <w:szCs w:val="22"/>
        </w:rPr>
        <w:t>et al.</w:t>
      </w:r>
      <w:r w:rsidR="00881150" w:rsidRPr="00881150">
        <w:rPr>
          <w:noProof/>
          <w:sz w:val="22"/>
          <w:szCs w:val="22"/>
        </w:rPr>
        <w:t>, 2021)</w:t>
      </w:r>
      <w:r w:rsidR="00881150">
        <w:rPr>
          <w:sz w:val="22"/>
          <w:szCs w:val="22"/>
        </w:rPr>
        <w:fldChar w:fldCharType="end"/>
      </w:r>
      <w:r w:rsidR="00D8683F" w:rsidRPr="00D8683F">
        <w:rPr>
          <w:sz w:val="22"/>
          <w:szCs w:val="22"/>
        </w:rPr>
        <w:t xml:space="preserve"> and pretested on 5% of the </w:t>
      </w:r>
      <w:r w:rsidR="00D8683F" w:rsidRPr="006A0A71">
        <w:rPr>
          <w:sz w:val="22"/>
          <w:szCs w:val="22"/>
        </w:rPr>
        <w:t>sample to ensure clarity and validity. The questionnaire was available in both English and Swahili; translation into Swahili was co</w:t>
      </w:r>
      <w:r w:rsidR="00D60F89" w:rsidRPr="006A0A71">
        <w:rPr>
          <w:sz w:val="22"/>
          <w:szCs w:val="22"/>
        </w:rPr>
        <w:t xml:space="preserve">nducted by a language expert, and answers were recorded in </w:t>
      </w:r>
      <w:r w:rsidR="00D8683F" w:rsidRPr="006A0A71">
        <w:rPr>
          <w:sz w:val="22"/>
          <w:szCs w:val="22"/>
        </w:rPr>
        <w:t xml:space="preserve">English for analysis. Topics covered included participants’ and parents’ education levels, family history of refractive error, use of electronic devices (computer, tablet, or mobile phone), and spectacle-wearing patterns, which were categorized into three groups: full-time wearers (those who wore spectacles both during the day at school and at home, including at night), occasional wearers (those who wore spectacles only during school hours or during the day), and non-wearers (those who did not wear spectacles at all). </w:t>
      </w:r>
      <w:r w:rsidR="000F6221" w:rsidRPr="006A0A71">
        <w:rPr>
          <w:sz w:val="22"/>
          <w:szCs w:val="22"/>
        </w:rPr>
        <w:t xml:space="preserve">Participants were asked to simulate the distance they sit from a television screen by sitting at a distance from a wall; distances were classified as less than or more than 2 meters. </w:t>
      </w:r>
      <w:r w:rsidR="00D8683F" w:rsidRPr="006A0A71">
        <w:rPr>
          <w:sz w:val="22"/>
          <w:szCs w:val="22"/>
        </w:rPr>
        <w:t>Estimated time spent on near work and outdoor activities after school hours was also assessed and categorized as either more than or less than two hours per day. To enhance data accuracy and reliability, parents or caregivers were involved in verifying participant responses</w:t>
      </w:r>
    </w:p>
    <w:p w14:paraId="1C9EF642" w14:textId="77777777" w:rsidR="00C655AB" w:rsidRDefault="00C655AB" w:rsidP="00C655AB">
      <w:pPr>
        <w:spacing w:after="0"/>
        <w:rPr>
          <w:rFonts w:ascii="Times New Roman" w:hAnsi="Times New Roman" w:cs="Times New Roman"/>
          <w:b/>
          <w:bCs/>
        </w:rPr>
      </w:pPr>
      <w:r>
        <w:rPr>
          <w:rFonts w:ascii="Times New Roman" w:hAnsi="Times New Roman" w:cs="Times New Roman"/>
          <w:b/>
          <w:bCs/>
        </w:rPr>
        <w:t>Data analysis</w:t>
      </w:r>
    </w:p>
    <w:p w14:paraId="1959F72E" w14:textId="77777777" w:rsidR="00C655AB" w:rsidRPr="00C655AB" w:rsidRDefault="00C655AB" w:rsidP="00C655AB">
      <w:pPr>
        <w:spacing w:after="0"/>
        <w:rPr>
          <w:rFonts w:ascii="Times New Roman" w:hAnsi="Times New Roman" w:cs="Times New Roman"/>
          <w:color w:val="EE0000"/>
        </w:rPr>
      </w:pPr>
      <w:r w:rsidRPr="00FF45FE">
        <w:rPr>
          <w:rFonts w:ascii="Times New Roman" w:hAnsi="Times New Roman" w:cs="Times New Roman"/>
        </w:rPr>
        <w:t xml:space="preserve">Data was </w:t>
      </w:r>
      <w:r>
        <w:rPr>
          <w:rFonts w:ascii="Times New Roman" w:hAnsi="Times New Roman" w:cs="Times New Roman"/>
        </w:rPr>
        <w:t xml:space="preserve">cleaned and </w:t>
      </w:r>
      <w:r w:rsidRPr="00FF45FE">
        <w:rPr>
          <w:rFonts w:ascii="Times New Roman" w:hAnsi="Times New Roman" w:cs="Times New Roman"/>
        </w:rPr>
        <w:t xml:space="preserve">analyzed using STATA (Stata Corp LLC, College Station, Texas, USA) version 17. </w:t>
      </w:r>
      <w:r>
        <w:rPr>
          <w:rFonts w:ascii="Times New Roman" w:hAnsi="Times New Roman" w:cs="Times New Roman"/>
        </w:rPr>
        <w:t>C</w:t>
      </w:r>
      <w:r w:rsidRPr="00FF45FE">
        <w:rPr>
          <w:rFonts w:ascii="Times New Roman" w:hAnsi="Times New Roman" w:cs="Times New Roman"/>
        </w:rPr>
        <w:t xml:space="preserve">ategorical variables were summarized using frequency and percentages and numeric variables were summarized </w:t>
      </w:r>
      <w:r>
        <w:rPr>
          <w:rFonts w:ascii="Times New Roman" w:hAnsi="Times New Roman" w:cs="Times New Roman"/>
        </w:rPr>
        <w:t xml:space="preserve">using </w:t>
      </w:r>
      <w:r w:rsidRPr="00FF45FE">
        <w:rPr>
          <w:rFonts w:ascii="Times New Roman" w:hAnsi="Times New Roman" w:cs="Times New Roman"/>
        </w:rPr>
        <w:t>mean with Standard deviation (SD). Generalized linear model with Poisson family and log link function was used to estimate prevalence ratio (PR) and the corresponding 95% confidence interval for factors associated with Myopia progression</w:t>
      </w:r>
      <w:r>
        <w:rPr>
          <w:rFonts w:ascii="Times New Roman" w:hAnsi="Times New Roman" w:cs="Times New Roman"/>
        </w:rPr>
        <w:t>. V</w:t>
      </w:r>
      <w:r w:rsidRPr="00107CE5">
        <w:rPr>
          <w:rFonts w:ascii="Times New Roman" w:hAnsi="Times New Roman" w:cs="Times New Roman"/>
        </w:rPr>
        <w:t>ariables with a P-value of &lt; 0.05 were considered statistically associated with myopia progression.</w:t>
      </w:r>
      <w:r w:rsidRPr="00FF45FE">
        <w:rPr>
          <w:rFonts w:ascii="Times New Roman" w:hAnsi="Times New Roman" w:cs="Times New Roman"/>
        </w:rPr>
        <w:t xml:space="preserve"> Stepwise regression </w:t>
      </w:r>
      <w:r>
        <w:rPr>
          <w:rFonts w:ascii="Times New Roman" w:hAnsi="Times New Roman" w:cs="Times New Roman"/>
        </w:rPr>
        <w:t xml:space="preserve">with </w:t>
      </w:r>
      <w:proofErr w:type="spellStart"/>
      <w:r>
        <w:rPr>
          <w:rFonts w:ascii="Times New Roman" w:hAnsi="Times New Roman" w:cs="Times New Roman"/>
        </w:rPr>
        <w:t>lockterm</w:t>
      </w:r>
      <w:proofErr w:type="spellEnd"/>
      <w:r>
        <w:rPr>
          <w:rFonts w:ascii="Times New Roman" w:hAnsi="Times New Roman" w:cs="Times New Roman"/>
        </w:rPr>
        <w:t xml:space="preserve"> option for participants age and sex </w:t>
      </w:r>
      <w:r w:rsidRPr="00FF45FE">
        <w:rPr>
          <w:rFonts w:ascii="Times New Roman" w:hAnsi="Times New Roman" w:cs="Times New Roman"/>
        </w:rPr>
        <w:t>was employed for model building and variable selection</w:t>
      </w:r>
      <w:r>
        <w:rPr>
          <w:rFonts w:ascii="Times New Roman" w:hAnsi="Times New Roman" w:cs="Times New Roman"/>
        </w:rPr>
        <w:t xml:space="preserve"> in adjusted analysis</w:t>
      </w:r>
      <w:r w:rsidRPr="00FF45FE">
        <w:rPr>
          <w:rFonts w:ascii="Times New Roman" w:hAnsi="Times New Roman" w:cs="Times New Roman"/>
        </w:rPr>
        <w:t xml:space="preserve">, while </w:t>
      </w:r>
      <w:r>
        <w:rPr>
          <w:rFonts w:ascii="Times New Roman" w:hAnsi="Times New Roman" w:cs="Times New Roman"/>
        </w:rPr>
        <w:t>a p</w:t>
      </w:r>
      <w:r w:rsidRPr="00FF45FE">
        <w:rPr>
          <w:rFonts w:ascii="Times New Roman" w:hAnsi="Times New Roman" w:cs="Times New Roman"/>
        </w:rPr>
        <w:t>airwise correlations were examined to assess collinearity among the variables included in the analysis</w:t>
      </w:r>
      <w:r>
        <w:rPr>
          <w:rFonts w:ascii="Times New Roman" w:hAnsi="Times New Roman" w:cs="Times New Roman"/>
        </w:rPr>
        <w:t xml:space="preserve">. A </w:t>
      </w:r>
      <w:r w:rsidRPr="003A65EC">
        <w:rPr>
          <w:rFonts w:ascii="Times New Roman" w:hAnsi="Times New Roman" w:cs="Times New Roman"/>
        </w:rPr>
        <w:t>Variance Inflation Factor</w:t>
      </w:r>
      <w:r>
        <w:rPr>
          <w:rFonts w:ascii="Times New Roman" w:hAnsi="Times New Roman" w:cs="Times New Roman"/>
        </w:rPr>
        <w:t xml:space="preserve"> (VIF) of &gt;10 was considered high </w:t>
      </w:r>
      <w:r w:rsidRPr="003A65EC">
        <w:rPr>
          <w:rFonts w:ascii="Times New Roman" w:hAnsi="Times New Roman" w:cs="Times New Roman"/>
        </w:rPr>
        <w:t>multicollinearity</w:t>
      </w:r>
      <w:r>
        <w:rPr>
          <w:rFonts w:ascii="Times New Roman" w:hAnsi="Times New Roman" w:cs="Times New Roman"/>
        </w:rPr>
        <w:t>.</w:t>
      </w:r>
    </w:p>
    <w:p w14:paraId="2B6C51D7" w14:textId="77777777" w:rsidR="009A0C05" w:rsidRPr="00570AA4" w:rsidRDefault="009A0C05" w:rsidP="009A0C05">
      <w:pPr>
        <w:pStyle w:val="NormalWeb"/>
        <w:rPr>
          <w:sz w:val="22"/>
          <w:szCs w:val="22"/>
        </w:rPr>
      </w:pPr>
      <w:r w:rsidRPr="00570AA4">
        <w:rPr>
          <w:rStyle w:val="Strong"/>
          <w:sz w:val="22"/>
          <w:szCs w:val="22"/>
        </w:rPr>
        <w:t>Ethical Consideration</w:t>
      </w:r>
      <w:r w:rsidR="00D8683F">
        <w:rPr>
          <w:rStyle w:val="Strong"/>
          <w:sz w:val="22"/>
          <w:szCs w:val="22"/>
        </w:rPr>
        <w:t>s</w:t>
      </w:r>
      <w:r w:rsidRPr="00570AA4">
        <w:rPr>
          <w:sz w:val="22"/>
          <w:szCs w:val="22"/>
        </w:rPr>
        <w:br/>
        <w:t>Ethical approval was obtained from the Kilimanjaro Christian Medical University College Research and Ethics Review Committee (KCMU-CRERC), reference number PG 82/2023. Confidentiality of participant names and personal hospital information was strictly maintained. Participants identified as needing further medical evaluation were referred for appropriate management</w:t>
      </w:r>
      <w:r w:rsidR="00911157" w:rsidRPr="00570AA4">
        <w:rPr>
          <w:sz w:val="22"/>
          <w:szCs w:val="22"/>
        </w:rPr>
        <w:t>.</w:t>
      </w:r>
    </w:p>
    <w:p w14:paraId="758C6C6F" w14:textId="77777777" w:rsidR="009A0C05" w:rsidRPr="00570AA4" w:rsidRDefault="009A0C05" w:rsidP="009A0C05">
      <w:pPr>
        <w:rPr>
          <w:rFonts w:ascii="Times New Roman" w:hAnsi="Times New Roman" w:cs="Times New Roman"/>
        </w:rPr>
      </w:pPr>
    </w:p>
    <w:p w14:paraId="2728DB88" w14:textId="77777777" w:rsidR="00DC2DE1" w:rsidRPr="00570AA4" w:rsidRDefault="00DC2DE1" w:rsidP="00AF1AB5">
      <w:pPr>
        <w:rPr>
          <w:rFonts w:ascii="Times New Roman" w:hAnsi="Times New Roman" w:cs="Times New Roman"/>
        </w:rPr>
      </w:pPr>
    </w:p>
    <w:p w14:paraId="657AB7F6" w14:textId="77777777" w:rsidR="00DC2DE1" w:rsidRPr="00570AA4" w:rsidRDefault="00DC2DE1" w:rsidP="00AF1AB5">
      <w:pPr>
        <w:rPr>
          <w:rFonts w:ascii="Times New Roman" w:hAnsi="Times New Roman" w:cs="Times New Roman"/>
        </w:rPr>
      </w:pPr>
    </w:p>
    <w:p w14:paraId="2FF0441E" w14:textId="77777777" w:rsidR="00DC2DE1" w:rsidRPr="00570AA4" w:rsidRDefault="00DC2DE1" w:rsidP="00AF1AB5">
      <w:pPr>
        <w:rPr>
          <w:rFonts w:ascii="Times New Roman" w:hAnsi="Times New Roman" w:cs="Times New Roman"/>
        </w:rPr>
      </w:pPr>
    </w:p>
    <w:p w14:paraId="2F71EE05" w14:textId="77777777" w:rsidR="00DC2DE1" w:rsidRDefault="00DC2DE1" w:rsidP="00570AA4">
      <w:pPr>
        <w:keepNext/>
        <w:keepLines/>
        <w:spacing w:before="40" w:after="0" w:line="360" w:lineRule="auto"/>
        <w:jc w:val="both"/>
        <w:outlineLvl w:val="1"/>
        <w:rPr>
          <w:rFonts w:ascii="Times New Roman" w:hAnsi="Times New Roman" w:cs="Times New Roman"/>
        </w:rPr>
      </w:pPr>
    </w:p>
    <w:p w14:paraId="40C4F55B" w14:textId="77777777" w:rsidR="00570AA4" w:rsidRPr="00570AA4" w:rsidRDefault="00570AA4" w:rsidP="00570AA4">
      <w:pPr>
        <w:keepNext/>
        <w:keepLines/>
        <w:spacing w:before="40" w:after="0" w:line="360" w:lineRule="auto"/>
        <w:jc w:val="both"/>
        <w:outlineLvl w:val="1"/>
        <w:rPr>
          <w:rFonts w:ascii="Times New Roman" w:eastAsia="Times New Roman" w:hAnsi="Times New Roman" w:cs="Times New Roman"/>
          <w:b/>
        </w:rPr>
      </w:pPr>
    </w:p>
    <w:p w14:paraId="5F057F18" w14:textId="77777777" w:rsidR="00C45620" w:rsidRPr="00570AA4" w:rsidRDefault="00C45620" w:rsidP="00C45620">
      <w:pPr>
        <w:keepNext/>
        <w:keepLines/>
        <w:spacing w:before="40" w:after="0" w:line="360" w:lineRule="auto"/>
        <w:ind w:left="576" w:hanging="576"/>
        <w:jc w:val="both"/>
        <w:outlineLvl w:val="1"/>
        <w:rPr>
          <w:rFonts w:ascii="Times New Roman" w:eastAsia="Times New Roman" w:hAnsi="Times New Roman" w:cs="Times New Roman"/>
          <w:b/>
        </w:rPr>
      </w:pPr>
      <w:r w:rsidRPr="00570AA4">
        <w:rPr>
          <w:rFonts w:ascii="Times New Roman" w:eastAsia="Times New Roman" w:hAnsi="Times New Roman" w:cs="Times New Roman"/>
          <w:b/>
        </w:rPr>
        <w:t>RESULTS</w:t>
      </w:r>
    </w:p>
    <w:p w14:paraId="70E9B028" w14:textId="77777777" w:rsidR="006421C9" w:rsidRPr="00570AA4" w:rsidRDefault="006421C9" w:rsidP="00C45620">
      <w:pPr>
        <w:keepNext/>
        <w:keepLines/>
        <w:spacing w:before="40" w:after="0" w:line="360" w:lineRule="auto"/>
        <w:ind w:left="576" w:hanging="576"/>
        <w:jc w:val="both"/>
        <w:outlineLvl w:val="1"/>
        <w:rPr>
          <w:rFonts w:ascii="Times New Roman" w:hAnsi="Times New Roman" w:cs="Times New Roman"/>
        </w:rPr>
      </w:pPr>
      <w:r w:rsidRPr="00570AA4">
        <w:rPr>
          <w:rFonts w:ascii="Times New Roman" w:hAnsi="Times New Roman" w:cs="Times New Roman"/>
        </w:rPr>
        <w:t xml:space="preserve">Out of 1,098 myopic patients aged 4–18 years, 297 met the eligibility criteria after exclusions. </w:t>
      </w:r>
    </w:p>
    <w:p w14:paraId="5017D2B6" w14:textId="77777777" w:rsidR="006421C9" w:rsidRDefault="006421C9" w:rsidP="00C45620">
      <w:pPr>
        <w:keepNext/>
        <w:keepLines/>
        <w:spacing w:before="40" w:after="0" w:line="360" w:lineRule="auto"/>
        <w:ind w:left="576" w:hanging="576"/>
        <w:jc w:val="both"/>
        <w:outlineLvl w:val="1"/>
        <w:rPr>
          <w:rFonts w:ascii="Times New Roman" w:hAnsi="Times New Roman" w:cs="Times New Roman"/>
        </w:rPr>
      </w:pPr>
      <w:r w:rsidRPr="00570AA4">
        <w:rPr>
          <w:rFonts w:ascii="Times New Roman" w:hAnsi="Times New Roman" w:cs="Times New Roman"/>
        </w:rPr>
        <w:t>Of these, 201 patients completed the interview and were included in the final analysis. (Figure 1)</w:t>
      </w:r>
    </w:p>
    <w:p w14:paraId="3CFB6469" w14:textId="77777777" w:rsidR="00BF232D" w:rsidRDefault="00BF232D" w:rsidP="00C45620">
      <w:pPr>
        <w:keepNext/>
        <w:keepLines/>
        <w:spacing w:before="40" w:after="0" w:line="360" w:lineRule="auto"/>
        <w:ind w:left="576" w:hanging="576"/>
        <w:jc w:val="both"/>
        <w:outlineLvl w:val="1"/>
        <w:rPr>
          <w:rFonts w:ascii="Times New Roman" w:hAnsi="Times New Roman" w:cs="Times New Roman"/>
        </w:rPr>
      </w:pPr>
    </w:p>
    <w:p w14:paraId="1347F740" w14:textId="77777777" w:rsidR="00BF232D" w:rsidRDefault="00BF232D" w:rsidP="00C45620">
      <w:pPr>
        <w:keepNext/>
        <w:keepLines/>
        <w:spacing w:before="40" w:after="0" w:line="360" w:lineRule="auto"/>
        <w:ind w:left="576" w:hanging="576"/>
        <w:jc w:val="both"/>
        <w:outlineLvl w:val="1"/>
        <w:rPr>
          <w:rFonts w:ascii="Times New Roman" w:hAnsi="Times New Roman" w:cs="Times New Roman"/>
        </w:rPr>
      </w:pPr>
    </w:p>
    <w:p w14:paraId="4AE50354" w14:textId="77777777" w:rsidR="00BF232D" w:rsidRPr="00570AA4" w:rsidRDefault="006667EE" w:rsidP="00C45620">
      <w:pPr>
        <w:keepNext/>
        <w:keepLines/>
        <w:spacing w:before="40" w:after="0" w:line="360" w:lineRule="auto"/>
        <w:ind w:left="576" w:hanging="576"/>
        <w:jc w:val="both"/>
        <w:outlineLvl w:val="1"/>
        <w:rPr>
          <w:rFonts w:ascii="Times New Roman" w:hAnsi="Times New Roman" w:cs="Times New Roman"/>
        </w:rPr>
      </w:pPr>
      <w:r w:rsidRPr="006667EE">
        <w:rPr>
          <w:rFonts w:ascii="Times New Roman" w:hAnsi="Times New Roman" w:cs="Times New Roman"/>
          <w:noProof/>
        </w:rPr>
        <w:drawing>
          <wp:inline distT="0" distB="0" distL="0" distR="0" wp14:anchorId="39C0668D" wp14:editId="252AFBBA">
            <wp:extent cx="5731510" cy="322389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3895"/>
                    </a:xfrm>
                    <a:prstGeom prst="rect">
                      <a:avLst/>
                    </a:prstGeom>
                  </pic:spPr>
                </pic:pic>
              </a:graphicData>
            </a:graphic>
          </wp:inline>
        </w:drawing>
      </w:r>
    </w:p>
    <w:p w14:paraId="4EBD8661" w14:textId="77777777" w:rsidR="006421C9" w:rsidRPr="00570AA4" w:rsidRDefault="006421C9" w:rsidP="00C45620">
      <w:pPr>
        <w:keepNext/>
        <w:keepLines/>
        <w:spacing w:before="40" w:after="0" w:line="360" w:lineRule="auto"/>
        <w:ind w:left="576" w:hanging="576"/>
        <w:jc w:val="both"/>
        <w:outlineLvl w:val="1"/>
        <w:rPr>
          <w:rFonts w:ascii="Times New Roman" w:hAnsi="Times New Roman" w:cs="Times New Roman"/>
        </w:rPr>
      </w:pPr>
    </w:p>
    <w:p w14:paraId="57D92169" w14:textId="77777777" w:rsidR="00DC2DE1" w:rsidRPr="009D51EF" w:rsidRDefault="00EF4ED1" w:rsidP="009D51EF">
      <w:pPr>
        <w:ind w:left="720" w:firstLine="720"/>
        <w:rPr>
          <w:rFonts w:ascii="Times New Roman" w:eastAsia="Times New Roman" w:hAnsi="Times New Roman" w:cs="Times New Roman"/>
          <w:b/>
          <w:bCs/>
          <w:lang w:eastAsia="en-GB"/>
        </w:rPr>
      </w:pPr>
      <w:r w:rsidRPr="00570AA4">
        <w:rPr>
          <w:rFonts w:ascii="Times New Roman" w:eastAsia="Times New Roman" w:hAnsi="Times New Roman" w:cs="Times New Roman"/>
          <w:b/>
          <w:bCs/>
          <w:lang w:eastAsia="en-GB"/>
        </w:rPr>
        <w:t xml:space="preserve">Figure 1: </w:t>
      </w:r>
      <w:r w:rsidRPr="00570AA4">
        <w:rPr>
          <w:rFonts w:ascii="Times New Roman" w:eastAsia="Times New Roman" w:hAnsi="Times New Roman" w:cs="Times New Roman"/>
          <w:lang w:eastAsia="en-GB"/>
        </w:rPr>
        <w:t>Flowch</w:t>
      </w:r>
      <w:r w:rsidR="009D51EF">
        <w:rPr>
          <w:rFonts w:ascii="Times New Roman" w:eastAsia="Times New Roman" w:hAnsi="Times New Roman" w:cs="Times New Roman"/>
          <w:lang w:eastAsia="en-GB"/>
        </w:rPr>
        <w:t>art of patient selection process</w:t>
      </w:r>
    </w:p>
    <w:p w14:paraId="3FE3A1BF" w14:textId="77777777" w:rsidR="006421C9" w:rsidRPr="00570AA4" w:rsidRDefault="006421C9" w:rsidP="00C45620">
      <w:pPr>
        <w:keepNext/>
        <w:keepLines/>
        <w:spacing w:before="40" w:after="0" w:line="360" w:lineRule="auto"/>
        <w:ind w:left="576" w:hanging="576"/>
        <w:jc w:val="both"/>
        <w:outlineLvl w:val="1"/>
        <w:rPr>
          <w:rFonts w:ascii="Times New Roman" w:eastAsia="Times New Roman" w:hAnsi="Times New Roman" w:cs="Times New Roman"/>
          <w:b/>
        </w:rPr>
      </w:pPr>
    </w:p>
    <w:p w14:paraId="1AC0E5BE"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bookmarkStart w:id="0" w:name="_Toc171881720"/>
    </w:p>
    <w:p w14:paraId="753A7D31"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5FE1B277"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70886E32"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3CF874BE"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22A36B2D" w14:textId="77777777" w:rsidR="00433157" w:rsidRDefault="00433157" w:rsidP="00C45620">
      <w:pPr>
        <w:keepNext/>
        <w:keepLines/>
        <w:spacing w:before="40" w:after="0" w:line="360" w:lineRule="auto"/>
        <w:ind w:left="576" w:hanging="576"/>
        <w:jc w:val="both"/>
        <w:outlineLvl w:val="1"/>
        <w:rPr>
          <w:rFonts w:ascii="Times New Roman" w:eastAsia="Times New Roman" w:hAnsi="Times New Roman" w:cs="Times New Roman"/>
          <w:b/>
        </w:rPr>
      </w:pPr>
    </w:p>
    <w:p w14:paraId="72536221" w14:textId="77777777" w:rsidR="00C45620" w:rsidRPr="00570AA4" w:rsidRDefault="00C45620" w:rsidP="00C45620">
      <w:pPr>
        <w:keepNext/>
        <w:keepLines/>
        <w:spacing w:before="40" w:after="0" w:line="360" w:lineRule="auto"/>
        <w:ind w:left="576" w:hanging="576"/>
        <w:jc w:val="both"/>
        <w:outlineLvl w:val="1"/>
        <w:rPr>
          <w:rFonts w:ascii="Times New Roman" w:eastAsia="Times New Roman" w:hAnsi="Times New Roman" w:cs="Times New Roman"/>
          <w:b/>
        </w:rPr>
      </w:pPr>
      <w:r w:rsidRPr="00570AA4">
        <w:rPr>
          <w:rFonts w:ascii="Times New Roman" w:eastAsia="Times New Roman" w:hAnsi="Times New Roman" w:cs="Times New Roman"/>
          <w:b/>
        </w:rPr>
        <w:t>Participants background characteristics</w:t>
      </w:r>
      <w:bookmarkEnd w:id="0"/>
    </w:p>
    <w:p w14:paraId="03E88274" w14:textId="77777777" w:rsidR="00804836" w:rsidRPr="009D51EF" w:rsidRDefault="00804836" w:rsidP="00433157">
      <w:pPr>
        <w:pStyle w:val="NoSpacing"/>
        <w:rPr>
          <w:rFonts w:ascii="Times New Roman" w:hAnsi="Times New Roman" w:cs="Times New Roman"/>
        </w:rPr>
      </w:pPr>
      <w:bookmarkStart w:id="1" w:name="_Toc171881738"/>
      <w:r w:rsidRPr="009D51EF">
        <w:rPr>
          <w:rFonts w:ascii="Times New Roman" w:hAnsi="Times New Roman" w:cs="Times New Roman"/>
        </w:rPr>
        <w:t>A total of 201 participants were enrolled in the study. The mean age at both presentation and diagnosis was 12.9 years (SD = 3.11). Nearly half of the participants (46.3%) were aged between 9–13 years, while 44.7% were older than 13 years. Females constituted a slight majority (55.7%). Most participants (60.2%) were at the secondary education level, with a predominance of private school attendance (69.2%) and urban residency (72.6%). Over half of the mothers had completed secondary education (52.2%), while 50.7% of fathers had attained a college education or higher.</w:t>
      </w:r>
      <w:r w:rsidR="00387E05" w:rsidRPr="009D51EF">
        <w:rPr>
          <w:rFonts w:ascii="Times New Roman" w:hAnsi="Times New Roman" w:cs="Times New Roman"/>
        </w:rPr>
        <w:t xml:space="preserve"> </w:t>
      </w:r>
      <w:r w:rsidRPr="009D51EF">
        <w:rPr>
          <w:rFonts w:ascii="Times New Roman" w:hAnsi="Times New Roman" w:cs="Times New Roman"/>
        </w:rPr>
        <w:t xml:space="preserve">Regarding </w:t>
      </w:r>
      <w:r w:rsidRPr="009D51EF">
        <w:rPr>
          <w:rFonts w:ascii="Times New Roman" w:hAnsi="Times New Roman" w:cs="Times New Roman"/>
        </w:rPr>
        <w:lastRenderedPageBreak/>
        <w:t>spectacle use, majority (44.3%) wore spectacles occasionally</w:t>
      </w:r>
      <w:r w:rsidR="00342AF1" w:rsidRPr="009D51EF">
        <w:rPr>
          <w:rFonts w:ascii="Times New Roman" w:hAnsi="Times New Roman" w:cs="Times New Roman"/>
        </w:rPr>
        <w:t>. Most children reported viewing televi</w:t>
      </w:r>
      <w:r w:rsidR="008037E3">
        <w:rPr>
          <w:rFonts w:ascii="Times New Roman" w:hAnsi="Times New Roman" w:cs="Times New Roman"/>
        </w:rPr>
        <w:t xml:space="preserve">sion at a distance of </w:t>
      </w:r>
      <w:r w:rsidR="00342AF1" w:rsidRPr="009D51EF">
        <w:rPr>
          <w:rFonts w:ascii="Times New Roman" w:hAnsi="Times New Roman" w:cs="Times New Roman"/>
        </w:rPr>
        <w:t>two meters</w:t>
      </w:r>
      <w:r w:rsidR="008037E3">
        <w:rPr>
          <w:rFonts w:ascii="Times New Roman" w:hAnsi="Times New Roman" w:cs="Times New Roman"/>
        </w:rPr>
        <w:t xml:space="preserve"> or less</w:t>
      </w:r>
      <w:r w:rsidR="00342AF1" w:rsidRPr="009D51EF">
        <w:rPr>
          <w:rFonts w:ascii="Times New Roman" w:hAnsi="Times New Roman" w:cs="Times New Roman"/>
        </w:rPr>
        <w:t xml:space="preserve"> (45.8%)</w:t>
      </w:r>
      <w:r w:rsidRPr="009D51EF">
        <w:rPr>
          <w:rFonts w:ascii="Times New Roman" w:hAnsi="Times New Roman" w:cs="Times New Roman"/>
        </w:rPr>
        <w:t xml:space="preserve">. Use of other </w:t>
      </w:r>
      <w:r w:rsidR="002D2C48" w:rsidRPr="009D51EF">
        <w:rPr>
          <w:rFonts w:ascii="Times New Roman" w:hAnsi="Times New Roman" w:cs="Times New Roman"/>
        </w:rPr>
        <w:t xml:space="preserve">electronic devices </w:t>
      </w:r>
      <w:r w:rsidRPr="009D51EF">
        <w:rPr>
          <w:rFonts w:ascii="Times New Roman" w:hAnsi="Times New Roman" w:cs="Times New Roman"/>
        </w:rPr>
        <w:t>was reported by 35.3% of participants. A large proportion (78.6%) engaged in outdoor activities for less than one hour per day, while 39.8% reported more than two hours of near work daily.</w:t>
      </w:r>
    </w:p>
    <w:p w14:paraId="09E1565D" w14:textId="77777777" w:rsidR="00804836" w:rsidRPr="009D51EF" w:rsidRDefault="00804836" w:rsidP="00433157">
      <w:pPr>
        <w:pStyle w:val="NoSpacing"/>
        <w:rPr>
          <w:rFonts w:ascii="Times New Roman" w:hAnsi="Times New Roman" w:cs="Times New Roman"/>
        </w:rPr>
      </w:pPr>
      <w:r w:rsidRPr="009D51EF">
        <w:rPr>
          <w:rFonts w:ascii="Times New Roman" w:hAnsi="Times New Roman" w:cs="Times New Roman"/>
        </w:rPr>
        <w:t>Low myopia was the most common degree (65.2%), followed by high (21.4%) and moderate myopia (13.4%). Family history of myopia was reported in 50.2% of participants</w:t>
      </w:r>
      <w:r w:rsidR="00490228" w:rsidRPr="009D51EF">
        <w:rPr>
          <w:rFonts w:ascii="Times New Roman" w:hAnsi="Times New Roman" w:cs="Times New Roman"/>
        </w:rPr>
        <w:t xml:space="preserve"> </w:t>
      </w:r>
      <w:r w:rsidR="00490228" w:rsidRPr="009D51EF">
        <w:rPr>
          <w:rFonts w:ascii="Times New Roman" w:hAnsi="Times New Roman" w:cs="Times New Roman"/>
          <w:b/>
        </w:rPr>
        <w:t>(Table 1)</w:t>
      </w:r>
      <w:r w:rsidRPr="009D51EF">
        <w:rPr>
          <w:rFonts w:ascii="Times New Roman" w:hAnsi="Times New Roman" w:cs="Times New Roman"/>
          <w:b/>
        </w:rPr>
        <w:t xml:space="preserve">. </w:t>
      </w:r>
      <w:r w:rsidRPr="009D51EF">
        <w:rPr>
          <w:rFonts w:ascii="Times New Roman" w:hAnsi="Times New Roman" w:cs="Times New Roman"/>
        </w:rPr>
        <w:t>Spectacle-wearing patterns varied with the degree of myopia: the majority with low myopia were non-wearers (84.8%), while most with moderate (14.9%) and high myopia (23.8%) were spectacle wearers</w:t>
      </w:r>
      <w:r w:rsidR="00433157" w:rsidRPr="009D51EF">
        <w:rPr>
          <w:rFonts w:ascii="Times New Roman" w:hAnsi="Times New Roman" w:cs="Times New Roman"/>
        </w:rPr>
        <w:t>.</w:t>
      </w:r>
    </w:p>
    <w:p w14:paraId="24BAE66F" w14:textId="77777777" w:rsidR="005C0027" w:rsidRPr="00433157" w:rsidRDefault="005C0027" w:rsidP="00C45620">
      <w:pPr>
        <w:spacing w:before="240" w:after="0" w:line="360" w:lineRule="auto"/>
        <w:ind w:left="1134" w:hanging="1134"/>
        <w:rPr>
          <w:rFonts w:ascii="Times New Roman" w:eastAsia="Calibri" w:hAnsi="Times New Roman" w:cs="Times New Roman"/>
          <w:b/>
          <w:bCs/>
          <w:sz w:val="24"/>
          <w:szCs w:val="24"/>
        </w:rPr>
      </w:pPr>
    </w:p>
    <w:p w14:paraId="3126F017"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3DD56BEF"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3F9A97E6" w14:textId="77777777" w:rsidR="005C0027" w:rsidRDefault="005C0027" w:rsidP="00C45620">
      <w:pPr>
        <w:spacing w:before="240" w:after="0" w:line="360" w:lineRule="auto"/>
        <w:ind w:left="1134" w:hanging="1134"/>
        <w:rPr>
          <w:rFonts w:ascii="Times New Roman" w:eastAsia="Calibri" w:hAnsi="Times New Roman" w:cs="Times New Roman"/>
          <w:b/>
          <w:bCs/>
        </w:rPr>
      </w:pPr>
    </w:p>
    <w:p w14:paraId="28C237DC" w14:textId="77777777" w:rsidR="006C6511" w:rsidRPr="009D51EF" w:rsidRDefault="006C6511" w:rsidP="006C6511">
      <w:pPr>
        <w:spacing w:before="240" w:after="0" w:line="360" w:lineRule="auto"/>
        <w:ind w:left="1134" w:hanging="1134"/>
        <w:rPr>
          <w:rFonts w:ascii="Times New Roman" w:eastAsia="Calibri" w:hAnsi="Times New Roman" w:cs="Times New Roman"/>
          <w:b/>
          <w:bCs/>
        </w:rPr>
      </w:pPr>
      <w:r w:rsidRPr="009D51EF">
        <w:rPr>
          <w:rFonts w:ascii="Times New Roman" w:eastAsia="Calibri" w:hAnsi="Times New Roman" w:cs="Times New Roman"/>
          <w:b/>
          <w:bCs/>
        </w:rPr>
        <w:t xml:space="preserve">Table </w:t>
      </w:r>
      <w:r w:rsidRPr="009D51EF">
        <w:rPr>
          <w:rFonts w:ascii="Times New Roman" w:eastAsia="Calibri" w:hAnsi="Times New Roman" w:cs="Times New Roman"/>
          <w:b/>
          <w:bCs/>
        </w:rPr>
        <w:fldChar w:fldCharType="begin"/>
      </w:r>
      <w:r w:rsidRPr="009D51EF">
        <w:rPr>
          <w:rFonts w:ascii="Times New Roman" w:eastAsia="Calibri" w:hAnsi="Times New Roman" w:cs="Times New Roman"/>
          <w:b/>
          <w:bCs/>
        </w:rPr>
        <w:instrText xml:space="preserve"> SEQ Table \* ARABIC </w:instrText>
      </w:r>
      <w:r w:rsidRPr="009D51EF">
        <w:rPr>
          <w:rFonts w:ascii="Times New Roman" w:eastAsia="Calibri" w:hAnsi="Times New Roman" w:cs="Times New Roman"/>
          <w:b/>
          <w:bCs/>
        </w:rPr>
        <w:fldChar w:fldCharType="separate"/>
      </w:r>
      <w:r w:rsidRPr="009D51EF">
        <w:rPr>
          <w:rFonts w:ascii="Times New Roman" w:eastAsia="Calibri" w:hAnsi="Times New Roman" w:cs="Times New Roman"/>
          <w:b/>
          <w:bCs/>
          <w:noProof/>
        </w:rPr>
        <w:t>1</w:t>
      </w:r>
      <w:r w:rsidRPr="009D51EF">
        <w:rPr>
          <w:rFonts w:ascii="Times New Roman" w:eastAsia="Calibri" w:hAnsi="Times New Roman" w:cs="Times New Roman"/>
          <w:b/>
          <w:bCs/>
          <w:noProof/>
        </w:rPr>
        <w:fldChar w:fldCharType="end"/>
      </w:r>
      <w:r w:rsidRPr="009D51EF">
        <w:rPr>
          <w:rFonts w:ascii="Times New Roman" w:eastAsia="Calibri" w:hAnsi="Times New Roman" w:cs="Times New Roman"/>
          <w:b/>
          <w:bCs/>
        </w:rPr>
        <w:t xml:space="preserve"> : Participants background characteristics (N=201)</w:t>
      </w:r>
    </w:p>
    <w:tbl>
      <w:tblPr>
        <w:tblW w:w="9082" w:type="dxa"/>
        <w:jc w:val="center"/>
        <w:tblLook w:val="04A0" w:firstRow="1" w:lastRow="0" w:firstColumn="1" w:lastColumn="0" w:noHBand="0" w:noVBand="1"/>
      </w:tblPr>
      <w:tblGrid>
        <w:gridCol w:w="5679"/>
        <w:gridCol w:w="1685"/>
        <w:gridCol w:w="1718"/>
      </w:tblGrid>
      <w:tr w:rsidR="006C6511" w:rsidRPr="000A621C" w14:paraId="33F7E79D" w14:textId="77777777" w:rsidTr="00744817">
        <w:trPr>
          <w:trHeight w:val="57"/>
          <w:jc w:val="center"/>
        </w:trPr>
        <w:tc>
          <w:tcPr>
            <w:tcW w:w="5679" w:type="dxa"/>
            <w:tcBorders>
              <w:top w:val="single" w:sz="18" w:space="0" w:color="auto"/>
              <w:left w:val="nil"/>
              <w:bottom w:val="single" w:sz="18" w:space="0" w:color="auto"/>
              <w:right w:val="nil"/>
            </w:tcBorders>
            <w:noWrap/>
            <w:vAlign w:val="bottom"/>
            <w:hideMark/>
          </w:tcPr>
          <w:p w14:paraId="3DE5BC94"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Variable</w:t>
            </w:r>
          </w:p>
        </w:tc>
        <w:tc>
          <w:tcPr>
            <w:tcW w:w="1685" w:type="dxa"/>
            <w:tcBorders>
              <w:top w:val="single" w:sz="18" w:space="0" w:color="auto"/>
              <w:left w:val="nil"/>
              <w:bottom w:val="single" w:sz="18" w:space="0" w:color="auto"/>
              <w:right w:val="nil"/>
            </w:tcBorders>
            <w:noWrap/>
            <w:vAlign w:val="bottom"/>
            <w:hideMark/>
          </w:tcPr>
          <w:p w14:paraId="3180427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Frequency</w:t>
            </w:r>
          </w:p>
        </w:tc>
        <w:tc>
          <w:tcPr>
            <w:tcW w:w="1718" w:type="dxa"/>
            <w:tcBorders>
              <w:top w:val="single" w:sz="18" w:space="0" w:color="auto"/>
              <w:left w:val="nil"/>
              <w:bottom w:val="single" w:sz="18" w:space="0" w:color="auto"/>
              <w:right w:val="nil"/>
            </w:tcBorders>
            <w:noWrap/>
            <w:vAlign w:val="bottom"/>
            <w:hideMark/>
          </w:tcPr>
          <w:p w14:paraId="2081F099"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Percentage</w:t>
            </w:r>
          </w:p>
        </w:tc>
      </w:tr>
      <w:tr w:rsidR="006C6511" w:rsidRPr="000A621C" w14:paraId="1F403F04" w14:textId="77777777" w:rsidTr="00744817">
        <w:trPr>
          <w:trHeight w:val="57"/>
          <w:jc w:val="center"/>
        </w:trPr>
        <w:tc>
          <w:tcPr>
            <w:tcW w:w="5679" w:type="dxa"/>
            <w:tcBorders>
              <w:top w:val="single" w:sz="18" w:space="0" w:color="auto"/>
              <w:left w:val="nil"/>
              <w:bottom w:val="nil"/>
              <w:right w:val="nil"/>
            </w:tcBorders>
            <w:noWrap/>
            <w:vAlign w:val="bottom"/>
            <w:hideMark/>
          </w:tcPr>
          <w:p w14:paraId="487D3732"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Age at presentation (In years)</w:t>
            </w:r>
          </w:p>
        </w:tc>
        <w:tc>
          <w:tcPr>
            <w:tcW w:w="1685" w:type="dxa"/>
            <w:tcBorders>
              <w:top w:val="single" w:sz="18" w:space="0" w:color="auto"/>
              <w:left w:val="nil"/>
              <w:bottom w:val="nil"/>
              <w:right w:val="nil"/>
            </w:tcBorders>
            <w:noWrap/>
            <w:vAlign w:val="bottom"/>
            <w:hideMark/>
          </w:tcPr>
          <w:p w14:paraId="06BB45BF"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tcBorders>
              <w:top w:val="single" w:sz="18" w:space="0" w:color="auto"/>
              <w:left w:val="nil"/>
              <w:bottom w:val="nil"/>
              <w:right w:val="nil"/>
            </w:tcBorders>
            <w:noWrap/>
            <w:vAlign w:val="bottom"/>
            <w:hideMark/>
          </w:tcPr>
          <w:p w14:paraId="596F55E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59C0D7BF" w14:textId="77777777" w:rsidTr="00744817">
        <w:trPr>
          <w:trHeight w:val="57"/>
          <w:jc w:val="center"/>
        </w:trPr>
        <w:tc>
          <w:tcPr>
            <w:tcW w:w="5679" w:type="dxa"/>
            <w:noWrap/>
            <w:vAlign w:val="bottom"/>
            <w:hideMark/>
          </w:tcPr>
          <w:p w14:paraId="7EBE2EBA"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 8</w:t>
            </w:r>
          </w:p>
        </w:tc>
        <w:tc>
          <w:tcPr>
            <w:tcW w:w="1685" w:type="dxa"/>
            <w:noWrap/>
            <w:vAlign w:val="bottom"/>
            <w:hideMark/>
          </w:tcPr>
          <w:p w14:paraId="61139133"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18</w:t>
            </w:r>
          </w:p>
        </w:tc>
        <w:tc>
          <w:tcPr>
            <w:tcW w:w="1718" w:type="dxa"/>
            <w:noWrap/>
            <w:vAlign w:val="bottom"/>
            <w:hideMark/>
          </w:tcPr>
          <w:p w14:paraId="46B646A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9</w:t>
            </w:r>
          </w:p>
        </w:tc>
      </w:tr>
      <w:tr w:rsidR="006C6511" w:rsidRPr="000A621C" w14:paraId="652644F8" w14:textId="77777777" w:rsidTr="00744817">
        <w:trPr>
          <w:trHeight w:val="57"/>
          <w:jc w:val="center"/>
        </w:trPr>
        <w:tc>
          <w:tcPr>
            <w:tcW w:w="5679" w:type="dxa"/>
            <w:noWrap/>
            <w:vAlign w:val="bottom"/>
            <w:hideMark/>
          </w:tcPr>
          <w:p w14:paraId="56218FE1"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9-13</w:t>
            </w:r>
          </w:p>
        </w:tc>
        <w:tc>
          <w:tcPr>
            <w:tcW w:w="1685" w:type="dxa"/>
            <w:noWrap/>
            <w:vAlign w:val="bottom"/>
            <w:hideMark/>
          </w:tcPr>
          <w:p w14:paraId="60998E3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93</w:t>
            </w:r>
          </w:p>
        </w:tc>
        <w:tc>
          <w:tcPr>
            <w:tcW w:w="1718" w:type="dxa"/>
            <w:noWrap/>
            <w:vAlign w:val="bottom"/>
            <w:hideMark/>
          </w:tcPr>
          <w:p w14:paraId="7DF2C2C0"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46.3</w:t>
            </w:r>
          </w:p>
        </w:tc>
      </w:tr>
      <w:tr w:rsidR="006C6511" w:rsidRPr="000A621C" w14:paraId="337AAF08" w14:textId="77777777" w:rsidTr="00744817">
        <w:trPr>
          <w:trHeight w:val="57"/>
          <w:jc w:val="center"/>
        </w:trPr>
        <w:tc>
          <w:tcPr>
            <w:tcW w:w="5679" w:type="dxa"/>
            <w:noWrap/>
            <w:vAlign w:val="bottom"/>
            <w:hideMark/>
          </w:tcPr>
          <w:p w14:paraId="0830DCCD"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&gt;13</w:t>
            </w:r>
          </w:p>
        </w:tc>
        <w:tc>
          <w:tcPr>
            <w:tcW w:w="1685" w:type="dxa"/>
            <w:noWrap/>
            <w:vAlign w:val="bottom"/>
            <w:hideMark/>
          </w:tcPr>
          <w:p w14:paraId="55935DD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90</w:t>
            </w:r>
          </w:p>
        </w:tc>
        <w:tc>
          <w:tcPr>
            <w:tcW w:w="1718" w:type="dxa"/>
            <w:noWrap/>
            <w:vAlign w:val="bottom"/>
            <w:hideMark/>
          </w:tcPr>
          <w:p w14:paraId="1184ECBC"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44.7</w:t>
            </w:r>
          </w:p>
        </w:tc>
      </w:tr>
      <w:tr w:rsidR="006C6511" w:rsidRPr="000A621C" w14:paraId="0F525B2E" w14:textId="77777777" w:rsidTr="00744817">
        <w:trPr>
          <w:trHeight w:val="57"/>
          <w:jc w:val="center"/>
        </w:trPr>
        <w:tc>
          <w:tcPr>
            <w:tcW w:w="5679" w:type="dxa"/>
            <w:noWrap/>
            <w:vAlign w:val="bottom"/>
            <w:hideMark/>
          </w:tcPr>
          <w:p w14:paraId="04998B5E" w14:textId="77777777" w:rsidR="006C6511" w:rsidRPr="000A621C" w:rsidRDefault="006C6511" w:rsidP="00744817">
            <w:pPr>
              <w:spacing w:after="0" w:line="240" w:lineRule="auto"/>
              <w:ind w:left="341"/>
              <w:jc w:val="both"/>
              <w:rPr>
                <w:rFonts w:ascii="Times New Roman" w:eastAsia="Times New Roman" w:hAnsi="Times New Roman" w:cs="Times New Roman"/>
                <w:i/>
                <w:iCs/>
              </w:rPr>
            </w:pPr>
            <w:r w:rsidRPr="000A621C">
              <w:rPr>
                <w:rFonts w:ascii="Times New Roman" w:eastAsia="Times New Roman" w:hAnsi="Times New Roman" w:cs="Times New Roman"/>
                <w:i/>
                <w:iCs/>
              </w:rPr>
              <w:t>Mean (SD)</w:t>
            </w:r>
          </w:p>
        </w:tc>
        <w:tc>
          <w:tcPr>
            <w:tcW w:w="1685" w:type="dxa"/>
            <w:noWrap/>
            <w:vAlign w:val="bottom"/>
            <w:hideMark/>
          </w:tcPr>
          <w:p w14:paraId="1184573D" w14:textId="77777777" w:rsidR="006C6511" w:rsidRPr="000A621C" w:rsidRDefault="006C6511" w:rsidP="00744817">
            <w:pPr>
              <w:spacing w:after="0" w:line="240" w:lineRule="auto"/>
              <w:jc w:val="both"/>
              <w:rPr>
                <w:rFonts w:ascii="Times New Roman" w:eastAsia="Times New Roman" w:hAnsi="Times New Roman" w:cs="Times New Roman"/>
                <w:i/>
                <w:iCs/>
              </w:rPr>
            </w:pPr>
            <w:r w:rsidRPr="000A621C">
              <w:rPr>
                <w:rFonts w:ascii="Times New Roman" w:eastAsia="Times New Roman" w:hAnsi="Times New Roman" w:cs="Times New Roman"/>
                <w:i/>
                <w:iCs/>
              </w:rPr>
              <w:t>12.9(3.11)</w:t>
            </w:r>
          </w:p>
        </w:tc>
        <w:tc>
          <w:tcPr>
            <w:tcW w:w="1718" w:type="dxa"/>
            <w:noWrap/>
            <w:vAlign w:val="bottom"/>
          </w:tcPr>
          <w:p w14:paraId="1D137A95"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58AE7DFD" w14:textId="77777777" w:rsidTr="00744817">
        <w:trPr>
          <w:trHeight w:val="57"/>
          <w:jc w:val="center"/>
        </w:trPr>
        <w:tc>
          <w:tcPr>
            <w:tcW w:w="5679" w:type="dxa"/>
            <w:noWrap/>
            <w:vAlign w:val="bottom"/>
            <w:hideMark/>
          </w:tcPr>
          <w:p w14:paraId="6580BE4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Age at Diagnosis (in Years)</w:t>
            </w:r>
          </w:p>
        </w:tc>
        <w:tc>
          <w:tcPr>
            <w:tcW w:w="1685" w:type="dxa"/>
            <w:noWrap/>
            <w:vAlign w:val="bottom"/>
            <w:hideMark/>
          </w:tcPr>
          <w:p w14:paraId="17100648"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5CCDA7E2"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7F1C0A8" w14:textId="77777777" w:rsidTr="00744817">
        <w:trPr>
          <w:trHeight w:val="57"/>
          <w:jc w:val="center"/>
        </w:trPr>
        <w:tc>
          <w:tcPr>
            <w:tcW w:w="5679" w:type="dxa"/>
            <w:noWrap/>
            <w:vAlign w:val="bottom"/>
            <w:hideMark/>
          </w:tcPr>
          <w:p w14:paraId="39243A89"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&gt;=8</w:t>
            </w:r>
          </w:p>
        </w:tc>
        <w:tc>
          <w:tcPr>
            <w:tcW w:w="1685" w:type="dxa"/>
            <w:noWrap/>
            <w:vAlign w:val="bottom"/>
            <w:hideMark/>
          </w:tcPr>
          <w:p w14:paraId="3DE67BA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65</w:t>
            </w:r>
          </w:p>
        </w:tc>
        <w:tc>
          <w:tcPr>
            <w:tcW w:w="1718" w:type="dxa"/>
            <w:noWrap/>
            <w:vAlign w:val="bottom"/>
            <w:hideMark/>
          </w:tcPr>
          <w:p w14:paraId="4E218B8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32.3</w:t>
            </w:r>
          </w:p>
        </w:tc>
      </w:tr>
      <w:tr w:rsidR="006C6511" w:rsidRPr="000A621C" w14:paraId="3541CCE6" w14:textId="77777777" w:rsidTr="00744817">
        <w:trPr>
          <w:trHeight w:val="57"/>
          <w:jc w:val="center"/>
        </w:trPr>
        <w:tc>
          <w:tcPr>
            <w:tcW w:w="5679" w:type="dxa"/>
            <w:noWrap/>
            <w:vAlign w:val="bottom"/>
            <w:hideMark/>
          </w:tcPr>
          <w:p w14:paraId="1078E359"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9-13</w:t>
            </w:r>
          </w:p>
        </w:tc>
        <w:tc>
          <w:tcPr>
            <w:tcW w:w="1685" w:type="dxa"/>
            <w:noWrap/>
            <w:vAlign w:val="bottom"/>
            <w:hideMark/>
          </w:tcPr>
          <w:p w14:paraId="08B6799E"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100</w:t>
            </w:r>
          </w:p>
        </w:tc>
        <w:tc>
          <w:tcPr>
            <w:tcW w:w="1718" w:type="dxa"/>
            <w:noWrap/>
            <w:vAlign w:val="bottom"/>
            <w:hideMark/>
          </w:tcPr>
          <w:p w14:paraId="5B646349"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49.8</w:t>
            </w:r>
          </w:p>
        </w:tc>
      </w:tr>
      <w:tr w:rsidR="006C6511" w:rsidRPr="000A621C" w14:paraId="0610BDA3" w14:textId="77777777" w:rsidTr="00744817">
        <w:trPr>
          <w:trHeight w:val="57"/>
          <w:jc w:val="center"/>
        </w:trPr>
        <w:tc>
          <w:tcPr>
            <w:tcW w:w="5679" w:type="dxa"/>
            <w:noWrap/>
            <w:vAlign w:val="bottom"/>
            <w:hideMark/>
          </w:tcPr>
          <w:p w14:paraId="385E642E" w14:textId="77777777" w:rsidR="006C6511" w:rsidRPr="000A621C" w:rsidRDefault="006C6511"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&gt;13</w:t>
            </w:r>
          </w:p>
        </w:tc>
        <w:tc>
          <w:tcPr>
            <w:tcW w:w="1685" w:type="dxa"/>
            <w:noWrap/>
            <w:vAlign w:val="bottom"/>
            <w:hideMark/>
          </w:tcPr>
          <w:p w14:paraId="1835FD46"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36</w:t>
            </w:r>
          </w:p>
        </w:tc>
        <w:tc>
          <w:tcPr>
            <w:tcW w:w="1718" w:type="dxa"/>
            <w:noWrap/>
            <w:vAlign w:val="bottom"/>
            <w:hideMark/>
          </w:tcPr>
          <w:p w14:paraId="6A42219F" w14:textId="77777777" w:rsidR="006C6511" w:rsidRPr="000A621C" w:rsidRDefault="006C6511" w:rsidP="007448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17.9</w:t>
            </w:r>
          </w:p>
        </w:tc>
      </w:tr>
      <w:tr w:rsidR="006C6511" w:rsidRPr="000A621C" w14:paraId="6C693C26" w14:textId="77777777" w:rsidTr="00744817">
        <w:trPr>
          <w:trHeight w:val="57"/>
          <w:jc w:val="center"/>
        </w:trPr>
        <w:tc>
          <w:tcPr>
            <w:tcW w:w="5679" w:type="dxa"/>
            <w:noWrap/>
            <w:vAlign w:val="bottom"/>
            <w:hideMark/>
          </w:tcPr>
          <w:p w14:paraId="4B47C6C5"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i/>
                <w:iCs/>
              </w:rPr>
              <w:t>Mean (SD)</w:t>
            </w:r>
          </w:p>
        </w:tc>
        <w:tc>
          <w:tcPr>
            <w:tcW w:w="1685" w:type="dxa"/>
            <w:noWrap/>
            <w:vAlign w:val="bottom"/>
            <w:hideMark/>
          </w:tcPr>
          <w:p w14:paraId="1BA1420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i/>
                <w:iCs/>
              </w:rPr>
              <w:t>12.9(3.11)</w:t>
            </w:r>
          </w:p>
        </w:tc>
        <w:tc>
          <w:tcPr>
            <w:tcW w:w="1718" w:type="dxa"/>
            <w:noWrap/>
            <w:vAlign w:val="bottom"/>
          </w:tcPr>
          <w:p w14:paraId="146E741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02DFFEC" w14:textId="77777777" w:rsidTr="00744817">
        <w:trPr>
          <w:trHeight w:val="57"/>
          <w:jc w:val="center"/>
        </w:trPr>
        <w:tc>
          <w:tcPr>
            <w:tcW w:w="5679" w:type="dxa"/>
            <w:noWrap/>
            <w:vAlign w:val="bottom"/>
            <w:hideMark/>
          </w:tcPr>
          <w:p w14:paraId="1C355FD0"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Sex of the participant</w:t>
            </w:r>
          </w:p>
        </w:tc>
        <w:tc>
          <w:tcPr>
            <w:tcW w:w="1685" w:type="dxa"/>
            <w:noWrap/>
            <w:vAlign w:val="bottom"/>
            <w:hideMark/>
          </w:tcPr>
          <w:p w14:paraId="46A9788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E81448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471BA3A7" w14:textId="77777777" w:rsidTr="00744817">
        <w:trPr>
          <w:trHeight w:val="57"/>
          <w:jc w:val="center"/>
        </w:trPr>
        <w:tc>
          <w:tcPr>
            <w:tcW w:w="5679" w:type="dxa"/>
            <w:noWrap/>
            <w:vAlign w:val="bottom"/>
            <w:hideMark/>
          </w:tcPr>
          <w:p w14:paraId="2FBFF2B4"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Female</w:t>
            </w:r>
          </w:p>
        </w:tc>
        <w:tc>
          <w:tcPr>
            <w:tcW w:w="1685" w:type="dxa"/>
            <w:noWrap/>
            <w:vAlign w:val="bottom"/>
            <w:hideMark/>
          </w:tcPr>
          <w:p w14:paraId="71CEA18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112</w:t>
            </w:r>
          </w:p>
        </w:tc>
        <w:tc>
          <w:tcPr>
            <w:tcW w:w="1718" w:type="dxa"/>
            <w:noWrap/>
            <w:vAlign w:val="bottom"/>
            <w:hideMark/>
          </w:tcPr>
          <w:p w14:paraId="1F16C1F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55.7</w:t>
            </w:r>
          </w:p>
        </w:tc>
      </w:tr>
      <w:tr w:rsidR="006C6511" w:rsidRPr="000A621C" w14:paraId="326CB9DC" w14:textId="77777777" w:rsidTr="00744817">
        <w:trPr>
          <w:trHeight w:val="57"/>
          <w:jc w:val="center"/>
        </w:trPr>
        <w:tc>
          <w:tcPr>
            <w:tcW w:w="5679" w:type="dxa"/>
            <w:noWrap/>
            <w:vAlign w:val="bottom"/>
            <w:hideMark/>
          </w:tcPr>
          <w:p w14:paraId="0A621AB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Male</w:t>
            </w:r>
          </w:p>
        </w:tc>
        <w:tc>
          <w:tcPr>
            <w:tcW w:w="1685" w:type="dxa"/>
            <w:noWrap/>
            <w:vAlign w:val="bottom"/>
            <w:hideMark/>
          </w:tcPr>
          <w:p w14:paraId="70A8425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89</w:t>
            </w:r>
          </w:p>
        </w:tc>
        <w:tc>
          <w:tcPr>
            <w:tcW w:w="1718" w:type="dxa"/>
            <w:noWrap/>
            <w:vAlign w:val="bottom"/>
            <w:hideMark/>
          </w:tcPr>
          <w:p w14:paraId="0205C53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44.3</w:t>
            </w:r>
          </w:p>
        </w:tc>
      </w:tr>
      <w:tr w:rsidR="006C6511" w:rsidRPr="000A621C" w14:paraId="66504132" w14:textId="77777777" w:rsidTr="00744817">
        <w:trPr>
          <w:trHeight w:val="57"/>
          <w:jc w:val="center"/>
        </w:trPr>
        <w:tc>
          <w:tcPr>
            <w:tcW w:w="5679" w:type="dxa"/>
            <w:noWrap/>
            <w:vAlign w:val="bottom"/>
            <w:hideMark/>
          </w:tcPr>
          <w:p w14:paraId="1022FAB4"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Participants education level</w:t>
            </w:r>
          </w:p>
        </w:tc>
        <w:tc>
          <w:tcPr>
            <w:tcW w:w="1685" w:type="dxa"/>
            <w:noWrap/>
            <w:vAlign w:val="bottom"/>
            <w:hideMark/>
          </w:tcPr>
          <w:p w14:paraId="28F88456"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0F9B2E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D6C9732" w14:textId="77777777" w:rsidTr="00744817">
        <w:trPr>
          <w:trHeight w:val="57"/>
          <w:jc w:val="center"/>
        </w:trPr>
        <w:tc>
          <w:tcPr>
            <w:tcW w:w="5679" w:type="dxa"/>
            <w:noWrap/>
            <w:vAlign w:val="bottom"/>
            <w:hideMark/>
          </w:tcPr>
          <w:p w14:paraId="2FE204BD"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Kindergarten/day care</w:t>
            </w:r>
          </w:p>
        </w:tc>
        <w:tc>
          <w:tcPr>
            <w:tcW w:w="1685" w:type="dxa"/>
            <w:noWrap/>
            <w:vAlign w:val="bottom"/>
            <w:hideMark/>
          </w:tcPr>
          <w:p w14:paraId="0CDC9DE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w:t>
            </w:r>
          </w:p>
        </w:tc>
        <w:tc>
          <w:tcPr>
            <w:tcW w:w="1718" w:type="dxa"/>
            <w:noWrap/>
            <w:vAlign w:val="bottom"/>
            <w:hideMark/>
          </w:tcPr>
          <w:p w14:paraId="06A184B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w:t>
            </w:r>
          </w:p>
        </w:tc>
      </w:tr>
      <w:tr w:rsidR="006C6511" w:rsidRPr="000A621C" w14:paraId="2CB6D93B" w14:textId="77777777" w:rsidTr="00744817">
        <w:trPr>
          <w:trHeight w:val="57"/>
          <w:jc w:val="center"/>
        </w:trPr>
        <w:tc>
          <w:tcPr>
            <w:tcW w:w="5679" w:type="dxa"/>
            <w:noWrap/>
            <w:vAlign w:val="bottom"/>
            <w:hideMark/>
          </w:tcPr>
          <w:p w14:paraId="49F16701"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w:t>
            </w:r>
          </w:p>
        </w:tc>
        <w:tc>
          <w:tcPr>
            <w:tcW w:w="1685" w:type="dxa"/>
            <w:noWrap/>
            <w:vAlign w:val="bottom"/>
            <w:hideMark/>
          </w:tcPr>
          <w:p w14:paraId="4D09655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74</w:t>
            </w:r>
          </w:p>
        </w:tc>
        <w:tc>
          <w:tcPr>
            <w:tcW w:w="1718" w:type="dxa"/>
            <w:noWrap/>
            <w:vAlign w:val="bottom"/>
            <w:hideMark/>
          </w:tcPr>
          <w:p w14:paraId="7C8245A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36.8</w:t>
            </w:r>
          </w:p>
        </w:tc>
      </w:tr>
      <w:tr w:rsidR="006C6511" w:rsidRPr="000A621C" w14:paraId="7DDC4437" w14:textId="77777777" w:rsidTr="00744817">
        <w:trPr>
          <w:trHeight w:val="57"/>
          <w:jc w:val="center"/>
        </w:trPr>
        <w:tc>
          <w:tcPr>
            <w:tcW w:w="5679" w:type="dxa"/>
            <w:noWrap/>
            <w:vAlign w:val="bottom"/>
            <w:hideMark/>
          </w:tcPr>
          <w:p w14:paraId="7DB883D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w:t>
            </w:r>
          </w:p>
        </w:tc>
        <w:tc>
          <w:tcPr>
            <w:tcW w:w="1685" w:type="dxa"/>
            <w:noWrap/>
            <w:vAlign w:val="bottom"/>
            <w:hideMark/>
          </w:tcPr>
          <w:p w14:paraId="2AA8013E"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121</w:t>
            </w:r>
          </w:p>
        </w:tc>
        <w:tc>
          <w:tcPr>
            <w:tcW w:w="1718" w:type="dxa"/>
            <w:noWrap/>
            <w:vAlign w:val="bottom"/>
            <w:hideMark/>
          </w:tcPr>
          <w:p w14:paraId="0A446B7D"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60.2</w:t>
            </w:r>
          </w:p>
        </w:tc>
      </w:tr>
      <w:tr w:rsidR="006C6511" w:rsidRPr="000A621C" w14:paraId="11A01D51" w14:textId="77777777" w:rsidTr="00744817">
        <w:trPr>
          <w:trHeight w:val="57"/>
          <w:jc w:val="center"/>
        </w:trPr>
        <w:tc>
          <w:tcPr>
            <w:tcW w:w="5679" w:type="dxa"/>
            <w:noWrap/>
            <w:vAlign w:val="bottom"/>
            <w:hideMark/>
          </w:tcPr>
          <w:p w14:paraId="0631FFD3"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Mother's education level</w:t>
            </w:r>
          </w:p>
        </w:tc>
        <w:tc>
          <w:tcPr>
            <w:tcW w:w="1685" w:type="dxa"/>
            <w:noWrap/>
            <w:vAlign w:val="bottom"/>
            <w:hideMark/>
          </w:tcPr>
          <w:p w14:paraId="472FEF49"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4FB8EC0"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3C7F3C6C" w14:textId="77777777" w:rsidTr="00744817">
        <w:trPr>
          <w:trHeight w:val="57"/>
          <w:jc w:val="center"/>
        </w:trPr>
        <w:tc>
          <w:tcPr>
            <w:tcW w:w="5679" w:type="dxa"/>
            <w:noWrap/>
            <w:vAlign w:val="bottom"/>
            <w:hideMark/>
          </w:tcPr>
          <w:p w14:paraId="46915D6E"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 formal education</w:t>
            </w:r>
          </w:p>
        </w:tc>
        <w:tc>
          <w:tcPr>
            <w:tcW w:w="1685" w:type="dxa"/>
            <w:noWrap/>
            <w:vAlign w:val="bottom"/>
            <w:hideMark/>
          </w:tcPr>
          <w:p w14:paraId="51BA16D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w:t>
            </w:r>
          </w:p>
        </w:tc>
        <w:tc>
          <w:tcPr>
            <w:tcW w:w="1718" w:type="dxa"/>
            <w:noWrap/>
            <w:vAlign w:val="bottom"/>
            <w:hideMark/>
          </w:tcPr>
          <w:p w14:paraId="6B0BBDD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0.5</w:t>
            </w:r>
          </w:p>
        </w:tc>
      </w:tr>
      <w:tr w:rsidR="006C6511" w:rsidRPr="000A621C" w14:paraId="494219E9" w14:textId="77777777" w:rsidTr="00744817">
        <w:trPr>
          <w:trHeight w:val="57"/>
          <w:jc w:val="center"/>
        </w:trPr>
        <w:tc>
          <w:tcPr>
            <w:tcW w:w="5679" w:type="dxa"/>
            <w:noWrap/>
            <w:vAlign w:val="bottom"/>
            <w:hideMark/>
          </w:tcPr>
          <w:p w14:paraId="783DC82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 education</w:t>
            </w:r>
          </w:p>
        </w:tc>
        <w:tc>
          <w:tcPr>
            <w:tcW w:w="1685" w:type="dxa"/>
            <w:noWrap/>
            <w:vAlign w:val="bottom"/>
            <w:hideMark/>
          </w:tcPr>
          <w:p w14:paraId="7535A1D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31</w:t>
            </w:r>
          </w:p>
        </w:tc>
        <w:tc>
          <w:tcPr>
            <w:tcW w:w="1718" w:type="dxa"/>
            <w:noWrap/>
            <w:vAlign w:val="bottom"/>
            <w:hideMark/>
          </w:tcPr>
          <w:p w14:paraId="258DBAC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15.3</w:t>
            </w:r>
          </w:p>
        </w:tc>
      </w:tr>
      <w:tr w:rsidR="006C6511" w:rsidRPr="000A621C" w14:paraId="0928B360" w14:textId="77777777" w:rsidTr="00744817">
        <w:trPr>
          <w:trHeight w:val="57"/>
          <w:jc w:val="center"/>
        </w:trPr>
        <w:tc>
          <w:tcPr>
            <w:tcW w:w="5679" w:type="dxa"/>
            <w:noWrap/>
            <w:vAlign w:val="bottom"/>
            <w:hideMark/>
          </w:tcPr>
          <w:p w14:paraId="07E8E866"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 education</w:t>
            </w:r>
          </w:p>
        </w:tc>
        <w:tc>
          <w:tcPr>
            <w:tcW w:w="1685" w:type="dxa"/>
            <w:noWrap/>
            <w:vAlign w:val="bottom"/>
            <w:hideMark/>
          </w:tcPr>
          <w:p w14:paraId="0D2841F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105</w:t>
            </w:r>
          </w:p>
        </w:tc>
        <w:tc>
          <w:tcPr>
            <w:tcW w:w="1718" w:type="dxa"/>
            <w:noWrap/>
            <w:vAlign w:val="bottom"/>
            <w:hideMark/>
          </w:tcPr>
          <w:p w14:paraId="5C782B79"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52.2</w:t>
            </w:r>
          </w:p>
        </w:tc>
      </w:tr>
      <w:tr w:rsidR="006C6511" w:rsidRPr="000A621C" w14:paraId="4E599425" w14:textId="77777777" w:rsidTr="00744817">
        <w:trPr>
          <w:trHeight w:val="57"/>
          <w:jc w:val="center"/>
        </w:trPr>
        <w:tc>
          <w:tcPr>
            <w:tcW w:w="5679" w:type="dxa"/>
            <w:noWrap/>
            <w:vAlign w:val="bottom"/>
            <w:hideMark/>
          </w:tcPr>
          <w:p w14:paraId="79762B5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College and above</w:t>
            </w:r>
          </w:p>
        </w:tc>
        <w:tc>
          <w:tcPr>
            <w:tcW w:w="1685" w:type="dxa"/>
            <w:noWrap/>
            <w:vAlign w:val="bottom"/>
            <w:hideMark/>
          </w:tcPr>
          <w:p w14:paraId="456A5F2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64</w:t>
            </w:r>
          </w:p>
        </w:tc>
        <w:tc>
          <w:tcPr>
            <w:tcW w:w="1718" w:type="dxa"/>
            <w:noWrap/>
            <w:vAlign w:val="bottom"/>
            <w:hideMark/>
          </w:tcPr>
          <w:p w14:paraId="1CD2642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31.8</w:t>
            </w:r>
          </w:p>
        </w:tc>
      </w:tr>
      <w:tr w:rsidR="006C6511" w:rsidRPr="000A621C" w14:paraId="7788EF50" w14:textId="77777777" w:rsidTr="00744817">
        <w:trPr>
          <w:trHeight w:val="57"/>
          <w:jc w:val="center"/>
        </w:trPr>
        <w:tc>
          <w:tcPr>
            <w:tcW w:w="5679" w:type="dxa"/>
            <w:noWrap/>
            <w:vAlign w:val="bottom"/>
            <w:hideMark/>
          </w:tcPr>
          <w:p w14:paraId="5D953711"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Father’s education</w:t>
            </w:r>
          </w:p>
        </w:tc>
        <w:tc>
          <w:tcPr>
            <w:tcW w:w="1685" w:type="dxa"/>
            <w:noWrap/>
            <w:vAlign w:val="bottom"/>
            <w:hideMark/>
          </w:tcPr>
          <w:p w14:paraId="406E6908"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66C03A49"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1C747C35" w14:textId="77777777" w:rsidTr="00744817">
        <w:trPr>
          <w:trHeight w:val="57"/>
          <w:jc w:val="center"/>
        </w:trPr>
        <w:tc>
          <w:tcPr>
            <w:tcW w:w="5679" w:type="dxa"/>
            <w:noWrap/>
            <w:vAlign w:val="bottom"/>
            <w:hideMark/>
          </w:tcPr>
          <w:p w14:paraId="5B51C65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 formal education</w:t>
            </w:r>
          </w:p>
        </w:tc>
        <w:tc>
          <w:tcPr>
            <w:tcW w:w="1685" w:type="dxa"/>
            <w:noWrap/>
            <w:vAlign w:val="bottom"/>
            <w:hideMark/>
          </w:tcPr>
          <w:p w14:paraId="6B34238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w:t>
            </w:r>
          </w:p>
        </w:tc>
        <w:tc>
          <w:tcPr>
            <w:tcW w:w="1718" w:type="dxa"/>
            <w:noWrap/>
            <w:vAlign w:val="bottom"/>
            <w:hideMark/>
          </w:tcPr>
          <w:p w14:paraId="4A438C9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0.5</w:t>
            </w:r>
          </w:p>
        </w:tc>
      </w:tr>
      <w:tr w:rsidR="006C6511" w:rsidRPr="000A621C" w14:paraId="712C8406" w14:textId="77777777" w:rsidTr="00744817">
        <w:trPr>
          <w:trHeight w:val="57"/>
          <w:jc w:val="center"/>
        </w:trPr>
        <w:tc>
          <w:tcPr>
            <w:tcW w:w="5679" w:type="dxa"/>
            <w:noWrap/>
            <w:vAlign w:val="bottom"/>
            <w:hideMark/>
          </w:tcPr>
          <w:p w14:paraId="3BCDB57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Primary education</w:t>
            </w:r>
          </w:p>
        </w:tc>
        <w:tc>
          <w:tcPr>
            <w:tcW w:w="1685" w:type="dxa"/>
            <w:noWrap/>
            <w:vAlign w:val="bottom"/>
            <w:hideMark/>
          </w:tcPr>
          <w:p w14:paraId="5DB6DF75"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19</w:t>
            </w:r>
          </w:p>
        </w:tc>
        <w:tc>
          <w:tcPr>
            <w:tcW w:w="1718" w:type="dxa"/>
            <w:noWrap/>
            <w:vAlign w:val="bottom"/>
            <w:hideMark/>
          </w:tcPr>
          <w:p w14:paraId="4BA76DCF"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9.5</w:t>
            </w:r>
          </w:p>
        </w:tc>
      </w:tr>
      <w:tr w:rsidR="006C6511" w:rsidRPr="000A621C" w14:paraId="6141C3AE" w14:textId="77777777" w:rsidTr="00744817">
        <w:trPr>
          <w:trHeight w:val="57"/>
          <w:jc w:val="center"/>
        </w:trPr>
        <w:tc>
          <w:tcPr>
            <w:tcW w:w="5679" w:type="dxa"/>
            <w:noWrap/>
            <w:vAlign w:val="bottom"/>
            <w:hideMark/>
          </w:tcPr>
          <w:p w14:paraId="53D1D49D"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Secondary education</w:t>
            </w:r>
          </w:p>
        </w:tc>
        <w:tc>
          <w:tcPr>
            <w:tcW w:w="1685" w:type="dxa"/>
            <w:noWrap/>
            <w:vAlign w:val="bottom"/>
            <w:hideMark/>
          </w:tcPr>
          <w:p w14:paraId="33D65D6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79</w:t>
            </w:r>
          </w:p>
        </w:tc>
        <w:tc>
          <w:tcPr>
            <w:tcW w:w="1718" w:type="dxa"/>
            <w:noWrap/>
            <w:vAlign w:val="bottom"/>
            <w:hideMark/>
          </w:tcPr>
          <w:p w14:paraId="41C943F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39.3</w:t>
            </w:r>
          </w:p>
        </w:tc>
      </w:tr>
      <w:tr w:rsidR="006C6511" w:rsidRPr="000A621C" w14:paraId="41FDD2AD" w14:textId="77777777" w:rsidTr="00744817">
        <w:trPr>
          <w:trHeight w:val="57"/>
          <w:jc w:val="center"/>
        </w:trPr>
        <w:tc>
          <w:tcPr>
            <w:tcW w:w="5679" w:type="dxa"/>
            <w:noWrap/>
            <w:vAlign w:val="bottom"/>
            <w:hideMark/>
          </w:tcPr>
          <w:p w14:paraId="32FCDFB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College and above</w:t>
            </w:r>
          </w:p>
        </w:tc>
        <w:tc>
          <w:tcPr>
            <w:tcW w:w="1685" w:type="dxa"/>
            <w:noWrap/>
            <w:vAlign w:val="bottom"/>
            <w:hideMark/>
          </w:tcPr>
          <w:p w14:paraId="2A1EA8AD"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102</w:t>
            </w:r>
          </w:p>
        </w:tc>
        <w:tc>
          <w:tcPr>
            <w:tcW w:w="1718" w:type="dxa"/>
            <w:noWrap/>
            <w:vAlign w:val="bottom"/>
            <w:hideMark/>
          </w:tcPr>
          <w:p w14:paraId="7539B5B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50.7</w:t>
            </w:r>
          </w:p>
        </w:tc>
      </w:tr>
      <w:tr w:rsidR="006C6511" w:rsidRPr="000A621C" w14:paraId="5990D64D" w14:textId="77777777" w:rsidTr="00744817">
        <w:trPr>
          <w:trHeight w:val="57"/>
          <w:jc w:val="center"/>
        </w:trPr>
        <w:tc>
          <w:tcPr>
            <w:tcW w:w="5679" w:type="dxa"/>
            <w:noWrap/>
            <w:vAlign w:val="bottom"/>
            <w:hideMark/>
          </w:tcPr>
          <w:p w14:paraId="4188078C"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Residence location</w:t>
            </w:r>
          </w:p>
        </w:tc>
        <w:tc>
          <w:tcPr>
            <w:tcW w:w="1685" w:type="dxa"/>
            <w:noWrap/>
            <w:vAlign w:val="bottom"/>
            <w:hideMark/>
          </w:tcPr>
          <w:p w14:paraId="1A96516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3BD2067"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79C7734C" w14:textId="77777777" w:rsidTr="00744817">
        <w:trPr>
          <w:trHeight w:val="57"/>
          <w:jc w:val="center"/>
        </w:trPr>
        <w:tc>
          <w:tcPr>
            <w:tcW w:w="5679" w:type="dxa"/>
            <w:noWrap/>
            <w:vAlign w:val="bottom"/>
            <w:hideMark/>
          </w:tcPr>
          <w:p w14:paraId="247A1B5F"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Rural</w:t>
            </w:r>
          </w:p>
        </w:tc>
        <w:tc>
          <w:tcPr>
            <w:tcW w:w="1685" w:type="dxa"/>
            <w:noWrap/>
            <w:vAlign w:val="bottom"/>
            <w:hideMark/>
          </w:tcPr>
          <w:p w14:paraId="7B78C55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55</w:t>
            </w:r>
          </w:p>
        </w:tc>
        <w:tc>
          <w:tcPr>
            <w:tcW w:w="1718" w:type="dxa"/>
            <w:noWrap/>
            <w:vAlign w:val="bottom"/>
            <w:hideMark/>
          </w:tcPr>
          <w:p w14:paraId="6338169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27.4</w:t>
            </w:r>
          </w:p>
        </w:tc>
      </w:tr>
      <w:tr w:rsidR="006C6511" w:rsidRPr="000A621C" w14:paraId="6C50971A" w14:textId="77777777" w:rsidTr="00744817">
        <w:trPr>
          <w:trHeight w:val="57"/>
          <w:jc w:val="center"/>
        </w:trPr>
        <w:tc>
          <w:tcPr>
            <w:tcW w:w="5679" w:type="dxa"/>
            <w:noWrap/>
            <w:vAlign w:val="bottom"/>
            <w:hideMark/>
          </w:tcPr>
          <w:p w14:paraId="739F1FA5"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Urban</w:t>
            </w:r>
          </w:p>
        </w:tc>
        <w:tc>
          <w:tcPr>
            <w:tcW w:w="1685" w:type="dxa"/>
            <w:noWrap/>
            <w:vAlign w:val="bottom"/>
            <w:hideMark/>
          </w:tcPr>
          <w:p w14:paraId="3A8DF2A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146</w:t>
            </w:r>
          </w:p>
        </w:tc>
        <w:tc>
          <w:tcPr>
            <w:tcW w:w="1718" w:type="dxa"/>
            <w:noWrap/>
            <w:vAlign w:val="bottom"/>
            <w:hideMark/>
          </w:tcPr>
          <w:p w14:paraId="72A2D84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72.6</w:t>
            </w:r>
          </w:p>
        </w:tc>
      </w:tr>
      <w:tr w:rsidR="006C6511" w:rsidRPr="000A621C" w14:paraId="2F840870" w14:textId="77777777" w:rsidTr="00744817">
        <w:trPr>
          <w:trHeight w:val="57"/>
          <w:jc w:val="center"/>
        </w:trPr>
        <w:tc>
          <w:tcPr>
            <w:tcW w:w="5679" w:type="dxa"/>
            <w:noWrap/>
            <w:vAlign w:val="bottom"/>
            <w:hideMark/>
          </w:tcPr>
          <w:p w14:paraId="6AC1A2F9"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School type</w:t>
            </w:r>
          </w:p>
        </w:tc>
        <w:tc>
          <w:tcPr>
            <w:tcW w:w="1685" w:type="dxa"/>
            <w:noWrap/>
            <w:vAlign w:val="bottom"/>
            <w:hideMark/>
          </w:tcPr>
          <w:p w14:paraId="21962544"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18207061"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2E205780" w14:textId="77777777" w:rsidTr="00744817">
        <w:trPr>
          <w:trHeight w:val="57"/>
          <w:jc w:val="center"/>
        </w:trPr>
        <w:tc>
          <w:tcPr>
            <w:tcW w:w="5679" w:type="dxa"/>
            <w:noWrap/>
            <w:vAlign w:val="bottom"/>
            <w:hideMark/>
          </w:tcPr>
          <w:p w14:paraId="77448A4C"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Government</w:t>
            </w:r>
          </w:p>
        </w:tc>
        <w:tc>
          <w:tcPr>
            <w:tcW w:w="1685" w:type="dxa"/>
            <w:noWrap/>
            <w:vAlign w:val="bottom"/>
            <w:hideMark/>
          </w:tcPr>
          <w:p w14:paraId="1B7A8F1B"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62</w:t>
            </w:r>
          </w:p>
        </w:tc>
        <w:tc>
          <w:tcPr>
            <w:tcW w:w="1718" w:type="dxa"/>
            <w:noWrap/>
            <w:vAlign w:val="bottom"/>
            <w:hideMark/>
          </w:tcPr>
          <w:p w14:paraId="47D0BE4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30.8</w:t>
            </w:r>
          </w:p>
        </w:tc>
      </w:tr>
      <w:tr w:rsidR="006C6511" w:rsidRPr="000A621C" w14:paraId="13066F9F" w14:textId="77777777" w:rsidTr="00744817">
        <w:trPr>
          <w:trHeight w:val="57"/>
          <w:jc w:val="center"/>
        </w:trPr>
        <w:tc>
          <w:tcPr>
            <w:tcW w:w="5679" w:type="dxa"/>
            <w:noWrap/>
            <w:vAlign w:val="bottom"/>
            <w:hideMark/>
          </w:tcPr>
          <w:p w14:paraId="29C99BB3"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Private</w:t>
            </w:r>
          </w:p>
        </w:tc>
        <w:tc>
          <w:tcPr>
            <w:tcW w:w="1685" w:type="dxa"/>
            <w:noWrap/>
            <w:vAlign w:val="bottom"/>
            <w:hideMark/>
          </w:tcPr>
          <w:p w14:paraId="3666DF7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139</w:t>
            </w:r>
          </w:p>
        </w:tc>
        <w:tc>
          <w:tcPr>
            <w:tcW w:w="1718" w:type="dxa"/>
            <w:noWrap/>
            <w:vAlign w:val="bottom"/>
            <w:hideMark/>
          </w:tcPr>
          <w:p w14:paraId="2397D656"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69.2</w:t>
            </w:r>
          </w:p>
        </w:tc>
      </w:tr>
      <w:tr w:rsidR="006C6511" w:rsidRPr="000A621C" w14:paraId="33238663" w14:textId="77777777" w:rsidTr="00744817">
        <w:trPr>
          <w:trHeight w:val="57"/>
          <w:jc w:val="center"/>
        </w:trPr>
        <w:tc>
          <w:tcPr>
            <w:tcW w:w="5679" w:type="dxa"/>
            <w:noWrap/>
            <w:vAlign w:val="bottom"/>
            <w:hideMark/>
          </w:tcPr>
          <w:p w14:paraId="78F4DA16"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lastRenderedPageBreak/>
              <w:t>Boarding or Day school</w:t>
            </w:r>
          </w:p>
        </w:tc>
        <w:tc>
          <w:tcPr>
            <w:tcW w:w="1685" w:type="dxa"/>
            <w:noWrap/>
            <w:vAlign w:val="bottom"/>
            <w:hideMark/>
          </w:tcPr>
          <w:p w14:paraId="645F6817"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3B291BFD"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22BF8D91" w14:textId="77777777" w:rsidTr="00744817">
        <w:trPr>
          <w:trHeight w:val="57"/>
          <w:jc w:val="center"/>
        </w:trPr>
        <w:tc>
          <w:tcPr>
            <w:tcW w:w="5679" w:type="dxa"/>
            <w:noWrap/>
            <w:vAlign w:val="bottom"/>
            <w:hideMark/>
          </w:tcPr>
          <w:p w14:paraId="74E756C2"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Boarding School</w:t>
            </w:r>
          </w:p>
        </w:tc>
        <w:tc>
          <w:tcPr>
            <w:tcW w:w="1685" w:type="dxa"/>
            <w:noWrap/>
            <w:vAlign w:val="bottom"/>
            <w:hideMark/>
          </w:tcPr>
          <w:p w14:paraId="69F845A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119</w:t>
            </w:r>
          </w:p>
        </w:tc>
        <w:tc>
          <w:tcPr>
            <w:tcW w:w="1718" w:type="dxa"/>
            <w:noWrap/>
            <w:vAlign w:val="bottom"/>
            <w:hideMark/>
          </w:tcPr>
          <w:p w14:paraId="749567E4"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59.2</w:t>
            </w:r>
          </w:p>
        </w:tc>
      </w:tr>
      <w:tr w:rsidR="006C6511" w:rsidRPr="000A621C" w14:paraId="32B49304" w14:textId="77777777" w:rsidTr="00744817">
        <w:trPr>
          <w:trHeight w:val="57"/>
          <w:jc w:val="center"/>
        </w:trPr>
        <w:tc>
          <w:tcPr>
            <w:tcW w:w="5679" w:type="dxa"/>
            <w:noWrap/>
            <w:vAlign w:val="bottom"/>
            <w:hideMark/>
          </w:tcPr>
          <w:p w14:paraId="29A6B158"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Day school</w:t>
            </w:r>
          </w:p>
        </w:tc>
        <w:tc>
          <w:tcPr>
            <w:tcW w:w="1685" w:type="dxa"/>
            <w:noWrap/>
            <w:vAlign w:val="bottom"/>
            <w:hideMark/>
          </w:tcPr>
          <w:p w14:paraId="7AEE4340"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82</w:t>
            </w:r>
          </w:p>
        </w:tc>
        <w:tc>
          <w:tcPr>
            <w:tcW w:w="1718" w:type="dxa"/>
            <w:noWrap/>
            <w:vAlign w:val="bottom"/>
            <w:hideMark/>
          </w:tcPr>
          <w:p w14:paraId="2196D6A1"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40.8</w:t>
            </w:r>
          </w:p>
        </w:tc>
      </w:tr>
      <w:tr w:rsidR="006C6511" w:rsidRPr="000A621C" w14:paraId="6BA5A184" w14:textId="77777777" w:rsidTr="00744817">
        <w:trPr>
          <w:trHeight w:val="57"/>
          <w:jc w:val="center"/>
        </w:trPr>
        <w:tc>
          <w:tcPr>
            <w:tcW w:w="5679" w:type="dxa"/>
            <w:noWrap/>
            <w:vAlign w:val="bottom"/>
            <w:hideMark/>
          </w:tcPr>
          <w:p w14:paraId="5478C097"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Spectacle wearing pattern</w:t>
            </w:r>
          </w:p>
        </w:tc>
        <w:tc>
          <w:tcPr>
            <w:tcW w:w="1685" w:type="dxa"/>
            <w:noWrap/>
            <w:vAlign w:val="bottom"/>
            <w:hideMark/>
          </w:tcPr>
          <w:p w14:paraId="37814D47"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767E7043"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6C6511" w:rsidRPr="000A621C" w14:paraId="30A0C68E" w14:textId="77777777" w:rsidTr="00744817">
        <w:trPr>
          <w:trHeight w:val="57"/>
          <w:jc w:val="center"/>
        </w:trPr>
        <w:tc>
          <w:tcPr>
            <w:tcW w:w="5679" w:type="dxa"/>
            <w:noWrap/>
            <w:vAlign w:val="bottom"/>
            <w:hideMark/>
          </w:tcPr>
          <w:p w14:paraId="4C322370"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Full time wearer</w:t>
            </w:r>
          </w:p>
          <w:p w14:paraId="3A865B7A"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Occasional wearers</w:t>
            </w:r>
          </w:p>
        </w:tc>
        <w:tc>
          <w:tcPr>
            <w:tcW w:w="1685" w:type="dxa"/>
            <w:noWrap/>
            <w:vAlign w:val="bottom"/>
            <w:hideMark/>
          </w:tcPr>
          <w:p w14:paraId="4F701E5A"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79</w:t>
            </w:r>
          </w:p>
          <w:p w14:paraId="1B494408"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89</w:t>
            </w:r>
          </w:p>
        </w:tc>
        <w:tc>
          <w:tcPr>
            <w:tcW w:w="1718" w:type="dxa"/>
            <w:noWrap/>
            <w:vAlign w:val="bottom"/>
            <w:hideMark/>
          </w:tcPr>
          <w:p w14:paraId="64C3988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39.3</w:t>
            </w:r>
          </w:p>
          <w:p w14:paraId="3EBE9682"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44.3</w:t>
            </w:r>
          </w:p>
        </w:tc>
      </w:tr>
      <w:tr w:rsidR="006C6511" w:rsidRPr="000A621C" w14:paraId="383FF7F5" w14:textId="77777777" w:rsidTr="00744817">
        <w:trPr>
          <w:trHeight w:val="57"/>
          <w:jc w:val="center"/>
        </w:trPr>
        <w:tc>
          <w:tcPr>
            <w:tcW w:w="5679" w:type="dxa"/>
            <w:noWrap/>
            <w:vAlign w:val="bottom"/>
            <w:hideMark/>
          </w:tcPr>
          <w:p w14:paraId="22EDFA72" w14:textId="77777777" w:rsidR="006C6511" w:rsidRPr="000A621C" w:rsidRDefault="006C6511"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Non wearer</w:t>
            </w:r>
          </w:p>
        </w:tc>
        <w:tc>
          <w:tcPr>
            <w:tcW w:w="1685" w:type="dxa"/>
            <w:noWrap/>
            <w:vAlign w:val="bottom"/>
            <w:hideMark/>
          </w:tcPr>
          <w:p w14:paraId="1EADBE7C"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33</w:t>
            </w:r>
          </w:p>
        </w:tc>
        <w:tc>
          <w:tcPr>
            <w:tcW w:w="1718" w:type="dxa"/>
            <w:noWrap/>
            <w:vAlign w:val="bottom"/>
            <w:hideMark/>
          </w:tcPr>
          <w:p w14:paraId="0A715113" w14:textId="77777777" w:rsidR="006C6511" w:rsidRPr="000A621C" w:rsidRDefault="006C6511"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16.4</w:t>
            </w:r>
          </w:p>
        </w:tc>
      </w:tr>
      <w:tr w:rsidR="006C6511" w:rsidRPr="000A621C" w14:paraId="4094F1E1" w14:textId="77777777" w:rsidTr="00744817">
        <w:trPr>
          <w:trHeight w:val="57"/>
          <w:jc w:val="center"/>
        </w:trPr>
        <w:tc>
          <w:tcPr>
            <w:tcW w:w="5679" w:type="dxa"/>
            <w:noWrap/>
            <w:vAlign w:val="bottom"/>
            <w:hideMark/>
          </w:tcPr>
          <w:p w14:paraId="0918325F" w14:textId="77777777" w:rsidR="006C6511" w:rsidRPr="000A621C" w:rsidRDefault="006C6511"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Distance from TV Screen</w:t>
            </w:r>
          </w:p>
        </w:tc>
        <w:tc>
          <w:tcPr>
            <w:tcW w:w="1685" w:type="dxa"/>
            <w:noWrap/>
            <w:vAlign w:val="bottom"/>
            <w:hideMark/>
          </w:tcPr>
          <w:p w14:paraId="00511B1E" w14:textId="77777777" w:rsidR="006C6511" w:rsidRPr="000A621C" w:rsidRDefault="006C6511" w:rsidP="00744817">
            <w:pPr>
              <w:spacing w:after="0" w:line="240" w:lineRule="auto"/>
              <w:jc w:val="both"/>
              <w:rPr>
                <w:rFonts w:ascii="Times New Roman" w:eastAsia="Times New Roman" w:hAnsi="Times New Roman" w:cs="Times New Roman"/>
              </w:rPr>
            </w:pPr>
          </w:p>
        </w:tc>
        <w:tc>
          <w:tcPr>
            <w:tcW w:w="1718" w:type="dxa"/>
            <w:noWrap/>
            <w:vAlign w:val="bottom"/>
            <w:hideMark/>
          </w:tcPr>
          <w:p w14:paraId="4289EEA4" w14:textId="77777777" w:rsidR="006C6511" w:rsidRPr="000A621C" w:rsidRDefault="006C6511" w:rsidP="00744817">
            <w:pPr>
              <w:spacing w:after="0" w:line="240" w:lineRule="auto"/>
              <w:jc w:val="both"/>
              <w:rPr>
                <w:rFonts w:ascii="Times New Roman" w:eastAsia="Times New Roman" w:hAnsi="Times New Roman" w:cs="Times New Roman"/>
              </w:rPr>
            </w:pPr>
          </w:p>
        </w:tc>
      </w:tr>
      <w:tr w:rsidR="00977311" w:rsidRPr="000A621C" w14:paraId="64C08B33" w14:textId="77777777" w:rsidTr="00744817">
        <w:trPr>
          <w:trHeight w:val="57"/>
          <w:jc w:val="center"/>
        </w:trPr>
        <w:tc>
          <w:tcPr>
            <w:tcW w:w="5679" w:type="dxa"/>
            <w:noWrap/>
            <w:vAlign w:val="bottom"/>
            <w:hideMark/>
          </w:tcPr>
          <w:p w14:paraId="2D1026F9" w14:textId="77777777" w:rsidR="00977311" w:rsidRPr="007A521E" w:rsidRDefault="00977311" w:rsidP="00977311">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7A521E">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meters</w:t>
            </w:r>
          </w:p>
        </w:tc>
        <w:tc>
          <w:tcPr>
            <w:tcW w:w="1685" w:type="dxa"/>
            <w:noWrap/>
            <w:vAlign w:val="bottom"/>
            <w:hideMark/>
          </w:tcPr>
          <w:p w14:paraId="5FB3D6F4"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92</w:t>
            </w:r>
          </w:p>
        </w:tc>
        <w:tc>
          <w:tcPr>
            <w:tcW w:w="1718" w:type="dxa"/>
            <w:noWrap/>
            <w:vAlign w:val="bottom"/>
            <w:hideMark/>
          </w:tcPr>
          <w:p w14:paraId="114A26D6"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45.8</w:t>
            </w:r>
          </w:p>
        </w:tc>
      </w:tr>
      <w:tr w:rsidR="00977311" w:rsidRPr="000A621C" w14:paraId="5A8E0302" w14:textId="77777777" w:rsidTr="00744817">
        <w:trPr>
          <w:trHeight w:val="57"/>
          <w:jc w:val="center"/>
        </w:trPr>
        <w:tc>
          <w:tcPr>
            <w:tcW w:w="5679" w:type="dxa"/>
            <w:noWrap/>
            <w:vAlign w:val="bottom"/>
            <w:hideMark/>
          </w:tcPr>
          <w:p w14:paraId="49A90ADA" w14:textId="77777777" w:rsidR="00977311" w:rsidRPr="007A521E" w:rsidRDefault="00977311" w:rsidP="00977311">
            <w:pPr>
              <w:spacing w:after="0" w:line="240" w:lineRule="auto"/>
              <w:ind w:left="510"/>
              <w:jc w:val="both"/>
              <w:rPr>
                <w:rFonts w:ascii="Times New Roman" w:eastAsia="Times New Roman" w:hAnsi="Times New Roman" w:cs="Times New Roman"/>
                <w:color w:val="000000"/>
              </w:rPr>
            </w:pPr>
            <w:r w:rsidRPr="007A521E">
              <w:rPr>
                <w:rFonts w:ascii="Times New Roman" w:eastAsia="Times New Roman" w:hAnsi="Times New Roman" w:cs="Times New Roman"/>
                <w:color w:val="000000"/>
              </w:rPr>
              <w:t>&gt;2</w:t>
            </w:r>
            <w:r>
              <w:rPr>
                <w:rFonts w:ascii="Times New Roman" w:eastAsia="Times New Roman" w:hAnsi="Times New Roman" w:cs="Times New Roman"/>
                <w:color w:val="000000"/>
              </w:rPr>
              <w:t xml:space="preserve"> meters</w:t>
            </w:r>
          </w:p>
        </w:tc>
        <w:tc>
          <w:tcPr>
            <w:tcW w:w="1685" w:type="dxa"/>
            <w:noWrap/>
            <w:vAlign w:val="bottom"/>
            <w:hideMark/>
          </w:tcPr>
          <w:p w14:paraId="7512398A"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109</w:t>
            </w:r>
          </w:p>
        </w:tc>
        <w:tc>
          <w:tcPr>
            <w:tcW w:w="1718" w:type="dxa"/>
            <w:noWrap/>
            <w:vAlign w:val="bottom"/>
            <w:hideMark/>
          </w:tcPr>
          <w:p w14:paraId="573655FF" w14:textId="77777777" w:rsidR="00977311" w:rsidRPr="000A621C" w:rsidRDefault="00636596" w:rsidP="009773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54.2</w:t>
            </w:r>
          </w:p>
        </w:tc>
      </w:tr>
      <w:tr w:rsidR="00977311" w:rsidRPr="000A621C" w14:paraId="15A365A6" w14:textId="77777777" w:rsidTr="00744817">
        <w:trPr>
          <w:trHeight w:val="57"/>
          <w:jc w:val="center"/>
        </w:trPr>
        <w:tc>
          <w:tcPr>
            <w:tcW w:w="5679" w:type="dxa"/>
            <w:noWrap/>
            <w:vAlign w:val="bottom"/>
            <w:hideMark/>
          </w:tcPr>
          <w:p w14:paraId="151648BC" w14:textId="77777777" w:rsidR="00977311" w:rsidRPr="000A621C" w:rsidRDefault="00977311" w:rsidP="00977311">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Mobile/tablet/computer Use</w:t>
            </w:r>
          </w:p>
        </w:tc>
        <w:tc>
          <w:tcPr>
            <w:tcW w:w="1685" w:type="dxa"/>
            <w:noWrap/>
            <w:vAlign w:val="bottom"/>
            <w:hideMark/>
          </w:tcPr>
          <w:p w14:paraId="12F10215" w14:textId="77777777" w:rsidR="00977311" w:rsidRPr="000A621C" w:rsidRDefault="00977311" w:rsidP="00977311">
            <w:pPr>
              <w:spacing w:after="0" w:line="240" w:lineRule="auto"/>
              <w:jc w:val="both"/>
              <w:rPr>
                <w:rFonts w:ascii="Times New Roman" w:eastAsia="Times New Roman" w:hAnsi="Times New Roman" w:cs="Times New Roman"/>
              </w:rPr>
            </w:pPr>
          </w:p>
        </w:tc>
        <w:tc>
          <w:tcPr>
            <w:tcW w:w="1718" w:type="dxa"/>
            <w:noWrap/>
            <w:vAlign w:val="bottom"/>
            <w:hideMark/>
          </w:tcPr>
          <w:p w14:paraId="42E9926E" w14:textId="77777777" w:rsidR="00977311" w:rsidRPr="000A621C" w:rsidRDefault="00977311" w:rsidP="00977311">
            <w:pPr>
              <w:spacing w:after="0" w:line="240" w:lineRule="auto"/>
              <w:jc w:val="both"/>
              <w:rPr>
                <w:rFonts w:ascii="Times New Roman" w:eastAsia="Times New Roman" w:hAnsi="Times New Roman" w:cs="Times New Roman"/>
              </w:rPr>
            </w:pPr>
          </w:p>
        </w:tc>
      </w:tr>
      <w:tr w:rsidR="00977311" w:rsidRPr="000A621C" w14:paraId="23629ED8" w14:textId="77777777" w:rsidTr="00744817">
        <w:trPr>
          <w:trHeight w:val="57"/>
          <w:jc w:val="center"/>
        </w:trPr>
        <w:tc>
          <w:tcPr>
            <w:tcW w:w="5679" w:type="dxa"/>
            <w:noWrap/>
            <w:vAlign w:val="bottom"/>
            <w:hideMark/>
          </w:tcPr>
          <w:p w14:paraId="387F430F" w14:textId="77777777" w:rsidR="00977311" w:rsidRPr="000A621C" w:rsidRDefault="00977311" w:rsidP="00977311">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w:t>
            </w:r>
          </w:p>
        </w:tc>
        <w:tc>
          <w:tcPr>
            <w:tcW w:w="1685" w:type="dxa"/>
            <w:noWrap/>
            <w:vAlign w:val="bottom"/>
            <w:hideMark/>
          </w:tcPr>
          <w:p w14:paraId="053C614E"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130</w:t>
            </w:r>
          </w:p>
        </w:tc>
        <w:tc>
          <w:tcPr>
            <w:tcW w:w="1718" w:type="dxa"/>
            <w:noWrap/>
            <w:vAlign w:val="bottom"/>
            <w:hideMark/>
          </w:tcPr>
          <w:p w14:paraId="786DB26B"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64.7</w:t>
            </w:r>
          </w:p>
        </w:tc>
      </w:tr>
      <w:tr w:rsidR="00977311" w:rsidRPr="000A621C" w14:paraId="737E50C8" w14:textId="77777777" w:rsidTr="00744817">
        <w:trPr>
          <w:trHeight w:val="57"/>
          <w:jc w:val="center"/>
        </w:trPr>
        <w:tc>
          <w:tcPr>
            <w:tcW w:w="5679" w:type="dxa"/>
            <w:tcBorders>
              <w:bottom w:val="single" w:sz="12" w:space="0" w:color="auto"/>
            </w:tcBorders>
            <w:noWrap/>
            <w:vAlign w:val="bottom"/>
            <w:hideMark/>
          </w:tcPr>
          <w:p w14:paraId="19749492" w14:textId="77777777" w:rsidR="00977311" w:rsidRPr="000A621C" w:rsidRDefault="00977311" w:rsidP="00977311">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Yes</w:t>
            </w:r>
          </w:p>
        </w:tc>
        <w:tc>
          <w:tcPr>
            <w:tcW w:w="1685" w:type="dxa"/>
            <w:tcBorders>
              <w:bottom w:val="single" w:sz="12" w:space="0" w:color="auto"/>
            </w:tcBorders>
            <w:noWrap/>
            <w:vAlign w:val="bottom"/>
            <w:hideMark/>
          </w:tcPr>
          <w:p w14:paraId="28745F2F"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71</w:t>
            </w:r>
          </w:p>
        </w:tc>
        <w:tc>
          <w:tcPr>
            <w:tcW w:w="1718" w:type="dxa"/>
            <w:tcBorders>
              <w:bottom w:val="single" w:sz="12" w:space="0" w:color="auto"/>
            </w:tcBorders>
            <w:noWrap/>
            <w:vAlign w:val="bottom"/>
            <w:hideMark/>
          </w:tcPr>
          <w:p w14:paraId="1374661E" w14:textId="77777777" w:rsidR="00977311" w:rsidRPr="000A621C" w:rsidRDefault="00977311" w:rsidP="00977311">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rPr>
              <w:t>35.3</w:t>
            </w:r>
          </w:p>
        </w:tc>
      </w:tr>
    </w:tbl>
    <w:p w14:paraId="4FEDF839" w14:textId="77777777" w:rsidR="006C6511" w:rsidRDefault="006C6511" w:rsidP="00C45620">
      <w:pPr>
        <w:spacing w:before="240" w:after="0" w:line="360" w:lineRule="auto"/>
        <w:ind w:left="1134" w:hanging="1134"/>
        <w:rPr>
          <w:rFonts w:ascii="Times New Roman" w:eastAsia="Calibri" w:hAnsi="Times New Roman" w:cs="Times New Roman"/>
          <w:b/>
          <w:bCs/>
        </w:rPr>
      </w:pPr>
    </w:p>
    <w:p w14:paraId="77588E60" w14:textId="77777777" w:rsidR="006C6511" w:rsidRDefault="006C6511" w:rsidP="00C45620">
      <w:pPr>
        <w:spacing w:before="240" w:after="0" w:line="360" w:lineRule="auto"/>
        <w:ind w:left="1134" w:hanging="1134"/>
        <w:rPr>
          <w:rFonts w:ascii="Times New Roman" w:eastAsia="Calibri" w:hAnsi="Times New Roman" w:cs="Times New Roman"/>
          <w:b/>
          <w:bCs/>
        </w:rPr>
      </w:pPr>
    </w:p>
    <w:bookmarkEnd w:id="1"/>
    <w:p w14:paraId="1B5AF9C1" w14:textId="77777777" w:rsidR="005C0027" w:rsidRDefault="005C0027" w:rsidP="00C45620">
      <w:pPr>
        <w:spacing w:line="360" w:lineRule="auto"/>
        <w:jc w:val="both"/>
        <w:rPr>
          <w:rFonts w:ascii="Times New Roman" w:eastAsia="Calibri" w:hAnsi="Times New Roman" w:cs="Times New Roman"/>
        </w:rPr>
      </w:pPr>
    </w:p>
    <w:p w14:paraId="0C2C24C7" w14:textId="77777777" w:rsidR="005C0027" w:rsidRDefault="005C0027" w:rsidP="00C45620">
      <w:pPr>
        <w:spacing w:line="360" w:lineRule="auto"/>
        <w:jc w:val="both"/>
        <w:rPr>
          <w:rFonts w:ascii="Times New Roman" w:eastAsia="Calibri" w:hAnsi="Times New Roman" w:cs="Times New Roman"/>
        </w:rPr>
      </w:pPr>
    </w:p>
    <w:p w14:paraId="148B9A99" w14:textId="77777777" w:rsidR="005C0027" w:rsidRDefault="005C0027" w:rsidP="00C45620">
      <w:pPr>
        <w:spacing w:line="360" w:lineRule="auto"/>
        <w:jc w:val="both"/>
        <w:rPr>
          <w:rFonts w:ascii="Times New Roman" w:eastAsia="Calibri" w:hAnsi="Times New Roman" w:cs="Times New Roman"/>
        </w:rPr>
      </w:pPr>
    </w:p>
    <w:p w14:paraId="4AB68AD1" w14:textId="77777777" w:rsidR="00387E05" w:rsidRDefault="00387E05" w:rsidP="00C45620">
      <w:pPr>
        <w:spacing w:line="360" w:lineRule="auto"/>
        <w:jc w:val="both"/>
        <w:rPr>
          <w:rFonts w:ascii="Times New Roman" w:eastAsia="Calibri" w:hAnsi="Times New Roman" w:cs="Times New Roman"/>
        </w:rPr>
      </w:pPr>
    </w:p>
    <w:p w14:paraId="57F84659" w14:textId="77777777" w:rsidR="00F9401E" w:rsidRDefault="00F9401E" w:rsidP="00C45620">
      <w:pPr>
        <w:spacing w:line="360" w:lineRule="auto"/>
        <w:jc w:val="both"/>
        <w:rPr>
          <w:rFonts w:ascii="Times New Roman" w:eastAsia="Calibri" w:hAnsi="Times New Roman" w:cs="Times New Roman"/>
        </w:rPr>
      </w:pPr>
    </w:p>
    <w:p w14:paraId="6AAF96AD" w14:textId="77777777" w:rsidR="005C0027" w:rsidRDefault="005C0027" w:rsidP="005C0027">
      <w:pPr>
        <w:spacing w:after="0" w:line="240" w:lineRule="auto"/>
        <w:jc w:val="both"/>
      </w:pPr>
      <w:r>
        <w:rPr>
          <w:rFonts w:ascii="Times New Roman" w:eastAsia="Times New Roman" w:hAnsi="Times New Roman" w:cs="Times New Roman"/>
          <w:b/>
          <w:bCs/>
          <w:i/>
          <w:sz w:val="24"/>
          <w:szCs w:val="24"/>
        </w:rPr>
        <w:t>Table 1: continued</w:t>
      </w:r>
    </w:p>
    <w:tbl>
      <w:tblPr>
        <w:tblW w:w="9082" w:type="dxa"/>
        <w:jc w:val="center"/>
        <w:tblLook w:val="04A0" w:firstRow="1" w:lastRow="0" w:firstColumn="1" w:lastColumn="0" w:noHBand="0" w:noVBand="1"/>
      </w:tblPr>
      <w:tblGrid>
        <w:gridCol w:w="5679"/>
        <w:gridCol w:w="1685"/>
        <w:gridCol w:w="1718"/>
      </w:tblGrid>
      <w:tr w:rsidR="005C0027" w:rsidRPr="000A621C" w14:paraId="4706E397" w14:textId="77777777" w:rsidTr="00744817">
        <w:trPr>
          <w:trHeight w:val="57"/>
          <w:jc w:val="center"/>
        </w:trPr>
        <w:tc>
          <w:tcPr>
            <w:tcW w:w="5679" w:type="dxa"/>
            <w:tcBorders>
              <w:top w:val="single" w:sz="18" w:space="0" w:color="auto"/>
              <w:left w:val="nil"/>
              <w:bottom w:val="single" w:sz="18" w:space="0" w:color="auto"/>
              <w:right w:val="nil"/>
            </w:tcBorders>
            <w:noWrap/>
            <w:vAlign w:val="bottom"/>
            <w:hideMark/>
          </w:tcPr>
          <w:p w14:paraId="6D345C96"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Variable</w:t>
            </w:r>
          </w:p>
        </w:tc>
        <w:tc>
          <w:tcPr>
            <w:tcW w:w="1685" w:type="dxa"/>
            <w:tcBorders>
              <w:top w:val="single" w:sz="18" w:space="0" w:color="auto"/>
              <w:left w:val="nil"/>
              <w:bottom w:val="single" w:sz="18" w:space="0" w:color="auto"/>
              <w:right w:val="nil"/>
            </w:tcBorders>
            <w:noWrap/>
            <w:vAlign w:val="bottom"/>
            <w:hideMark/>
          </w:tcPr>
          <w:p w14:paraId="0CD0DC5C" w14:textId="77777777" w:rsidR="005C0027" w:rsidRPr="000A621C" w:rsidRDefault="005C0027" w:rsidP="00744817">
            <w:pPr>
              <w:spacing w:after="0" w:line="240" w:lineRule="auto"/>
              <w:jc w:val="center"/>
              <w:rPr>
                <w:rFonts w:ascii="Times New Roman" w:eastAsia="Times New Roman" w:hAnsi="Times New Roman" w:cs="Times New Roman"/>
                <w:b/>
                <w:bCs/>
              </w:rPr>
            </w:pPr>
            <w:r w:rsidRPr="000A621C">
              <w:rPr>
                <w:rFonts w:ascii="Times New Roman" w:eastAsia="Times New Roman" w:hAnsi="Times New Roman" w:cs="Times New Roman"/>
                <w:b/>
                <w:bCs/>
              </w:rPr>
              <w:t>Frequency</w:t>
            </w:r>
          </w:p>
        </w:tc>
        <w:tc>
          <w:tcPr>
            <w:tcW w:w="1718" w:type="dxa"/>
            <w:tcBorders>
              <w:top w:val="single" w:sz="18" w:space="0" w:color="auto"/>
              <w:left w:val="nil"/>
              <w:bottom w:val="single" w:sz="18" w:space="0" w:color="auto"/>
              <w:right w:val="nil"/>
            </w:tcBorders>
            <w:noWrap/>
            <w:vAlign w:val="bottom"/>
            <w:hideMark/>
          </w:tcPr>
          <w:p w14:paraId="43A25E42" w14:textId="77777777" w:rsidR="005C0027" w:rsidRPr="000A621C" w:rsidRDefault="005C0027" w:rsidP="00744817">
            <w:pPr>
              <w:spacing w:after="0" w:line="240" w:lineRule="auto"/>
              <w:jc w:val="center"/>
              <w:rPr>
                <w:rFonts w:ascii="Times New Roman" w:eastAsia="Times New Roman" w:hAnsi="Times New Roman" w:cs="Times New Roman"/>
                <w:b/>
                <w:bCs/>
              </w:rPr>
            </w:pPr>
            <w:r w:rsidRPr="000A621C">
              <w:rPr>
                <w:rFonts w:ascii="Times New Roman" w:eastAsia="Times New Roman" w:hAnsi="Times New Roman" w:cs="Times New Roman"/>
                <w:b/>
                <w:bCs/>
              </w:rPr>
              <w:t>Percentage</w:t>
            </w:r>
          </w:p>
        </w:tc>
      </w:tr>
      <w:tr w:rsidR="005C0027" w:rsidRPr="000A621C" w14:paraId="49609D09" w14:textId="77777777" w:rsidTr="00744817">
        <w:trPr>
          <w:trHeight w:val="57"/>
          <w:jc w:val="center"/>
        </w:trPr>
        <w:tc>
          <w:tcPr>
            <w:tcW w:w="5679" w:type="dxa"/>
            <w:noWrap/>
            <w:vAlign w:val="bottom"/>
            <w:hideMark/>
          </w:tcPr>
          <w:p w14:paraId="6E55FAFC"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Hours near work</w:t>
            </w:r>
          </w:p>
        </w:tc>
        <w:tc>
          <w:tcPr>
            <w:tcW w:w="1685" w:type="dxa"/>
            <w:noWrap/>
            <w:vAlign w:val="bottom"/>
            <w:hideMark/>
          </w:tcPr>
          <w:p w14:paraId="738A7B4C"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22A9063A"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3A980EA8" w14:textId="77777777" w:rsidTr="00744817">
        <w:trPr>
          <w:trHeight w:val="57"/>
          <w:jc w:val="center"/>
        </w:trPr>
        <w:tc>
          <w:tcPr>
            <w:tcW w:w="5679" w:type="dxa"/>
            <w:noWrap/>
            <w:vAlign w:val="bottom"/>
            <w:hideMark/>
          </w:tcPr>
          <w:p w14:paraId="1A75446E"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 2 hour a day</w:t>
            </w:r>
          </w:p>
        </w:tc>
        <w:tc>
          <w:tcPr>
            <w:tcW w:w="1685" w:type="dxa"/>
            <w:noWrap/>
            <w:vAlign w:val="bottom"/>
            <w:hideMark/>
          </w:tcPr>
          <w:p w14:paraId="1FCEE17E"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121</w:t>
            </w:r>
          </w:p>
        </w:tc>
        <w:tc>
          <w:tcPr>
            <w:tcW w:w="1718" w:type="dxa"/>
            <w:noWrap/>
            <w:vAlign w:val="bottom"/>
            <w:hideMark/>
          </w:tcPr>
          <w:p w14:paraId="5EAD54B8"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60.2</w:t>
            </w:r>
          </w:p>
        </w:tc>
      </w:tr>
      <w:tr w:rsidR="005C0027" w:rsidRPr="000A621C" w14:paraId="48E99A0A" w14:textId="77777777" w:rsidTr="00744817">
        <w:trPr>
          <w:trHeight w:val="57"/>
          <w:jc w:val="center"/>
        </w:trPr>
        <w:tc>
          <w:tcPr>
            <w:tcW w:w="5679" w:type="dxa"/>
            <w:noWrap/>
            <w:vAlign w:val="bottom"/>
            <w:hideMark/>
          </w:tcPr>
          <w:p w14:paraId="7677078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 2 hours a day</w:t>
            </w:r>
          </w:p>
        </w:tc>
        <w:tc>
          <w:tcPr>
            <w:tcW w:w="1685" w:type="dxa"/>
            <w:noWrap/>
            <w:vAlign w:val="bottom"/>
            <w:hideMark/>
          </w:tcPr>
          <w:p w14:paraId="4F682D8A"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80</w:t>
            </w:r>
          </w:p>
        </w:tc>
        <w:tc>
          <w:tcPr>
            <w:tcW w:w="1718" w:type="dxa"/>
            <w:noWrap/>
            <w:vAlign w:val="bottom"/>
            <w:hideMark/>
          </w:tcPr>
          <w:p w14:paraId="6AA7F833"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39.8</w:t>
            </w:r>
          </w:p>
        </w:tc>
      </w:tr>
      <w:tr w:rsidR="005C0027" w:rsidRPr="000A621C" w14:paraId="32111C86" w14:textId="77777777" w:rsidTr="00744817">
        <w:trPr>
          <w:trHeight w:val="57"/>
          <w:jc w:val="center"/>
        </w:trPr>
        <w:tc>
          <w:tcPr>
            <w:tcW w:w="5679" w:type="dxa"/>
            <w:noWrap/>
            <w:vAlign w:val="bottom"/>
            <w:hideMark/>
          </w:tcPr>
          <w:p w14:paraId="44C73F7C"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Hours outdoor</w:t>
            </w:r>
          </w:p>
        </w:tc>
        <w:tc>
          <w:tcPr>
            <w:tcW w:w="1685" w:type="dxa"/>
            <w:noWrap/>
            <w:vAlign w:val="bottom"/>
            <w:hideMark/>
          </w:tcPr>
          <w:p w14:paraId="2ADB4753"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394BF55F"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3247A1A3" w14:textId="77777777" w:rsidTr="00744817">
        <w:trPr>
          <w:trHeight w:val="57"/>
          <w:jc w:val="center"/>
        </w:trPr>
        <w:tc>
          <w:tcPr>
            <w:tcW w:w="5679" w:type="dxa"/>
            <w:noWrap/>
            <w:vAlign w:val="bottom"/>
            <w:hideMark/>
          </w:tcPr>
          <w:p w14:paraId="55800071"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&lt; 1 hour a day</w:t>
            </w:r>
          </w:p>
        </w:tc>
        <w:tc>
          <w:tcPr>
            <w:tcW w:w="1685" w:type="dxa"/>
            <w:noWrap/>
            <w:vAlign w:val="bottom"/>
            <w:hideMark/>
          </w:tcPr>
          <w:p w14:paraId="2A9DDEFF"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158</w:t>
            </w:r>
          </w:p>
        </w:tc>
        <w:tc>
          <w:tcPr>
            <w:tcW w:w="1718" w:type="dxa"/>
            <w:noWrap/>
            <w:vAlign w:val="bottom"/>
            <w:hideMark/>
          </w:tcPr>
          <w:p w14:paraId="05809E5A"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78.6</w:t>
            </w:r>
          </w:p>
        </w:tc>
      </w:tr>
      <w:tr w:rsidR="005C0027" w:rsidRPr="000A621C" w14:paraId="6BD25FB0" w14:textId="77777777" w:rsidTr="00744817">
        <w:trPr>
          <w:trHeight w:val="57"/>
          <w:jc w:val="center"/>
        </w:trPr>
        <w:tc>
          <w:tcPr>
            <w:tcW w:w="5679" w:type="dxa"/>
            <w:noWrap/>
            <w:vAlign w:val="bottom"/>
            <w:hideMark/>
          </w:tcPr>
          <w:p w14:paraId="0110B3E0"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&gt; 1 hour a day</w:t>
            </w:r>
          </w:p>
        </w:tc>
        <w:tc>
          <w:tcPr>
            <w:tcW w:w="1685" w:type="dxa"/>
            <w:noWrap/>
            <w:vAlign w:val="bottom"/>
            <w:hideMark/>
          </w:tcPr>
          <w:p w14:paraId="78D13AB0"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43</w:t>
            </w:r>
          </w:p>
        </w:tc>
        <w:tc>
          <w:tcPr>
            <w:tcW w:w="1718" w:type="dxa"/>
            <w:noWrap/>
            <w:vAlign w:val="bottom"/>
            <w:hideMark/>
          </w:tcPr>
          <w:p w14:paraId="0DC5797D"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21.4</w:t>
            </w:r>
          </w:p>
        </w:tc>
      </w:tr>
      <w:tr w:rsidR="005C0027" w:rsidRPr="000A621C" w14:paraId="6C85F2A4" w14:textId="77777777" w:rsidTr="00744817">
        <w:trPr>
          <w:trHeight w:val="57"/>
          <w:jc w:val="center"/>
        </w:trPr>
        <w:tc>
          <w:tcPr>
            <w:tcW w:w="5679" w:type="dxa"/>
            <w:noWrap/>
            <w:vAlign w:val="bottom"/>
            <w:hideMark/>
          </w:tcPr>
          <w:p w14:paraId="00ADD462" w14:textId="77777777" w:rsidR="005C0027" w:rsidRPr="000A621C" w:rsidRDefault="005C0027" w:rsidP="00744817">
            <w:pPr>
              <w:spacing w:after="0" w:line="240" w:lineRule="auto"/>
              <w:jc w:val="both"/>
              <w:rPr>
                <w:rFonts w:ascii="Times New Roman" w:eastAsia="Times New Roman" w:hAnsi="Times New Roman" w:cs="Times New Roman"/>
                <w:b/>
                <w:bCs/>
              </w:rPr>
            </w:pPr>
            <w:r w:rsidRPr="000A621C">
              <w:rPr>
                <w:rFonts w:ascii="Times New Roman" w:eastAsia="Times New Roman" w:hAnsi="Times New Roman" w:cs="Times New Roman"/>
                <w:b/>
                <w:bCs/>
              </w:rPr>
              <w:t>Degree of Myopia</w:t>
            </w:r>
          </w:p>
        </w:tc>
        <w:tc>
          <w:tcPr>
            <w:tcW w:w="1685" w:type="dxa"/>
            <w:noWrap/>
            <w:vAlign w:val="bottom"/>
            <w:hideMark/>
          </w:tcPr>
          <w:p w14:paraId="27B96761"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0EBFBB6D"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4AF9B1E7" w14:textId="77777777" w:rsidTr="00744817">
        <w:trPr>
          <w:trHeight w:val="57"/>
          <w:jc w:val="center"/>
        </w:trPr>
        <w:tc>
          <w:tcPr>
            <w:tcW w:w="5679" w:type="dxa"/>
            <w:noWrap/>
            <w:vAlign w:val="bottom"/>
            <w:hideMark/>
          </w:tcPr>
          <w:p w14:paraId="69BA5BF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Low</w:t>
            </w:r>
          </w:p>
        </w:tc>
        <w:tc>
          <w:tcPr>
            <w:tcW w:w="1685" w:type="dxa"/>
            <w:noWrap/>
            <w:vAlign w:val="bottom"/>
            <w:hideMark/>
          </w:tcPr>
          <w:p w14:paraId="2D665DC2"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131</w:t>
            </w:r>
          </w:p>
        </w:tc>
        <w:tc>
          <w:tcPr>
            <w:tcW w:w="1718" w:type="dxa"/>
            <w:noWrap/>
            <w:vAlign w:val="bottom"/>
            <w:hideMark/>
          </w:tcPr>
          <w:p w14:paraId="4B27A535"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65.2</w:t>
            </w:r>
          </w:p>
        </w:tc>
      </w:tr>
      <w:tr w:rsidR="005C0027" w:rsidRPr="000A621C" w14:paraId="1A721C1C" w14:textId="77777777" w:rsidTr="00744817">
        <w:trPr>
          <w:trHeight w:val="57"/>
          <w:jc w:val="center"/>
        </w:trPr>
        <w:tc>
          <w:tcPr>
            <w:tcW w:w="5679" w:type="dxa"/>
            <w:noWrap/>
            <w:vAlign w:val="bottom"/>
            <w:hideMark/>
          </w:tcPr>
          <w:p w14:paraId="682AC7FA"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Moderate</w:t>
            </w:r>
          </w:p>
        </w:tc>
        <w:tc>
          <w:tcPr>
            <w:tcW w:w="1685" w:type="dxa"/>
            <w:noWrap/>
            <w:vAlign w:val="bottom"/>
            <w:hideMark/>
          </w:tcPr>
          <w:p w14:paraId="4C46B296"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27</w:t>
            </w:r>
          </w:p>
        </w:tc>
        <w:tc>
          <w:tcPr>
            <w:tcW w:w="1718" w:type="dxa"/>
            <w:noWrap/>
            <w:vAlign w:val="bottom"/>
            <w:hideMark/>
          </w:tcPr>
          <w:p w14:paraId="4F3E0C7E"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13.4</w:t>
            </w:r>
          </w:p>
        </w:tc>
      </w:tr>
      <w:tr w:rsidR="005C0027" w:rsidRPr="000A621C" w14:paraId="26CC3B04" w14:textId="77777777" w:rsidTr="00744817">
        <w:trPr>
          <w:trHeight w:val="57"/>
          <w:jc w:val="center"/>
        </w:trPr>
        <w:tc>
          <w:tcPr>
            <w:tcW w:w="5679" w:type="dxa"/>
            <w:noWrap/>
            <w:vAlign w:val="bottom"/>
            <w:hideMark/>
          </w:tcPr>
          <w:p w14:paraId="26AD2BF3" w14:textId="77777777" w:rsidR="005C0027" w:rsidRPr="000A621C"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High</w:t>
            </w:r>
          </w:p>
        </w:tc>
        <w:tc>
          <w:tcPr>
            <w:tcW w:w="1685" w:type="dxa"/>
            <w:noWrap/>
            <w:vAlign w:val="bottom"/>
            <w:hideMark/>
          </w:tcPr>
          <w:p w14:paraId="5C7BD195"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43</w:t>
            </w:r>
          </w:p>
        </w:tc>
        <w:tc>
          <w:tcPr>
            <w:tcW w:w="1718" w:type="dxa"/>
            <w:noWrap/>
            <w:vAlign w:val="bottom"/>
            <w:hideMark/>
          </w:tcPr>
          <w:p w14:paraId="152425D6" w14:textId="77777777" w:rsidR="005C0027" w:rsidRPr="000A621C"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21.4</w:t>
            </w:r>
          </w:p>
        </w:tc>
      </w:tr>
      <w:tr w:rsidR="005C0027" w:rsidRPr="000A621C" w14:paraId="4212F208" w14:textId="77777777" w:rsidTr="003716AD">
        <w:trPr>
          <w:trHeight w:val="57"/>
          <w:jc w:val="center"/>
        </w:trPr>
        <w:tc>
          <w:tcPr>
            <w:tcW w:w="5679" w:type="dxa"/>
            <w:noWrap/>
            <w:vAlign w:val="bottom"/>
            <w:hideMark/>
          </w:tcPr>
          <w:p w14:paraId="0400CBBE" w14:textId="77777777" w:rsidR="005C0027" w:rsidRPr="000A621C" w:rsidRDefault="005C0027" w:rsidP="00744817">
            <w:pPr>
              <w:spacing w:after="0" w:line="240" w:lineRule="auto"/>
              <w:jc w:val="both"/>
              <w:rPr>
                <w:rFonts w:ascii="Times New Roman" w:eastAsia="Times New Roman" w:hAnsi="Times New Roman" w:cs="Times New Roman"/>
              </w:rPr>
            </w:pPr>
            <w:r w:rsidRPr="000A621C">
              <w:rPr>
                <w:rFonts w:ascii="Times New Roman" w:eastAsia="Times New Roman" w:hAnsi="Times New Roman" w:cs="Times New Roman"/>
                <w:b/>
                <w:bCs/>
              </w:rPr>
              <w:t>Family History</w:t>
            </w:r>
          </w:p>
        </w:tc>
        <w:tc>
          <w:tcPr>
            <w:tcW w:w="1685" w:type="dxa"/>
            <w:noWrap/>
            <w:vAlign w:val="bottom"/>
            <w:hideMark/>
          </w:tcPr>
          <w:p w14:paraId="2D94EFD9" w14:textId="77777777" w:rsidR="005C0027" w:rsidRPr="000A621C" w:rsidRDefault="005C0027" w:rsidP="00744817">
            <w:pPr>
              <w:spacing w:after="0" w:line="240" w:lineRule="auto"/>
              <w:jc w:val="center"/>
              <w:rPr>
                <w:rFonts w:ascii="Times New Roman" w:eastAsia="Times New Roman" w:hAnsi="Times New Roman" w:cs="Times New Roman"/>
              </w:rPr>
            </w:pPr>
          </w:p>
        </w:tc>
        <w:tc>
          <w:tcPr>
            <w:tcW w:w="1718" w:type="dxa"/>
            <w:noWrap/>
            <w:vAlign w:val="bottom"/>
            <w:hideMark/>
          </w:tcPr>
          <w:p w14:paraId="45C217AC" w14:textId="77777777" w:rsidR="005C0027" w:rsidRPr="000A621C" w:rsidRDefault="005C0027" w:rsidP="00744817">
            <w:pPr>
              <w:spacing w:after="0" w:line="240" w:lineRule="auto"/>
              <w:jc w:val="center"/>
              <w:rPr>
                <w:rFonts w:ascii="Times New Roman" w:eastAsia="Times New Roman" w:hAnsi="Times New Roman" w:cs="Times New Roman"/>
              </w:rPr>
            </w:pPr>
          </w:p>
        </w:tc>
      </w:tr>
      <w:tr w:rsidR="005C0027" w:rsidRPr="000A621C" w14:paraId="52897932" w14:textId="77777777" w:rsidTr="00744817">
        <w:trPr>
          <w:trHeight w:val="57"/>
          <w:jc w:val="center"/>
        </w:trPr>
        <w:tc>
          <w:tcPr>
            <w:tcW w:w="5679" w:type="dxa"/>
            <w:noWrap/>
            <w:vAlign w:val="bottom"/>
            <w:hideMark/>
          </w:tcPr>
          <w:p w14:paraId="6BDC00DC" w14:textId="77777777" w:rsidR="005C0027" w:rsidRDefault="005C0027" w:rsidP="00744817">
            <w:pPr>
              <w:spacing w:after="0" w:line="240" w:lineRule="auto"/>
              <w:ind w:left="341"/>
              <w:jc w:val="both"/>
              <w:rPr>
                <w:rFonts w:ascii="Times New Roman" w:eastAsia="Times New Roman" w:hAnsi="Times New Roman" w:cs="Times New Roman"/>
              </w:rPr>
            </w:pPr>
            <w:r w:rsidRPr="000A621C">
              <w:rPr>
                <w:rFonts w:ascii="Times New Roman" w:eastAsia="Times New Roman" w:hAnsi="Times New Roman" w:cs="Times New Roman"/>
              </w:rPr>
              <w:t>No</w:t>
            </w:r>
          </w:p>
          <w:p w14:paraId="7219DD99" w14:textId="77777777" w:rsidR="00804836" w:rsidRDefault="00804836"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Sibling wearing spectacles for distant vision</w:t>
            </w:r>
          </w:p>
          <w:p w14:paraId="65572327" w14:textId="77777777" w:rsidR="00804836" w:rsidRPr="000A621C" w:rsidRDefault="00804836"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rPr>
              <w:t xml:space="preserve">Parent </w:t>
            </w:r>
            <w:proofErr w:type="spellStart"/>
            <w:r>
              <w:rPr>
                <w:rFonts w:ascii="Times New Roman" w:eastAsia="Times New Roman" w:hAnsi="Times New Roman" w:cs="Times New Roman"/>
              </w:rPr>
              <w:t>waersing</w:t>
            </w:r>
            <w:proofErr w:type="spellEnd"/>
            <w:r>
              <w:rPr>
                <w:rFonts w:ascii="Times New Roman" w:eastAsia="Times New Roman" w:hAnsi="Times New Roman" w:cs="Times New Roman"/>
              </w:rPr>
              <w:t xml:space="preserve"> spectacles for distant vision</w:t>
            </w:r>
          </w:p>
        </w:tc>
        <w:tc>
          <w:tcPr>
            <w:tcW w:w="1685" w:type="dxa"/>
            <w:noWrap/>
            <w:vAlign w:val="bottom"/>
            <w:hideMark/>
          </w:tcPr>
          <w:p w14:paraId="5AEC70A6" w14:textId="77777777" w:rsidR="005C0027" w:rsidRDefault="005C0027" w:rsidP="00744817">
            <w:pPr>
              <w:spacing w:after="0" w:line="240" w:lineRule="auto"/>
              <w:jc w:val="center"/>
              <w:rPr>
                <w:rFonts w:ascii="Times New Roman" w:eastAsia="Times New Roman" w:hAnsi="Times New Roman" w:cs="Times New Roman"/>
              </w:rPr>
            </w:pPr>
            <w:r w:rsidRPr="000A621C">
              <w:rPr>
                <w:rFonts w:ascii="Times New Roman" w:eastAsia="Times New Roman" w:hAnsi="Times New Roman" w:cs="Times New Roman"/>
              </w:rPr>
              <w:t>100</w:t>
            </w:r>
          </w:p>
          <w:p w14:paraId="3BAA7635" w14:textId="77777777" w:rsidR="00804836"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p w14:paraId="1585AA4B" w14:textId="77777777" w:rsidR="00804836"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718" w:type="dxa"/>
            <w:noWrap/>
            <w:vAlign w:val="bottom"/>
            <w:hideMark/>
          </w:tcPr>
          <w:p w14:paraId="43E2CD52" w14:textId="77777777" w:rsidR="005C0027"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49.7</w:t>
            </w:r>
          </w:p>
          <w:p w14:paraId="6EEBA6F7" w14:textId="77777777" w:rsidR="00804836"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24.9</w:t>
            </w:r>
          </w:p>
          <w:p w14:paraId="61714C50" w14:textId="77777777" w:rsidR="00804836"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20.4</w:t>
            </w:r>
          </w:p>
        </w:tc>
      </w:tr>
      <w:tr w:rsidR="005C0027" w:rsidRPr="000A621C" w14:paraId="74EF9927" w14:textId="77777777" w:rsidTr="003716AD">
        <w:trPr>
          <w:trHeight w:val="57"/>
          <w:jc w:val="center"/>
        </w:trPr>
        <w:tc>
          <w:tcPr>
            <w:tcW w:w="5679" w:type="dxa"/>
            <w:tcBorders>
              <w:bottom w:val="single" w:sz="12" w:space="0" w:color="auto"/>
            </w:tcBorders>
            <w:noWrap/>
            <w:vAlign w:val="bottom"/>
            <w:hideMark/>
          </w:tcPr>
          <w:p w14:paraId="7EFB4EB9" w14:textId="77777777" w:rsidR="005C0027" w:rsidRPr="000A621C" w:rsidRDefault="003716AD" w:rsidP="00744817">
            <w:pPr>
              <w:spacing w:after="0" w:line="240" w:lineRule="auto"/>
              <w:ind w:left="341"/>
              <w:jc w:val="both"/>
              <w:rPr>
                <w:rFonts w:ascii="Times New Roman" w:eastAsia="Times New Roman" w:hAnsi="Times New Roman" w:cs="Times New Roman"/>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1685" w:type="dxa"/>
            <w:tcBorders>
              <w:bottom w:val="single" w:sz="12" w:space="0" w:color="auto"/>
            </w:tcBorders>
            <w:noWrap/>
            <w:vAlign w:val="bottom"/>
            <w:hideMark/>
          </w:tcPr>
          <w:p w14:paraId="0A080E10" w14:textId="77777777" w:rsidR="005C0027"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718" w:type="dxa"/>
            <w:tcBorders>
              <w:bottom w:val="single" w:sz="12" w:space="0" w:color="auto"/>
            </w:tcBorders>
            <w:noWrap/>
            <w:vAlign w:val="bottom"/>
            <w:hideMark/>
          </w:tcPr>
          <w:p w14:paraId="72104337" w14:textId="77777777" w:rsidR="005C0027" w:rsidRPr="000A621C" w:rsidRDefault="00804836" w:rsidP="00744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26D356E5" w14:textId="77777777" w:rsidR="005C0027" w:rsidRDefault="005C0027" w:rsidP="005C0027">
      <w:pPr>
        <w:spacing w:after="0" w:line="360" w:lineRule="auto"/>
        <w:jc w:val="both"/>
        <w:rPr>
          <w:rFonts w:ascii="Times New Roman" w:hAnsi="Times New Roman" w:cs="Times New Roman"/>
          <w:sz w:val="24"/>
          <w:szCs w:val="24"/>
        </w:rPr>
      </w:pPr>
    </w:p>
    <w:p w14:paraId="14B94E0F" w14:textId="77777777" w:rsidR="005C0027" w:rsidRPr="00570AA4" w:rsidRDefault="005C0027" w:rsidP="00C45620">
      <w:pPr>
        <w:spacing w:line="360" w:lineRule="auto"/>
        <w:jc w:val="both"/>
        <w:rPr>
          <w:rFonts w:ascii="Times New Roman" w:eastAsia="Calibri" w:hAnsi="Times New Roman" w:cs="Times New Roman"/>
        </w:rPr>
      </w:pPr>
    </w:p>
    <w:p w14:paraId="23F45823" w14:textId="77777777" w:rsidR="00C45620" w:rsidRPr="00570AA4" w:rsidRDefault="00C45620" w:rsidP="00C45620">
      <w:pPr>
        <w:rPr>
          <w:rFonts w:ascii="Times New Roman" w:eastAsia="Times New Roman" w:hAnsi="Times New Roman" w:cs="Times New Roman"/>
          <w:b/>
        </w:rPr>
      </w:pPr>
      <w:r w:rsidRPr="00570AA4">
        <w:rPr>
          <w:rFonts w:ascii="Times New Roman" w:eastAsia="Calibri" w:hAnsi="Times New Roman" w:cs="Times New Roman"/>
        </w:rPr>
        <w:br w:type="page"/>
      </w:r>
    </w:p>
    <w:p w14:paraId="6FE60384" w14:textId="77777777" w:rsidR="003C0E6C" w:rsidRDefault="003C0E6C" w:rsidP="006667EE">
      <w:pPr>
        <w:spacing w:before="240"/>
        <w:jc w:val="both"/>
        <w:rPr>
          <w:rFonts w:ascii="Times New Roman" w:hAnsi="Times New Roman" w:cs="Times New Roman"/>
          <w:b/>
        </w:rPr>
      </w:pPr>
      <w:r w:rsidRPr="003C0E6C">
        <w:rPr>
          <w:rFonts w:ascii="Times New Roman" w:hAnsi="Times New Roman" w:cs="Times New Roman"/>
          <w:b/>
        </w:rPr>
        <w:lastRenderedPageBreak/>
        <w:t>Factors associated with myopia progression</w:t>
      </w:r>
      <w:r>
        <w:rPr>
          <w:rFonts w:ascii="Times New Roman" w:hAnsi="Times New Roman" w:cs="Times New Roman"/>
          <w:b/>
        </w:rPr>
        <w:t>:</w:t>
      </w:r>
    </w:p>
    <w:p w14:paraId="6621BFC2"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Out of 201 participants, 127 (63.2%) experienced myopia progression. In the unadjusted analysis</w:t>
      </w:r>
      <w:r w:rsidR="00550B87" w:rsidRPr="009D51EF">
        <w:rPr>
          <w:rFonts w:ascii="Times New Roman" w:hAnsi="Times New Roman" w:cs="Times New Roman"/>
        </w:rPr>
        <w:t xml:space="preserve"> </w:t>
      </w:r>
      <w:r w:rsidR="00550B87" w:rsidRPr="009D51EF">
        <w:rPr>
          <w:rFonts w:ascii="Times New Roman" w:hAnsi="Times New Roman" w:cs="Times New Roman"/>
          <w:b/>
        </w:rPr>
        <w:t>(Table 2)</w:t>
      </w:r>
      <w:r w:rsidR="00550B87" w:rsidRPr="009D51EF">
        <w:rPr>
          <w:rFonts w:ascii="Times New Roman" w:hAnsi="Times New Roman" w:cs="Times New Roman"/>
        </w:rPr>
        <w:t>,</w:t>
      </w:r>
      <w:r w:rsidRPr="009D51EF">
        <w:rPr>
          <w:rFonts w:ascii="Times New Roman" w:hAnsi="Times New Roman" w:cs="Times New Roman"/>
        </w:rPr>
        <w:t xml:space="preserve"> several factors were significantly associated with progression. Male participants (49/89; 55.1%) had a lower progression rate compared to females (78/112; 69.6%) (PR = 0.79, 95% CI: 0.63–0.98, p = 0.04). Non-spectacle wearers (27/33; 81.8%) had a higher rate of progression than wearers (100/168; 59.5%) (PR = 1.37, 95% CI: 1.12–1.69, p = 0.002). Children who watched TV from a distance of ≤2 meters (74/92; 80.4%) were significantly more likely to progress compared to those who viewed from &gt;2 meters (53/109; 48.6%) (PR = 1.65, 95% CI: 1.33–2.06, p &lt; 0.001).</w:t>
      </w:r>
    </w:p>
    <w:p w14:paraId="37C66964"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Mobile device users (57/71; 80.3%) showed a higher progression rate compared to non-users (70/130; 53.8%) (PR = 1.49, 95% CI: 1.22–1.82, p &lt; 0.001). Those engaging in more than two hours of near work daily (68/80; 85%) had a significantly higher progression rate than those with ≤2 hours of near work (59/121; 48.8%) (PR = 1.74, 95% CI: 1.42–2.14, p &lt; 0.001). Children who spent less than one hour outdoors per day (108/158; 68.4%) also had higher progression compared to those spending more than an hour outdoors (19/43; 44.2%) (PR = 0.65, 95% CI: 0.45–0.92, p = 0.015). A positive family history (82/101; 81.2%) was also strongly associated with progression compared to those with no history (45/100; 45%) (PR = 1.80, 95% CI: 1.42–2.29, p &lt; 0.001).</w:t>
      </w:r>
    </w:p>
    <w:p w14:paraId="51C5FB17" w14:textId="77777777" w:rsidR="003C0E6C" w:rsidRPr="009D51EF" w:rsidRDefault="003C0E6C" w:rsidP="00550B87">
      <w:pPr>
        <w:pStyle w:val="NoSpacing"/>
        <w:rPr>
          <w:rFonts w:ascii="Times New Roman" w:hAnsi="Times New Roman" w:cs="Times New Roman"/>
        </w:rPr>
      </w:pPr>
      <w:r w:rsidRPr="009D51EF">
        <w:rPr>
          <w:rFonts w:ascii="Times New Roman" w:hAnsi="Times New Roman" w:cs="Times New Roman"/>
        </w:rPr>
        <w:t xml:space="preserve">Variables with a p-value &lt;0.1 were entered into a stepwise multivariable regression model, with age and sex retained in the model by design. In the adjusted </w:t>
      </w:r>
      <w:r w:rsidR="00066CB3" w:rsidRPr="009D51EF">
        <w:rPr>
          <w:rFonts w:ascii="Times New Roman" w:hAnsi="Times New Roman" w:cs="Times New Roman"/>
        </w:rPr>
        <w:t>analysis</w:t>
      </w:r>
      <w:r w:rsidR="00066CB3" w:rsidRPr="009D51EF">
        <w:rPr>
          <w:rFonts w:ascii="Times New Roman" w:hAnsi="Times New Roman" w:cs="Times New Roman"/>
          <w:b/>
        </w:rPr>
        <w:t xml:space="preserve"> (</w:t>
      </w:r>
      <w:r w:rsidR="00BE428A" w:rsidRPr="009D51EF">
        <w:rPr>
          <w:rFonts w:ascii="Times New Roman" w:hAnsi="Times New Roman" w:cs="Times New Roman"/>
          <w:b/>
        </w:rPr>
        <w:t>Table 3)</w:t>
      </w:r>
      <w:r w:rsidRPr="009D51EF">
        <w:rPr>
          <w:rFonts w:ascii="Times New Roman" w:hAnsi="Times New Roman" w:cs="Times New Roman"/>
        </w:rPr>
        <w:t>, four variables remained significantly associated with myopia progression. Children aged over 13 years were significantly less likely to progress compared to those aged ≤9 years (PR = 0.64, 95% CI: 0.43–0.96, p = 0.03). Viewing TV at a distance of ≤2 meters remained a risk factor (PR = 1.31, 95% CI: 1.07–1.62, p = 0.01), as did performing more than two hours of near work per day (PR = 1.55, 95% CI: 1.23–1.94, p &lt; 0.001). A positive family history continued to show a strong association (PR = 1.53, 95% CI: 1.23–1.91, p &lt; 0.001).</w:t>
      </w:r>
    </w:p>
    <w:p w14:paraId="333E926C" w14:textId="77777777" w:rsidR="00550B87" w:rsidRPr="009D51EF" w:rsidRDefault="00550B87" w:rsidP="00550B87">
      <w:pPr>
        <w:pStyle w:val="NoSpacing"/>
        <w:rPr>
          <w:rFonts w:ascii="Times New Roman" w:hAnsi="Times New Roman" w:cs="Times New Roman"/>
        </w:rPr>
      </w:pPr>
      <w:r w:rsidRPr="009D51EF">
        <w:rPr>
          <w:rFonts w:ascii="Times New Roman" w:hAnsi="Times New Roman" w:cs="Times New Roman"/>
        </w:rPr>
        <w:t>Sex, outdoor time, and age 10–13 years were not significantly associated in the adjusted model. The final model showed no multicollinearity (VIF = 1.96).</w:t>
      </w:r>
    </w:p>
    <w:p w14:paraId="028416C0" w14:textId="77777777" w:rsidR="006667EE" w:rsidRPr="00F6744C" w:rsidRDefault="006667EE" w:rsidP="006667EE">
      <w:pPr>
        <w:spacing w:before="240" w:after="0"/>
        <w:rPr>
          <w:rFonts w:ascii="Times New Roman" w:hAnsi="Times New Roman" w:cs="Times New Roman"/>
        </w:rPr>
      </w:pPr>
      <w:r w:rsidRPr="00C75BF6">
        <w:rPr>
          <w:rFonts w:ascii="Times New Roman" w:hAnsi="Times New Roman" w:cs="Times New Roman"/>
          <w:b/>
          <w:bCs/>
        </w:rPr>
        <w:t>Table 2</w:t>
      </w:r>
      <w:r>
        <w:rPr>
          <w:rFonts w:ascii="Times New Roman" w:hAnsi="Times New Roman" w:cs="Times New Roman"/>
          <w:b/>
          <w:bCs/>
        </w:rPr>
        <w:t xml:space="preserve">: </w:t>
      </w:r>
      <w:r w:rsidRPr="00F6744C">
        <w:rPr>
          <w:rFonts w:ascii="Times New Roman" w:hAnsi="Times New Roman" w:cs="Times New Roman"/>
        </w:rPr>
        <w:t>Distribution of Myopia progression and its associated factors in unadjusted/crude analysis</w:t>
      </w:r>
    </w:p>
    <w:tbl>
      <w:tblPr>
        <w:tblW w:w="9985" w:type="dxa"/>
        <w:tblLook w:val="04A0" w:firstRow="1" w:lastRow="0" w:firstColumn="1" w:lastColumn="0" w:noHBand="0" w:noVBand="1"/>
      </w:tblPr>
      <w:tblGrid>
        <w:gridCol w:w="4836"/>
        <w:gridCol w:w="2089"/>
        <w:gridCol w:w="1898"/>
        <w:gridCol w:w="1162"/>
      </w:tblGrid>
      <w:tr w:rsidR="006667EE" w:rsidRPr="006D2427" w14:paraId="13915C72" w14:textId="77777777" w:rsidTr="0079675D">
        <w:trPr>
          <w:trHeight w:val="315"/>
        </w:trPr>
        <w:tc>
          <w:tcPr>
            <w:tcW w:w="4836" w:type="dxa"/>
            <w:tcBorders>
              <w:top w:val="single" w:sz="12" w:space="0" w:color="auto"/>
            </w:tcBorders>
            <w:shd w:val="clear" w:color="auto" w:fill="auto"/>
            <w:noWrap/>
            <w:vAlign w:val="bottom"/>
            <w:hideMark/>
          </w:tcPr>
          <w:p w14:paraId="20696B3D"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Variable</w:t>
            </w:r>
          </w:p>
        </w:tc>
        <w:tc>
          <w:tcPr>
            <w:tcW w:w="2089" w:type="dxa"/>
            <w:tcBorders>
              <w:top w:val="single" w:sz="12" w:space="0" w:color="auto"/>
              <w:bottom w:val="single" w:sz="12" w:space="0" w:color="auto"/>
            </w:tcBorders>
            <w:shd w:val="clear" w:color="auto" w:fill="auto"/>
            <w:vAlign w:val="bottom"/>
          </w:tcPr>
          <w:p w14:paraId="0743D271"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583D65">
              <w:rPr>
                <w:rFonts w:ascii="Times New Roman" w:eastAsia="Times New Roman" w:hAnsi="Times New Roman" w:cs="Times New Roman"/>
                <w:b/>
                <w:bCs/>
                <w:color w:val="000000"/>
              </w:rPr>
              <w:t xml:space="preserve">Progression of </w:t>
            </w:r>
            <w:r w:rsidRPr="00583D65">
              <w:rPr>
                <w:rFonts w:ascii="Times New Roman" w:hAnsi="Times New Roman" w:cs="Times New Roman"/>
                <w:b/>
                <w:bCs/>
              </w:rPr>
              <w:t>Myopia</w:t>
            </w:r>
            <w:r>
              <w:rPr>
                <w:rFonts w:ascii="Times New Roman" w:hAnsi="Times New Roman" w:cs="Times New Roman"/>
                <w:b/>
                <w:bCs/>
              </w:rPr>
              <w:t xml:space="preserve">, </w:t>
            </w:r>
            <w:r>
              <w:rPr>
                <w:rFonts w:ascii="Times New Roman" w:hAnsi="Times New Roman" w:cs="Times New Roman"/>
              </w:rPr>
              <w:t>(N=127)</w:t>
            </w:r>
            <w:r>
              <w:rPr>
                <w:rFonts w:ascii="Times New Roman" w:eastAsia="Times New Roman" w:hAnsi="Times New Roman" w:cs="Times New Roman"/>
                <w:b/>
                <w:bCs/>
                <w:color w:val="000000"/>
              </w:rPr>
              <w:t xml:space="preserve"> </w:t>
            </w:r>
          </w:p>
        </w:tc>
        <w:tc>
          <w:tcPr>
            <w:tcW w:w="1898" w:type="dxa"/>
            <w:tcBorders>
              <w:top w:val="single" w:sz="12" w:space="0" w:color="auto"/>
              <w:bottom w:val="single" w:sz="12" w:space="0" w:color="auto"/>
            </w:tcBorders>
            <w:vAlign w:val="bottom"/>
          </w:tcPr>
          <w:p w14:paraId="4FECE3E9"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Unadjusted</w:t>
            </w:r>
          </w:p>
        </w:tc>
        <w:tc>
          <w:tcPr>
            <w:tcW w:w="1162" w:type="dxa"/>
            <w:tcBorders>
              <w:top w:val="single" w:sz="12" w:space="0" w:color="auto"/>
            </w:tcBorders>
            <w:vAlign w:val="bottom"/>
          </w:tcPr>
          <w:p w14:paraId="4DF03796"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r w:rsidRPr="0094224F">
              <w:rPr>
                <w:rFonts w:ascii="Times New Roman" w:eastAsia="Times New Roman" w:hAnsi="Times New Roman" w:cs="Times New Roman"/>
                <w:b/>
                <w:bCs/>
                <w:color w:val="000000"/>
              </w:rPr>
              <w:t>P-value</w:t>
            </w:r>
          </w:p>
        </w:tc>
      </w:tr>
      <w:tr w:rsidR="006667EE" w:rsidRPr="006D2427" w14:paraId="2FD28F53" w14:textId="77777777" w:rsidTr="0079675D">
        <w:trPr>
          <w:trHeight w:val="315"/>
        </w:trPr>
        <w:tc>
          <w:tcPr>
            <w:tcW w:w="4836" w:type="dxa"/>
            <w:shd w:val="clear" w:color="auto" w:fill="auto"/>
            <w:noWrap/>
            <w:vAlign w:val="bottom"/>
            <w:hideMark/>
          </w:tcPr>
          <w:p w14:paraId="4A944AEB" w14:textId="77777777" w:rsidR="006667EE" w:rsidRPr="006D2427" w:rsidRDefault="006667EE" w:rsidP="0079675D">
            <w:pPr>
              <w:spacing w:after="0" w:line="240" w:lineRule="auto"/>
              <w:rPr>
                <w:rFonts w:ascii="Times New Roman" w:eastAsia="Times New Roman" w:hAnsi="Times New Roman" w:cs="Times New Roman"/>
                <w:color w:val="000000"/>
              </w:rPr>
            </w:pPr>
            <w:r w:rsidRPr="006D2427">
              <w:rPr>
                <w:rFonts w:ascii="Times New Roman" w:eastAsia="Times New Roman" w:hAnsi="Times New Roman" w:cs="Times New Roman"/>
                <w:color w:val="000000"/>
              </w:rPr>
              <w:t> </w:t>
            </w:r>
          </w:p>
        </w:tc>
        <w:tc>
          <w:tcPr>
            <w:tcW w:w="2089" w:type="dxa"/>
            <w:tcBorders>
              <w:top w:val="single" w:sz="12" w:space="0" w:color="auto"/>
            </w:tcBorders>
            <w:shd w:val="clear" w:color="auto" w:fill="auto"/>
            <w:noWrap/>
            <w:vAlign w:val="bottom"/>
            <w:hideMark/>
          </w:tcPr>
          <w:p w14:paraId="360AFA7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roofErr w:type="gramStart"/>
            <w:r w:rsidRPr="00746511">
              <w:rPr>
                <w:rFonts w:ascii="Times New Roman" w:eastAsia="Times New Roman" w:hAnsi="Times New Roman" w:cs="Times New Roman"/>
                <w:b/>
                <w:bCs/>
                <w:color w:val="000000"/>
              </w:rPr>
              <w:t>n(</w:t>
            </w:r>
            <w:proofErr w:type="gramEnd"/>
            <w:r w:rsidRPr="00746511">
              <w:rPr>
                <w:rFonts w:ascii="Times New Roman" w:eastAsia="Times New Roman" w:hAnsi="Times New Roman" w:cs="Times New Roman"/>
                <w:b/>
                <w:bCs/>
                <w:color w:val="000000"/>
              </w:rPr>
              <w:t>%)</w:t>
            </w:r>
          </w:p>
        </w:tc>
        <w:tc>
          <w:tcPr>
            <w:tcW w:w="1898" w:type="dxa"/>
            <w:tcBorders>
              <w:top w:val="single" w:sz="12" w:space="0" w:color="auto"/>
            </w:tcBorders>
            <w:shd w:val="clear" w:color="auto" w:fill="auto"/>
            <w:vAlign w:val="bottom"/>
          </w:tcPr>
          <w:p w14:paraId="5E3803BE"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roofErr w:type="gramStart"/>
            <w:r w:rsidRPr="0094224F">
              <w:rPr>
                <w:rFonts w:ascii="Times New Roman" w:eastAsia="Times New Roman" w:hAnsi="Times New Roman" w:cs="Times New Roman"/>
                <w:b/>
                <w:bCs/>
                <w:color w:val="000000"/>
              </w:rPr>
              <w:t>PR(</w:t>
            </w:r>
            <w:proofErr w:type="gramEnd"/>
            <w:r w:rsidRPr="0094224F">
              <w:rPr>
                <w:rFonts w:ascii="Times New Roman" w:eastAsia="Times New Roman" w:hAnsi="Times New Roman" w:cs="Times New Roman"/>
                <w:b/>
                <w:bCs/>
                <w:color w:val="000000"/>
              </w:rPr>
              <w:t>95%CI)</w:t>
            </w:r>
          </w:p>
        </w:tc>
        <w:tc>
          <w:tcPr>
            <w:tcW w:w="1162" w:type="dxa"/>
            <w:shd w:val="clear" w:color="auto" w:fill="auto"/>
            <w:vAlign w:val="bottom"/>
          </w:tcPr>
          <w:p w14:paraId="25F47FAB"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r>
      <w:tr w:rsidR="006667EE" w:rsidRPr="006D2427" w14:paraId="7B1C5BC5" w14:textId="77777777" w:rsidTr="0079675D">
        <w:trPr>
          <w:trHeight w:val="330"/>
        </w:trPr>
        <w:tc>
          <w:tcPr>
            <w:tcW w:w="4836" w:type="dxa"/>
            <w:tcBorders>
              <w:top w:val="single" w:sz="12" w:space="0" w:color="auto"/>
            </w:tcBorders>
            <w:shd w:val="clear" w:color="auto" w:fill="auto"/>
            <w:noWrap/>
            <w:vAlign w:val="bottom"/>
            <w:hideMark/>
          </w:tcPr>
          <w:p w14:paraId="3BD13294" w14:textId="77777777" w:rsidR="006667EE" w:rsidRPr="006D2427" w:rsidRDefault="006667EE" w:rsidP="0079675D">
            <w:pPr>
              <w:spacing w:after="0" w:line="240" w:lineRule="auto"/>
              <w:rPr>
                <w:rFonts w:ascii="Times New Roman" w:eastAsia="Times New Roman" w:hAnsi="Times New Roman" w:cs="Times New Roman"/>
                <w:color w:val="000000"/>
              </w:rPr>
            </w:pPr>
            <w:r w:rsidRPr="006D2427">
              <w:rPr>
                <w:rFonts w:ascii="Times New Roman" w:eastAsia="Times New Roman" w:hAnsi="Times New Roman" w:cs="Times New Roman"/>
                <w:color w:val="000000"/>
              </w:rPr>
              <w:t> </w:t>
            </w:r>
          </w:p>
        </w:tc>
        <w:tc>
          <w:tcPr>
            <w:tcW w:w="2089" w:type="dxa"/>
            <w:tcBorders>
              <w:top w:val="single" w:sz="12" w:space="0" w:color="auto"/>
            </w:tcBorders>
            <w:shd w:val="clear" w:color="auto" w:fill="auto"/>
            <w:noWrap/>
            <w:vAlign w:val="bottom"/>
            <w:hideMark/>
          </w:tcPr>
          <w:p w14:paraId="638E1FE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tcBorders>
              <w:top w:val="single" w:sz="12" w:space="0" w:color="auto"/>
            </w:tcBorders>
            <w:vAlign w:val="bottom"/>
          </w:tcPr>
          <w:p w14:paraId="5E6B7780"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c>
          <w:tcPr>
            <w:tcW w:w="1162" w:type="dxa"/>
            <w:tcBorders>
              <w:top w:val="single" w:sz="12" w:space="0" w:color="auto"/>
            </w:tcBorders>
            <w:vAlign w:val="bottom"/>
          </w:tcPr>
          <w:p w14:paraId="5BD45060" w14:textId="77777777" w:rsidR="006667EE" w:rsidRPr="00746511" w:rsidRDefault="006667EE" w:rsidP="0079675D">
            <w:pPr>
              <w:spacing w:after="0" w:line="240" w:lineRule="auto"/>
              <w:jc w:val="center"/>
              <w:rPr>
                <w:rFonts w:ascii="Times New Roman" w:eastAsia="Times New Roman" w:hAnsi="Times New Roman" w:cs="Times New Roman"/>
                <w:b/>
                <w:bCs/>
                <w:color w:val="000000"/>
              </w:rPr>
            </w:pPr>
          </w:p>
        </w:tc>
      </w:tr>
      <w:tr w:rsidR="006667EE" w:rsidRPr="006D2427" w14:paraId="15DE36D3" w14:textId="77777777" w:rsidTr="0079675D">
        <w:trPr>
          <w:trHeight w:val="330"/>
        </w:trPr>
        <w:tc>
          <w:tcPr>
            <w:tcW w:w="4836" w:type="dxa"/>
            <w:shd w:val="clear" w:color="auto" w:fill="auto"/>
            <w:noWrap/>
            <w:vAlign w:val="center"/>
            <w:hideMark/>
          </w:tcPr>
          <w:p w14:paraId="09F9A029"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Age</w:t>
            </w:r>
            <w:r>
              <w:rPr>
                <w:rFonts w:ascii="Times New Roman" w:eastAsia="Times New Roman" w:hAnsi="Times New Roman" w:cs="Times New Roman"/>
                <w:b/>
                <w:bCs/>
                <w:color w:val="000000"/>
              </w:rPr>
              <w:t xml:space="preserve"> of the participant</w:t>
            </w:r>
            <w:r w:rsidRPr="006D2427">
              <w:rPr>
                <w:rFonts w:ascii="Times New Roman" w:eastAsia="Times New Roman" w:hAnsi="Times New Roman" w:cs="Times New Roman"/>
                <w:b/>
                <w:bCs/>
                <w:color w:val="000000"/>
              </w:rPr>
              <w:t xml:space="preserve"> in Years</w:t>
            </w:r>
          </w:p>
        </w:tc>
        <w:tc>
          <w:tcPr>
            <w:tcW w:w="2089" w:type="dxa"/>
            <w:shd w:val="clear" w:color="auto" w:fill="auto"/>
            <w:noWrap/>
            <w:vAlign w:val="bottom"/>
            <w:hideMark/>
          </w:tcPr>
          <w:p w14:paraId="488207A8"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F6C8BC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423C142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75663EED" w14:textId="77777777" w:rsidTr="0079675D">
        <w:trPr>
          <w:trHeight w:val="330"/>
        </w:trPr>
        <w:tc>
          <w:tcPr>
            <w:tcW w:w="4836" w:type="dxa"/>
            <w:shd w:val="clear" w:color="auto" w:fill="auto"/>
            <w:noWrap/>
            <w:vAlign w:val="center"/>
            <w:hideMark/>
          </w:tcPr>
          <w:p w14:paraId="08E9EC89"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≤9</w:t>
            </w:r>
          </w:p>
        </w:tc>
        <w:tc>
          <w:tcPr>
            <w:tcW w:w="2089" w:type="dxa"/>
            <w:shd w:val="clear" w:color="auto" w:fill="auto"/>
            <w:noWrap/>
            <w:vAlign w:val="bottom"/>
            <w:hideMark/>
          </w:tcPr>
          <w:p w14:paraId="1123F9D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14(58.3)</w:t>
            </w:r>
          </w:p>
        </w:tc>
        <w:tc>
          <w:tcPr>
            <w:tcW w:w="1898" w:type="dxa"/>
            <w:vAlign w:val="bottom"/>
          </w:tcPr>
          <w:p w14:paraId="2C35990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1F3CAA84"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6DBFE043" w14:textId="77777777" w:rsidTr="0079675D">
        <w:trPr>
          <w:trHeight w:val="330"/>
        </w:trPr>
        <w:tc>
          <w:tcPr>
            <w:tcW w:w="4836" w:type="dxa"/>
            <w:shd w:val="clear" w:color="auto" w:fill="auto"/>
            <w:noWrap/>
            <w:vAlign w:val="center"/>
            <w:hideMark/>
          </w:tcPr>
          <w:p w14:paraId="6E88F40B"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10-13</w:t>
            </w:r>
          </w:p>
        </w:tc>
        <w:tc>
          <w:tcPr>
            <w:tcW w:w="2089" w:type="dxa"/>
            <w:shd w:val="clear" w:color="auto" w:fill="auto"/>
            <w:noWrap/>
            <w:vAlign w:val="bottom"/>
            <w:hideMark/>
          </w:tcPr>
          <w:p w14:paraId="17074435"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64(73.6)</w:t>
            </w:r>
          </w:p>
        </w:tc>
        <w:tc>
          <w:tcPr>
            <w:tcW w:w="1898" w:type="dxa"/>
            <w:vAlign w:val="bottom"/>
          </w:tcPr>
          <w:p w14:paraId="0CD062A0"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1.26(0.88-1.81)</w:t>
            </w:r>
          </w:p>
        </w:tc>
        <w:tc>
          <w:tcPr>
            <w:tcW w:w="1162" w:type="dxa"/>
            <w:vAlign w:val="bottom"/>
          </w:tcPr>
          <w:p w14:paraId="31643E8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0.209</w:t>
            </w:r>
          </w:p>
        </w:tc>
      </w:tr>
      <w:tr w:rsidR="006667EE" w:rsidRPr="006D2427" w14:paraId="2544BD7D" w14:textId="77777777" w:rsidTr="0079675D">
        <w:trPr>
          <w:trHeight w:val="330"/>
        </w:trPr>
        <w:tc>
          <w:tcPr>
            <w:tcW w:w="4836" w:type="dxa"/>
            <w:shd w:val="clear" w:color="auto" w:fill="auto"/>
            <w:noWrap/>
            <w:vAlign w:val="center"/>
            <w:hideMark/>
          </w:tcPr>
          <w:p w14:paraId="750B6A04"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&gt;13</w:t>
            </w:r>
          </w:p>
        </w:tc>
        <w:tc>
          <w:tcPr>
            <w:tcW w:w="2089" w:type="dxa"/>
            <w:shd w:val="clear" w:color="auto" w:fill="auto"/>
            <w:noWrap/>
            <w:vAlign w:val="bottom"/>
            <w:hideMark/>
          </w:tcPr>
          <w:p w14:paraId="51EF091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49(54.4)</w:t>
            </w:r>
          </w:p>
        </w:tc>
        <w:tc>
          <w:tcPr>
            <w:tcW w:w="1898" w:type="dxa"/>
            <w:vAlign w:val="bottom"/>
          </w:tcPr>
          <w:p w14:paraId="5A3BEDD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0.93(0.63-1.38)</w:t>
            </w:r>
          </w:p>
        </w:tc>
        <w:tc>
          <w:tcPr>
            <w:tcW w:w="1162" w:type="dxa"/>
            <w:vAlign w:val="bottom"/>
          </w:tcPr>
          <w:p w14:paraId="482096C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0.728</w:t>
            </w:r>
          </w:p>
        </w:tc>
      </w:tr>
      <w:tr w:rsidR="006667EE" w:rsidRPr="006D2427" w14:paraId="5B39F824" w14:textId="77777777" w:rsidTr="0079675D">
        <w:trPr>
          <w:trHeight w:val="330"/>
        </w:trPr>
        <w:tc>
          <w:tcPr>
            <w:tcW w:w="4836" w:type="dxa"/>
            <w:shd w:val="clear" w:color="auto" w:fill="auto"/>
            <w:noWrap/>
            <w:vAlign w:val="center"/>
            <w:hideMark/>
          </w:tcPr>
          <w:p w14:paraId="5926278B"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Sex of the participant</w:t>
            </w:r>
          </w:p>
        </w:tc>
        <w:tc>
          <w:tcPr>
            <w:tcW w:w="2089" w:type="dxa"/>
            <w:shd w:val="clear" w:color="auto" w:fill="auto"/>
            <w:noWrap/>
            <w:vAlign w:val="bottom"/>
            <w:hideMark/>
          </w:tcPr>
          <w:p w14:paraId="27C7F61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D395841"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5BFB856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1659B5E1" w14:textId="77777777" w:rsidTr="0079675D">
        <w:trPr>
          <w:trHeight w:val="330"/>
        </w:trPr>
        <w:tc>
          <w:tcPr>
            <w:tcW w:w="4836" w:type="dxa"/>
            <w:shd w:val="clear" w:color="auto" w:fill="auto"/>
            <w:noWrap/>
            <w:vAlign w:val="center"/>
            <w:hideMark/>
          </w:tcPr>
          <w:p w14:paraId="59F1659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Female</w:t>
            </w:r>
          </w:p>
        </w:tc>
        <w:tc>
          <w:tcPr>
            <w:tcW w:w="2089" w:type="dxa"/>
            <w:shd w:val="clear" w:color="auto" w:fill="auto"/>
            <w:noWrap/>
            <w:vAlign w:val="bottom"/>
            <w:hideMark/>
          </w:tcPr>
          <w:p w14:paraId="1CD3ADB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78(69.6)</w:t>
            </w:r>
          </w:p>
        </w:tc>
        <w:tc>
          <w:tcPr>
            <w:tcW w:w="1898" w:type="dxa"/>
            <w:vAlign w:val="bottom"/>
          </w:tcPr>
          <w:p w14:paraId="7FBB5CF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1E9EDEE"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1832DA9B" w14:textId="77777777" w:rsidTr="0079675D">
        <w:trPr>
          <w:trHeight w:val="330"/>
        </w:trPr>
        <w:tc>
          <w:tcPr>
            <w:tcW w:w="4836" w:type="dxa"/>
            <w:shd w:val="clear" w:color="auto" w:fill="auto"/>
            <w:noWrap/>
            <w:vAlign w:val="center"/>
            <w:hideMark/>
          </w:tcPr>
          <w:p w14:paraId="0AA33A3B"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Male</w:t>
            </w:r>
          </w:p>
        </w:tc>
        <w:tc>
          <w:tcPr>
            <w:tcW w:w="2089" w:type="dxa"/>
            <w:shd w:val="clear" w:color="auto" w:fill="auto"/>
            <w:noWrap/>
            <w:vAlign w:val="bottom"/>
            <w:hideMark/>
          </w:tcPr>
          <w:p w14:paraId="32FD9378"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49(55.1)</w:t>
            </w:r>
          </w:p>
        </w:tc>
        <w:tc>
          <w:tcPr>
            <w:tcW w:w="1898" w:type="dxa"/>
            <w:vAlign w:val="bottom"/>
          </w:tcPr>
          <w:p w14:paraId="450F389D"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0.79(0.63-0.98)</w:t>
            </w:r>
          </w:p>
        </w:tc>
        <w:tc>
          <w:tcPr>
            <w:tcW w:w="1162" w:type="dxa"/>
            <w:vAlign w:val="bottom"/>
          </w:tcPr>
          <w:p w14:paraId="73FBA697"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0.04</w:t>
            </w:r>
          </w:p>
        </w:tc>
      </w:tr>
      <w:tr w:rsidR="006667EE" w:rsidRPr="006D2427" w14:paraId="2C0852D3" w14:textId="77777777" w:rsidTr="0079675D">
        <w:trPr>
          <w:trHeight w:val="330"/>
        </w:trPr>
        <w:tc>
          <w:tcPr>
            <w:tcW w:w="4836" w:type="dxa"/>
            <w:shd w:val="clear" w:color="auto" w:fill="auto"/>
            <w:noWrap/>
            <w:vAlign w:val="center"/>
            <w:hideMark/>
          </w:tcPr>
          <w:p w14:paraId="71F92793"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Spectacle wearing pattern</w:t>
            </w:r>
          </w:p>
        </w:tc>
        <w:tc>
          <w:tcPr>
            <w:tcW w:w="2089" w:type="dxa"/>
            <w:shd w:val="clear" w:color="auto" w:fill="auto"/>
            <w:noWrap/>
            <w:vAlign w:val="bottom"/>
            <w:hideMark/>
          </w:tcPr>
          <w:p w14:paraId="7E70263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2F77EB78"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2691376F"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57873D22" w14:textId="77777777" w:rsidTr="0079675D">
        <w:trPr>
          <w:trHeight w:val="330"/>
        </w:trPr>
        <w:tc>
          <w:tcPr>
            <w:tcW w:w="4836" w:type="dxa"/>
            <w:shd w:val="clear" w:color="auto" w:fill="auto"/>
            <w:noWrap/>
            <w:vAlign w:val="center"/>
            <w:hideMark/>
          </w:tcPr>
          <w:p w14:paraId="565E36A7"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Wearer</w:t>
            </w:r>
          </w:p>
        </w:tc>
        <w:tc>
          <w:tcPr>
            <w:tcW w:w="2089" w:type="dxa"/>
            <w:shd w:val="clear" w:color="auto" w:fill="auto"/>
            <w:noWrap/>
            <w:vAlign w:val="bottom"/>
            <w:hideMark/>
          </w:tcPr>
          <w:p w14:paraId="776381E0"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100(59.5)</w:t>
            </w:r>
          </w:p>
        </w:tc>
        <w:tc>
          <w:tcPr>
            <w:tcW w:w="1898" w:type="dxa"/>
            <w:vAlign w:val="bottom"/>
          </w:tcPr>
          <w:p w14:paraId="3F7A6D1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6B77819"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72F6293C" w14:textId="77777777" w:rsidTr="0079675D">
        <w:trPr>
          <w:trHeight w:val="330"/>
        </w:trPr>
        <w:tc>
          <w:tcPr>
            <w:tcW w:w="4836" w:type="dxa"/>
            <w:shd w:val="clear" w:color="auto" w:fill="auto"/>
            <w:noWrap/>
            <w:vAlign w:val="center"/>
            <w:hideMark/>
          </w:tcPr>
          <w:p w14:paraId="7A412A53"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Non wearer</w:t>
            </w:r>
          </w:p>
        </w:tc>
        <w:tc>
          <w:tcPr>
            <w:tcW w:w="2089" w:type="dxa"/>
            <w:shd w:val="clear" w:color="auto" w:fill="auto"/>
            <w:noWrap/>
            <w:vAlign w:val="bottom"/>
            <w:hideMark/>
          </w:tcPr>
          <w:p w14:paraId="31019E5A"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27(81.8)</w:t>
            </w:r>
          </w:p>
        </w:tc>
        <w:tc>
          <w:tcPr>
            <w:tcW w:w="1898" w:type="dxa"/>
            <w:vAlign w:val="bottom"/>
          </w:tcPr>
          <w:p w14:paraId="2624A1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1.37(1.12-1.69)</w:t>
            </w:r>
          </w:p>
        </w:tc>
        <w:tc>
          <w:tcPr>
            <w:tcW w:w="1162" w:type="dxa"/>
            <w:vAlign w:val="bottom"/>
          </w:tcPr>
          <w:p w14:paraId="664B548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0.002</w:t>
            </w:r>
          </w:p>
        </w:tc>
      </w:tr>
      <w:tr w:rsidR="006667EE" w:rsidRPr="006D2427" w14:paraId="4C580BA2" w14:textId="77777777" w:rsidTr="0079675D">
        <w:trPr>
          <w:trHeight w:val="330"/>
        </w:trPr>
        <w:tc>
          <w:tcPr>
            <w:tcW w:w="4836" w:type="dxa"/>
            <w:shd w:val="clear" w:color="auto" w:fill="auto"/>
            <w:noWrap/>
            <w:vAlign w:val="center"/>
            <w:hideMark/>
          </w:tcPr>
          <w:p w14:paraId="6898E877"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 xml:space="preserve">Distance from TV Screen </w:t>
            </w:r>
          </w:p>
        </w:tc>
        <w:tc>
          <w:tcPr>
            <w:tcW w:w="2089" w:type="dxa"/>
            <w:shd w:val="clear" w:color="auto" w:fill="auto"/>
            <w:noWrap/>
            <w:vAlign w:val="bottom"/>
            <w:hideMark/>
          </w:tcPr>
          <w:p w14:paraId="4D1B1F3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2489F9E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5C4489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23A7A62" w14:textId="77777777" w:rsidTr="0079675D">
        <w:trPr>
          <w:trHeight w:val="330"/>
        </w:trPr>
        <w:tc>
          <w:tcPr>
            <w:tcW w:w="4836" w:type="dxa"/>
            <w:shd w:val="clear" w:color="auto" w:fill="auto"/>
            <w:noWrap/>
            <w:vAlign w:val="center"/>
            <w:hideMark/>
          </w:tcPr>
          <w:p w14:paraId="68C3302C"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≤2</w:t>
            </w:r>
          </w:p>
        </w:tc>
        <w:tc>
          <w:tcPr>
            <w:tcW w:w="2089" w:type="dxa"/>
            <w:shd w:val="clear" w:color="auto" w:fill="auto"/>
            <w:noWrap/>
            <w:vAlign w:val="bottom"/>
            <w:hideMark/>
          </w:tcPr>
          <w:p w14:paraId="231BFE8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74(80.4)</w:t>
            </w:r>
          </w:p>
        </w:tc>
        <w:tc>
          <w:tcPr>
            <w:tcW w:w="1898" w:type="dxa"/>
            <w:vAlign w:val="bottom"/>
          </w:tcPr>
          <w:p w14:paraId="04001BC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1.65(1.33-2.06)</w:t>
            </w:r>
          </w:p>
        </w:tc>
        <w:tc>
          <w:tcPr>
            <w:tcW w:w="1162" w:type="dxa"/>
            <w:vAlign w:val="bottom"/>
          </w:tcPr>
          <w:p w14:paraId="13370EAB"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0B749EB2" w14:textId="77777777" w:rsidTr="0079675D">
        <w:trPr>
          <w:trHeight w:val="330"/>
        </w:trPr>
        <w:tc>
          <w:tcPr>
            <w:tcW w:w="4836" w:type="dxa"/>
            <w:shd w:val="clear" w:color="auto" w:fill="auto"/>
            <w:noWrap/>
            <w:vAlign w:val="center"/>
            <w:hideMark/>
          </w:tcPr>
          <w:p w14:paraId="5875C749"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&gt;2</w:t>
            </w:r>
          </w:p>
        </w:tc>
        <w:tc>
          <w:tcPr>
            <w:tcW w:w="2089" w:type="dxa"/>
            <w:shd w:val="clear" w:color="auto" w:fill="auto"/>
            <w:noWrap/>
            <w:vAlign w:val="bottom"/>
            <w:hideMark/>
          </w:tcPr>
          <w:p w14:paraId="396B128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53(48.6)</w:t>
            </w:r>
          </w:p>
        </w:tc>
        <w:tc>
          <w:tcPr>
            <w:tcW w:w="1898" w:type="dxa"/>
            <w:vAlign w:val="bottom"/>
          </w:tcPr>
          <w:p w14:paraId="5BB20102"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56DD86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579AB71D" w14:textId="77777777" w:rsidTr="0079675D">
        <w:trPr>
          <w:trHeight w:val="330"/>
        </w:trPr>
        <w:tc>
          <w:tcPr>
            <w:tcW w:w="4836" w:type="dxa"/>
            <w:shd w:val="clear" w:color="auto" w:fill="auto"/>
            <w:noWrap/>
            <w:vAlign w:val="center"/>
            <w:hideMark/>
          </w:tcPr>
          <w:p w14:paraId="13F8CACA"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Mobile Use</w:t>
            </w:r>
          </w:p>
        </w:tc>
        <w:tc>
          <w:tcPr>
            <w:tcW w:w="2089" w:type="dxa"/>
            <w:shd w:val="clear" w:color="auto" w:fill="auto"/>
            <w:noWrap/>
            <w:vAlign w:val="bottom"/>
            <w:hideMark/>
          </w:tcPr>
          <w:p w14:paraId="4A885CBB"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6C5A585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60FCA6E0"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6D07F8C" w14:textId="77777777" w:rsidTr="0079675D">
        <w:trPr>
          <w:trHeight w:val="330"/>
        </w:trPr>
        <w:tc>
          <w:tcPr>
            <w:tcW w:w="4836" w:type="dxa"/>
            <w:shd w:val="clear" w:color="auto" w:fill="auto"/>
            <w:noWrap/>
            <w:vAlign w:val="center"/>
            <w:hideMark/>
          </w:tcPr>
          <w:p w14:paraId="656FC84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No</w:t>
            </w:r>
          </w:p>
        </w:tc>
        <w:tc>
          <w:tcPr>
            <w:tcW w:w="2089" w:type="dxa"/>
            <w:shd w:val="clear" w:color="auto" w:fill="auto"/>
            <w:noWrap/>
            <w:vAlign w:val="bottom"/>
            <w:hideMark/>
          </w:tcPr>
          <w:p w14:paraId="0C62FF1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70(53.8)</w:t>
            </w:r>
          </w:p>
        </w:tc>
        <w:tc>
          <w:tcPr>
            <w:tcW w:w="1898" w:type="dxa"/>
            <w:vAlign w:val="bottom"/>
          </w:tcPr>
          <w:p w14:paraId="4CE20BF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16F3174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8F59B2C" w14:textId="77777777" w:rsidTr="0079675D">
        <w:trPr>
          <w:trHeight w:val="330"/>
        </w:trPr>
        <w:tc>
          <w:tcPr>
            <w:tcW w:w="4836" w:type="dxa"/>
            <w:shd w:val="clear" w:color="auto" w:fill="auto"/>
            <w:noWrap/>
            <w:vAlign w:val="center"/>
            <w:hideMark/>
          </w:tcPr>
          <w:p w14:paraId="07B9CA4C"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Yes</w:t>
            </w:r>
          </w:p>
        </w:tc>
        <w:tc>
          <w:tcPr>
            <w:tcW w:w="2089" w:type="dxa"/>
            <w:shd w:val="clear" w:color="auto" w:fill="auto"/>
            <w:noWrap/>
            <w:vAlign w:val="bottom"/>
            <w:hideMark/>
          </w:tcPr>
          <w:p w14:paraId="7D926E1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57(80.3)</w:t>
            </w:r>
          </w:p>
        </w:tc>
        <w:tc>
          <w:tcPr>
            <w:tcW w:w="1898" w:type="dxa"/>
            <w:vAlign w:val="bottom"/>
          </w:tcPr>
          <w:p w14:paraId="759585A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1.49(1.22-1.82)</w:t>
            </w:r>
          </w:p>
        </w:tc>
        <w:tc>
          <w:tcPr>
            <w:tcW w:w="1162" w:type="dxa"/>
            <w:vAlign w:val="bottom"/>
          </w:tcPr>
          <w:p w14:paraId="04360F4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7465D3CC" w14:textId="77777777" w:rsidTr="0079675D">
        <w:trPr>
          <w:trHeight w:val="330"/>
        </w:trPr>
        <w:tc>
          <w:tcPr>
            <w:tcW w:w="4836" w:type="dxa"/>
            <w:shd w:val="clear" w:color="auto" w:fill="auto"/>
            <w:noWrap/>
            <w:vAlign w:val="center"/>
            <w:hideMark/>
          </w:tcPr>
          <w:p w14:paraId="714EA22D"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lastRenderedPageBreak/>
              <w:t>Hours near work in a day</w:t>
            </w:r>
          </w:p>
        </w:tc>
        <w:tc>
          <w:tcPr>
            <w:tcW w:w="2089" w:type="dxa"/>
            <w:shd w:val="clear" w:color="auto" w:fill="auto"/>
            <w:noWrap/>
            <w:vAlign w:val="bottom"/>
            <w:hideMark/>
          </w:tcPr>
          <w:p w14:paraId="70B0853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3EF38C5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205B94BD"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7627EA0" w14:textId="77777777" w:rsidTr="0079675D">
        <w:trPr>
          <w:trHeight w:val="330"/>
        </w:trPr>
        <w:tc>
          <w:tcPr>
            <w:tcW w:w="4836" w:type="dxa"/>
            <w:shd w:val="clear" w:color="auto" w:fill="auto"/>
            <w:noWrap/>
            <w:vAlign w:val="center"/>
            <w:hideMark/>
          </w:tcPr>
          <w:p w14:paraId="017B41B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 2 hour a day</w:t>
            </w:r>
          </w:p>
        </w:tc>
        <w:tc>
          <w:tcPr>
            <w:tcW w:w="2089" w:type="dxa"/>
            <w:shd w:val="clear" w:color="auto" w:fill="auto"/>
            <w:noWrap/>
            <w:vAlign w:val="bottom"/>
            <w:hideMark/>
          </w:tcPr>
          <w:p w14:paraId="70947552"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59(48.8)</w:t>
            </w:r>
          </w:p>
        </w:tc>
        <w:tc>
          <w:tcPr>
            <w:tcW w:w="1898" w:type="dxa"/>
            <w:vAlign w:val="bottom"/>
          </w:tcPr>
          <w:p w14:paraId="0A65D05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7EF5664C"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3404724F" w14:textId="77777777" w:rsidTr="0079675D">
        <w:trPr>
          <w:trHeight w:val="330"/>
        </w:trPr>
        <w:tc>
          <w:tcPr>
            <w:tcW w:w="4836" w:type="dxa"/>
            <w:shd w:val="clear" w:color="auto" w:fill="auto"/>
            <w:noWrap/>
            <w:vAlign w:val="center"/>
            <w:hideMark/>
          </w:tcPr>
          <w:p w14:paraId="08A09446" w14:textId="77777777" w:rsidR="006667EE" w:rsidRPr="006D2427" w:rsidRDefault="00E07377" w:rsidP="0079675D">
            <w:pPr>
              <w:spacing w:after="0" w:line="240" w:lineRule="auto"/>
              <w:ind w:left="5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667EE" w:rsidRPr="006D2427">
              <w:rPr>
                <w:rFonts w:ascii="Times New Roman" w:eastAsia="Times New Roman" w:hAnsi="Times New Roman" w:cs="Times New Roman"/>
                <w:color w:val="000000"/>
              </w:rPr>
              <w:t>&gt; 2 hours a day</w:t>
            </w:r>
          </w:p>
        </w:tc>
        <w:tc>
          <w:tcPr>
            <w:tcW w:w="2089" w:type="dxa"/>
            <w:shd w:val="clear" w:color="auto" w:fill="auto"/>
            <w:noWrap/>
            <w:vAlign w:val="bottom"/>
            <w:hideMark/>
          </w:tcPr>
          <w:p w14:paraId="1364F43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68(85)</w:t>
            </w:r>
          </w:p>
        </w:tc>
        <w:tc>
          <w:tcPr>
            <w:tcW w:w="1898" w:type="dxa"/>
            <w:vAlign w:val="bottom"/>
          </w:tcPr>
          <w:p w14:paraId="22FA5B1E"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1.74(1.42-2.14)</w:t>
            </w:r>
          </w:p>
        </w:tc>
        <w:tc>
          <w:tcPr>
            <w:tcW w:w="1162" w:type="dxa"/>
            <w:vAlign w:val="bottom"/>
          </w:tcPr>
          <w:p w14:paraId="7986660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r w:rsidR="006667EE" w:rsidRPr="006D2427" w14:paraId="37314D85" w14:textId="77777777" w:rsidTr="0079675D">
        <w:trPr>
          <w:trHeight w:val="330"/>
        </w:trPr>
        <w:tc>
          <w:tcPr>
            <w:tcW w:w="4836" w:type="dxa"/>
            <w:shd w:val="clear" w:color="auto" w:fill="auto"/>
            <w:noWrap/>
            <w:vAlign w:val="center"/>
            <w:hideMark/>
          </w:tcPr>
          <w:p w14:paraId="29A205DC"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outdoor in a day</w:t>
            </w:r>
          </w:p>
        </w:tc>
        <w:tc>
          <w:tcPr>
            <w:tcW w:w="2089" w:type="dxa"/>
            <w:shd w:val="clear" w:color="auto" w:fill="auto"/>
            <w:noWrap/>
            <w:vAlign w:val="bottom"/>
            <w:hideMark/>
          </w:tcPr>
          <w:p w14:paraId="47C79580"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4EBF1B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148B185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CC33C33" w14:textId="77777777" w:rsidTr="0079675D">
        <w:trPr>
          <w:trHeight w:val="330"/>
        </w:trPr>
        <w:tc>
          <w:tcPr>
            <w:tcW w:w="4836" w:type="dxa"/>
            <w:shd w:val="clear" w:color="auto" w:fill="auto"/>
            <w:noWrap/>
            <w:vAlign w:val="center"/>
            <w:hideMark/>
          </w:tcPr>
          <w:p w14:paraId="7977BC95"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&lt; 1 hour a day</w:t>
            </w:r>
          </w:p>
        </w:tc>
        <w:tc>
          <w:tcPr>
            <w:tcW w:w="2089" w:type="dxa"/>
            <w:shd w:val="clear" w:color="auto" w:fill="auto"/>
            <w:noWrap/>
            <w:vAlign w:val="bottom"/>
            <w:hideMark/>
          </w:tcPr>
          <w:p w14:paraId="018A951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108(68.4)</w:t>
            </w:r>
          </w:p>
        </w:tc>
        <w:tc>
          <w:tcPr>
            <w:tcW w:w="1898" w:type="dxa"/>
            <w:vAlign w:val="bottom"/>
          </w:tcPr>
          <w:p w14:paraId="3C86820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0F3704E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C5A299A" w14:textId="77777777" w:rsidTr="0079675D">
        <w:trPr>
          <w:trHeight w:val="330"/>
        </w:trPr>
        <w:tc>
          <w:tcPr>
            <w:tcW w:w="4836" w:type="dxa"/>
            <w:shd w:val="clear" w:color="auto" w:fill="auto"/>
            <w:noWrap/>
            <w:vAlign w:val="center"/>
            <w:hideMark/>
          </w:tcPr>
          <w:p w14:paraId="78E95228"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&gt; 1 hour a day</w:t>
            </w:r>
          </w:p>
        </w:tc>
        <w:tc>
          <w:tcPr>
            <w:tcW w:w="2089" w:type="dxa"/>
            <w:shd w:val="clear" w:color="auto" w:fill="auto"/>
            <w:noWrap/>
            <w:vAlign w:val="bottom"/>
            <w:hideMark/>
          </w:tcPr>
          <w:p w14:paraId="2A01BC5F"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19(44.2)</w:t>
            </w:r>
          </w:p>
        </w:tc>
        <w:tc>
          <w:tcPr>
            <w:tcW w:w="1898" w:type="dxa"/>
            <w:vAlign w:val="bottom"/>
          </w:tcPr>
          <w:p w14:paraId="1FA45B76"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0.65(0.45-0.92)</w:t>
            </w:r>
          </w:p>
        </w:tc>
        <w:tc>
          <w:tcPr>
            <w:tcW w:w="1162" w:type="dxa"/>
            <w:vAlign w:val="bottom"/>
          </w:tcPr>
          <w:p w14:paraId="7F557443"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0.015</w:t>
            </w:r>
          </w:p>
        </w:tc>
      </w:tr>
      <w:tr w:rsidR="006667EE" w:rsidRPr="006D2427" w14:paraId="50C4B762" w14:textId="77777777" w:rsidTr="0079675D">
        <w:trPr>
          <w:trHeight w:val="330"/>
        </w:trPr>
        <w:tc>
          <w:tcPr>
            <w:tcW w:w="4836" w:type="dxa"/>
            <w:shd w:val="clear" w:color="auto" w:fill="auto"/>
            <w:noWrap/>
            <w:vAlign w:val="center"/>
            <w:hideMark/>
          </w:tcPr>
          <w:p w14:paraId="79FAA4C6"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Degree of Myopia</w:t>
            </w:r>
          </w:p>
        </w:tc>
        <w:tc>
          <w:tcPr>
            <w:tcW w:w="2089" w:type="dxa"/>
            <w:shd w:val="clear" w:color="auto" w:fill="auto"/>
            <w:noWrap/>
            <w:vAlign w:val="bottom"/>
            <w:hideMark/>
          </w:tcPr>
          <w:p w14:paraId="1F904A1A"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7D7778D2"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6B630506"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7628A1A" w14:textId="77777777" w:rsidTr="0079675D">
        <w:trPr>
          <w:trHeight w:val="330"/>
        </w:trPr>
        <w:tc>
          <w:tcPr>
            <w:tcW w:w="4836" w:type="dxa"/>
            <w:shd w:val="clear" w:color="auto" w:fill="auto"/>
            <w:noWrap/>
            <w:vAlign w:val="center"/>
            <w:hideMark/>
          </w:tcPr>
          <w:p w14:paraId="25BBFC5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Low</w:t>
            </w:r>
          </w:p>
        </w:tc>
        <w:tc>
          <w:tcPr>
            <w:tcW w:w="2089" w:type="dxa"/>
            <w:shd w:val="clear" w:color="auto" w:fill="auto"/>
            <w:noWrap/>
            <w:vAlign w:val="bottom"/>
            <w:hideMark/>
          </w:tcPr>
          <w:p w14:paraId="37CCC2B1"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26(60.5)</w:t>
            </w:r>
          </w:p>
        </w:tc>
        <w:tc>
          <w:tcPr>
            <w:tcW w:w="1898" w:type="dxa"/>
            <w:vAlign w:val="bottom"/>
          </w:tcPr>
          <w:p w14:paraId="4555CA68"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0742C3EA" w14:textId="77777777" w:rsidR="006667EE" w:rsidRPr="00BD738A"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4B705482" w14:textId="77777777" w:rsidTr="0079675D">
        <w:trPr>
          <w:trHeight w:val="330"/>
        </w:trPr>
        <w:tc>
          <w:tcPr>
            <w:tcW w:w="4836" w:type="dxa"/>
            <w:shd w:val="clear" w:color="auto" w:fill="auto"/>
            <w:noWrap/>
            <w:vAlign w:val="center"/>
            <w:hideMark/>
          </w:tcPr>
          <w:p w14:paraId="0A58D3BA"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Moderate</w:t>
            </w:r>
          </w:p>
        </w:tc>
        <w:tc>
          <w:tcPr>
            <w:tcW w:w="2089" w:type="dxa"/>
            <w:shd w:val="clear" w:color="auto" w:fill="auto"/>
            <w:noWrap/>
            <w:vAlign w:val="bottom"/>
            <w:hideMark/>
          </w:tcPr>
          <w:p w14:paraId="0CBF369A"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83(63.4)</w:t>
            </w:r>
          </w:p>
        </w:tc>
        <w:tc>
          <w:tcPr>
            <w:tcW w:w="1898" w:type="dxa"/>
            <w:vAlign w:val="bottom"/>
          </w:tcPr>
          <w:p w14:paraId="1E9E75FC"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1.05(0.78-1.42)</w:t>
            </w:r>
          </w:p>
        </w:tc>
        <w:tc>
          <w:tcPr>
            <w:tcW w:w="1162" w:type="dxa"/>
            <w:vAlign w:val="bottom"/>
          </w:tcPr>
          <w:p w14:paraId="4020F553"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0.737</w:t>
            </w:r>
          </w:p>
        </w:tc>
      </w:tr>
      <w:tr w:rsidR="006667EE" w:rsidRPr="006D2427" w14:paraId="0CC31B46" w14:textId="77777777" w:rsidTr="0079675D">
        <w:trPr>
          <w:trHeight w:val="330"/>
        </w:trPr>
        <w:tc>
          <w:tcPr>
            <w:tcW w:w="4836" w:type="dxa"/>
            <w:shd w:val="clear" w:color="auto" w:fill="auto"/>
            <w:noWrap/>
            <w:vAlign w:val="center"/>
            <w:hideMark/>
          </w:tcPr>
          <w:p w14:paraId="2F66D386" w14:textId="77777777" w:rsidR="006667EE" w:rsidRPr="006D2427" w:rsidRDefault="006667EE" w:rsidP="0079675D">
            <w:pPr>
              <w:spacing w:after="0" w:line="240" w:lineRule="auto"/>
              <w:ind w:left="510"/>
              <w:jc w:val="both"/>
              <w:rPr>
                <w:rFonts w:ascii="Times New Roman" w:eastAsia="Times New Roman" w:hAnsi="Times New Roman" w:cs="Times New Roman"/>
                <w:color w:val="000000"/>
              </w:rPr>
            </w:pPr>
            <w:r w:rsidRPr="006D2427">
              <w:rPr>
                <w:rFonts w:ascii="Times New Roman" w:eastAsia="Times New Roman" w:hAnsi="Times New Roman" w:cs="Times New Roman"/>
                <w:color w:val="000000"/>
              </w:rPr>
              <w:t xml:space="preserve">High </w:t>
            </w:r>
          </w:p>
        </w:tc>
        <w:tc>
          <w:tcPr>
            <w:tcW w:w="2089" w:type="dxa"/>
            <w:shd w:val="clear" w:color="auto" w:fill="auto"/>
            <w:noWrap/>
            <w:vAlign w:val="bottom"/>
            <w:hideMark/>
          </w:tcPr>
          <w:p w14:paraId="16CD7C6C"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BD738A">
              <w:rPr>
                <w:rFonts w:ascii="Times New Roman" w:eastAsia="Times New Roman" w:hAnsi="Times New Roman" w:cs="Times New Roman"/>
                <w:color w:val="000000"/>
              </w:rPr>
              <w:t>18(66.7)</w:t>
            </w:r>
          </w:p>
        </w:tc>
        <w:tc>
          <w:tcPr>
            <w:tcW w:w="1898" w:type="dxa"/>
            <w:vAlign w:val="bottom"/>
          </w:tcPr>
          <w:p w14:paraId="642AEC4F"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0.95(0.72-1.25)</w:t>
            </w:r>
          </w:p>
        </w:tc>
        <w:tc>
          <w:tcPr>
            <w:tcW w:w="1162" w:type="dxa"/>
            <w:vAlign w:val="bottom"/>
          </w:tcPr>
          <w:p w14:paraId="5DB891ED" w14:textId="77777777" w:rsidR="006667EE" w:rsidRPr="00BD738A"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0.739</w:t>
            </w:r>
          </w:p>
        </w:tc>
      </w:tr>
      <w:tr w:rsidR="006667EE" w:rsidRPr="006D2427" w14:paraId="702A4ECB" w14:textId="77777777" w:rsidTr="0079675D">
        <w:trPr>
          <w:trHeight w:val="330"/>
        </w:trPr>
        <w:tc>
          <w:tcPr>
            <w:tcW w:w="4836" w:type="dxa"/>
            <w:shd w:val="clear" w:color="auto" w:fill="auto"/>
            <w:noWrap/>
            <w:vAlign w:val="bottom"/>
            <w:hideMark/>
          </w:tcPr>
          <w:p w14:paraId="33FA0EAB" w14:textId="77777777" w:rsidR="006667EE" w:rsidRPr="006D2427" w:rsidRDefault="006667EE" w:rsidP="0079675D">
            <w:pPr>
              <w:spacing w:after="0" w:line="240" w:lineRule="auto"/>
              <w:rPr>
                <w:rFonts w:ascii="Times New Roman" w:eastAsia="Times New Roman" w:hAnsi="Times New Roman" w:cs="Times New Roman"/>
                <w:b/>
                <w:bCs/>
                <w:color w:val="000000"/>
              </w:rPr>
            </w:pPr>
            <w:r w:rsidRPr="007A521E">
              <w:rPr>
                <w:rFonts w:ascii="Times New Roman" w:eastAsia="Times New Roman" w:hAnsi="Times New Roman" w:cs="Times New Roman"/>
                <w:b/>
                <w:bCs/>
                <w:color w:val="000000"/>
              </w:rPr>
              <w:t>Family History</w:t>
            </w:r>
            <w:r>
              <w:rPr>
                <w:rFonts w:ascii="Times New Roman" w:eastAsia="Times New Roman" w:hAnsi="Times New Roman" w:cs="Times New Roman"/>
                <w:b/>
                <w:bCs/>
                <w:color w:val="000000"/>
              </w:rPr>
              <w:t xml:space="preserve"> </w:t>
            </w:r>
          </w:p>
        </w:tc>
        <w:tc>
          <w:tcPr>
            <w:tcW w:w="2089" w:type="dxa"/>
            <w:shd w:val="clear" w:color="auto" w:fill="auto"/>
            <w:noWrap/>
            <w:vAlign w:val="bottom"/>
            <w:hideMark/>
          </w:tcPr>
          <w:p w14:paraId="1B117F7A"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898" w:type="dxa"/>
            <w:vAlign w:val="bottom"/>
          </w:tcPr>
          <w:p w14:paraId="09543E7F"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c>
          <w:tcPr>
            <w:tcW w:w="1162" w:type="dxa"/>
            <w:vAlign w:val="bottom"/>
          </w:tcPr>
          <w:p w14:paraId="7FEE3313"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2F8AB2D1" w14:textId="77777777" w:rsidTr="0079675D">
        <w:trPr>
          <w:trHeight w:val="330"/>
        </w:trPr>
        <w:tc>
          <w:tcPr>
            <w:tcW w:w="4836" w:type="dxa"/>
            <w:shd w:val="clear" w:color="auto" w:fill="auto"/>
            <w:noWrap/>
            <w:vAlign w:val="bottom"/>
            <w:hideMark/>
          </w:tcPr>
          <w:p w14:paraId="221DBB5B" w14:textId="77777777" w:rsidR="006667EE" w:rsidRPr="006D2427" w:rsidRDefault="006667EE" w:rsidP="0079675D">
            <w:pPr>
              <w:spacing w:after="0" w:line="240" w:lineRule="auto"/>
              <w:ind w:left="510"/>
              <w:rPr>
                <w:rFonts w:ascii="Times New Roman" w:eastAsia="Times New Roman" w:hAnsi="Times New Roman" w:cs="Times New Roman"/>
                <w:color w:val="000000"/>
              </w:rPr>
            </w:pPr>
            <w:r w:rsidRPr="007A521E">
              <w:rPr>
                <w:rFonts w:ascii="Times New Roman" w:eastAsia="Times New Roman" w:hAnsi="Times New Roman" w:cs="Times New Roman"/>
                <w:color w:val="000000"/>
              </w:rPr>
              <w:t>No history</w:t>
            </w:r>
          </w:p>
        </w:tc>
        <w:tc>
          <w:tcPr>
            <w:tcW w:w="2089" w:type="dxa"/>
            <w:shd w:val="clear" w:color="auto" w:fill="auto"/>
            <w:noWrap/>
            <w:vAlign w:val="bottom"/>
            <w:hideMark/>
          </w:tcPr>
          <w:p w14:paraId="69A96467"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45(45)</w:t>
            </w:r>
          </w:p>
        </w:tc>
        <w:tc>
          <w:tcPr>
            <w:tcW w:w="1898" w:type="dxa"/>
            <w:vAlign w:val="bottom"/>
          </w:tcPr>
          <w:p w14:paraId="227DB52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162" w:type="dxa"/>
            <w:vAlign w:val="bottom"/>
          </w:tcPr>
          <w:p w14:paraId="4B9BB565" w14:textId="77777777" w:rsidR="006667EE" w:rsidRPr="006D2427" w:rsidRDefault="006667EE" w:rsidP="0079675D">
            <w:pPr>
              <w:spacing w:after="0" w:line="240" w:lineRule="auto"/>
              <w:jc w:val="center"/>
              <w:rPr>
                <w:rFonts w:ascii="Times New Roman" w:eastAsia="Times New Roman" w:hAnsi="Times New Roman" w:cs="Times New Roman"/>
                <w:color w:val="000000"/>
              </w:rPr>
            </w:pPr>
          </w:p>
        </w:tc>
      </w:tr>
      <w:tr w:rsidR="006667EE" w:rsidRPr="006D2427" w14:paraId="09DAC013" w14:textId="77777777" w:rsidTr="0079675D">
        <w:trPr>
          <w:trHeight w:val="330"/>
        </w:trPr>
        <w:tc>
          <w:tcPr>
            <w:tcW w:w="4836" w:type="dxa"/>
            <w:tcBorders>
              <w:bottom w:val="single" w:sz="12" w:space="0" w:color="auto"/>
            </w:tcBorders>
            <w:shd w:val="clear" w:color="auto" w:fill="auto"/>
            <w:noWrap/>
            <w:vAlign w:val="bottom"/>
            <w:hideMark/>
          </w:tcPr>
          <w:p w14:paraId="76FACE92" w14:textId="77777777" w:rsidR="006667EE" w:rsidRPr="006D2427"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2089" w:type="dxa"/>
            <w:tcBorders>
              <w:bottom w:val="single" w:sz="12" w:space="0" w:color="auto"/>
            </w:tcBorders>
            <w:shd w:val="clear" w:color="auto" w:fill="auto"/>
            <w:noWrap/>
            <w:vAlign w:val="bottom"/>
            <w:hideMark/>
          </w:tcPr>
          <w:p w14:paraId="0ED39E4B"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6D2427">
              <w:rPr>
                <w:rFonts w:ascii="Times New Roman" w:eastAsia="Times New Roman" w:hAnsi="Times New Roman" w:cs="Times New Roman"/>
                <w:color w:val="000000"/>
              </w:rPr>
              <w:t>82(81.2)</w:t>
            </w:r>
          </w:p>
        </w:tc>
        <w:tc>
          <w:tcPr>
            <w:tcW w:w="1898" w:type="dxa"/>
            <w:tcBorders>
              <w:bottom w:val="single" w:sz="12" w:space="0" w:color="auto"/>
            </w:tcBorders>
            <w:vAlign w:val="bottom"/>
          </w:tcPr>
          <w:p w14:paraId="676C6269"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1.80(1.42-2.29)</w:t>
            </w:r>
          </w:p>
        </w:tc>
        <w:tc>
          <w:tcPr>
            <w:tcW w:w="1162" w:type="dxa"/>
            <w:tcBorders>
              <w:bottom w:val="single" w:sz="12" w:space="0" w:color="auto"/>
            </w:tcBorders>
            <w:vAlign w:val="bottom"/>
          </w:tcPr>
          <w:p w14:paraId="440834B4" w14:textId="77777777" w:rsidR="006667EE" w:rsidRPr="006D2427" w:rsidRDefault="006667EE" w:rsidP="0079675D">
            <w:pPr>
              <w:spacing w:after="0" w:line="240" w:lineRule="auto"/>
              <w:jc w:val="center"/>
              <w:rPr>
                <w:rFonts w:ascii="Times New Roman" w:eastAsia="Times New Roman" w:hAnsi="Times New Roman" w:cs="Times New Roman"/>
                <w:color w:val="000000"/>
              </w:rPr>
            </w:pPr>
            <w:r w:rsidRPr="0094224F">
              <w:rPr>
                <w:rFonts w:ascii="Times New Roman" w:eastAsia="Times New Roman" w:hAnsi="Times New Roman" w:cs="Times New Roman"/>
                <w:color w:val="000000"/>
              </w:rPr>
              <w:t>&lt;0.001</w:t>
            </w:r>
          </w:p>
        </w:tc>
      </w:tr>
    </w:tbl>
    <w:p w14:paraId="280754D9" w14:textId="77777777" w:rsidR="00BD6F5F" w:rsidRDefault="00BD6F5F" w:rsidP="006667EE">
      <w:pPr>
        <w:spacing w:before="240" w:after="0"/>
        <w:rPr>
          <w:rFonts w:ascii="Times New Roman" w:hAnsi="Times New Roman" w:cs="Times New Roman"/>
          <w:b/>
          <w:bCs/>
        </w:rPr>
      </w:pPr>
    </w:p>
    <w:p w14:paraId="3C4EC84C" w14:textId="77777777" w:rsidR="006667EE" w:rsidRDefault="006667EE" w:rsidP="006667EE">
      <w:pPr>
        <w:spacing w:before="240" w:after="0"/>
        <w:rPr>
          <w:rFonts w:ascii="Times New Roman" w:hAnsi="Times New Roman" w:cs="Times New Roman"/>
        </w:rPr>
      </w:pPr>
      <w:r w:rsidRPr="003A65EC">
        <w:rPr>
          <w:rFonts w:ascii="Times New Roman" w:hAnsi="Times New Roman" w:cs="Times New Roman"/>
          <w:b/>
          <w:bCs/>
        </w:rPr>
        <w:t>Table 3</w:t>
      </w:r>
      <w:r>
        <w:rPr>
          <w:rFonts w:ascii="Times New Roman" w:hAnsi="Times New Roman" w:cs="Times New Roman"/>
        </w:rPr>
        <w:t xml:space="preserve">: Adjusted analysis for factors associated with </w:t>
      </w:r>
      <w:r w:rsidRPr="00F6744C">
        <w:rPr>
          <w:rFonts w:ascii="Times New Roman" w:hAnsi="Times New Roman" w:cs="Times New Roman"/>
        </w:rPr>
        <w:t>Myopia progression</w:t>
      </w:r>
    </w:p>
    <w:tbl>
      <w:tblPr>
        <w:tblW w:w="7735" w:type="dxa"/>
        <w:tblLook w:val="04A0" w:firstRow="1" w:lastRow="0" w:firstColumn="1" w:lastColumn="0" w:noHBand="0" w:noVBand="1"/>
      </w:tblPr>
      <w:tblGrid>
        <w:gridCol w:w="3596"/>
        <w:gridCol w:w="1619"/>
        <w:gridCol w:w="1440"/>
        <w:gridCol w:w="1080"/>
      </w:tblGrid>
      <w:tr w:rsidR="006667EE" w:rsidRPr="003A65EC" w14:paraId="51261F3F" w14:textId="77777777" w:rsidTr="0079675D">
        <w:trPr>
          <w:trHeight w:val="315"/>
        </w:trPr>
        <w:tc>
          <w:tcPr>
            <w:tcW w:w="3596" w:type="dxa"/>
            <w:tcBorders>
              <w:top w:val="single" w:sz="12" w:space="0" w:color="auto"/>
              <w:bottom w:val="single" w:sz="12" w:space="0" w:color="auto"/>
            </w:tcBorders>
            <w:shd w:val="clear" w:color="auto" w:fill="auto"/>
            <w:noWrap/>
            <w:vAlign w:val="bottom"/>
            <w:hideMark/>
          </w:tcPr>
          <w:p w14:paraId="3566DFAE"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Variable</w:t>
            </w:r>
          </w:p>
        </w:tc>
        <w:tc>
          <w:tcPr>
            <w:tcW w:w="1619" w:type="dxa"/>
            <w:tcBorders>
              <w:top w:val="single" w:sz="12" w:space="0" w:color="auto"/>
              <w:bottom w:val="single" w:sz="12" w:space="0" w:color="auto"/>
            </w:tcBorders>
            <w:shd w:val="clear" w:color="auto" w:fill="auto"/>
            <w:noWrap/>
            <w:vAlign w:val="bottom"/>
            <w:hideMark/>
          </w:tcPr>
          <w:p w14:paraId="469FE868"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Adjusted PR</w:t>
            </w:r>
          </w:p>
        </w:tc>
        <w:tc>
          <w:tcPr>
            <w:tcW w:w="1440" w:type="dxa"/>
            <w:tcBorders>
              <w:top w:val="single" w:sz="12" w:space="0" w:color="auto"/>
              <w:bottom w:val="single" w:sz="12" w:space="0" w:color="auto"/>
            </w:tcBorders>
            <w:shd w:val="clear" w:color="auto" w:fill="auto"/>
            <w:noWrap/>
            <w:vAlign w:val="bottom"/>
            <w:hideMark/>
          </w:tcPr>
          <w:p w14:paraId="7FA3C195"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95%CI</w:t>
            </w:r>
          </w:p>
        </w:tc>
        <w:tc>
          <w:tcPr>
            <w:tcW w:w="1080" w:type="dxa"/>
            <w:tcBorders>
              <w:top w:val="single" w:sz="12" w:space="0" w:color="auto"/>
              <w:bottom w:val="single" w:sz="12" w:space="0" w:color="auto"/>
            </w:tcBorders>
            <w:shd w:val="clear" w:color="auto" w:fill="auto"/>
            <w:noWrap/>
            <w:vAlign w:val="bottom"/>
            <w:hideMark/>
          </w:tcPr>
          <w:p w14:paraId="48466F3C" w14:textId="77777777" w:rsidR="006667EE" w:rsidRPr="003A65EC" w:rsidRDefault="006667EE" w:rsidP="0079675D">
            <w:pPr>
              <w:spacing w:after="0" w:line="240" w:lineRule="auto"/>
              <w:jc w:val="center"/>
              <w:rPr>
                <w:rFonts w:ascii="Times New Roman" w:eastAsia="Times New Roman" w:hAnsi="Times New Roman" w:cs="Times New Roman"/>
                <w:b/>
                <w:bCs/>
                <w:color w:val="000000"/>
              </w:rPr>
            </w:pPr>
            <w:r w:rsidRPr="003A65EC">
              <w:rPr>
                <w:rFonts w:ascii="Times New Roman" w:eastAsia="Times New Roman" w:hAnsi="Times New Roman" w:cs="Times New Roman"/>
                <w:b/>
                <w:bCs/>
                <w:color w:val="000000"/>
              </w:rPr>
              <w:t>P-value</w:t>
            </w:r>
          </w:p>
        </w:tc>
      </w:tr>
      <w:tr w:rsidR="006667EE" w:rsidRPr="003A65EC" w14:paraId="66136820" w14:textId="77777777" w:rsidTr="0079675D">
        <w:trPr>
          <w:trHeight w:val="315"/>
        </w:trPr>
        <w:tc>
          <w:tcPr>
            <w:tcW w:w="3596" w:type="dxa"/>
            <w:tcBorders>
              <w:top w:val="single" w:sz="12" w:space="0" w:color="auto"/>
            </w:tcBorders>
            <w:shd w:val="clear" w:color="auto" w:fill="auto"/>
            <w:noWrap/>
            <w:vAlign w:val="center"/>
            <w:hideMark/>
          </w:tcPr>
          <w:p w14:paraId="3E89948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Age</w:t>
            </w:r>
            <w:r>
              <w:rPr>
                <w:rFonts w:ascii="Times New Roman" w:eastAsia="Times New Roman" w:hAnsi="Times New Roman" w:cs="Times New Roman"/>
                <w:b/>
                <w:bCs/>
                <w:color w:val="000000"/>
              </w:rPr>
              <w:t xml:space="preserve"> of the participant</w:t>
            </w:r>
            <w:r w:rsidRPr="006D2427">
              <w:rPr>
                <w:rFonts w:ascii="Times New Roman" w:eastAsia="Times New Roman" w:hAnsi="Times New Roman" w:cs="Times New Roman"/>
                <w:b/>
                <w:bCs/>
                <w:color w:val="000000"/>
              </w:rPr>
              <w:t xml:space="preserve"> in Years</w:t>
            </w:r>
          </w:p>
        </w:tc>
        <w:tc>
          <w:tcPr>
            <w:tcW w:w="1619" w:type="dxa"/>
            <w:tcBorders>
              <w:top w:val="single" w:sz="12" w:space="0" w:color="auto"/>
            </w:tcBorders>
            <w:shd w:val="clear" w:color="auto" w:fill="auto"/>
            <w:noWrap/>
            <w:vAlign w:val="bottom"/>
            <w:hideMark/>
          </w:tcPr>
          <w:p w14:paraId="3F147E7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tcBorders>
              <w:top w:val="single" w:sz="12" w:space="0" w:color="auto"/>
            </w:tcBorders>
            <w:shd w:val="clear" w:color="auto" w:fill="auto"/>
            <w:noWrap/>
            <w:vAlign w:val="bottom"/>
            <w:hideMark/>
          </w:tcPr>
          <w:p w14:paraId="1044C9F7"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tcBorders>
              <w:top w:val="single" w:sz="12" w:space="0" w:color="auto"/>
            </w:tcBorders>
            <w:shd w:val="clear" w:color="auto" w:fill="auto"/>
            <w:noWrap/>
            <w:vAlign w:val="bottom"/>
            <w:hideMark/>
          </w:tcPr>
          <w:p w14:paraId="3A04D2A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6F0EA7C2" w14:textId="77777777" w:rsidTr="0079675D">
        <w:trPr>
          <w:trHeight w:val="315"/>
        </w:trPr>
        <w:tc>
          <w:tcPr>
            <w:tcW w:w="3596" w:type="dxa"/>
            <w:shd w:val="clear" w:color="auto" w:fill="auto"/>
            <w:noWrap/>
            <w:vAlign w:val="center"/>
            <w:hideMark/>
          </w:tcPr>
          <w:p w14:paraId="118E8AB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≤9</w:t>
            </w:r>
          </w:p>
        </w:tc>
        <w:tc>
          <w:tcPr>
            <w:tcW w:w="1619" w:type="dxa"/>
            <w:shd w:val="clear" w:color="auto" w:fill="auto"/>
            <w:noWrap/>
            <w:vAlign w:val="bottom"/>
            <w:hideMark/>
          </w:tcPr>
          <w:p w14:paraId="246B4D78"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4387ABAB"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46D1860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3EDEF131" w14:textId="77777777" w:rsidTr="0079675D">
        <w:trPr>
          <w:trHeight w:val="315"/>
        </w:trPr>
        <w:tc>
          <w:tcPr>
            <w:tcW w:w="3596" w:type="dxa"/>
            <w:shd w:val="clear" w:color="auto" w:fill="auto"/>
            <w:noWrap/>
            <w:vAlign w:val="center"/>
            <w:hideMark/>
          </w:tcPr>
          <w:p w14:paraId="20469DB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10-13</w:t>
            </w:r>
          </w:p>
        </w:tc>
        <w:tc>
          <w:tcPr>
            <w:tcW w:w="1619" w:type="dxa"/>
            <w:shd w:val="clear" w:color="auto" w:fill="auto"/>
            <w:noWrap/>
            <w:vAlign w:val="bottom"/>
            <w:hideMark/>
          </w:tcPr>
          <w:p w14:paraId="501C251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0.79</w:t>
            </w:r>
          </w:p>
        </w:tc>
        <w:tc>
          <w:tcPr>
            <w:tcW w:w="1440" w:type="dxa"/>
            <w:shd w:val="clear" w:color="auto" w:fill="auto"/>
            <w:noWrap/>
            <w:vAlign w:val="bottom"/>
            <w:hideMark/>
          </w:tcPr>
          <w:p w14:paraId="62C8512D"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0.54-1.14</w:t>
            </w:r>
          </w:p>
        </w:tc>
        <w:tc>
          <w:tcPr>
            <w:tcW w:w="1080" w:type="dxa"/>
            <w:shd w:val="clear" w:color="auto" w:fill="auto"/>
            <w:noWrap/>
            <w:vAlign w:val="bottom"/>
            <w:hideMark/>
          </w:tcPr>
          <w:p w14:paraId="39DF196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0.215</w:t>
            </w:r>
          </w:p>
        </w:tc>
      </w:tr>
      <w:tr w:rsidR="006667EE" w:rsidRPr="003A65EC" w14:paraId="48A433A3" w14:textId="77777777" w:rsidTr="0079675D">
        <w:trPr>
          <w:trHeight w:val="315"/>
        </w:trPr>
        <w:tc>
          <w:tcPr>
            <w:tcW w:w="3596" w:type="dxa"/>
            <w:shd w:val="clear" w:color="auto" w:fill="auto"/>
            <w:noWrap/>
            <w:vAlign w:val="center"/>
            <w:hideMark/>
          </w:tcPr>
          <w:p w14:paraId="09D7BE0B"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&gt;13</w:t>
            </w:r>
          </w:p>
        </w:tc>
        <w:tc>
          <w:tcPr>
            <w:tcW w:w="1619" w:type="dxa"/>
            <w:shd w:val="clear" w:color="auto" w:fill="auto"/>
            <w:noWrap/>
            <w:vAlign w:val="bottom"/>
            <w:hideMark/>
          </w:tcPr>
          <w:p w14:paraId="34A26C49"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0.64</w:t>
            </w:r>
          </w:p>
        </w:tc>
        <w:tc>
          <w:tcPr>
            <w:tcW w:w="1440" w:type="dxa"/>
            <w:shd w:val="clear" w:color="auto" w:fill="auto"/>
            <w:noWrap/>
            <w:vAlign w:val="bottom"/>
            <w:hideMark/>
          </w:tcPr>
          <w:p w14:paraId="56210083"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0.43-0.96</w:t>
            </w:r>
          </w:p>
        </w:tc>
        <w:tc>
          <w:tcPr>
            <w:tcW w:w="1080" w:type="dxa"/>
            <w:shd w:val="clear" w:color="auto" w:fill="auto"/>
            <w:noWrap/>
            <w:vAlign w:val="bottom"/>
            <w:hideMark/>
          </w:tcPr>
          <w:p w14:paraId="4B1D932E"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0.03</w:t>
            </w:r>
          </w:p>
        </w:tc>
      </w:tr>
      <w:tr w:rsidR="006667EE" w:rsidRPr="003A65EC" w14:paraId="26D56707" w14:textId="77777777" w:rsidTr="0079675D">
        <w:trPr>
          <w:trHeight w:val="315"/>
        </w:trPr>
        <w:tc>
          <w:tcPr>
            <w:tcW w:w="3596" w:type="dxa"/>
            <w:shd w:val="clear" w:color="auto" w:fill="auto"/>
            <w:noWrap/>
            <w:vAlign w:val="center"/>
            <w:hideMark/>
          </w:tcPr>
          <w:p w14:paraId="5E5DCB94"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Sex of the participant</w:t>
            </w:r>
          </w:p>
        </w:tc>
        <w:tc>
          <w:tcPr>
            <w:tcW w:w="1619" w:type="dxa"/>
            <w:shd w:val="clear" w:color="auto" w:fill="auto"/>
            <w:noWrap/>
            <w:vAlign w:val="bottom"/>
            <w:hideMark/>
          </w:tcPr>
          <w:p w14:paraId="4F57E50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79FA057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07B0DB3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06F28BB" w14:textId="77777777" w:rsidTr="0079675D">
        <w:trPr>
          <w:trHeight w:val="315"/>
        </w:trPr>
        <w:tc>
          <w:tcPr>
            <w:tcW w:w="3596" w:type="dxa"/>
            <w:shd w:val="clear" w:color="auto" w:fill="auto"/>
            <w:noWrap/>
            <w:vAlign w:val="center"/>
            <w:hideMark/>
          </w:tcPr>
          <w:p w14:paraId="63DE3FEC"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Female</w:t>
            </w:r>
          </w:p>
        </w:tc>
        <w:tc>
          <w:tcPr>
            <w:tcW w:w="1619" w:type="dxa"/>
            <w:shd w:val="clear" w:color="auto" w:fill="auto"/>
            <w:noWrap/>
            <w:vAlign w:val="bottom"/>
            <w:hideMark/>
          </w:tcPr>
          <w:p w14:paraId="60472C68"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257F6C4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246A634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9A726C2" w14:textId="77777777" w:rsidTr="0079675D">
        <w:trPr>
          <w:trHeight w:val="315"/>
        </w:trPr>
        <w:tc>
          <w:tcPr>
            <w:tcW w:w="3596" w:type="dxa"/>
            <w:shd w:val="clear" w:color="auto" w:fill="auto"/>
            <w:noWrap/>
            <w:vAlign w:val="center"/>
            <w:hideMark/>
          </w:tcPr>
          <w:p w14:paraId="637A5F87"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Male</w:t>
            </w:r>
          </w:p>
        </w:tc>
        <w:tc>
          <w:tcPr>
            <w:tcW w:w="1619" w:type="dxa"/>
            <w:shd w:val="clear" w:color="auto" w:fill="auto"/>
            <w:noWrap/>
            <w:vAlign w:val="bottom"/>
            <w:hideMark/>
          </w:tcPr>
          <w:p w14:paraId="68AFB6D3"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0.91</w:t>
            </w:r>
          </w:p>
        </w:tc>
        <w:tc>
          <w:tcPr>
            <w:tcW w:w="1440" w:type="dxa"/>
            <w:shd w:val="clear" w:color="auto" w:fill="auto"/>
            <w:noWrap/>
            <w:vAlign w:val="bottom"/>
            <w:hideMark/>
          </w:tcPr>
          <w:p w14:paraId="3805B55D"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0.74-1.13</w:t>
            </w:r>
          </w:p>
        </w:tc>
        <w:tc>
          <w:tcPr>
            <w:tcW w:w="1080" w:type="dxa"/>
            <w:shd w:val="clear" w:color="auto" w:fill="auto"/>
            <w:noWrap/>
            <w:vAlign w:val="bottom"/>
            <w:hideMark/>
          </w:tcPr>
          <w:p w14:paraId="4E0B7C2A"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0.394</w:t>
            </w:r>
          </w:p>
        </w:tc>
      </w:tr>
      <w:tr w:rsidR="006667EE" w:rsidRPr="003A65EC" w14:paraId="6610B40F" w14:textId="77777777" w:rsidTr="0079675D">
        <w:trPr>
          <w:trHeight w:val="315"/>
        </w:trPr>
        <w:tc>
          <w:tcPr>
            <w:tcW w:w="3596" w:type="dxa"/>
            <w:shd w:val="clear" w:color="auto" w:fill="auto"/>
            <w:noWrap/>
            <w:vAlign w:val="center"/>
            <w:hideMark/>
          </w:tcPr>
          <w:p w14:paraId="0C86AF9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 xml:space="preserve">Distance from TV Screen </w:t>
            </w:r>
          </w:p>
        </w:tc>
        <w:tc>
          <w:tcPr>
            <w:tcW w:w="1619" w:type="dxa"/>
            <w:shd w:val="clear" w:color="auto" w:fill="auto"/>
            <w:noWrap/>
            <w:vAlign w:val="bottom"/>
            <w:hideMark/>
          </w:tcPr>
          <w:p w14:paraId="260B7998"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21447D1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B805A2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09FE0E1E" w14:textId="77777777" w:rsidTr="0079675D">
        <w:trPr>
          <w:trHeight w:val="315"/>
        </w:trPr>
        <w:tc>
          <w:tcPr>
            <w:tcW w:w="3596" w:type="dxa"/>
            <w:shd w:val="clear" w:color="auto" w:fill="auto"/>
            <w:noWrap/>
            <w:vAlign w:val="center"/>
            <w:hideMark/>
          </w:tcPr>
          <w:p w14:paraId="29D88E6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≤2</w:t>
            </w:r>
          </w:p>
        </w:tc>
        <w:tc>
          <w:tcPr>
            <w:tcW w:w="1619" w:type="dxa"/>
            <w:shd w:val="clear" w:color="auto" w:fill="auto"/>
            <w:noWrap/>
            <w:vAlign w:val="bottom"/>
            <w:hideMark/>
          </w:tcPr>
          <w:p w14:paraId="73DAB411"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w:t>
            </w:r>
            <w:r>
              <w:rPr>
                <w:rFonts w:ascii="Times New Roman" w:eastAsia="Times New Roman" w:hAnsi="Times New Roman" w:cs="Times New Roman"/>
                <w:color w:val="000000"/>
              </w:rPr>
              <w:t>31</w:t>
            </w:r>
          </w:p>
        </w:tc>
        <w:tc>
          <w:tcPr>
            <w:tcW w:w="1440" w:type="dxa"/>
            <w:shd w:val="clear" w:color="auto" w:fill="auto"/>
            <w:noWrap/>
            <w:vAlign w:val="bottom"/>
            <w:hideMark/>
          </w:tcPr>
          <w:p w14:paraId="283ADD0C"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1.07-1.62</w:t>
            </w:r>
          </w:p>
        </w:tc>
        <w:tc>
          <w:tcPr>
            <w:tcW w:w="1080" w:type="dxa"/>
            <w:shd w:val="clear" w:color="auto" w:fill="auto"/>
            <w:noWrap/>
            <w:vAlign w:val="bottom"/>
            <w:hideMark/>
          </w:tcPr>
          <w:p w14:paraId="753EEC59"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r w:rsidR="006667EE" w:rsidRPr="003A65EC" w14:paraId="4249224A" w14:textId="77777777" w:rsidTr="0079675D">
        <w:trPr>
          <w:trHeight w:val="315"/>
        </w:trPr>
        <w:tc>
          <w:tcPr>
            <w:tcW w:w="3596" w:type="dxa"/>
            <w:shd w:val="clear" w:color="auto" w:fill="auto"/>
            <w:noWrap/>
            <w:vAlign w:val="center"/>
            <w:hideMark/>
          </w:tcPr>
          <w:p w14:paraId="72704B12"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&gt;2</w:t>
            </w:r>
          </w:p>
        </w:tc>
        <w:tc>
          <w:tcPr>
            <w:tcW w:w="1619" w:type="dxa"/>
            <w:shd w:val="clear" w:color="auto" w:fill="auto"/>
            <w:noWrap/>
            <w:vAlign w:val="bottom"/>
            <w:hideMark/>
          </w:tcPr>
          <w:p w14:paraId="58FCD7E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76F3247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68CAAC84"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FDF4C53" w14:textId="77777777" w:rsidTr="0079675D">
        <w:trPr>
          <w:trHeight w:val="315"/>
        </w:trPr>
        <w:tc>
          <w:tcPr>
            <w:tcW w:w="3596" w:type="dxa"/>
            <w:shd w:val="clear" w:color="auto" w:fill="auto"/>
            <w:noWrap/>
            <w:vAlign w:val="center"/>
            <w:hideMark/>
          </w:tcPr>
          <w:p w14:paraId="0AB53EA9"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near work in a day</w:t>
            </w:r>
          </w:p>
        </w:tc>
        <w:tc>
          <w:tcPr>
            <w:tcW w:w="1619" w:type="dxa"/>
            <w:shd w:val="clear" w:color="auto" w:fill="auto"/>
            <w:noWrap/>
            <w:vAlign w:val="bottom"/>
            <w:hideMark/>
          </w:tcPr>
          <w:p w14:paraId="6631A1B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191534B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D94C89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7179109D" w14:textId="77777777" w:rsidTr="0079675D">
        <w:trPr>
          <w:trHeight w:val="315"/>
        </w:trPr>
        <w:tc>
          <w:tcPr>
            <w:tcW w:w="3596" w:type="dxa"/>
            <w:shd w:val="clear" w:color="auto" w:fill="auto"/>
            <w:noWrap/>
            <w:vAlign w:val="center"/>
            <w:hideMark/>
          </w:tcPr>
          <w:p w14:paraId="247FEA57"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 2 hour a day</w:t>
            </w:r>
          </w:p>
        </w:tc>
        <w:tc>
          <w:tcPr>
            <w:tcW w:w="1619" w:type="dxa"/>
            <w:shd w:val="clear" w:color="auto" w:fill="auto"/>
            <w:noWrap/>
            <w:vAlign w:val="bottom"/>
            <w:hideMark/>
          </w:tcPr>
          <w:p w14:paraId="5A4DCB71"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7582A4F6"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2FFF555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16BBEB7F" w14:textId="77777777" w:rsidTr="0079675D">
        <w:trPr>
          <w:trHeight w:val="315"/>
        </w:trPr>
        <w:tc>
          <w:tcPr>
            <w:tcW w:w="3596" w:type="dxa"/>
            <w:shd w:val="clear" w:color="auto" w:fill="auto"/>
            <w:noWrap/>
            <w:vAlign w:val="center"/>
            <w:hideMark/>
          </w:tcPr>
          <w:p w14:paraId="4C7F5178"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 2 hours a day</w:t>
            </w:r>
          </w:p>
        </w:tc>
        <w:tc>
          <w:tcPr>
            <w:tcW w:w="1619" w:type="dxa"/>
            <w:shd w:val="clear" w:color="auto" w:fill="auto"/>
            <w:noWrap/>
            <w:vAlign w:val="bottom"/>
            <w:hideMark/>
          </w:tcPr>
          <w:p w14:paraId="4B653AF1"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1.55</w:t>
            </w:r>
          </w:p>
        </w:tc>
        <w:tc>
          <w:tcPr>
            <w:tcW w:w="1440" w:type="dxa"/>
            <w:shd w:val="clear" w:color="auto" w:fill="auto"/>
            <w:noWrap/>
            <w:vAlign w:val="bottom"/>
            <w:hideMark/>
          </w:tcPr>
          <w:p w14:paraId="0592FAEF"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1.23-1.94</w:t>
            </w:r>
          </w:p>
        </w:tc>
        <w:tc>
          <w:tcPr>
            <w:tcW w:w="1080" w:type="dxa"/>
            <w:shd w:val="clear" w:color="auto" w:fill="auto"/>
            <w:noWrap/>
            <w:vAlign w:val="bottom"/>
            <w:hideMark/>
          </w:tcPr>
          <w:p w14:paraId="72B14BF5"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&lt;0.001</w:t>
            </w:r>
          </w:p>
        </w:tc>
      </w:tr>
      <w:tr w:rsidR="006667EE" w:rsidRPr="003A65EC" w14:paraId="4E147073" w14:textId="77777777" w:rsidTr="0079675D">
        <w:trPr>
          <w:trHeight w:val="315"/>
        </w:trPr>
        <w:tc>
          <w:tcPr>
            <w:tcW w:w="3596" w:type="dxa"/>
            <w:shd w:val="clear" w:color="auto" w:fill="auto"/>
            <w:noWrap/>
            <w:vAlign w:val="center"/>
            <w:hideMark/>
          </w:tcPr>
          <w:p w14:paraId="4246136B"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6D2427">
              <w:rPr>
                <w:rFonts w:ascii="Times New Roman" w:eastAsia="Times New Roman" w:hAnsi="Times New Roman" w:cs="Times New Roman"/>
                <w:b/>
                <w:bCs/>
                <w:color w:val="000000"/>
              </w:rPr>
              <w:t>Hours outdoor in a day</w:t>
            </w:r>
          </w:p>
        </w:tc>
        <w:tc>
          <w:tcPr>
            <w:tcW w:w="1619" w:type="dxa"/>
            <w:shd w:val="clear" w:color="auto" w:fill="auto"/>
            <w:noWrap/>
            <w:vAlign w:val="bottom"/>
            <w:hideMark/>
          </w:tcPr>
          <w:p w14:paraId="1563D72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3240A5A4"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751F5533"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4F918147" w14:textId="77777777" w:rsidTr="0079675D">
        <w:trPr>
          <w:trHeight w:val="315"/>
        </w:trPr>
        <w:tc>
          <w:tcPr>
            <w:tcW w:w="3596" w:type="dxa"/>
            <w:shd w:val="clear" w:color="auto" w:fill="auto"/>
            <w:noWrap/>
            <w:vAlign w:val="center"/>
            <w:hideMark/>
          </w:tcPr>
          <w:p w14:paraId="012ACD6A"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&lt; 1 hour a day</w:t>
            </w:r>
          </w:p>
        </w:tc>
        <w:tc>
          <w:tcPr>
            <w:tcW w:w="1619" w:type="dxa"/>
            <w:shd w:val="clear" w:color="auto" w:fill="auto"/>
            <w:noWrap/>
            <w:vAlign w:val="bottom"/>
            <w:hideMark/>
          </w:tcPr>
          <w:p w14:paraId="6217029E"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27CC608F"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66A1283C"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28528BE7" w14:textId="77777777" w:rsidTr="0079675D">
        <w:trPr>
          <w:trHeight w:val="315"/>
        </w:trPr>
        <w:tc>
          <w:tcPr>
            <w:tcW w:w="3596" w:type="dxa"/>
            <w:shd w:val="clear" w:color="auto" w:fill="auto"/>
            <w:noWrap/>
            <w:vAlign w:val="center"/>
            <w:hideMark/>
          </w:tcPr>
          <w:p w14:paraId="1C1967D2"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6D2427">
              <w:rPr>
                <w:rFonts w:ascii="Times New Roman" w:eastAsia="Times New Roman" w:hAnsi="Times New Roman" w:cs="Times New Roman"/>
                <w:color w:val="000000"/>
              </w:rPr>
              <w:t>&gt; 1 hour a day</w:t>
            </w:r>
          </w:p>
        </w:tc>
        <w:tc>
          <w:tcPr>
            <w:tcW w:w="1619" w:type="dxa"/>
            <w:shd w:val="clear" w:color="auto" w:fill="auto"/>
            <w:noWrap/>
            <w:vAlign w:val="bottom"/>
            <w:hideMark/>
          </w:tcPr>
          <w:p w14:paraId="15B0B3C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0.75</w:t>
            </w:r>
          </w:p>
        </w:tc>
        <w:tc>
          <w:tcPr>
            <w:tcW w:w="1440" w:type="dxa"/>
            <w:shd w:val="clear" w:color="auto" w:fill="auto"/>
            <w:noWrap/>
            <w:vAlign w:val="bottom"/>
            <w:hideMark/>
          </w:tcPr>
          <w:p w14:paraId="36ED1CD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0.52-1.07</w:t>
            </w:r>
          </w:p>
        </w:tc>
        <w:tc>
          <w:tcPr>
            <w:tcW w:w="1080" w:type="dxa"/>
            <w:shd w:val="clear" w:color="auto" w:fill="auto"/>
            <w:noWrap/>
            <w:vAlign w:val="bottom"/>
            <w:hideMark/>
          </w:tcPr>
          <w:p w14:paraId="4177B474"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0.111</w:t>
            </w:r>
          </w:p>
        </w:tc>
      </w:tr>
      <w:tr w:rsidR="006667EE" w:rsidRPr="003A65EC" w14:paraId="0F54D1C0" w14:textId="77777777" w:rsidTr="0079675D">
        <w:trPr>
          <w:trHeight w:val="315"/>
        </w:trPr>
        <w:tc>
          <w:tcPr>
            <w:tcW w:w="3596" w:type="dxa"/>
            <w:shd w:val="clear" w:color="auto" w:fill="auto"/>
            <w:noWrap/>
            <w:vAlign w:val="bottom"/>
            <w:hideMark/>
          </w:tcPr>
          <w:p w14:paraId="01CDD485" w14:textId="77777777" w:rsidR="006667EE" w:rsidRPr="003A65EC" w:rsidRDefault="006667EE" w:rsidP="0079675D">
            <w:pPr>
              <w:spacing w:after="0" w:line="240" w:lineRule="auto"/>
              <w:rPr>
                <w:rFonts w:ascii="Times New Roman" w:eastAsia="Times New Roman" w:hAnsi="Times New Roman" w:cs="Times New Roman"/>
                <w:b/>
                <w:bCs/>
                <w:color w:val="000000"/>
              </w:rPr>
            </w:pPr>
            <w:r w:rsidRPr="007A521E">
              <w:rPr>
                <w:rFonts w:ascii="Times New Roman" w:eastAsia="Times New Roman" w:hAnsi="Times New Roman" w:cs="Times New Roman"/>
                <w:b/>
                <w:bCs/>
                <w:color w:val="000000"/>
              </w:rPr>
              <w:t>Family History</w:t>
            </w:r>
            <w:r>
              <w:rPr>
                <w:rFonts w:ascii="Times New Roman" w:eastAsia="Times New Roman" w:hAnsi="Times New Roman" w:cs="Times New Roman"/>
                <w:b/>
                <w:bCs/>
                <w:color w:val="000000"/>
              </w:rPr>
              <w:t xml:space="preserve"> </w:t>
            </w:r>
          </w:p>
        </w:tc>
        <w:tc>
          <w:tcPr>
            <w:tcW w:w="1619" w:type="dxa"/>
            <w:shd w:val="clear" w:color="auto" w:fill="auto"/>
            <w:noWrap/>
            <w:vAlign w:val="bottom"/>
            <w:hideMark/>
          </w:tcPr>
          <w:p w14:paraId="505E9D40"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440" w:type="dxa"/>
            <w:shd w:val="clear" w:color="auto" w:fill="auto"/>
            <w:noWrap/>
            <w:vAlign w:val="bottom"/>
            <w:hideMark/>
          </w:tcPr>
          <w:p w14:paraId="58C37D2A"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5EA587BA"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4E8B6BA2" w14:textId="77777777" w:rsidTr="0079675D">
        <w:trPr>
          <w:trHeight w:val="315"/>
        </w:trPr>
        <w:tc>
          <w:tcPr>
            <w:tcW w:w="3596" w:type="dxa"/>
            <w:shd w:val="clear" w:color="auto" w:fill="auto"/>
            <w:noWrap/>
            <w:vAlign w:val="bottom"/>
            <w:hideMark/>
          </w:tcPr>
          <w:p w14:paraId="43FF6ACC"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sidRPr="007A521E">
              <w:rPr>
                <w:rFonts w:ascii="Times New Roman" w:eastAsia="Times New Roman" w:hAnsi="Times New Roman" w:cs="Times New Roman"/>
                <w:color w:val="000000"/>
              </w:rPr>
              <w:t>No history</w:t>
            </w:r>
          </w:p>
        </w:tc>
        <w:tc>
          <w:tcPr>
            <w:tcW w:w="1619" w:type="dxa"/>
            <w:shd w:val="clear" w:color="auto" w:fill="auto"/>
            <w:noWrap/>
            <w:vAlign w:val="bottom"/>
            <w:hideMark/>
          </w:tcPr>
          <w:p w14:paraId="38B0E8DB"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440" w:type="dxa"/>
            <w:shd w:val="clear" w:color="auto" w:fill="auto"/>
            <w:noWrap/>
            <w:vAlign w:val="bottom"/>
            <w:hideMark/>
          </w:tcPr>
          <w:p w14:paraId="75E1DDBE"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c>
          <w:tcPr>
            <w:tcW w:w="1080" w:type="dxa"/>
            <w:shd w:val="clear" w:color="auto" w:fill="auto"/>
            <w:noWrap/>
            <w:vAlign w:val="bottom"/>
            <w:hideMark/>
          </w:tcPr>
          <w:p w14:paraId="7504A719" w14:textId="77777777" w:rsidR="006667EE" w:rsidRPr="003A65EC" w:rsidRDefault="006667EE" w:rsidP="0079675D">
            <w:pPr>
              <w:spacing w:after="0" w:line="240" w:lineRule="auto"/>
              <w:jc w:val="center"/>
              <w:rPr>
                <w:rFonts w:ascii="Times New Roman" w:eastAsia="Times New Roman" w:hAnsi="Times New Roman" w:cs="Times New Roman"/>
                <w:color w:val="000000"/>
              </w:rPr>
            </w:pPr>
          </w:p>
        </w:tc>
      </w:tr>
      <w:tr w:rsidR="006667EE" w:rsidRPr="003A65EC" w14:paraId="5AEA826C" w14:textId="77777777" w:rsidTr="0079675D">
        <w:trPr>
          <w:trHeight w:val="315"/>
        </w:trPr>
        <w:tc>
          <w:tcPr>
            <w:tcW w:w="3596" w:type="dxa"/>
            <w:tcBorders>
              <w:bottom w:val="single" w:sz="12" w:space="0" w:color="auto"/>
            </w:tcBorders>
            <w:shd w:val="clear" w:color="auto" w:fill="auto"/>
            <w:noWrap/>
            <w:vAlign w:val="bottom"/>
            <w:hideMark/>
          </w:tcPr>
          <w:p w14:paraId="55AD01F0" w14:textId="77777777" w:rsidR="006667EE" w:rsidRPr="003A65EC" w:rsidRDefault="006667EE" w:rsidP="0079675D">
            <w:pPr>
              <w:spacing w:after="0" w:line="240" w:lineRule="auto"/>
              <w:ind w:left="510"/>
              <w:rPr>
                <w:rFonts w:ascii="Times New Roman" w:eastAsia="Times New Roman" w:hAnsi="Times New Roman" w:cs="Times New Roman"/>
                <w:color w:val="000000"/>
              </w:rPr>
            </w:pPr>
            <w:r>
              <w:rPr>
                <w:rFonts w:ascii="Times New Roman" w:eastAsia="Times New Roman" w:hAnsi="Times New Roman" w:cs="Times New Roman"/>
                <w:color w:val="000000"/>
              </w:rPr>
              <w:t>Yes (</w:t>
            </w:r>
            <w:r w:rsidRPr="007A521E">
              <w:rPr>
                <w:rFonts w:ascii="Times New Roman" w:eastAsia="Times New Roman" w:hAnsi="Times New Roman" w:cs="Times New Roman"/>
                <w:color w:val="000000"/>
              </w:rPr>
              <w:t xml:space="preserve">Either parent or sibling wearing </w:t>
            </w:r>
            <w:r>
              <w:rPr>
                <w:rFonts w:ascii="Times New Roman" w:eastAsia="Times New Roman" w:hAnsi="Times New Roman" w:cs="Times New Roman"/>
                <w:color w:val="000000"/>
              </w:rPr>
              <w:t>spectacles)</w:t>
            </w:r>
          </w:p>
        </w:tc>
        <w:tc>
          <w:tcPr>
            <w:tcW w:w="1619" w:type="dxa"/>
            <w:tcBorders>
              <w:bottom w:val="single" w:sz="12" w:space="0" w:color="auto"/>
            </w:tcBorders>
            <w:shd w:val="clear" w:color="auto" w:fill="auto"/>
            <w:noWrap/>
            <w:vAlign w:val="bottom"/>
            <w:hideMark/>
          </w:tcPr>
          <w:p w14:paraId="69303717"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1.53</w:t>
            </w:r>
          </w:p>
        </w:tc>
        <w:tc>
          <w:tcPr>
            <w:tcW w:w="1440" w:type="dxa"/>
            <w:tcBorders>
              <w:bottom w:val="single" w:sz="12" w:space="0" w:color="auto"/>
            </w:tcBorders>
            <w:shd w:val="clear" w:color="auto" w:fill="auto"/>
            <w:noWrap/>
            <w:vAlign w:val="bottom"/>
            <w:hideMark/>
          </w:tcPr>
          <w:p w14:paraId="79BE6490"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1.23-1.91</w:t>
            </w:r>
          </w:p>
        </w:tc>
        <w:tc>
          <w:tcPr>
            <w:tcW w:w="1080" w:type="dxa"/>
            <w:tcBorders>
              <w:bottom w:val="single" w:sz="12" w:space="0" w:color="auto"/>
            </w:tcBorders>
            <w:shd w:val="clear" w:color="auto" w:fill="auto"/>
            <w:noWrap/>
            <w:vAlign w:val="bottom"/>
            <w:hideMark/>
          </w:tcPr>
          <w:p w14:paraId="1824E825" w14:textId="77777777" w:rsidR="006667EE" w:rsidRPr="003A65EC" w:rsidRDefault="006667EE" w:rsidP="0079675D">
            <w:pPr>
              <w:spacing w:after="0" w:line="240" w:lineRule="auto"/>
              <w:jc w:val="center"/>
              <w:rPr>
                <w:rFonts w:ascii="Times New Roman" w:eastAsia="Times New Roman" w:hAnsi="Times New Roman" w:cs="Times New Roman"/>
                <w:color w:val="000000"/>
              </w:rPr>
            </w:pPr>
            <w:r w:rsidRPr="003A65EC">
              <w:rPr>
                <w:rFonts w:ascii="Times New Roman" w:eastAsia="Times New Roman" w:hAnsi="Times New Roman" w:cs="Times New Roman"/>
                <w:color w:val="000000"/>
              </w:rPr>
              <w:t>&lt;0.001</w:t>
            </w:r>
          </w:p>
        </w:tc>
      </w:tr>
    </w:tbl>
    <w:p w14:paraId="719A3ECD" w14:textId="77777777" w:rsidR="006667EE" w:rsidRPr="003A65EC" w:rsidRDefault="006667EE" w:rsidP="006667EE">
      <w:pPr>
        <w:spacing w:before="240"/>
        <w:rPr>
          <w:rFonts w:ascii="Times New Roman" w:hAnsi="Times New Roman" w:cs="Times New Roman"/>
        </w:rPr>
      </w:pPr>
    </w:p>
    <w:p w14:paraId="456828F2" w14:textId="77777777" w:rsidR="007D1CD9" w:rsidRDefault="007D1CD9" w:rsidP="00FC4A95">
      <w:pPr>
        <w:spacing w:before="100" w:beforeAutospacing="1" w:after="100" w:afterAutospacing="1" w:line="240" w:lineRule="auto"/>
        <w:rPr>
          <w:rFonts w:ascii="Times New Roman" w:eastAsiaTheme="majorEastAsia" w:hAnsi="Times New Roman" w:cs="Times New Roman"/>
          <w:b/>
        </w:rPr>
      </w:pPr>
    </w:p>
    <w:p w14:paraId="47F7AA19" w14:textId="77777777" w:rsidR="005C0027" w:rsidRDefault="005C0027" w:rsidP="00FC4A95">
      <w:pPr>
        <w:spacing w:before="100" w:beforeAutospacing="1" w:after="100" w:afterAutospacing="1" w:line="240" w:lineRule="auto"/>
        <w:rPr>
          <w:rFonts w:ascii="Times New Roman" w:eastAsia="Times New Roman" w:hAnsi="Times New Roman" w:cs="Times New Roman"/>
        </w:rPr>
      </w:pPr>
    </w:p>
    <w:p w14:paraId="0345674A" w14:textId="77777777" w:rsidR="003F6C20" w:rsidRDefault="003F6C20" w:rsidP="00FC4A95">
      <w:pPr>
        <w:spacing w:before="100" w:beforeAutospacing="1" w:after="100" w:afterAutospacing="1" w:line="240" w:lineRule="auto"/>
        <w:rPr>
          <w:rFonts w:ascii="Times New Roman" w:eastAsia="Times New Roman" w:hAnsi="Times New Roman" w:cs="Times New Roman"/>
        </w:rPr>
      </w:pPr>
    </w:p>
    <w:p w14:paraId="18982C12" w14:textId="77777777" w:rsidR="003F6C20" w:rsidRPr="003F6C20" w:rsidRDefault="003F6C20" w:rsidP="003F6C20">
      <w:pPr>
        <w:spacing w:before="100" w:beforeAutospacing="1" w:after="100" w:afterAutospacing="1" w:line="240" w:lineRule="auto"/>
        <w:rPr>
          <w:rFonts w:ascii="Times New Roman" w:eastAsia="Times New Roman" w:hAnsi="Times New Roman" w:cs="Times New Roman"/>
          <w:b/>
          <w:sz w:val="24"/>
          <w:szCs w:val="24"/>
        </w:rPr>
      </w:pPr>
      <w:r w:rsidRPr="003F6C20">
        <w:rPr>
          <w:rFonts w:ascii="Times New Roman" w:eastAsia="Times New Roman" w:hAnsi="Times New Roman" w:cs="Times New Roman"/>
          <w:b/>
          <w:sz w:val="24"/>
          <w:szCs w:val="24"/>
        </w:rPr>
        <w:t>DISCUSSION</w:t>
      </w:r>
      <w:r w:rsidR="007F535F">
        <w:rPr>
          <w:rFonts w:ascii="Times New Roman" w:eastAsia="Times New Roman" w:hAnsi="Times New Roman" w:cs="Times New Roman"/>
          <w:b/>
          <w:sz w:val="24"/>
          <w:szCs w:val="24"/>
        </w:rPr>
        <w:t xml:space="preserve"> </w:t>
      </w:r>
    </w:p>
    <w:p w14:paraId="20DF6C22" w14:textId="77777777" w:rsidR="001C6D7F" w:rsidRPr="002F6448" w:rsidRDefault="003F6C20"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This study evaluated the proportion and associated factors of myopia progression among pediatric patients attending the Kilimanjaro Christian Medical Centre (KCMC) in Northern Tanzania. </w:t>
      </w:r>
      <w:r w:rsidR="002F3A6C" w:rsidRPr="002F6448">
        <w:rPr>
          <w:rFonts w:ascii="Times New Roman" w:hAnsi="Times New Roman" w:cs="Times New Roman"/>
        </w:rPr>
        <w:t>The results of the study revealed that the proportion of myopia progression was 63%. The analysis revealed that children who engaged in prolonged near work, had a positive family history of myopia, viewed television screens at less than 2 meters, or were younger than 9 years in age were significantly more likely to experience progression. Although other variables such as spectacle wear, sex, and mobile device use were not retained in the adjusted model, their significance in unadjusted analyses suggests they may still play a contributory role in specific subgroups.</w:t>
      </w:r>
    </w:p>
    <w:p w14:paraId="36442AAB" w14:textId="77777777" w:rsidR="003F6C20" w:rsidRPr="002F6448" w:rsidRDefault="003F6C20"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A </w:t>
      </w:r>
      <w:r w:rsidR="001C6D7F" w:rsidRPr="002F6448">
        <w:rPr>
          <w:rFonts w:ascii="Times New Roman" w:eastAsia="Times New Roman" w:hAnsi="Times New Roman" w:cs="Times New Roman"/>
        </w:rPr>
        <w:t xml:space="preserve">relatively </w:t>
      </w:r>
      <w:r w:rsidRPr="002F6448">
        <w:rPr>
          <w:rFonts w:ascii="Times New Roman" w:eastAsia="Times New Roman" w:hAnsi="Times New Roman" w:cs="Times New Roman"/>
        </w:rPr>
        <w:t xml:space="preserve">high proportion (63.2%) of participants experienced myopia progression, aligning with findings from </w:t>
      </w:r>
      <w:r w:rsidR="001A252D" w:rsidRPr="002F6448">
        <w:rPr>
          <w:rFonts w:ascii="Times New Roman" w:eastAsia="Times New Roman" w:hAnsi="Times New Roman" w:cs="Times New Roman"/>
        </w:rPr>
        <w:t>other regions, including Ghana</w:t>
      </w:r>
      <w:r w:rsidRPr="002F6448">
        <w:rPr>
          <w:rFonts w:ascii="Times New Roman" w:eastAsia="Times New Roman" w:hAnsi="Times New Roman" w:cs="Times New Roman"/>
        </w:rPr>
        <w:t xml:space="preserve"> (56.8%), the United Kingdom (62%), and Ireland (53</w:t>
      </w:r>
      <w:r w:rsidR="00D45D93" w:rsidRPr="002F6448">
        <w:rPr>
          <w:rFonts w:ascii="Times New Roman" w:eastAsia="Times New Roman" w:hAnsi="Times New Roman" w:cs="Times New Roman"/>
        </w:rPr>
        <w:t xml:space="preserve">%) </w:t>
      </w:r>
      <w:r w:rsidR="006C2C79" w:rsidRPr="002F6448">
        <w:rPr>
          <w:rFonts w:ascii="Times New Roman" w:eastAsia="Times New Roman" w:hAnsi="Times New Roman" w:cs="Times New Roman"/>
        </w:rPr>
        <w:fldChar w:fldCharType="begin" w:fldLock="1"/>
      </w:r>
      <w:r w:rsidR="00D240CC" w:rsidRPr="002F6448">
        <w:rPr>
          <w:rFonts w:ascii="Times New Roman" w:eastAsia="Times New Roman" w:hAnsi="Times New Roman" w:cs="Times New Roman"/>
        </w:rPr>
        <w:instrText>ADDIN CSL_CITATION {"citationItems":[{"id":"ITEM-1","itemData":{"DOI":"10.1002/hsr2.70273","ISSN":"23988835","abstract":"Background and Aim: To investigate the pattern of progression of myopia among a Ghanaian clinical cohort. Methods: A retrospective cohort analysis of a clinical data set of all healthy myopic participants attending a tertiary eye care center was performed. Participants' biennial refraction examinations were tracked for refractive changes 4 years after the date of the first visit. This covered the period from January 2015 to December 2019. Myopia progression was defined as a difference in spherical equivalent between consecutive biennial visits equal to, or greater than −0.50 D of myopia. Results: The medical records of 169 myopic participants were reviewed, with the majority (53.8%) being female. Most of the participants (51.4%) were younger than 36 years, and at the end of the study period, 96 participants (56.8%), who made up the majority, showed progression of myopia Univariate regression revealed that the 36–59-year-old age range is associated with a 60% [cOR = 0.40, 95% CI: –0.17, 0.97; p = 0.04] reduced likelihood compared to those belonging to the 0–17-year-old age group, and the Mole-Dagbon ethnicity is associated with an almost fourfold [cOR = 3.80; 95% CI: –1.40, 10.316; p = 0.01] increased likelihood of experiencing myopia progression compared to those of Ga-Adangbe ethnicity. Multivariate regression revealed that the Mole-Dagbon ethnicity is associated with an increased likelihood of experiencing myopia progression 4 years after their initial visit [aOR = 3.49; 95% CI: –1.27, 9.63; p = 0.02] compared to those of Ga-Adangbe ethnicity. Conclusion: Our study provides important insights into myopia progression in Ghana, with findings that are consistent with global trends. The association of myopia progression with age, place of residence, degree of myopia, and ethnicity highlights the need for tailored interventions to manage this growing public health concern in African populations.","author":[{"dropping-particle":"","family":"Kyei","given":"Samuel","non-dropping-particle":"","parse-names":false,"suffix":""},{"dropping-particle":"","family":"Avornyo","given":"Godwin","non-dropping-particle":"","parse-names":false,"suffix":""},{"dropping-particle":"","family":"Asiamah","given":"Randy","non-dropping-particle":"","parse-names":false,"suffix":""},{"dropping-particle":"","family":"Boadi-Kusi","given":"Samuel B.","non-dropping-particle":"","parse-names":false,"suffix":""},{"dropping-particle":"","family":"Kwarteng","given":"Michael Agyemang","non-dropping-particle":"","parse-names":false,"suffix":""}],"container-title":"Health Science Reports","id":"ITEM-1","issue":"12","issued":{"date-parts":[["2024"]]},"page":"1-10","title":"Dynamics of Myopia Progression in Ghana—Evidence From Clinical Practice: A Retrospective Cohort Study","type":"article-journal","volume":"7"},"uris":["http://www.mendeley.com/documents/?uuid=a14dcdcb-5997-42ee-a621-40e3feeaeb5f"]},{"id":"ITEM-2","itemData":{"DOI":"10.1016/j.optom.2019.06.002","ISSN":"19891342","PMID":"31992534","abstract":"Purpose:: Worldwide, the prevalence of myopia is increasing. Myopia begins at younger ages and progresses faster, leading to more adults with high myopia and risk of sight-threatening complications. No data are available about myopia trends in children in urban areas in the UK. We present a 10-year review of children attending a secondary and tertiary eye care facility in London, focussing on the proportion of glasses prescriptions for myopia and progression rates. Methods:: We collated refraction and demographic data from children under the age of 17 years seen at Moorfields Eye Hospital, London, UK, between 2008 and 2017. Results:: We included 63,854 datasets from 23,593 children (51.2% boys, median age 5.4 years, interquartile range IQR 3.8–7.1). The proportion of myopic prescriptions increased from 24 to 32%. In n = 3355 with initial mild/moderate myopia, median progression rate was −0.16 (−0.5 to 0.04) D/year. In those with progression (n = 2095), the rate was -0.40 (−0.19 to −0.74) D/year, slightly higher in girls than in boys (−0.42 vs −0.38 D/year; p = 0.02). Progression was faster in initial moderate than initial mild myopia (−0.54 vs −0.37 D/year; p &lt; 0.001), and before than after average age of onset of puberty (−0.41 vs −0.35 D/year; p = 0.013). There was no statistically significant difference between children of different ethnic backgrounds. Conclusions:: In this cohort, the proportion of glasses prescriptions for myopia and the rate of progression are higher than previously reported for European countries. Living in an urban environment may result in similar progression rates despite different genetic backgrounds.","author":[{"dropping-particle":"","family":"Wong","given":"Karen","non-dropping-particle":"","parse-names":false,"suffix":""},{"dropping-particle":"","family":"Dahlmann-Noor","given":"Annegret","non-dropping-particle":"","parse-names":false,"suffix":""}],"container-title":"Journal of Optometry","id":"ITEM-2","issue":"3","issued":{"date-parts":[["2020"]]},"page":"146-154","title":"Myopia and its progression in children in London, UK: a retrospective evaluation","type":"article-journal","volume":"13"},"uris":["http://www.mendeley.com/documents/?uuid=150b64e7-1749-48d9-bd2b-f12ae69f7ef1"]},{"id":"ITEM-3","itemData":{"DOI":"10.1111/opo.13259","ISSN":"14751313","PMID":"38062894","abstract":"Purpose: This retrospective analysis of electronic medical record (EMR) data investigated the natural history of myopic progression in children from optometric practices in Ireland. Methods: The analysis was of myopic patients aged 7–17 with multiple visits and not prescribed myopia control treatment. Sex- and age-specific population centiles for annual myopic progression were derived by fitting a weighted cubic spline to empirical quantiles. These were compared to progression rates derived from control group data obtained from 17 randomised clinical trials (RCTs) for myopia. Linear mixed models (LMMs) were used to allow comparison of myopia progression rates against outputs from a predictive online calculator. Survival analysis was performed to determine the intervals at which a significant level of myopic progression was predicted to occur. Results: Myopia progression was highest in children aged 7 years (median: −0.67 D/year) and progressively slowed with increasing age (median: −0.18 D/year at age 17). Female sex (p &lt; 0.001), a more myopic SER at baseline (p &lt; 0.001) and younger age (p &lt; 0.001) were all found to be predictive of faster myopic progression. Every RCT exhibited a mean progression higher than the median centile observed in the EMR data, while clinic-based studies more closely matched the median progression rates. The LMM predicted faster myopia progression for patients with higher baseline myopia levels, in keeping with previous studies, which was in contrast to an online calculator that predicted slower myopia progression for patients with higher baseline myopia. Survival analysis indicated that at a recall period of 12 months, myopia will have progressed in between 10% and 70% of children, depending upon age. Conclusions: This study produced progression centiles of untreated myopic children, helping to define the natural history of untreated myopia. This will enable clinicians to better predict both refractive outcomes without treatment and monitor treatment efficacy, particularly in the absence of axial length data.","author":[{"dropping-particle":"","family":"Moore","given":"Michael","non-dropping-particle":"","parse-names":false,"suffix":""},{"dropping-particle":"","family":"Lingham","given":"Gareth","non-dropping-particle":"","parse-names":false,"suffix":""},{"dropping-particle":"","family":"Flitcroft","given":"Daniel I.","non-dropping-particle":"","parse-names":false,"suffix":""},{"dropping-particle":"","family":"Loughman","given":"James","non-dropping-particle":"","parse-names":false,"suffix":""}],"container-title":"Ophthalmic and Physiological Optics","id":"ITEM-3","issue":"2","issued":{"date-parts":[["2024"]]},"page":"258-269","title":"Myopia progression patterns among paediatric patients in a clinical setting","type":"article-journal","volume":"44"},"uris":["http://www.mendeley.com/documents/?uuid=ef66e48d-7315-4365-bfd5-253704608144"]}],"mendeley":{"formattedCitation":"(Wong and Dahlmann-Noor, 2020; Kyei &lt;i&gt;et al.&lt;/i&gt;, 2024; Moore &lt;i&gt;et al.&lt;/i&gt;, 2024)","plainTextFormattedCitation":"(Wong and Dahlmann-Noor, 2020; Kyei et al., 2024; Moore et al., 2024)","previouslyFormattedCitation":"(Wong and Dahlmann-Noor, 2020; Kyei &lt;i&gt;et al.&lt;/i&gt;, 2024; Moore &lt;i&gt;et al.&lt;/i&gt;, 2024)"},"properties":{"noteIndex":0},"schema":"https://github.com/citation-style-language/schema/raw/master/csl-citation.json"}</w:instrText>
      </w:r>
      <w:r w:rsidR="006C2C79" w:rsidRPr="002F6448">
        <w:rPr>
          <w:rFonts w:ascii="Times New Roman" w:eastAsia="Times New Roman" w:hAnsi="Times New Roman" w:cs="Times New Roman"/>
        </w:rPr>
        <w:fldChar w:fldCharType="separate"/>
      </w:r>
      <w:r w:rsidR="006C2C79" w:rsidRPr="002F6448">
        <w:rPr>
          <w:rFonts w:ascii="Times New Roman" w:eastAsia="Times New Roman" w:hAnsi="Times New Roman" w:cs="Times New Roman"/>
          <w:noProof/>
        </w:rPr>
        <w:t xml:space="preserve">(Wong and Dahlmann-Noor, 2020; Kyei </w:t>
      </w:r>
      <w:r w:rsidR="006C2C79" w:rsidRPr="002F6448">
        <w:rPr>
          <w:rFonts w:ascii="Times New Roman" w:eastAsia="Times New Roman" w:hAnsi="Times New Roman" w:cs="Times New Roman"/>
          <w:i/>
          <w:noProof/>
        </w:rPr>
        <w:t>et al.</w:t>
      </w:r>
      <w:r w:rsidR="006C2C79" w:rsidRPr="002F6448">
        <w:rPr>
          <w:rFonts w:ascii="Times New Roman" w:eastAsia="Times New Roman" w:hAnsi="Times New Roman" w:cs="Times New Roman"/>
          <w:noProof/>
        </w:rPr>
        <w:t xml:space="preserve">, 2024; Moore </w:t>
      </w:r>
      <w:r w:rsidR="006C2C79" w:rsidRPr="002F6448">
        <w:rPr>
          <w:rFonts w:ascii="Times New Roman" w:eastAsia="Times New Roman" w:hAnsi="Times New Roman" w:cs="Times New Roman"/>
          <w:i/>
          <w:noProof/>
        </w:rPr>
        <w:t>et al.</w:t>
      </w:r>
      <w:r w:rsidR="006C2C79" w:rsidRPr="002F6448">
        <w:rPr>
          <w:rFonts w:ascii="Times New Roman" w:eastAsia="Times New Roman" w:hAnsi="Times New Roman" w:cs="Times New Roman"/>
          <w:noProof/>
        </w:rPr>
        <w:t>, 2024)</w:t>
      </w:r>
      <w:r w:rsidR="006C2C79" w:rsidRPr="002F6448">
        <w:rPr>
          <w:rFonts w:ascii="Times New Roman" w:eastAsia="Times New Roman" w:hAnsi="Times New Roman" w:cs="Times New Roman"/>
        </w:rPr>
        <w:fldChar w:fldCharType="end"/>
      </w:r>
      <w:r w:rsidR="006C2C79" w:rsidRPr="002F6448">
        <w:rPr>
          <w:rFonts w:ascii="Times New Roman" w:eastAsia="Times New Roman" w:hAnsi="Times New Roman" w:cs="Times New Roman"/>
        </w:rPr>
        <w:t>.</w:t>
      </w:r>
      <w:r w:rsidRPr="002F6448">
        <w:rPr>
          <w:rFonts w:ascii="Times New Roman" w:eastAsia="Times New Roman" w:hAnsi="Times New Roman" w:cs="Times New Roman"/>
        </w:rPr>
        <w:t>This relatively high proportion may be attributed to high urban residency (72.6%) and low engagement in outdoor activities, with 78.6% of participants reporting le</w:t>
      </w:r>
      <w:r w:rsidR="00A15818" w:rsidRPr="002F6448">
        <w:rPr>
          <w:rFonts w:ascii="Times New Roman" w:eastAsia="Times New Roman" w:hAnsi="Times New Roman" w:cs="Times New Roman"/>
        </w:rPr>
        <w:t xml:space="preserve">ss than one hour outdoors daily </w:t>
      </w:r>
      <w:r w:rsidRPr="002F6448">
        <w:rPr>
          <w:rFonts w:ascii="Times New Roman" w:eastAsia="Times New Roman" w:hAnsi="Times New Roman" w:cs="Times New Roman"/>
        </w:rPr>
        <w:t>conditions known to contribute to myopia progression.</w:t>
      </w:r>
      <w:r w:rsidR="00B145FD" w:rsidRPr="002F6448">
        <w:rPr>
          <w:rFonts w:ascii="Times New Roman" w:eastAsia="Times New Roman" w:hAnsi="Times New Roman" w:cs="Times New Roman"/>
          <w:lang w:val="en-GB" w:eastAsia="en-GB"/>
        </w:rPr>
        <w:t xml:space="preserve"> </w:t>
      </w:r>
      <w:r w:rsidR="00B145FD" w:rsidRPr="002F6448">
        <w:rPr>
          <w:rFonts w:ascii="Times New Roman" w:eastAsia="Times New Roman" w:hAnsi="Times New Roman" w:cs="Times New Roman"/>
          <w:lang w:val="en-GB" w:eastAsia="en-GB"/>
        </w:rPr>
        <w:fldChar w:fldCharType="begin" w:fldLock="1"/>
      </w:r>
      <w:r w:rsidR="00B145FD" w:rsidRPr="002F6448">
        <w:rPr>
          <w:rFonts w:ascii="Times New Roman" w:eastAsia="Times New Roman" w:hAnsi="Times New Roman" w:cs="Times New Roman"/>
          <w:lang w:val="en-GB" w:eastAsia="en-GB"/>
        </w:rPr>
        <w:instrText>ADDIN CSL_CITATION {"citationItems":[{"id":"ITEM-1","itemData":{"DOI":"10.5114/ko.2022.116834","ISSN":"00232157","author":[{"dropping-particle":"","family":"Nouraeinejad","given":"Ali","non-dropping-particle":"","parse-names":false,"suffix":""}],"container-title":"Klinika Oczna","id":"ITEM-1","issue":"2","issued":{"date-parts":[["2022"]]},"page":"124-125","title":"Urbanization as a factor for myopia progression","type":"article-journal","volume":"124"},"uris":["http://www.mendeley.com/documents/?uuid=100b4b55-152a-47e3-aeac-f040e0b1bd47"]},{"id":"ITEM-2","itemData":{"DOI":"10.3109/09286586.2014.988874","ISSN":"17445086","PMID":"25495661","abstract":"Purpose: To investigate the association between potential risk factors for myopia and its progression in young adult Taiwanese men. Methods: A survey of male military conscripts (aged 18-24 years) was conducted from February 2010 to March 2011 in Taiwan. Participants underwent comprehensive eye examinations, including measurements of axial length and corneal radius by optical biometry and non-cycloplegic autorefraction. Participants also provided self-reported progression of myopia and information regarding potential risk factors, including age, parental myopia, educational level, close work, outdoor activities, and urbanization. Results: Of 5145 eligible participants, 5048 (98.11%) provided refraction and questionnaire data; 2316 (45.88%) of the 5048 also had biometric measurements. The prevalence of myopia was 86.1% in this group, with a mean refractive error of -3.66 diopters (D). Of the 5048 participants, 1376 (27.3%) had experienced progression of their myopia during the past year. There were trends for a higher prevalence of myopia among older participants (p = 0.014), those with a history of parental myopia (p&lt;0.001), higher levels of education (p = 0.001), increased time spent reading (p&lt;0.001), less time outdoors (p=0.003), and higher levels of urbanization (p = 0.010). However, only parental myopia, close work, and higher urbanization levels were significantly associated with self-reported progression of myopia. Conclusion: Older age, parental myopia, higher educational level, close work, fewer outdoor activities, and higher urbanization level were associated with the prevalence of myopia in Taiwanese men.","author":[{"dropping-particle":"","family":"Lee","given":"Yin Yang","non-dropping-particle":"","parse-names":false,"suffix":""},{"dropping-particle":"","family":"Lo","given":"Chung Ting","non-dropping-particle":"","parse-names":false,"suffix":""},{"dropping-particle":"","family":"Sheu","given":"Shwu Jiuan","non-dropping-particle":"","parse-names":false,"suffix":""},{"dropping-particle":"Te","family":"Yin","given":"Li","non-dropping-particle":"","parse-names":false,"suffix":""}],"container-title":"Ophthalmic Epidemiology","id":"ITEM-2","issue":"1","issued":{"date-parts":[["2015"]]},"page":"66-73","title":"Risk factors for and progression of myopia in young Taiwanese men","type":"article-journal","volume":"22"},"uris":["http://www.mendeley.com/documents/?uuid=a684d8cb-f0b3-44e7-8b1c-92c17a7ae683"]},{"id":"ITEM-3","itemData":{"DOI":"10.1007/s10384-010-0860-7","ISBN":"1038401008607","ISSN":"00215155","PMID":"21052908","abstract":"Purpose: To compare myopic progression rates in Taiwanese schoolchildren between urban and rural areas. Methods: Several longitudinal studies of myopic progression were performed in urban and rural areas. Five primary schools, four junior high schools, and two senior high schools were selected from both urban and rural areas. Ages ranged from 7 to 18 years. The refractive state of each student was measured with an autorefractometer under cycloplegia. Results: Mean myopic progression in primary school children (ages 7 to 12) in the urban areas was around 0.20 D/year for boys and 0.27 D/year for girls. The mean myopic progression rate in urban children from primary to junior high school age (ages 10 to 15) was 0.43 D/year for boys and 0.50 D/year for girls, faster than that in rural children (0.24 and 0.31 D/year, respectively). The average progression rate was fastest in children in junior high school (ages 13 to 15), around 0.45 D/year in urban areas and 0.28 D/year in rural areas. In senior high schools (ages 16 to 18), myopic progression slowed to 0.17 D/ year in boys and 0.33 D/year in girls. Myopic progression in all groups was faster in myopic eyes than in emmetropic or hyperopic eyes. Conclusions: The average myopic progression in urban areas was greater than that in rural areas. Environmental factors such as urban development and academic grade level may be important contributing factors to myopic progression. © 2010 Japanese Ophthalmological Society (JOS).","author":[{"dropping-particle":"","family":"Shih","given":"Yung Feng","non-dropping-particle":"","parse-names":false,"suffix":""},{"dropping-particle":"","family":"Chiang","given":"Ting Hsuan","non-dropping-particle":"","parse-names":false,"suffix":""},{"dropping-particle":"","family":"Hsiao","given":"C. Kate","non-dropping-particle":"","parse-names":false,"suffix":""},{"dropping-particle":"","family":"Chen","given":"Chien Jen","non-dropping-particle":"","parse-names":false,"suffix":""},{"dropping-particle":"","family":"Hung","given":"Por Tying","non-dropping-particle":"","parse-names":false,"suffix":""},{"dropping-particle":"","family":"Lin","given":"Luke L.K.","non-dropping-particle":"","parse-names":false,"suffix":""}],"container-title":"Japanese Journal of Ophthalmology","id":"ITEM-3","issue":"5","issued":{"date-parts":[["2010"]]},"page":"446-451","title":"Comparing myopic progression of urban and rural Taiwanese schoolchildren","type":"article-journal","volume":"54"},"uris":["http://www.mendeley.com/documents/?uuid=ad02ee92-8f3d-4af4-ab76-91c1c6f9ad09"]}],"mendeley":{"formattedCitation":"(Shih &lt;i&gt;et al.&lt;/i&gt;, 2010; Lee &lt;i&gt;et al.&lt;/i&gt;, 2015; Nouraeinejad, 2022)","plainTextFormattedCitation":"(Shih et al., 2010; Lee et al., 2015; Nouraeinejad, 2022)","previouslyFormattedCitation":"(Shih &lt;i&gt;et al.&lt;/i&gt;, 2010; Lee &lt;i&gt;et al.&lt;/i&gt;, 2015; Nouraeinejad, 2022)"},"properties":{"noteIndex":0},"schema":"https://github.com/citation-style-language/schema/raw/master/csl-citation.json"}</w:instrText>
      </w:r>
      <w:r w:rsidR="00B145FD" w:rsidRPr="002F6448">
        <w:rPr>
          <w:rFonts w:ascii="Times New Roman" w:eastAsia="Times New Roman" w:hAnsi="Times New Roman" w:cs="Times New Roman"/>
          <w:lang w:val="en-GB" w:eastAsia="en-GB"/>
        </w:rPr>
        <w:fldChar w:fldCharType="separate"/>
      </w:r>
      <w:r w:rsidR="00B145FD" w:rsidRPr="002F6448">
        <w:rPr>
          <w:rFonts w:ascii="Times New Roman" w:eastAsia="Times New Roman" w:hAnsi="Times New Roman" w:cs="Times New Roman"/>
          <w:noProof/>
          <w:lang w:val="en-GB" w:eastAsia="en-GB"/>
        </w:rPr>
        <w:t xml:space="preserve">(Shih </w:t>
      </w:r>
      <w:r w:rsidR="00B145FD" w:rsidRPr="002F6448">
        <w:rPr>
          <w:rFonts w:ascii="Times New Roman" w:eastAsia="Times New Roman" w:hAnsi="Times New Roman" w:cs="Times New Roman"/>
          <w:i/>
          <w:noProof/>
          <w:lang w:val="en-GB" w:eastAsia="en-GB"/>
        </w:rPr>
        <w:t>et al.</w:t>
      </w:r>
      <w:r w:rsidR="00B145FD" w:rsidRPr="002F6448">
        <w:rPr>
          <w:rFonts w:ascii="Times New Roman" w:eastAsia="Times New Roman" w:hAnsi="Times New Roman" w:cs="Times New Roman"/>
          <w:noProof/>
          <w:lang w:val="en-GB" w:eastAsia="en-GB"/>
        </w:rPr>
        <w:t xml:space="preserve">, 2010; Lee </w:t>
      </w:r>
      <w:r w:rsidR="00B145FD" w:rsidRPr="002F6448">
        <w:rPr>
          <w:rFonts w:ascii="Times New Roman" w:eastAsia="Times New Roman" w:hAnsi="Times New Roman" w:cs="Times New Roman"/>
          <w:i/>
          <w:noProof/>
          <w:lang w:val="en-GB" w:eastAsia="en-GB"/>
        </w:rPr>
        <w:t>et al.</w:t>
      </w:r>
      <w:r w:rsidR="00B145FD" w:rsidRPr="002F6448">
        <w:rPr>
          <w:rFonts w:ascii="Times New Roman" w:eastAsia="Times New Roman" w:hAnsi="Times New Roman" w:cs="Times New Roman"/>
          <w:noProof/>
          <w:lang w:val="en-GB" w:eastAsia="en-GB"/>
        </w:rPr>
        <w:t>, 2015; Nouraeinejad, 2022)</w:t>
      </w:r>
      <w:r w:rsidR="00B145FD" w:rsidRPr="002F6448">
        <w:rPr>
          <w:rFonts w:ascii="Times New Roman" w:eastAsia="Times New Roman" w:hAnsi="Times New Roman" w:cs="Times New Roman"/>
          <w:lang w:val="en-GB" w:eastAsia="en-GB"/>
        </w:rPr>
        <w:fldChar w:fldCharType="end"/>
      </w:r>
      <w:r w:rsidR="00B145FD" w:rsidRPr="002F6448">
        <w:rPr>
          <w:rFonts w:ascii="Times New Roman" w:eastAsia="Times New Roman" w:hAnsi="Times New Roman" w:cs="Times New Roman"/>
        </w:rPr>
        <w:t xml:space="preserve">. </w:t>
      </w:r>
      <w:r w:rsidRPr="002F6448">
        <w:rPr>
          <w:rFonts w:ascii="Times New Roman" w:eastAsia="Times New Roman" w:hAnsi="Times New Roman" w:cs="Times New Roman"/>
        </w:rPr>
        <w:t>The findings suggest a growin</w:t>
      </w:r>
      <w:r w:rsidR="003F4E64" w:rsidRPr="002F6448">
        <w:rPr>
          <w:rFonts w:ascii="Times New Roman" w:eastAsia="Times New Roman" w:hAnsi="Times New Roman" w:cs="Times New Roman"/>
        </w:rPr>
        <w:t xml:space="preserve">g burden of myopia in both high income and low </w:t>
      </w:r>
      <w:r w:rsidRPr="002F6448">
        <w:rPr>
          <w:rFonts w:ascii="Times New Roman" w:eastAsia="Times New Roman" w:hAnsi="Times New Roman" w:cs="Times New Roman"/>
        </w:rPr>
        <w:t>resource settings.</w:t>
      </w:r>
    </w:p>
    <w:p w14:paraId="7025C58C" w14:textId="77777777" w:rsidR="00C2493C" w:rsidRPr="002F6448" w:rsidRDefault="00C2493C" w:rsidP="00D45D93">
      <w:pPr>
        <w:spacing w:before="24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In the adjusted analysis, age remained a significant predictor of myopia progression. Children older than 13 years were found to be 36% less likely to experience progression compared to those aged 9 years and below (p = 0.03). This trend may reflect underlying differences in the etiology and natural history of myopia development across age groups. It has been suggested that myopia arising in early childhood may represent a more genetically driven and aggressive subtype, with a higher likelihood of progressing to high myopia. In contrast, older children may already be approaching the plateau phase of refractive change, where ocular growth slows and myopia stabilizes</w:t>
      </w:r>
      <w:r w:rsidR="00BE0ABF" w:rsidRPr="002F6448">
        <w:rPr>
          <w:rFonts w:ascii="Times New Roman" w:hAnsi="Times New Roman" w:cs="Times New Roman"/>
        </w:rPr>
        <w:t xml:space="preserve"> </w:t>
      </w:r>
      <w:r w:rsidR="00BE0ABF" w:rsidRPr="002F6448">
        <w:rPr>
          <w:rFonts w:ascii="Times New Roman" w:hAnsi="Times New Roman" w:cs="Times New Roman"/>
        </w:rPr>
        <w:fldChar w:fldCharType="begin" w:fldLock="1"/>
      </w:r>
      <w:r w:rsidR="00BE0ABF" w:rsidRPr="002F6448">
        <w:rPr>
          <w:rFonts w:ascii="Times New Roman" w:hAnsi="Times New Roman" w:cs="Times New Roman"/>
        </w:rPr>
        <w:instrText>ADDIN CSL_CITATION {"citationItems":[{"id":"ITEM-1","itemData":{"author":[{"dropping-particle":"","family":"Hyman","given":"Leslie","non-dropping-particle":"","parse-names":false,"suffix":""},{"dropping-particle":"","family":"Gwiazda","given":"Jane","non-dropping-particle":"","parse-names":false,"suffix":""},{"dropping-particle":"","family":"Hussein","given":"Mohamed","non-dropping-particle":"","parse-names":false,"suffix":""},{"dropping-particle":"","family":"Norton","given":"Thomas T","non-dropping-particle":"","parse-names":false,"suffix":""},{"dropping-particle":"","family":"Wang","given":"Ying","non-dropping-particle":"","parse-names":false,"suffix":""},{"dropping-particle":"","family":"Marsh-tootle","given":"Wendy","non-dropping-particle":"","parse-names":false,"suffix":""},{"dropping-particle":"","family":"Everett","given":"Donald","non-dropping-particle":"","parse-names":false,"suffix":""}],"id":"ITEM-1","issue":"July","issued":{"date-parts":[["2005"]]},"title":"Relationship of Age, Sex, and Ethnicity With Myopia Progression and Axial Elongation in the Correction of Myopia Evaluation Trial","type":"article-journal","volume":"123"},"uris":["http://www.mendeley.com/documents/?uuid=43158bbc-1ad7-4d23-9404-e4d1a8be0cff"]}],"mendeley":{"formattedCitation":"(Hyman &lt;i&gt;et al.&lt;/i&gt;, 2005)","plainTextFormattedCitation":"(Hyman et al., 2005)","previouslyFormattedCitation":"(Hyman &lt;i&gt;et al.&lt;/i&gt;, 2005)"},"properties":{"noteIndex":0},"schema":"https://github.com/citation-style-language/schema/raw/master/csl-citation.json"}</w:instrText>
      </w:r>
      <w:r w:rsidR="00BE0ABF" w:rsidRPr="002F6448">
        <w:rPr>
          <w:rFonts w:ascii="Times New Roman" w:hAnsi="Times New Roman" w:cs="Times New Roman"/>
        </w:rPr>
        <w:fldChar w:fldCharType="separate"/>
      </w:r>
      <w:r w:rsidR="00BE0ABF" w:rsidRPr="002F6448">
        <w:rPr>
          <w:rFonts w:ascii="Times New Roman" w:hAnsi="Times New Roman" w:cs="Times New Roman"/>
          <w:noProof/>
        </w:rPr>
        <w:t xml:space="preserve">(Hyman </w:t>
      </w:r>
      <w:r w:rsidR="00BE0ABF" w:rsidRPr="002F6448">
        <w:rPr>
          <w:rFonts w:ascii="Times New Roman" w:hAnsi="Times New Roman" w:cs="Times New Roman"/>
          <w:i/>
          <w:noProof/>
        </w:rPr>
        <w:t>et al.</w:t>
      </w:r>
      <w:r w:rsidR="00BE0ABF" w:rsidRPr="002F6448">
        <w:rPr>
          <w:rFonts w:ascii="Times New Roman" w:hAnsi="Times New Roman" w:cs="Times New Roman"/>
          <w:noProof/>
        </w:rPr>
        <w:t>, 2005)</w:t>
      </w:r>
      <w:r w:rsidR="00BE0ABF" w:rsidRPr="002F6448">
        <w:rPr>
          <w:rFonts w:ascii="Times New Roman" w:hAnsi="Times New Roman" w:cs="Times New Roman"/>
        </w:rPr>
        <w:fldChar w:fldCharType="end"/>
      </w:r>
      <w:r w:rsidR="00BE0ABF" w:rsidRPr="002F6448">
        <w:rPr>
          <w:rFonts w:ascii="Times New Roman" w:hAnsi="Times New Roman" w:cs="Times New Roman"/>
        </w:rPr>
        <w:t xml:space="preserve">. </w:t>
      </w:r>
      <w:r w:rsidRPr="002F6448">
        <w:rPr>
          <w:rFonts w:ascii="Times New Roman" w:hAnsi="Times New Roman" w:cs="Times New Roman"/>
        </w:rPr>
        <w:t>A similar pattern was observed by</w:t>
      </w:r>
      <w:r w:rsidR="00BE0ABF" w:rsidRPr="002F6448">
        <w:rPr>
          <w:rFonts w:ascii="Times New Roman" w:hAnsi="Times New Roman" w:cs="Times New Roman"/>
        </w:rPr>
        <w:t xml:space="preserve"> </w:t>
      </w:r>
      <w:r w:rsidR="00BE0ABF" w:rsidRPr="002F6448">
        <w:rPr>
          <w:rFonts w:ascii="Times New Roman" w:hAnsi="Times New Roman" w:cs="Times New Roman"/>
        </w:rPr>
        <w:fldChar w:fldCharType="begin" w:fldLock="1"/>
      </w:r>
      <w:r w:rsidR="00BE0ABF" w:rsidRPr="002F6448">
        <w:rPr>
          <w:rFonts w:ascii="Times New Roman" w:hAnsi="Times New Roman" w:cs="Times New Roman"/>
        </w:rPr>
        <w:instrText>ADDIN CSL_CITATION {"citationItems":[{"id":"ITEM-1","itemData":{"DOI":"10.1371/journal.pone.0241759","ISBN":"1111111111","author":[{"dropping-particle":"","family":"Kumar","given":"Pavan","non-dropping-particle":"","parse-names":false,"suffix":""},{"dropping-particle":"","family":"Id","given":"Verkicharla","non-dropping-particle":"","parse-names":false,"suffix":""},{"dropping-particle":"","family":"Id","given":"Priyanka Kammari","non-dropping-particle":"","parse-names":false,"suffix":""},{"dropping-particle":"","family":"Das","given":"Anthony Vipin","non-dropping-particle":"","parse-names":false,"suffix":""}],"id":"ITEM-1","issued":{"date-parts":[["2020"]]},"page":"1-9","title":"Myopia progression varies with age and severity of myopia","type":"article-journal"},"uris":["http://www.mendeley.com/documents/?uuid=f92773af-ad38-4ba2-b2c0-1c5c63648770"]}],"mendeley":{"formattedCitation":"(Kumar &lt;i&gt;et al.&lt;/i&gt;, 2020)","plainTextFormattedCitation":"(Kumar et al., 2020)","previouslyFormattedCitation":"(Kumar &lt;i&gt;et al.&lt;/i&gt;, 2020)"},"properties":{"noteIndex":0},"schema":"https://github.com/citation-style-language/schema/raw/master/csl-citation.json"}</w:instrText>
      </w:r>
      <w:r w:rsidR="00BE0ABF" w:rsidRPr="002F6448">
        <w:rPr>
          <w:rFonts w:ascii="Times New Roman" w:hAnsi="Times New Roman" w:cs="Times New Roman"/>
        </w:rPr>
        <w:fldChar w:fldCharType="separate"/>
      </w:r>
      <w:r w:rsidR="00BE0ABF" w:rsidRPr="002F6448">
        <w:rPr>
          <w:rFonts w:ascii="Times New Roman" w:hAnsi="Times New Roman" w:cs="Times New Roman"/>
          <w:noProof/>
        </w:rPr>
        <w:t xml:space="preserve">(Kumar </w:t>
      </w:r>
      <w:r w:rsidR="00BE0ABF" w:rsidRPr="002F6448">
        <w:rPr>
          <w:rFonts w:ascii="Times New Roman" w:hAnsi="Times New Roman" w:cs="Times New Roman"/>
          <w:i/>
          <w:noProof/>
        </w:rPr>
        <w:t>et al.</w:t>
      </w:r>
      <w:r w:rsidR="00BE0ABF" w:rsidRPr="002F6448">
        <w:rPr>
          <w:rFonts w:ascii="Times New Roman" w:hAnsi="Times New Roman" w:cs="Times New Roman"/>
          <w:noProof/>
        </w:rPr>
        <w:t>, 2020)</w:t>
      </w:r>
      <w:r w:rsidR="00BE0ABF" w:rsidRPr="002F6448">
        <w:rPr>
          <w:rFonts w:ascii="Times New Roman" w:hAnsi="Times New Roman" w:cs="Times New Roman"/>
        </w:rPr>
        <w:fldChar w:fldCharType="end"/>
      </w:r>
      <w:r w:rsidR="00BE0ABF" w:rsidRPr="002F6448">
        <w:rPr>
          <w:rFonts w:ascii="Times New Roman" w:hAnsi="Times New Roman" w:cs="Times New Roman"/>
        </w:rPr>
        <w:t xml:space="preserve"> and </w:t>
      </w:r>
      <w:r w:rsidR="00BE0ABF" w:rsidRPr="002F6448">
        <w:rPr>
          <w:rFonts w:ascii="Times New Roman" w:hAnsi="Times New Roman" w:cs="Times New Roman"/>
        </w:rPr>
        <w:fldChar w:fldCharType="begin" w:fldLock="1"/>
      </w:r>
      <w:r w:rsidR="00881150" w:rsidRPr="002F6448">
        <w:rPr>
          <w:rFonts w:ascii="Times New Roman" w:hAnsi="Times New Roman" w:cs="Times New Roman"/>
        </w:rPr>
        <w:instrText>ADDIN CSL_CITATION {"citationItems":[{"id":"ITEM-1","itemData":{"DOI":"10.1001/jamaophthalmol.2020.6239","ISSN":"21686173","PMID":"33443542","abstract":"Importance: Time spent in outdoor activities has decreased owing to home confinement for the coronavirus disease 2019 (COVID-19) pandemic. Concerns have been raised about whether home confinement may have worsened the burden of myopia owing to substantially decreased time spent outdoors and increased screen time at home. Objective: To investigate the refractive changes and prevalence of myopia in school-aged children during the COVID-19 home confinement. Design, Setting, and Participants: A prospective cross-sectional study using school-based photoscreenings in 123535 children aged 6 to 13 years from 10 elementary schools in Feicheng, China, was conducted. The study was performed during 6 consecutive years (2015-2020). Data were analyzed in July 2020. Exposures: Noncycloplegic photorefraction was examined using a photoscreener device. Main Outcomes and Measures: The spherical equivalent refraction was recorded for each child and the prevalence of myopia for each age group during each year was calculated. The mean spherical equivalent refraction and prevalence of myopia were compared between 2020 (after home confinement) and the previous 5 years for each age group. Results: Of the 123535 children included in the study, 64335 (52.1%) were boys. A total of 194904 test results (389808 eyes) were included in the analysis. A substantial myopic shift (approximately -0.3 diopters [D]) was found in the 2020 school-based photoscreenings compared with previous years (2015-2019) for younger children aged 6 (-0.32 D), 7 (-0.28 D), and 8 (-0.29 D) years. The prevalence of myopia in the 2020 photoscreenings was higher than the highest prevalence of myopia within 2015-2019 for children aged 6 (21.5% vs 5.7%), 7 (26.2% vs 16.2%), and 8 (37.2% vs 27.7%) years. The differences in spherical equivalent refraction and the prevalence of myopia between 2020 and previous years were minimal in children aged 9 to 13 years. Conclusions and Relevance: Home confinement during the COVID-19 pandemic appeared to be associated with a significant myopic shift for children aged 6 to 8 years according to 2020 school-based photoscreenings. However, numerous limitations warrant caution in the interpretation of these associations, including use of noncycloplegic refractions and lack of orthokeratology history or ocular biometry data. Younger children's refractive status may be more sensitive to environmental changes than older ages, given the younger children are in a critical period for the …","author":[{"dropping-particle":"","family":"Wang","given":"Jiaxing","non-dropping-particle":"","parse-names":false,"suffix":""},{"dropping-particle":"","family":"Li","given":"Ying","non-dropping-particle":"","parse-names":false,"suffix":""},{"dropping-particle":"","family":"Musch","given":"David C.","non-dropping-particle":"","parse-names":false,"suffix":""},{"dropping-particle":"","family":"Wei","given":"Nan","non-dropping-particle":"","parse-names":false,"suffix":""},{"dropping-particle":"","family":"Qi","given":"Xiaoli","non-dropping-particle":"","parse-names":false,"suffix":""},{"dropping-particle":"","family":"Ding","given":"Gang","non-dropping-particle":"","parse-names":false,"suffix":""},{"dropping-particle":"","family":"Li","given":"Xue","non-dropping-particle":"","parse-names":false,"suffix":""},{"dropping-particle":"","family":"Li","given":"Jing","non-dropping-particle":"","parse-names":false,"suffix":""},{"dropping-particle":"","family":"Song","given":"Linlin","non-dropping-particle":"","parse-names":false,"suffix":""},{"dropping-particle":"","family":"Zhang","given":"Ying","non-dropping-particle":"","parse-names":false,"suffix":""},{"dropping-particle":"","family":"Ning","given":"Yuxian","non-dropping-particle":"","parse-names":false,"suffix":""},{"dropping-particle":"","family":"Zeng","given":"Xiaoyu","non-dropping-particle":"","parse-names":false,"suffix":""},{"dropping-particle":"","family":"Hua","given":"Ning","non-dropping-particle":"","parse-names":false,"suffix":""},{"dropping-particle":"","family":"Li","given":"Shuo","non-dropping-particle":"","parse-names":false,"suffix":""},{"dropping-particle":"","family":"Qian","given":"Xuehan","non-dropping-particle":"","parse-names":false,"suffix":""}],"container-title":"JAMA Ophthalmology","id":"ITEM-1","issue":"3","issued":{"date-parts":[["2021"]]},"page":"293-300","title":"Progression of Myopia in School-Aged Children after COVID-19 Home Confinement","type":"article-journal","volume":"139"},"uris":["http://www.mendeley.com/documents/?uuid=aaa156a0-834a-472b-b1c2-773505d61107"]}],"mendeley":{"formattedCitation":"(Wang &lt;i&gt;et al.&lt;/i&gt;, 2021)","plainTextFormattedCitation":"(Wang et al., 2021)","previouslyFormattedCitation":"(Wang &lt;i&gt;et al.&lt;/i&gt;, 2021)"},"properties":{"noteIndex":0},"schema":"https://github.com/citation-style-language/schema/raw/master/csl-citation.json"}</w:instrText>
      </w:r>
      <w:r w:rsidR="00BE0ABF" w:rsidRPr="002F6448">
        <w:rPr>
          <w:rFonts w:ascii="Times New Roman" w:hAnsi="Times New Roman" w:cs="Times New Roman"/>
        </w:rPr>
        <w:fldChar w:fldCharType="separate"/>
      </w:r>
      <w:r w:rsidR="00881150" w:rsidRPr="002F6448">
        <w:rPr>
          <w:rFonts w:ascii="Times New Roman" w:hAnsi="Times New Roman" w:cs="Times New Roman"/>
          <w:noProof/>
        </w:rPr>
        <w:t xml:space="preserve">(Wang </w:t>
      </w:r>
      <w:r w:rsidR="00881150" w:rsidRPr="002F6448">
        <w:rPr>
          <w:rFonts w:ascii="Times New Roman" w:hAnsi="Times New Roman" w:cs="Times New Roman"/>
          <w:i/>
          <w:noProof/>
        </w:rPr>
        <w:t>et al.</w:t>
      </w:r>
      <w:r w:rsidR="00881150" w:rsidRPr="002F6448">
        <w:rPr>
          <w:rFonts w:ascii="Times New Roman" w:hAnsi="Times New Roman" w:cs="Times New Roman"/>
          <w:noProof/>
        </w:rPr>
        <w:t>, 2021)</w:t>
      </w:r>
      <w:r w:rsidR="00BE0ABF" w:rsidRPr="002F6448">
        <w:rPr>
          <w:rFonts w:ascii="Times New Roman" w:hAnsi="Times New Roman" w:cs="Times New Roman"/>
        </w:rPr>
        <w:fldChar w:fldCharType="end"/>
      </w:r>
      <w:r w:rsidRPr="002F6448">
        <w:rPr>
          <w:rFonts w:ascii="Times New Roman" w:hAnsi="Times New Roman" w:cs="Times New Roman"/>
        </w:rPr>
        <w:t>, who reported reduced p</w:t>
      </w:r>
      <w:r w:rsidR="00BE0ABF" w:rsidRPr="002F6448">
        <w:rPr>
          <w:rFonts w:ascii="Times New Roman" w:hAnsi="Times New Roman" w:cs="Times New Roman"/>
        </w:rPr>
        <w:t xml:space="preserve">rogression rates among older </w:t>
      </w:r>
      <w:r w:rsidRPr="002F6448">
        <w:rPr>
          <w:rFonts w:ascii="Times New Roman" w:hAnsi="Times New Roman" w:cs="Times New Roman"/>
        </w:rPr>
        <w:t>children reinforcing the notion that early onset myopia tends to follow a more aggressive course.</w:t>
      </w:r>
      <w:r w:rsidRPr="002F6448">
        <w:t xml:space="preserve"> </w:t>
      </w:r>
    </w:p>
    <w:p w14:paraId="74188D7C" w14:textId="77777777" w:rsidR="000C3BA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Although sex was not significantly associated with progression in the adjusted analysis, unadjusted results showed that males had a significantly lower prevalence of progression compared to females</w:t>
      </w:r>
      <w:r w:rsidR="004E335C" w:rsidRPr="002F6448">
        <w:rPr>
          <w:rFonts w:ascii="Times New Roman" w:eastAsia="Times New Roman" w:hAnsi="Times New Roman" w:cs="Times New Roman"/>
        </w:rPr>
        <w:t xml:space="preserve"> (p=0.04)</w:t>
      </w:r>
      <w:r w:rsidRPr="002F6448">
        <w:rPr>
          <w:rFonts w:ascii="Times New Roman" w:eastAsia="Times New Roman" w:hAnsi="Times New Roman" w:cs="Times New Roman"/>
        </w:rPr>
        <w:t>. This finding is consistent with studies conducted in Fran</w:t>
      </w:r>
      <w:r w:rsidR="00D240CC" w:rsidRPr="002F6448">
        <w:rPr>
          <w:rFonts w:ascii="Times New Roman" w:eastAsia="Times New Roman" w:hAnsi="Times New Roman" w:cs="Times New Roman"/>
        </w:rPr>
        <w:t xml:space="preserve">ce and Ireland </w:t>
      </w:r>
      <w:r w:rsidR="00D240CC" w:rsidRPr="002F6448">
        <w:rPr>
          <w:rFonts w:ascii="Times New Roman" w:eastAsia="Times New Roman" w:hAnsi="Times New Roman" w:cs="Times New Roman"/>
        </w:rPr>
        <w:fldChar w:fldCharType="begin" w:fldLock="1"/>
      </w:r>
      <w:r w:rsidR="000C3BA0" w:rsidRPr="002F6448">
        <w:rPr>
          <w:rFonts w:ascii="Times New Roman" w:eastAsia="Times New Roman" w:hAnsi="Times New Roman" w:cs="Times New Roman"/>
        </w:rPr>
        <w:instrText>ADDIN CSL_CITATION {"citationItems":[{"id":"ITEM-1","itemData":{"DOI":"10.1136/bjophthalmol-2020-318256","author":[{"dropping-particle":"","family":"Tricard","given":"Dorian","non-dropping-particle":"","parse-names":false,"suffix":""},{"dropping-particle":"","family":"Marillet","given":"Simon","non-dropping-particle":"","parse-names":false,"suffix":""},{"dropping-particle":"","family":"Ingrand","given":"Pierre","non-dropping-particle":"","parse-names":false,"suffix":""},{"dropping-particle":"","family":"Bullimore","given":"Mark A","non-dropping-particle":"","parse-names":false,"suffix":""},{"dropping-particle":"","family":"Bourne","given":"Rupert R A","non-dropping-particle":"","parse-names":false,"suffix":""},{"dropping-particle":"","family":"Leveziel","given":"Nicolas","non-dropping-particle":"","parse-names":false,"suffix":""}],"id":"ITEM-1","issued":{"date-parts":[["2022"]]},"page":"1104-1109","title":"Progression of myopia in children and teenagers : a nationwide longitudinal study","type":"article-journal"},"uris":["http://www.mendeley.com/documents/?uuid=33b3705a-7b98-4889-8fbd-38d7210defa7"]},{"id":"ITEM-2","itemData":{"DOI":"10.1111/opo.13259","ISSN":"14751313","PMID":"38062894","abstract":"Purpose: This retrospective analysis of electronic medical record (EMR) data investigated the natural history of myopic progression in children from optometric practices in Ireland. Methods: The analysis was of myopic patients aged 7–17 with multiple visits and not prescribed myopia control treatment. Sex- and age-specific population centiles for annual myopic progression were derived by fitting a weighted cubic spline to empirical quantiles. These were compared to progression rates derived from control group data obtained from 17 randomised clinical trials (RCTs) for myopia. Linear mixed models (LMMs) were used to allow comparison of myopia progression rates against outputs from a predictive online calculator. Survival analysis was performed to determine the intervals at which a significant level of myopic progression was predicted to occur. Results: Myopia progression was highest in children aged 7 years (median: −0.67 D/year) and progressively slowed with increasing age (median: −0.18 D/year at age 17). Female sex (p &lt; 0.001), a more myopic SER at baseline (p &lt; 0.001) and younger age (p &lt; 0.001) were all found to be predictive of faster myopic progression. Every RCT exhibited a mean progression higher than the median centile observed in the EMR data, while clinic-based studies more closely matched the median progression rates. The LMM predicted faster myopia progression for patients with higher baseline myopia levels, in keeping with previous studies, which was in contrast to an online calculator that predicted slower myopia progression for patients with higher baseline myopia. Survival analysis indicated that at a recall period of 12 months, myopia will have progressed in between 10% and 70% of children, depending upon age. Conclusions: This study produced progression centiles of untreated myopic children, helping to define the natural history of untreated myopia. This will enable clinicians to better predict both refractive outcomes without treatment and monitor treatment efficacy, particularly in the absence of axial length data.","author":[{"dropping-particle":"","family":"Moore","given":"Michael","non-dropping-particle":"","parse-names":false,"suffix":""},{"dropping-particle":"","family":"Lingham","given":"Gareth","non-dropping-particle":"","parse-names":false,"suffix":""},{"dropping-particle":"","family":"Flitcroft","given":"Daniel I.","non-dropping-particle":"","parse-names":false,"suffix":""},{"dropping-particle":"","family":"Loughman","given":"James","non-dropping-particle":"","parse-names":false,"suffix":""}],"container-title":"Ophthalmic and Physiological Optics","id":"ITEM-2","issue":"2","issued":{"date-parts":[["2024"]]},"page":"258-269","title":"Myopia progression patterns among paediatric patients in a clinical setting","type":"article-journal","volume":"44"},"uris":["http://www.mendeley.com/documents/?uuid=ef66e48d-7315-4365-bfd5-253704608144"]}],"mendeley":{"formattedCitation":"(Tricard &lt;i&gt;et al.&lt;/i&gt;, 2022; Moore &lt;i&gt;et al.&lt;/i&gt;, 2024)","plainTextFormattedCitation":"(Tricard et al., 2022; Moore et al., 2024)","previouslyFormattedCitation":"(Tricard &lt;i&gt;et al.&lt;/i&gt;, 2022; Moore &lt;i&gt;et al.&lt;/i&gt;, 2024)"},"properties":{"noteIndex":0},"schema":"https://github.com/citation-style-language/schema/raw/master/csl-citation.json"}</w:instrText>
      </w:r>
      <w:r w:rsidR="00D240CC" w:rsidRPr="002F6448">
        <w:rPr>
          <w:rFonts w:ascii="Times New Roman" w:eastAsia="Times New Roman" w:hAnsi="Times New Roman" w:cs="Times New Roman"/>
        </w:rPr>
        <w:fldChar w:fldCharType="separate"/>
      </w:r>
      <w:r w:rsidR="00D240CC" w:rsidRPr="002F6448">
        <w:rPr>
          <w:rFonts w:ascii="Times New Roman" w:eastAsia="Times New Roman" w:hAnsi="Times New Roman" w:cs="Times New Roman"/>
          <w:noProof/>
        </w:rPr>
        <w:t xml:space="preserve">(Tricard </w:t>
      </w:r>
      <w:r w:rsidR="00D240CC" w:rsidRPr="002F6448">
        <w:rPr>
          <w:rFonts w:ascii="Times New Roman" w:eastAsia="Times New Roman" w:hAnsi="Times New Roman" w:cs="Times New Roman"/>
          <w:i/>
          <w:noProof/>
        </w:rPr>
        <w:t>et al.</w:t>
      </w:r>
      <w:r w:rsidR="00D240CC" w:rsidRPr="002F6448">
        <w:rPr>
          <w:rFonts w:ascii="Times New Roman" w:eastAsia="Times New Roman" w:hAnsi="Times New Roman" w:cs="Times New Roman"/>
          <w:noProof/>
        </w:rPr>
        <w:t xml:space="preserve">, 2022; Moore </w:t>
      </w:r>
      <w:r w:rsidR="00D240CC" w:rsidRPr="002F6448">
        <w:rPr>
          <w:rFonts w:ascii="Times New Roman" w:eastAsia="Times New Roman" w:hAnsi="Times New Roman" w:cs="Times New Roman"/>
          <w:i/>
          <w:noProof/>
        </w:rPr>
        <w:t>et al.</w:t>
      </w:r>
      <w:r w:rsidR="00D240CC" w:rsidRPr="002F6448">
        <w:rPr>
          <w:rFonts w:ascii="Times New Roman" w:eastAsia="Times New Roman" w:hAnsi="Times New Roman" w:cs="Times New Roman"/>
          <w:noProof/>
        </w:rPr>
        <w:t>, 2024)</w:t>
      </w:r>
      <w:r w:rsidR="00D240CC" w:rsidRPr="002F6448">
        <w:rPr>
          <w:rFonts w:ascii="Times New Roman" w:eastAsia="Times New Roman" w:hAnsi="Times New Roman" w:cs="Times New Roman"/>
        </w:rPr>
        <w:fldChar w:fldCharType="end"/>
      </w:r>
      <w:r w:rsidR="00D240CC" w:rsidRPr="002F6448">
        <w:rPr>
          <w:rFonts w:ascii="Times New Roman" w:eastAsia="Times New Roman" w:hAnsi="Times New Roman" w:cs="Times New Roman"/>
        </w:rPr>
        <w:t xml:space="preserve"> </w:t>
      </w:r>
      <w:r w:rsidR="000C3BA0" w:rsidRPr="002F6448">
        <w:rPr>
          <w:rFonts w:ascii="Times New Roman" w:eastAsia="Times New Roman" w:hAnsi="Times New Roman" w:cs="Times New Roman"/>
        </w:rPr>
        <w:t xml:space="preserve">and may be attributed to sex </w:t>
      </w:r>
      <w:r w:rsidRPr="002F6448">
        <w:rPr>
          <w:rFonts w:ascii="Times New Roman" w:eastAsia="Times New Roman" w:hAnsi="Times New Roman" w:cs="Times New Roman"/>
        </w:rPr>
        <w:t>related behavioral and biological differences. Females may engage in less outdoor activity and experience earlier hormonal changes that influence scleral remodeling and axial elongation via increased levels of estrogen and matrix metalloproteinase activity</w:t>
      </w:r>
      <w:r w:rsidR="000C3BA0" w:rsidRPr="002F6448">
        <w:rPr>
          <w:rFonts w:ascii="Times New Roman" w:eastAsia="Times New Roman" w:hAnsi="Times New Roman" w:cs="Times New Roman"/>
        </w:rPr>
        <w:t xml:space="preserve"> </w:t>
      </w:r>
      <w:r w:rsidR="000C3BA0" w:rsidRPr="002F6448">
        <w:rPr>
          <w:rFonts w:ascii="Times New Roman" w:eastAsia="Times New Roman" w:hAnsi="Times New Roman" w:cs="Times New Roman"/>
        </w:rPr>
        <w:fldChar w:fldCharType="begin" w:fldLock="1"/>
      </w:r>
      <w:r w:rsidR="00CB1EF2" w:rsidRPr="002F6448">
        <w:rPr>
          <w:rFonts w:ascii="Times New Roman" w:eastAsia="Times New Roman" w:hAnsi="Times New Roman" w:cs="Times New Roman"/>
        </w:rPr>
        <w:instrText>ADDIN CSL_CITATION {"citationItems":[{"id":"ITEM-1","itemData":{"DOI":"10.1167/iovs.01-1276","ISSN":"01460404","PMID":"12506055","abstract":"PURPOSE. Age-related macular degeneration (ARMD) is characterized by progressive thickening and accumulation of various lipid-rich extracellular matrix (ECM) deposits under the retinal pigment epithelium (RPE). ECM dysregulation probably contributes to the pathologic course of ARMD. By activating estrogen receptors (ERs), estrogens regulate the expression of genes relevant in the turnover of ECM, among them matrix metalloproteinase (MMP)-2. Estrogen deficiency may predispose to dysregulated synthesis and degradation of ECM, leading to accumulation of collagens and other proteins between the RPE and its basement membrane. The purposes in the current study were to confirm the expression of ERs in human RPE, to elucidate whether these ERs are functional, and to test whether 17β-estradiol (E2) regulates expression of ERs and MMP-2. METHODS. Expression of ERs was examined in freshly isolated human RPE monolayer and in cultured human RPE cells, by using total RNA for RT-PCR and protein extracts for Western blot analysis. Supernatants were collected from freshly isolated human RPE and from cultured human RPE to assess MMP-2 activity by zymography and protein expression by Western blot. The transcriptional activity of ERs was studied in transfection experiments with an estrogen-responsive reporter construct. All these studies were preformed in the presence or absence of E2 (10-11 and 10-7 M). RESULTS. Human RPE isolated from female and male individuals expressed both ER subtypes α and β at the mRNA and protein levels. Treatment of cultured RPE cells with 10-10 M E2 increased expression of mRNA and protein of both receptor subtypes. E2 (10-10 M) also increased MMP-2 activity (</w:instrText>
      </w:r>
      <w:r w:rsidR="00CB1EF2" w:rsidRPr="002F6448">
        <w:rPr>
          <w:rFonts w:ascii="Cambria Math" w:eastAsia="Times New Roman" w:hAnsi="Cambria Math" w:cs="Cambria Math"/>
        </w:rPr>
        <w:instrText>∼</w:instrText>
      </w:r>
      <w:r w:rsidR="00CB1EF2" w:rsidRPr="002F6448">
        <w:rPr>
          <w:rFonts w:ascii="Times New Roman" w:eastAsia="Times New Roman" w:hAnsi="Times New Roman" w:cs="Times New Roman"/>
        </w:rPr>
        <w:instrText>2.2-fold) and protein expression (</w:instrText>
      </w:r>
      <w:r w:rsidR="00CB1EF2" w:rsidRPr="002F6448">
        <w:rPr>
          <w:rFonts w:ascii="Cambria Math" w:eastAsia="Times New Roman" w:hAnsi="Cambria Math" w:cs="Cambria Math"/>
        </w:rPr>
        <w:instrText>∼</w:instrText>
      </w:r>
      <w:r w:rsidR="00CB1EF2" w:rsidRPr="002F6448">
        <w:rPr>
          <w:rFonts w:ascii="Times New Roman" w:eastAsia="Times New Roman" w:hAnsi="Times New Roman" w:cs="Times New Roman"/>
        </w:rPr>
        <w:instrText>2.5-fold). In contrast, there was no change in ER levels and MMP-2 activity at higher E2 concentrations (10-8 M), compared with baseline. Preincubation of cells with 10-7 M pyrrolidinedithiocarbamate (PDTC), an inhibitor of nuclear factor (NF)-κB, abolished the increase in MMP-2 activity and protein expression induced by E2 at 10-10 M. CONCLUSIONS. Both ER subtypes are expressed in RPE and regulated in a dose-dependent fashion by E2. Estrogens similarly regulate MMP-2. This estrogen-induced effect is, at least in part, mediated through NF-κB. These data support the hypothesis that estrogens may exert biological function in RPE through ERs and that estrogen deficiency or excess may cause dysregulation of molecules that influence the turnover of ECM in Bruc…","author":[{"dropping-particle":"","family":"Marin-Castaño","given":"Maria E.","non-dropping-particle":"","parse-names":false,"suffix":""},{"dropping-particle":"","family":"Elliot","given":"Sharon J.","non-dropping-particle":"","parse-names":false,"suffix":""},{"dropping-particle":"","family":"Potier","given":"Mylen","non-dropping-particle":"","parse-names":false,"suffix":""},{"dropping-particle":"","family":"Karl","given":"Michael","non-dropping-particle":"","parse-names":false,"suffix":""},{"dropping-particle":"","family":"Striker","given":"Liliane J.","non-dropping-particle":"","parse-names":false,"suffix":""},{"dropping-particle":"","family":"Striker","given":"Gary E.","non-dropping-particle":"","parse-names":false,"suffix":""},{"dropping-particle":"","family":"Csaky","given":"Karl G.","non-dropping-particle":"","parse-names":false,"suffix":""},{"dropping-particle":"","family":"Cousins","given":"Scott W.","non-dropping-particle":"","parse-names":false,"suffix":""}],"container-title":"Investigative Ophthalmology and Visual Science","id":"ITEM-1","issue":"1","issued":{"date-parts":[["2003"]]},"page":"50-59","title":"Regulation of estrogen receptors and MMP-2 expression by estrogens in human retinal pigment epithelium","type":"article-journal","volume":"44"},"uris":["http://www.mendeley.com/documents/?uuid=b2ea86ca-a0d7-458e-8d01-03e67719e7db"]}],"mendeley":{"formattedCitation":"(Marin-Castaño &lt;i&gt;et al.&lt;/i&gt;, 2003)","plainTextFormattedCitation":"(Marin-Castaño et al., 2003)","previouslyFormattedCitation":"(Marin-Castaño &lt;i&gt;et al.&lt;/i&gt;, 2003)"},"properties":{"noteIndex":0},"schema":"https://github.com/citation-style-language/schema/raw/master/csl-citation.json"}</w:instrText>
      </w:r>
      <w:r w:rsidR="000C3BA0" w:rsidRPr="002F6448">
        <w:rPr>
          <w:rFonts w:ascii="Times New Roman" w:eastAsia="Times New Roman" w:hAnsi="Times New Roman" w:cs="Times New Roman"/>
        </w:rPr>
        <w:fldChar w:fldCharType="separate"/>
      </w:r>
      <w:r w:rsidR="000C3BA0" w:rsidRPr="002F6448">
        <w:rPr>
          <w:rFonts w:ascii="Times New Roman" w:eastAsia="Times New Roman" w:hAnsi="Times New Roman" w:cs="Times New Roman"/>
          <w:noProof/>
        </w:rPr>
        <w:t xml:space="preserve">(Marin-Castaño </w:t>
      </w:r>
      <w:r w:rsidR="000C3BA0" w:rsidRPr="002F6448">
        <w:rPr>
          <w:rFonts w:ascii="Times New Roman" w:eastAsia="Times New Roman" w:hAnsi="Times New Roman" w:cs="Times New Roman"/>
          <w:i/>
          <w:noProof/>
        </w:rPr>
        <w:t>et al.</w:t>
      </w:r>
      <w:r w:rsidR="000C3BA0" w:rsidRPr="002F6448">
        <w:rPr>
          <w:rFonts w:ascii="Times New Roman" w:eastAsia="Times New Roman" w:hAnsi="Times New Roman" w:cs="Times New Roman"/>
          <w:noProof/>
        </w:rPr>
        <w:t>, 2003)</w:t>
      </w:r>
      <w:r w:rsidR="000C3BA0" w:rsidRPr="002F6448">
        <w:rPr>
          <w:rFonts w:ascii="Times New Roman" w:eastAsia="Times New Roman" w:hAnsi="Times New Roman" w:cs="Times New Roman"/>
        </w:rPr>
        <w:fldChar w:fldCharType="end"/>
      </w:r>
      <w:r w:rsidR="000C3BA0" w:rsidRPr="002F6448">
        <w:rPr>
          <w:rFonts w:ascii="Times New Roman" w:eastAsia="Times New Roman" w:hAnsi="Times New Roman" w:cs="Times New Roman"/>
        </w:rPr>
        <w:t>.</w:t>
      </w:r>
    </w:p>
    <w:p w14:paraId="6CF8B12D" w14:textId="77777777" w:rsidR="003F6C20" w:rsidRPr="002F6448" w:rsidRDefault="00586F25"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Spectacle </w:t>
      </w:r>
      <w:r w:rsidR="003F6C20" w:rsidRPr="002F6448">
        <w:rPr>
          <w:rFonts w:ascii="Times New Roman" w:eastAsia="Times New Roman" w:hAnsi="Times New Roman" w:cs="Times New Roman"/>
        </w:rPr>
        <w:t>wearing patterns were significantly associated with myopia progression in the unadjusted analysis. Non-wearers were 37% more likely to experience progression compared to wearers</w:t>
      </w:r>
      <w:r w:rsidRPr="002F6448">
        <w:rPr>
          <w:rFonts w:ascii="Times New Roman" w:eastAsia="Times New Roman" w:hAnsi="Times New Roman" w:cs="Times New Roman"/>
        </w:rPr>
        <w:t xml:space="preserve"> (p=0.002)</w:t>
      </w:r>
      <w:r w:rsidR="003F6C20" w:rsidRPr="002F6448">
        <w:rPr>
          <w:rFonts w:ascii="Times New Roman" w:eastAsia="Times New Roman" w:hAnsi="Times New Roman" w:cs="Times New Roman"/>
        </w:rPr>
        <w:t>. Previous studies from Malaysia and Ghana</w:t>
      </w:r>
      <w:r w:rsidR="00CB1EF2" w:rsidRPr="002F6448">
        <w:rPr>
          <w:rFonts w:ascii="Times New Roman" w:eastAsia="Times New Roman" w:hAnsi="Times New Roman" w:cs="Times New Roman"/>
        </w:rPr>
        <w:t xml:space="preserve"> </w:t>
      </w:r>
      <w:r w:rsidR="00CB1EF2" w:rsidRPr="002F6448">
        <w:rPr>
          <w:rFonts w:ascii="Times New Roman" w:eastAsia="Times New Roman" w:hAnsi="Times New Roman" w:cs="Times New Roman"/>
        </w:rPr>
        <w:fldChar w:fldCharType="begin" w:fldLock="1"/>
      </w:r>
      <w:r w:rsidR="005F43CE" w:rsidRPr="002F6448">
        <w:rPr>
          <w:rFonts w:ascii="Times New Roman" w:eastAsia="Times New Roman" w:hAnsi="Times New Roman" w:cs="Times New Roman"/>
        </w:rPr>
        <w:instrText>ADDIN CSL_CITATION {"citationItems":[{"id":"ITEM-1","itemData":{"DOI":"10.1111/opo.12035","ISSN":"02755408","PMID":"23662960","abstract":"Purpose: To evaluate the effect of a dual treatment modality for myopia, by improving accommodative functions, on myopia progression. Methods: A double blind randomised control trial was conducted on 96 subjects. The treatment modality for the trial employed custom designed contact lenses which control spherical aberration in an attempt to optimise static accommodation responses during near-work, and a vision-training programme to improve accommodation dynamics. Myopia progression was assessed over a 2 year period using cycloplegic autorefraction and biometry. Results: The mean progression was found to be -0.33 Dioptres (D) over the 2 years of the study. There was no interaction between contact lens treatment and vision training treatment at 24 months (p = 0.72). There was no significant treatment effect of either Vision Training or Contact Lens Spherical Aberration control on myopia progression. Conclusions: This study is unable to demonstrate that the progression of myopia can be reduced over a 2 year period by either of the two treatments aimed at improving accommodative function. Neither treatment group (contact lens or vision training) progressed at a slower rate over the 2 years of the study than did the appropriate control group. © 2013 The College of Optometrists.","author":[{"dropping-particle":"","family":"Allen","given":"Peter M.","non-dropping-particle":"","parse-names":false,"suffix":""},{"dropping-particle":"","family":"Radhakrishnan","given":"Hema","non-dropping-particle":"","parse-names":false,"suffix":""},{"dropping-particle":"","family":"Price","given":"Holly","non-dropping-particle":"","parse-names":false,"suffix":""},{"dropping-particle":"","family":"Rae","given":"Sheila","non-dropping-particle":"","parse-names":false,"suffix":""},{"dropping-particle":"","family":"Theagarayan","given":"Baskar","non-dropping-particle":"","parse-names":false,"suffix":""},{"dropping-particle":"","family":"Calver","given":"Richard I.","non-dropping-particle":"","parse-names":false,"suffix":""},{"dropping-particle":"","family":"Sailoganathan","given":"Ananth","non-dropping-particle":"","parse-names":false,"suffix":""},{"dropping-particle":"","family":"Latham","given":"Keziah","non-dropping-particle":"","parse-names":false,"suffix":""},{"dropping-particle":"","family":"O'Leary","given":"Daniel J.","non-dropping-particle":"","parse-names":false,"suffix":""}],"container-title":"Ophthalmic and Physiological Optics","id":"ITEM-1","issue":"3","issued":{"date-parts":[["2013"]]},"page":"267-276","title":"A randomised clinical trial to assess the effect of a dual treatment on myopia progression: The Cambridge Anti-Myopia Study","type":"article-journal","volume":"33"},"uris":["http://www.mendeley.com/documents/?uuid=0aec2286-bcb0-4780-99e2-4abf735e0e64"]},{"id":"ITEM-2","itemData":{"DOI":"10.1097/OPX.0000000000000867","ISSN":"15389235","PMID":"27058593","abstract":"Purpose. To determine the relationship between accommodative lag and rate of myopia progression when Ghanaian myopic school children are either undercorrected or fully corrected with single vision lenses. Methods. A 2-year single masked randomized control trial was conducted using 150 Ghanaian myopic children aged 10 to 15 years with mean baseline myopia of-1.98 ± 0.50D. The children were randomly assigned to wear either a full correction (n = 75) or +0.50D undercorrection (UC) (n = 75) single vision lenses. Repeated measurements which included refractive error and accommodative response at 33 and 28.6 cm for FC and UC, respectively, were performed using Open-Field Autorefractor whereas ocular biometry results were obtained using A-Scan ultrasonography. Results were based on the right eye and analyzed using STATA 11. Results. After 24 months, the mean myopia progression of children in the FC group (-0.54 ± 0.26D) was not significantly different from that of the children in the UC group (-0.5 ± 0.22D) (p = 0.31). There was no significant difference between the mean values of the initial near lag and the average lag measured 24 months later in both groups (FC: initial lag -0.74 ± 0.17D, average lag -0.72 ± 0.15D, p = 0.44; UC: initial lag -0.57 ± 0.14D, average lag -0.58 ± 0.15D; p = 0.67). Also, there was no significant correlation between refractive change seen in 24months and either the first near lag for both FC (r = -0.05, p = 0.43) andUC (r =-0.08, p = 0.43) or the average near lag of accommodation for both FC (r =-0.02, p = 0.49) and UC (r = -0.04, p = 0.49). Conclusions. This study showed no relationship between lag of accommodation and rate of myopia progression in children with progressing myopia. Different ethnic groups may respond differently to the same size of hyperopic blur.","author":[{"dropping-particle":"","family":"Koomson","given":"Nana Yaa","non-dropping-particle":"","parse-names":false,"suffix":""},{"dropping-particle":"","family":"Amedo","given":"Angela Ofeibea","non-dropping-particle":"","parse-names":false,"suffix":""},{"dropping-particle":"","family":"Opoku-Baah","given":"Collins","non-dropping-particle":"","parse-names":false,"suffix":""},{"dropping-particle":"","family":"Ampeh","given":"Percy Boateng","non-dropping-particle":"","parse-names":false,"suffix":""},{"dropping-particle":"","family":"Ankamah","given":"Emmanuel","non-dropping-particle":"","parse-names":false,"suffix":""},{"dropping-particle":"","family":"Bonsu","given":"Kwaku","non-dropping-particle":"","parse-names":false,"suffix":""}],"container-title":"Optometry and Vision Science","id":"ITEM-2","issue":"7","issued":{"date-parts":[["2016"]]},"page":"683-691","title":"Relationship between reduced accommodative lag and myopia progression","type":"article-journal","volume":"93"},"uris":["http://www.mendeley.com/documents/?uuid=084af91d-4f99-49d8-ad71-81f42b9da775"]}],"mendeley":{"formattedCitation":"(Allen &lt;i&gt;et al.&lt;/i&gt;, 2013; Koomson &lt;i&gt;et al.&lt;/i&gt;, 2016)","plainTextFormattedCitation":"(Allen et al., 2013; Koomson et al., 2016)","previouslyFormattedCitation":"(Allen &lt;i&gt;et al.&lt;/i&gt;, 2013; Koomson &lt;i&gt;et al.&lt;/i&gt;, 2016)"},"properties":{"noteIndex":0},"schema":"https://github.com/citation-style-language/schema/raw/master/csl-citation.json"}</w:instrText>
      </w:r>
      <w:r w:rsidR="00CB1EF2" w:rsidRPr="002F6448">
        <w:rPr>
          <w:rFonts w:ascii="Times New Roman" w:eastAsia="Times New Roman" w:hAnsi="Times New Roman" w:cs="Times New Roman"/>
        </w:rPr>
        <w:fldChar w:fldCharType="separate"/>
      </w:r>
      <w:r w:rsidR="00CB1EF2" w:rsidRPr="002F6448">
        <w:rPr>
          <w:rFonts w:ascii="Times New Roman" w:eastAsia="Times New Roman" w:hAnsi="Times New Roman" w:cs="Times New Roman"/>
          <w:noProof/>
        </w:rPr>
        <w:t xml:space="preserve">(Allen </w:t>
      </w:r>
      <w:r w:rsidR="00CB1EF2" w:rsidRPr="002F6448">
        <w:rPr>
          <w:rFonts w:ascii="Times New Roman" w:eastAsia="Times New Roman" w:hAnsi="Times New Roman" w:cs="Times New Roman"/>
          <w:i/>
          <w:noProof/>
        </w:rPr>
        <w:t>et al.</w:t>
      </w:r>
      <w:r w:rsidR="00CB1EF2" w:rsidRPr="002F6448">
        <w:rPr>
          <w:rFonts w:ascii="Times New Roman" w:eastAsia="Times New Roman" w:hAnsi="Times New Roman" w:cs="Times New Roman"/>
          <w:noProof/>
        </w:rPr>
        <w:t xml:space="preserve">, 2013; Koomson </w:t>
      </w:r>
      <w:r w:rsidR="00CB1EF2" w:rsidRPr="002F6448">
        <w:rPr>
          <w:rFonts w:ascii="Times New Roman" w:eastAsia="Times New Roman" w:hAnsi="Times New Roman" w:cs="Times New Roman"/>
          <w:i/>
          <w:noProof/>
        </w:rPr>
        <w:t>et al.</w:t>
      </w:r>
      <w:r w:rsidR="00CB1EF2" w:rsidRPr="002F6448">
        <w:rPr>
          <w:rFonts w:ascii="Times New Roman" w:eastAsia="Times New Roman" w:hAnsi="Times New Roman" w:cs="Times New Roman"/>
          <w:noProof/>
        </w:rPr>
        <w:t>, 2016)</w:t>
      </w:r>
      <w:r w:rsidR="00CB1EF2" w:rsidRPr="002F6448">
        <w:rPr>
          <w:rFonts w:ascii="Times New Roman" w:eastAsia="Times New Roman" w:hAnsi="Times New Roman" w:cs="Times New Roman"/>
        </w:rPr>
        <w:fldChar w:fldCharType="end"/>
      </w:r>
      <w:r w:rsidR="00CB1EF2" w:rsidRPr="002F6448">
        <w:rPr>
          <w:rFonts w:ascii="Times New Roman" w:eastAsia="Times New Roman" w:hAnsi="Times New Roman" w:cs="Times New Roman"/>
        </w:rPr>
        <w:t xml:space="preserve"> </w:t>
      </w:r>
      <w:r w:rsidR="003F6C20" w:rsidRPr="002F6448">
        <w:rPr>
          <w:rFonts w:ascii="Times New Roman" w:eastAsia="Times New Roman" w:hAnsi="Times New Roman" w:cs="Times New Roman"/>
        </w:rPr>
        <w:t>support the protective effect of full-time spectacle wear, likely due to correction of hyperopic defocus and reduction of accommodative strain. In this study, 84% of non-spectacle wearers belonged to the low myopia group. This group may underestimate the need for correction, potentially increasing the risk of progression due to uncorrected refractive error.</w:t>
      </w:r>
    </w:p>
    <w:p w14:paraId="1BB1F12E"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Mobile device use was significantly associated with myopia progression in the unadjusted model. Children who used mobile devices were 49% more likely to experience progression than non-users</w:t>
      </w:r>
      <w:r w:rsidR="00D747B7" w:rsidRPr="002F6448">
        <w:rPr>
          <w:rFonts w:ascii="Times New Roman" w:eastAsia="Times New Roman" w:hAnsi="Times New Roman" w:cs="Times New Roman"/>
        </w:rPr>
        <w:t xml:space="preserve"> (p</w:t>
      </w:r>
      <w:r w:rsidR="00D747B7"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consistent with previous studies linking screen exposure to accommodative stress and hyperopic defocus</w:t>
      </w:r>
      <w:r w:rsidR="005F43CE" w:rsidRPr="002F6448">
        <w:rPr>
          <w:rFonts w:ascii="Times New Roman" w:eastAsia="Times New Roman" w:hAnsi="Times New Roman" w:cs="Times New Roman"/>
        </w:rPr>
        <w:t xml:space="preserve"> </w:t>
      </w:r>
      <w:r w:rsidR="005F43CE" w:rsidRPr="002F6448">
        <w:rPr>
          <w:rFonts w:ascii="Times New Roman" w:eastAsia="Times New Roman" w:hAnsi="Times New Roman" w:cs="Times New Roman"/>
        </w:rPr>
        <w:fldChar w:fldCharType="begin" w:fldLock="1"/>
      </w:r>
      <w:r w:rsidR="00B145FD" w:rsidRPr="002F6448">
        <w:rPr>
          <w:rFonts w:ascii="Times New Roman" w:eastAsia="Times New Roman" w:hAnsi="Times New Roman" w:cs="Times New Roman"/>
        </w:rPr>
        <w:instrText>ADDIN CSL_CITATION {"citationItems":[{"id":"ITEM-1","itemData":{"DOI":"10.1097/OPX.0000000000000867","ISSN":"15389235","PMID":"27058593","abstract":"Purpose. To determine the relationship between accommodative lag and rate of myopia progression when Ghanaian myopic school children are either undercorrected or fully corrected with single vision lenses. Methods. A 2-year single masked randomized control trial was conducted using 150 Ghanaian myopic children aged 10 to 15 years with mean baseline myopia of-1.98 ± 0.50D. The children were randomly assigned to wear either a full correction (n = 75) or +0.50D undercorrection (UC) (n = 75) single vision lenses. Repeated measurements which included refractive error and accommodative response at 33 and 28.6 cm for FC and UC, respectively, were performed using Open-Field Autorefractor whereas ocular biometry results were obtained using A-Scan ultrasonography. Results were based on the right eye and analyzed using STATA 11. Results. After 24 months, the mean myopia progression of children in the FC group (-0.54 ± 0.26D) was not significantly different from that of the children in the UC group (-0.5 ± 0.22D) (p = 0.31). There was no significant difference between the mean values of the initial near lag and the average lag measured 24 months later in both groups (FC: initial lag -0.74 ± 0.17D, average lag -0.72 ± 0.15D, p = 0.44; UC: initial lag -0.57 ± 0.14D, average lag -0.58 ± 0.15D; p = 0.67). Also, there was no significant correlation between refractive change seen in 24months and either the first near lag for both FC (r = -0.05, p = 0.43) andUC (r =-0.08, p = 0.43) or the average near lag of accommodation for both FC (r =-0.02, p = 0.49) and UC (r = -0.04, p = 0.49). Conclusions. This study showed no relationship between lag of accommodation and rate of myopia progression in children with progressing myopia. Different ethnic groups may respond differently to the same size of hyperopic blur.","author":[{"dropping-particle":"","family":"Koomson","given":"Nana Yaa","non-dropping-particle":"","parse-names":false,"suffix":""},{"dropping-particle":"","family":"Amedo","given":"Angela Ofeibea","non-dropping-particle":"","parse-names":false,"suffix":""},{"dropping-particle":"","family":"Opoku-Baah","given":"Collins","non-dropping-particle":"","parse-names":false,"suffix":""},{"dropping-particle":"","family":"Ampeh","given":"Percy Boateng","non-dropping-particle":"","parse-names":false,"suffix":""},{"dropping-particle":"","family":"Ankamah","given":"Emmanuel","non-dropping-particle":"","parse-names":false,"suffix":""},{"dropping-particle":"","family":"Bonsu","given":"Kwaku","non-dropping-particle":"","parse-names":false,"suffix":""}],"container-title":"Optometry and Vision Science","id":"ITEM-1","issue":"7","issued":{"date-parts":[["2016"]]},"page":"683-691","title":"Relationship between reduced accommodative lag and myopia progression","type":"article-journal","volume":"93"},"uris":["http://www.mendeley.com/documents/?uuid=084af91d-4f99-49d8-ad71-81f42b9da775"]},{"id":"ITEM-2","itemData":{"DOI":"10.1167/iovs.17-23506","ISSN":"15525783","PMID":"30933262","abstract":"PURPOSE. To assess the incidence rate of myopia, refractive change, and the effects of influencing factors on a group of highly selected senior high school students in an Aviation Cadet prerecruitment class in China. METHODS. A total of 800 nonmyopic, male, Grade 9 students aged 14- to 16-years old with cycloplegic refraction of -0.25 or greater diopters (D) to 1.75 D or less in both eyes were enrolled in May 2016. During their senior high school studies, students had one 20-minute physical training period a day, and they were encouraged to participate in outdoor activities during class recess without any time limits. The first follow-up was 8 months after enrollment when they were in Grade 10, and the second follow-up was 1 year after the first follow-up when they were in Grade 11. Comprehensive ocular examinations and a detailed questionnaire, which included questions about outdoor activity time, parental myopia, and near work, were completed at each follow-up. RESULTS. The average spherical equivalent refraction (SER) of the right eyes was 0.39 ± 0.44 D at baseline, 0.16 ± 0.41 D at the first follow-up, and -0.10 ± 0.38 D at the second follow-up. The cumulative refractive change was -0.50 D (95% confidence interval [CI], -0.53 to -0.47). The cumulative incidence rate of myopia was 15.5% (124/800). Incident myopia was significantly associated with outdoor activity for more than 1 versus less than 0.5 hr/d (odds ratio [OR] = 0.272, 95% CI, 0.132–0.560), baseline refraction (OR = 0.079, 95% CI, 0.041-0.153), maternal myopia (OR = 2.251, 95% CI, 1.160–4.368), longer class time (OR =3.215, 95% CI, 1.088–9.499), frequent, continuous, and long time reading/writing (OR = 1.620, 95% CI, 1.022–2.570), and shorter reading/writing distance (OR = 1.828, 95% CI, 1.065–3.140). In multiple linear regression model, having outdoor activity for more than 1 hr/d was protective from cumulative SER decrease. A higher baseline refraction together with longer reading/ writing time, frequent, continuous, and longtime reading/writing, and shorter reading/ writing distance were risk factors for SER decrease. CONCLUSIONS. In this cohort of highly selected, nonmyopic students, longer outdoor activity time was a protective factor for both incident myopia and refractive change of myopic shift. The risk factors for incident myopia included lower hyperopic baseline refraction, more near work, and maternal myopia. The risk factors for refractive change of myopic shift included more h…","author":[{"dropping-particle":"","family":"Yao","given":"Lu","non-dropping-particle":"","parse-names":false,"suffix":""},{"dropping-particle":"","family":"Qi","given":"Lin Song","non-dropping-particle":"","parse-names":false,"suffix":""},{"dropping-particle":"","family":"Wang","given":"Xue Feng","non-dropping-particle":"","parse-names":false,"suffix":""},{"dropping-particle":"","family":"Tian","given":"Qing","non-dropping-particle":"","parse-names":false,"suffix":""},{"dropping-particle":"","family":"Yang","given":"Qing Hong","non-dropping-particle":"","parse-names":false,"suffix":""},{"dropping-particle":"","family":"Wu","given":"Teng Yun","non-dropping-particle":"","parse-names":false,"suffix":""},{"dropping-particle":"","family":"Chang","given":"Yao Ming","non-dropping-particle":"","parse-names":false,"suffix":""},{"dropping-particle":"","family":"Zou","given":"Zhi Kang","non-dropping-particle":"","parse-names":false,"suffix":""}],"container-title":"Investigative Ophthalmology and Visual Science","id":"ITEM-2","issue":"5","issued":{"date-parts":[["2019"]]},"page":"1344-1352","title":"Refractive change and incidence of myopia among a group of highly selected senior high school students in China: A prospective study in an aviation cadet prerecruitment class","type":"article-journal","volume":"60"},"uris":["http://www.mendeley.com/documents/?uuid=14eb8987-ee46-466f-a05d-db1687706d14"]},{"id":"ITEM-3","itemData":{"DOI":"10.1136/bjophthalmol-2019-314101","ISSN":"14682079","PMID":"31615762","abstract":"Aim To investigate the protective behaviours of longer near work distance, discontinuing near work and more time outdoors in recess from parent self-report in the myopia prevalence and progression among myopic children aged 9-11 years. Methods Myopia Investigation study in Taipei is a longitudinal population-based study that enrolled elementary school students in Taipei. We provided vision and refraction examination every 6 months. Spherical equivalent (SE) of cycloplegic refraction ≤-0.50 Diopter (D) is defined as myopia. Total 10 743 (70.4%) students completed 2-year refraction data and questionnaire. The myopia prevalence and progression (difference of SE) in baseline, 6, 12, 18 and 24 months were compared by generalised estimating equations. Results Children with persistent protective behaviour had significant lower prevalence of myopia. The protective impact was statistically significant from 6 to 24 months. In 2 years follow-up, risk ratio after adjusting the background variables and the other two behaviours in near work distance, near work time and outdoor time were 0.71, 0.89 and 0.77. In SE analysis, after adjusting the other two behaviours, near work distance &gt;30 cm (-0.7 vs -1.04 D; p&lt;0.001), discontinuing near work every 30 min (-0.77 vs -0.96 D, p=0.005) and more time outdoors in recess from parent self-report (-0.75 vs -0.98 D; p=0.012) revealed protective impacts on diminishing myopia progression from 6 to 24 months. Conclusion In myopic children aged around 10 years in Taipei, longer distance in near work, discontinuing near work every 30 min and more outdoor time from parent self-report are protective behaviours in myopia prevalence and progression in 6-24 months.","author":[{"dropping-particle":"","family":"Huang","given":"Pin Chen","non-dropping-particle":"","parse-names":false,"suffix":""},{"dropping-particle":"","family":"Hsiao","given":"Ya Chuan","non-dropping-particle":"","parse-names":false,"suffix":""},{"dropping-particle":"","family":"Tsai","given":"Ching Yao","non-dropping-particle":"","parse-names":false,"suffix":""},{"dropping-particle":"","family":"Tsai","given":"Der Chong","non-dropping-particle":"","parse-names":false,"suffix":""},{"dropping-particle":"","family":"Chen","given":"Chi Wen","non-dropping-particle":"","parse-names":false,"suffix":""},{"dropping-particle":"","family":"Hsu","given":"Chih Chien","non-dropping-particle":"","parse-names":false,"suffix":""},{"dropping-particle":"","family":"Huang","given":"Shier Chieg","non-dropping-particle":"","parse-names":false,"suffix":""},{"dropping-particle":"","family":"Lin","given":"Meng Hui","non-dropping-particle":"","parse-names":false,"suffix":""},{"dropping-particle":"","family":"Liou","given":"Yiing Mei","non-dropping-particle":"","parse-names":false,"suffix":""}],"container-title":"British Journal of Ophthalmology","id":"ITEM-3","issue":"7","issued":{"date-parts":[["2020"]]},"page":"956-961","title":"Protective behaviours of near work and time outdoors in myopia prevalence and progression in myopic children: A 2-year prospective population study","type":"article-journal","volume":"104"},"uris":["http://www.mendeley.com/documents/?uuid=31e13f31-3ea9-4832-b3d2-b7b41f9961fa"]}],"mendeley":{"formattedCitation":"(Koomson &lt;i&gt;et al.&lt;/i&gt;, 2016; Yao &lt;i&gt;et al.&lt;/i&gt;, 2019; Huang &lt;i&gt;et al.&lt;/i&gt;, 2020)","plainTextFormattedCitation":"(Koomson et al., 2016; Yao et al., 2019; Huang et al., 2020)","previouslyFormattedCitation":"(Koomson &lt;i&gt;et al.&lt;/i&gt;, 2016; Yao &lt;i&gt;et al.&lt;/i&gt;, 2019; Huang &lt;i&gt;et al.&lt;/i&gt;, 2020)"},"properties":{"noteIndex":0},"schema":"https://github.com/citation-style-language/schema/raw/master/csl-citation.json"}</w:instrText>
      </w:r>
      <w:r w:rsidR="005F43CE" w:rsidRPr="002F6448">
        <w:rPr>
          <w:rFonts w:ascii="Times New Roman" w:eastAsia="Times New Roman" w:hAnsi="Times New Roman" w:cs="Times New Roman"/>
        </w:rPr>
        <w:fldChar w:fldCharType="separate"/>
      </w:r>
      <w:r w:rsidR="005F43CE" w:rsidRPr="002F6448">
        <w:rPr>
          <w:rFonts w:ascii="Times New Roman" w:eastAsia="Times New Roman" w:hAnsi="Times New Roman" w:cs="Times New Roman"/>
          <w:noProof/>
        </w:rPr>
        <w:t xml:space="preserve">(Koomson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xml:space="preserve">, 2016; Yao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xml:space="preserve">, 2019; Huang </w:t>
      </w:r>
      <w:r w:rsidR="005F43CE" w:rsidRPr="002F6448">
        <w:rPr>
          <w:rFonts w:ascii="Times New Roman" w:eastAsia="Times New Roman" w:hAnsi="Times New Roman" w:cs="Times New Roman"/>
          <w:i/>
          <w:noProof/>
        </w:rPr>
        <w:t>et al.</w:t>
      </w:r>
      <w:r w:rsidR="005F43CE" w:rsidRPr="002F6448">
        <w:rPr>
          <w:rFonts w:ascii="Times New Roman" w:eastAsia="Times New Roman" w:hAnsi="Times New Roman" w:cs="Times New Roman"/>
          <w:noProof/>
        </w:rPr>
        <w:t>, 2020)</w:t>
      </w:r>
      <w:r w:rsidR="005F43CE"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xml:space="preserve">. Although mobile use did not remain significant in the adjusted model, it may serve as a surrogate marker for prolonged </w:t>
      </w:r>
      <w:r w:rsidRPr="002F6448">
        <w:rPr>
          <w:rFonts w:ascii="Times New Roman" w:eastAsia="Times New Roman" w:hAnsi="Times New Roman" w:cs="Times New Roman"/>
        </w:rPr>
        <w:lastRenderedPageBreak/>
        <w:t>near work and reduced tim</w:t>
      </w:r>
      <w:r w:rsidR="00B85233" w:rsidRPr="002F6448">
        <w:rPr>
          <w:rFonts w:ascii="Times New Roman" w:eastAsia="Times New Roman" w:hAnsi="Times New Roman" w:cs="Times New Roman"/>
        </w:rPr>
        <w:t xml:space="preserve">e spent outdoors </w:t>
      </w:r>
      <w:r w:rsidRPr="002F6448">
        <w:rPr>
          <w:rFonts w:ascii="Times New Roman" w:eastAsia="Times New Roman" w:hAnsi="Times New Roman" w:cs="Times New Roman"/>
        </w:rPr>
        <w:t>both establish</w:t>
      </w:r>
      <w:r w:rsidR="001A335D" w:rsidRPr="002F6448">
        <w:rPr>
          <w:rFonts w:ascii="Times New Roman" w:eastAsia="Times New Roman" w:hAnsi="Times New Roman" w:cs="Times New Roman"/>
        </w:rPr>
        <w:t>ed risk factors for progression</w:t>
      </w:r>
      <w:r w:rsidR="00D25B7B" w:rsidRPr="002F6448">
        <w:rPr>
          <w:rFonts w:ascii="Times New Roman" w:eastAsia="Times New Roman" w:hAnsi="Times New Roman" w:cs="Times New Roman"/>
        </w:rPr>
        <w:fldChar w:fldCharType="begin" w:fldLock="1"/>
      </w:r>
      <w:r w:rsidR="004B6B37" w:rsidRPr="002F6448">
        <w:rPr>
          <w:rFonts w:ascii="Times New Roman" w:eastAsia="Times New Roman" w:hAnsi="Times New Roman" w:cs="Times New Roman"/>
        </w:rPr>
        <w:instrText>ADDIN CSL_CITATION {"citationItems":[{"id":"ITEM-1","itemData":{"DOI":"10.1097/OPX.0000000000000040","ISSN":"10405488","PMID":"24037061","abstract":"PURPOSE: Visual sensing of the sign of defocus is important not only for the rapid control of accommodation but also for regulating the slower long-term growth of the eye. METHODS: We examined the possibility that ocular spherical aberration (SA) elicits a sign of defocus by optical modeling of image formation using the principles of physical optics. RESULTS: Retinal image contrast, as measured by the area under the visually weighted modulation-transfer function, depends on both the magnitude and the sign of defocus relative to the sign of the SA. Image contrast is greater for hyperopic blur than for myopic blur when SA is positive and vice versa when SA is negative. CONCLUSIONS: When coupled with Wallman's hypothesis that retinal activity caused by image contrast inhibits eye growth, these results provide a testable hypothesis to account for myopia progression. For example, we suggest that hyperopic blur is a risk factor for myopia progression only when the eye has a negative SA because that is the combination leading to relatively low contrast in the defocused retinal image. Because the likelihood of a negative SA increases with accommodation, avoiding long hours of near work in the presence of accommodative lag may help prevent the onset and progression of myopia. © American Academy of Optometry.","author":[{"dropping-particle":"","family":"Thibos","given":"Larry N.","non-dropping-particle":"","parse-names":false,"suffix":""},{"dropping-particle":"","family":"Bradley","given":"Arthur","non-dropping-particle":"","parse-names":false,"suffix":""},{"dropping-particle":"","family":"Liu","given":"Tao","non-dropping-particle":"","parse-names":false,"suffix":""},{"dropping-particle":"","family":"López-Gil","given":"Norberto","non-dropping-particle":"","parse-names":false,"suffix":""}],"container-title":"Optometry and Vision Science","id":"ITEM-1","issue":"11","issued":{"date-parts":[["2013"]]},"page":"1284-1291","title":"Spherical aberration and the sign of defocus","type":"article-journal","volume":"90"},"uris":["http://www.mendeley.com/documents/?uuid=4e45ebb0-62f2-4175-8f14-6f578c0b3f05"]},{"id":"ITEM-2","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-2","issued":{"date-parts":[["2017"]]},"page":"1-12","title":"Incidence and progression of myopia and associated factors in urban school children in Delhi : The North India Myopia Study ( NIM Study )","type":"article-journal"},"uris":["http://www.mendeley.com/documents/?uuid=8e1a8586-294b-44f3-ab2c-2ce80911937e"]}],"mendeley":{"formattedCitation":"(Thibos &lt;i&gt;et al.&lt;/i&gt;, 2013; Saxena &lt;i&gt;et al.&lt;/i&gt;, 2017)","plainTextFormattedCitation":"(Thibos et al., 2013; Saxena et al., 2017)","previouslyFormattedCitation":"(Thibos &lt;i&gt;et al.&lt;/i&gt;, 2013; Saxena &lt;i&gt;et al.&lt;/i&gt;, 2017)"},"properties":{"noteIndex":0},"schema":"https://github.com/citation-style-language/schema/raw/master/csl-citation.json"}</w:instrText>
      </w:r>
      <w:r w:rsidR="00D25B7B" w:rsidRPr="002F6448">
        <w:rPr>
          <w:rFonts w:ascii="Times New Roman" w:eastAsia="Times New Roman" w:hAnsi="Times New Roman" w:cs="Times New Roman"/>
        </w:rPr>
        <w:fldChar w:fldCharType="separate"/>
      </w:r>
      <w:r w:rsidR="00D25B7B" w:rsidRPr="002F6448">
        <w:rPr>
          <w:rFonts w:ascii="Times New Roman" w:eastAsia="Times New Roman" w:hAnsi="Times New Roman" w:cs="Times New Roman"/>
          <w:noProof/>
        </w:rPr>
        <w:t xml:space="preserve">(Thibos </w:t>
      </w:r>
      <w:r w:rsidR="00D25B7B" w:rsidRPr="002F6448">
        <w:rPr>
          <w:rFonts w:ascii="Times New Roman" w:eastAsia="Times New Roman" w:hAnsi="Times New Roman" w:cs="Times New Roman"/>
          <w:i/>
          <w:noProof/>
        </w:rPr>
        <w:t>et al.</w:t>
      </w:r>
      <w:r w:rsidR="00D25B7B" w:rsidRPr="002F6448">
        <w:rPr>
          <w:rFonts w:ascii="Times New Roman" w:eastAsia="Times New Roman" w:hAnsi="Times New Roman" w:cs="Times New Roman"/>
          <w:noProof/>
        </w:rPr>
        <w:t xml:space="preserve">, 2013; Saxena </w:t>
      </w:r>
      <w:r w:rsidR="00D25B7B" w:rsidRPr="002F6448">
        <w:rPr>
          <w:rFonts w:ascii="Times New Roman" w:eastAsia="Times New Roman" w:hAnsi="Times New Roman" w:cs="Times New Roman"/>
          <w:i/>
          <w:noProof/>
        </w:rPr>
        <w:t>et al.</w:t>
      </w:r>
      <w:r w:rsidR="00D25B7B" w:rsidRPr="002F6448">
        <w:rPr>
          <w:rFonts w:ascii="Times New Roman" w:eastAsia="Times New Roman" w:hAnsi="Times New Roman" w:cs="Times New Roman"/>
          <w:noProof/>
        </w:rPr>
        <w:t>, 2017)</w:t>
      </w:r>
      <w:r w:rsidR="00D25B7B" w:rsidRPr="002F6448">
        <w:rPr>
          <w:rFonts w:ascii="Times New Roman" w:eastAsia="Times New Roman" w:hAnsi="Times New Roman" w:cs="Times New Roman"/>
        </w:rPr>
        <w:fldChar w:fldCharType="end"/>
      </w:r>
      <w:r w:rsidR="001A335D" w:rsidRPr="002F6448">
        <w:rPr>
          <w:rFonts w:ascii="Times New Roman" w:eastAsia="Times New Roman" w:hAnsi="Times New Roman" w:cs="Times New Roman"/>
        </w:rPr>
        <w:t>.</w:t>
      </w:r>
    </w:p>
    <w:p w14:paraId="147E1F7F" w14:textId="77777777" w:rsidR="00920E96"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Viewing television at a distance of two meters or less was associated with a 31% higher prevalence of progression and remained significant in both unadjusted</w:t>
      </w:r>
      <w:r w:rsidR="00EF0BC8" w:rsidRPr="002F6448">
        <w:rPr>
          <w:rFonts w:ascii="Times New Roman" w:eastAsia="Times New Roman" w:hAnsi="Times New Roman" w:cs="Times New Roman"/>
        </w:rPr>
        <w:t xml:space="preserve"> (p</w:t>
      </w:r>
      <w:r w:rsidR="00EF0BC8"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xml:space="preserve"> and adjusted</w:t>
      </w:r>
      <w:r w:rsidR="00EF0BC8" w:rsidRPr="002F6448">
        <w:rPr>
          <w:rFonts w:ascii="Times New Roman" w:eastAsia="Times New Roman" w:hAnsi="Times New Roman" w:cs="Times New Roman"/>
        </w:rPr>
        <w:t>(p=0.001)</w:t>
      </w:r>
      <w:r w:rsidRPr="002F6448">
        <w:rPr>
          <w:rFonts w:ascii="Times New Roman" w:eastAsia="Times New Roman" w:hAnsi="Times New Roman" w:cs="Times New Roman"/>
        </w:rPr>
        <w:t xml:space="preserve"> models. </w:t>
      </w:r>
      <w:r w:rsidR="00B145FD" w:rsidRPr="002F6448">
        <w:rPr>
          <w:rFonts w:ascii="Times New Roman" w:eastAsia="Times New Roman" w:hAnsi="Times New Roman" w:cs="Times New Roman"/>
        </w:rPr>
        <w:t>With similar findings seen in studies done in India</w:t>
      </w:r>
      <w:r w:rsidR="00920E96" w:rsidRPr="002F6448">
        <w:rPr>
          <w:rFonts w:ascii="Times New Roman" w:eastAsia="Times New Roman" w:hAnsi="Times New Roman" w:cs="Times New Roman"/>
        </w:rPr>
        <w:t xml:space="preserve"> </w:t>
      </w:r>
      <w:r w:rsidR="00B145FD" w:rsidRPr="002F6448">
        <w:rPr>
          <w:rFonts w:ascii="Times New Roman" w:eastAsia="Times New Roman" w:hAnsi="Times New Roman" w:cs="Times New Roman"/>
        </w:rPr>
        <w:fldChar w:fldCharType="begin" w:fldLock="1"/>
      </w:r>
      <w:r w:rsidR="00920E96" w:rsidRPr="002F6448">
        <w:rPr>
          <w:rFonts w:ascii="Times New Roman" w:eastAsia="Times New Roman" w:hAnsi="Times New Roman" w:cs="Times New Roman"/>
        </w:rPr>
        <w:instrText>ADDIN CSL_CITATION {"citationItems":[{"id":"ITEM-1","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-1","issued":{"date-parts":[["2017"]]},"page":"1-12","title":"Incidence and progression of myopia and associated factors in urban school children in Delhi : The North India Myopia Study ( NIM Study )","type":"article-journal"},"uris":["http://www.mendeley.com/documents/?uuid=8e1a8586-294b-44f3-ab2c-2ce80911937e"]}],"mendeley":{"formattedCitation":"(Saxena &lt;i&gt;et al.&lt;/i&gt;, 2017)","plainTextFormattedCitation":"(Saxena et al., 2017)","previouslyFormattedCitation":"(Saxena &lt;i&gt;et al.&lt;/i&gt;, 2017)"},"properties":{"noteIndex":0},"schema":"https://github.com/citation-style-language/schema/raw/master/csl-citation.json"}</w:instrText>
      </w:r>
      <w:r w:rsidR="00B145FD" w:rsidRPr="002F6448">
        <w:rPr>
          <w:rFonts w:ascii="Times New Roman" w:eastAsia="Times New Roman" w:hAnsi="Times New Roman" w:cs="Times New Roman"/>
        </w:rPr>
        <w:fldChar w:fldCharType="separate"/>
      </w:r>
      <w:r w:rsidR="00B145FD" w:rsidRPr="002F6448">
        <w:rPr>
          <w:rFonts w:ascii="Times New Roman" w:eastAsia="Times New Roman" w:hAnsi="Times New Roman" w:cs="Times New Roman"/>
          <w:noProof/>
        </w:rPr>
        <w:t xml:space="preserve">(Saxena </w:t>
      </w:r>
      <w:r w:rsidR="00B145FD" w:rsidRPr="002F6448">
        <w:rPr>
          <w:rFonts w:ascii="Times New Roman" w:eastAsia="Times New Roman" w:hAnsi="Times New Roman" w:cs="Times New Roman"/>
          <w:i/>
          <w:noProof/>
        </w:rPr>
        <w:t>et al.</w:t>
      </w:r>
      <w:r w:rsidR="00B145FD" w:rsidRPr="002F6448">
        <w:rPr>
          <w:rFonts w:ascii="Times New Roman" w:eastAsia="Times New Roman" w:hAnsi="Times New Roman" w:cs="Times New Roman"/>
          <w:noProof/>
        </w:rPr>
        <w:t>, 2017)</w:t>
      </w:r>
      <w:r w:rsidR="00B145FD" w:rsidRPr="002F6448">
        <w:rPr>
          <w:rFonts w:ascii="Times New Roman" w:eastAsia="Times New Roman" w:hAnsi="Times New Roman" w:cs="Times New Roman"/>
        </w:rPr>
        <w:fldChar w:fldCharType="end"/>
      </w:r>
      <w:r w:rsidR="00920E96" w:rsidRPr="002F6448">
        <w:rPr>
          <w:rFonts w:ascii="Times New Roman" w:eastAsia="Times New Roman" w:hAnsi="Times New Roman" w:cs="Times New Roman"/>
        </w:rPr>
        <w:t xml:space="preserve">. </w:t>
      </w:r>
      <w:r w:rsidRPr="002F6448">
        <w:rPr>
          <w:rFonts w:ascii="Times New Roman" w:eastAsia="Times New Roman" w:hAnsi="Times New Roman" w:cs="Times New Roman"/>
        </w:rPr>
        <w:t>Closer viewing distances increase accommodative demand and may result in sustained hyperopic retinal defocus, which promotes axial elongation</w:t>
      </w:r>
      <w:r w:rsidR="00920E96" w:rsidRPr="002F6448">
        <w:rPr>
          <w:rFonts w:ascii="Times New Roman" w:eastAsia="Times New Roman" w:hAnsi="Times New Roman" w:cs="Times New Roman"/>
        </w:rPr>
        <w:t xml:space="preserve"> </w:t>
      </w:r>
      <w:r w:rsidR="00920E96" w:rsidRPr="002F6448">
        <w:rPr>
          <w:rFonts w:ascii="Times New Roman" w:eastAsia="Times New Roman" w:hAnsi="Times New Roman" w:cs="Times New Roman"/>
        </w:rPr>
        <w:fldChar w:fldCharType="begin" w:fldLock="1"/>
      </w:r>
      <w:r w:rsidR="00635184" w:rsidRPr="002F6448">
        <w:rPr>
          <w:rFonts w:ascii="Times New Roman" w:eastAsia="Times New Roman" w:hAnsi="Times New Roman" w:cs="Times New Roman"/>
        </w:rPr>
        <w:instrText>ADDIN CSL_CITATION {"citationItems":[{"id":"ITEM-1","itemData":{"DOI":"10.3389/fped.2021.662984","author":[{"dropping-particle":"","family":"Liu","given":"Ji","non-dropping-particle":"","parse-names":false,"suffix":""},{"dropping-particle":"","family":"Li","given":"Baihuiyu","non-dropping-particle":"","parse-names":false,"suffix":""},{"dropping-particle":"","family":"Sun","given":"Yan","non-dropping-particle":"","parse-names":false,"suffix":""},{"dropping-particle":"","family":"Chen","given":"Qiaoyi","non-dropping-particle":"","parse-names":false,"suffix":""},{"dropping-particle":"","family":"Dang","given":"Jingxia","non-dropping-particle":"","parse-names":false,"suffix":""}],"id":"ITEM-1","issue":"May","issued":{"date-parts":[["2021"]]},"page":"1-7","title":"Adolescent Vision Health During the Outbreak of COVID-19 : Association Between Digital Screen Use and Myopia Progression","type":"article-journal","volume":"9"},"uris":["http://www.mendeley.com/documents/?uuid=1085bd76-9fc2-4116-a306-b38eb21cc25e"]}],"mendeley":{"formattedCitation":"(Liu &lt;i&gt;et al.&lt;/i&gt;, 2021)","plainTextFormattedCitation":"(Liu et al., 2021)","previouslyFormattedCitation":"(Liu &lt;i&gt;et al.&lt;/i&gt;, 2021)"},"properties":{"noteIndex":0},"schema":"https://github.com/citation-style-language/schema/raw/master/csl-citation.json"}</w:instrText>
      </w:r>
      <w:r w:rsidR="00920E96" w:rsidRPr="002F6448">
        <w:rPr>
          <w:rFonts w:ascii="Times New Roman" w:eastAsia="Times New Roman" w:hAnsi="Times New Roman" w:cs="Times New Roman"/>
        </w:rPr>
        <w:fldChar w:fldCharType="separate"/>
      </w:r>
      <w:r w:rsidR="00920E96" w:rsidRPr="002F6448">
        <w:rPr>
          <w:rFonts w:ascii="Times New Roman" w:eastAsia="Times New Roman" w:hAnsi="Times New Roman" w:cs="Times New Roman"/>
          <w:noProof/>
        </w:rPr>
        <w:t xml:space="preserve">(Liu </w:t>
      </w:r>
      <w:r w:rsidR="00920E96" w:rsidRPr="002F6448">
        <w:rPr>
          <w:rFonts w:ascii="Times New Roman" w:eastAsia="Times New Roman" w:hAnsi="Times New Roman" w:cs="Times New Roman"/>
          <w:i/>
          <w:noProof/>
        </w:rPr>
        <w:t>et al.</w:t>
      </w:r>
      <w:r w:rsidR="00920E96" w:rsidRPr="002F6448">
        <w:rPr>
          <w:rFonts w:ascii="Times New Roman" w:eastAsia="Times New Roman" w:hAnsi="Times New Roman" w:cs="Times New Roman"/>
          <w:noProof/>
        </w:rPr>
        <w:t>, 2021)</w:t>
      </w:r>
      <w:r w:rsidR="00920E96" w:rsidRPr="002F6448">
        <w:rPr>
          <w:rFonts w:ascii="Times New Roman" w:eastAsia="Times New Roman" w:hAnsi="Times New Roman" w:cs="Times New Roman"/>
        </w:rPr>
        <w:fldChar w:fldCharType="end"/>
      </w:r>
      <w:r w:rsidR="00920E96" w:rsidRPr="002F6448">
        <w:rPr>
          <w:rFonts w:ascii="Times New Roman" w:eastAsia="Times New Roman" w:hAnsi="Times New Roman" w:cs="Times New Roman"/>
        </w:rPr>
        <w:t>.</w:t>
      </w:r>
    </w:p>
    <w:p w14:paraId="458AFDF0"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Engaging in near work for more than two hours per day</w:t>
      </w:r>
      <w:r w:rsidR="00EE1B94" w:rsidRPr="002F6448">
        <w:rPr>
          <w:rFonts w:ascii="Times New Roman" w:eastAsia="Times New Roman" w:hAnsi="Times New Roman" w:cs="Times New Roman"/>
        </w:rPr>
        <w:t xml:space="preserve"> after school hours</w:t>
      </w:r>
      <w:r w:rsidRPr="002F6448">
        <w:rPr>
          <w:rFonts w:ascii="Times New Roman" w:eastAsia="Times New Roman" w:hAnsi="Times New Roman" w:cs="Times New Roman"/>
        </w:rPr>
        <w:t xml:space="preserve"> was strongly associated with myopia progression in both crude</w:t>
      </w:r>
      <w:r w:rsidR="008B514C" w:rsidRPr="002F6448">
        <w:rPr>
          <w:rFonts w:ascii="Times New Roman" w:eastAsia="Times New Roman" w:hAnsi="Times New Roman" w:cs="Times New Roman"/>
        </w:rPr>
        <w:t xml:space="preserve"> (p </w:t>
      </w:r>
      <w:r w:rsidR="008B514C" w:rsidRPr="002F6448">
        <w:rPr>
          <w:rFonts w:ascii="Times New Roman" w:eastAsia="Times New Roman" w:hAnsi="Times New Roman" w:cs="Times New Roman"/>
          <w:color w:val="000000"/>
        </w:rPr>
        <w:t>&lt;0.001)</w:t>
      </w:r>
      <w:r w:rsidRPr="002F6448">
        <w:rPr>
          <w:rFonts w:ascii="Times New Roman" w:eastAsia="Times New Roman" w:hAnsi="Times New Roman" w:cs="Times New Roman"/>
        </w:rPr>
        <w:t xml:space="preserve"> and adjusted analyses</w:t>
      </w:r>
      <w:r w:rsidR="008B514C" w:rsidRPr="002F6448">
        <w:rPr>
          <w:rFonts w:ascii="Times New Roman" w:eastAsia="Times New Roman" w:hAnsi="Times New Roman" w:cs="Times New Roman"/>
        </w:rPr>
        <w:t xml:space="preserve"> (p&lt;0.001)</w:t>
      </w:r>
      <w:r w:rsidRPr="002F6448">
        <w:rPr>
          <w:rFonts w:ascii="Times New Roman" w:eastAsia="Times New Roman" w:hAnsi="Times New Roman" w:cs="Times New Roman"/>
        </w:rPr>
        <w:t>. This is consistent with global literature that identifies prolonged near work as a major contributor to increased accommodative demand and associated ocular growth</w:t>
      </w:r>
      <w:r w:rsidR="0010328A" w:rsidRPr="002F6448">
        <w:rPr>
          <w:rFonts w:ascii="Times New Roman" w:eastAsia="Times New Roman" w:hAnsi="Times New Roman" w:cs="Times New Roman"/>
        </w:rPr>
        <w:t xml:space="preserve"> </w:t>
      </w:r>
      <w:r w:rsidR="0010328A" w:rsidRPr="002F6448">
        <w:rPr>
          <w:rFonts w:ascii="Times New Roman" w:eastAsia="Times New Roman" w:hAnsi="Times New Roman" w:cs="Times New Roman"/>
        </w:rPr>
        <w:fldChar w:fldCharType="begin" w:fldLock="1"/>
      </w:r>
      <w:r w:rsidR="004B6B37" w:rsidRPr="002F6448">
        <w:rPr>
          <w:rFonts w:ascii="Times New Roman" w:eastAsia="Times New Roman" w:hAnsi="Times New Roman" w:cs="Times New Roman"/>
        </w:rPr>
        <w:instrText>ADDIN CSL_CITATION {"citationItems":[{"id":"ITEM-1","itemData":{"DOI":"10.1097/OPX.0000000000000040","ISSN":"10405488","PMID":"24037061","abstract":"PURPOSE: Visual sensing of the sign of defocus is important not only for the rapid control of accommodation but also for regulating the slower long-term growth of the eye. METHODS: We examined the possibility that ocular spherical aberration (SA) elicits a sign of defocus by optical modeling of image formation using the principles of physical optics. RESULTS: Retinal image contrast, as measured by the area under the visually weighted modulation-transfer function, depends on both the magnitude and the sign of defocus relative to the sign of the SA. Image contrast is greater for hyperopic blur than for myopic blur when SA is positive and vice versa when SA is negative. CONCLUSIONS: When coupled with Wallman's hypothesis that retinal activity caused by image contrast inhibits eye growth, these results provide a testable hypothesis to account for myopia progression. For example, we suggest that hyperopic blur is a risk factor for myopia progression only when the eye has a negative SA because that is the combination leading to relatively low contrast in the defocused retinal image. Because the likelihood of a negative SA increases with accommodation, avoiding long hours of near work in the presence of accommodative lag may help prevent the onset and progression of myopia. © American Academy of Optometry.","author":[{"dropping-particle":"","family":"Thibos","given":"Larry N.","non-dropping-particle":"","parse-names":false,"suffix":""},{"dropping-particle":"","family":"Bradley","given":"Arthur","non-dropping-particle":"","parse-names":false,"suffix":""},{"dropping-particle":"","family":"Liu","given":"Tao","non-dropping-particle":"","parse-names":false,"suffix":""},{"dropping-particle":"","family":"López-Gil","given":"Norberto","non-dropping-particle":"","parse-names":false,"suffix":""}],"container-title":"Optometry and Vision Science","id":"ITEM-1","issue":"11","issued":{"date-parts":[["2013"]]},"page":"1284-1291","title":"Spherical aberration and the sign of defocus","type":"article-journal","volume":"90"},"uris":["http://www.mendeley.com/documents/?uuid=4e45ebb0-62f2-4175-8f14-6f578c0b3f05"]},{"id":"ITEM-2","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-2","issued":{"date-parts":[["2017"]]},"page":"1-12","title":"Incidence and progression of myopia and associated factors in urban school children in Delhi : The North India Myopia Study ( NIM Study )","type":"article-journal"},"uris":["http://www.mendeley.com/documents/?uuid=8e1a8586-294b-44f3-ab2c-2ce80911937e"]}],"mendeley":{"formattedCitation":"(Thibos &lt;i&gt;et al.&lt;/i&gt;, 2013; Saxena &lt;i&gt;et al.&lt;/i&gt;, 2017)","plainTextFormattedCitation":"(Thibos et al., 2013; Saxena et al., 2017)","previouslyFormattedCitation":"(Thibos &lt;i&gt;et al.&lt;/i&gt;, 2013; Saxena &lt;i&gt;et al.&lt;/i&gt;, 2017)"},"properties":{"noteIndex":0},"schema":"https://github.com/citation-style-language/schema/raw/master/csl-citation.json"}</w:instrText>
      </w:r>
      <w:r w:rsidR="0010328A" w:rsidRPr="002F6448">
        <w:rPr>
          <w:rFonts w:ascii="Times New Roman" w:eastAsia="Times New Roman" w:hAnsi="Times New Roman" w:cs="Times New Roman"/>
        </w:rPr>
        <w:fldChar w:fldCharType="separate"/>
      </w:r>
      <w:r w:rsidR="0010328A" w:rsidRPr="002F6448">
        <w:rPr>
          <w:rFonts w:ascii="Times New Roman" w:eastAsia="Times New Roman" w:hAnsi="Times New Roman" w:cs="Times New Roman"/>
          <w:noProof/>
        </w:rPr>
        <w:t xml:space="preserve">(Thibos </w:t>
      </w:r>
      <w:r w:rsidR="0010328A" w:rsidRPr="002F6448">
        <w:rPr>
          <w:rFonts w:ascii="Times New Roman" w:eastAsia="Times New Roman" w:hAnsi="Times New Roman" w:cs="Times New Roman"/>
          <w:i/>
          <w:noProof/>
        </w:rPr>
        <w:t>et al.</w:t>
      </w:r>
      <w:r w:rsidR="0010328A" w:rsidRPr="002F6448">
        <w:rPr>
          <w:rFonts w:ascii="Times New Roman" w:eastAsia="Times New Roman" w:hAnsi="Times New Roman" w:cs="Times New Roman"/>
          <w:noProof/>
        </w:rPr>
        <w:t xml:space="preserve">, 2013; Saxena </w:t>
      </w:r>
      <w:r w:rsidR="0010328A" w:rsidRPr="002F6448">
        <w:rPr>
          <w:rFonts w:ascii="Times New Roman" w:eastAsia="Times New Roman" w:hAnsi="Times New Roman" w:cs="Times New Roman"/>
          <w:i/>
          <w:noProof/>
        </w:rPr>
        <w:t>et al.</w:t>
      </w:r>
      <w:r w:rsidR="0010328A" w:rsidRPr="002F6448">
        <w:rPr>
          <w:rFonts w:ascii="Times New Roman" w:eastAsia="Times New Roman" w:hAnsi="Times New Roman" w:cs="Times New Roman"/>
          <w:noProof/>
        </w:rPr>
        <w:t>, 2017)</w:t>
      </w:r>
      <w:r w:rsidR="0010328A" w:rsidRPr="002F6448">
        <w:rPr>
          <w:rFonts w:ascii="Times New Roman" w:eastAsia="Times New Roman" w:hAnsi="Times New Roman" w:cs="Times New Roman"/>
        </w:rPr>
        <w:fldChar w:fldCharType="end"/>
      </w:r>
      <w:r w:rsidR="00635184" w:rsidRPr="002F6448">
        <w:rPr>
          <w:rFonts w:ascii="Times New Roman" w:eastAsia="Times New Roman" w:hAnsi="Times New Roman" w:cs="Times New Roman"/>
        </w:rPr>
        <w:t>.</w:t>
      </w:r>
      <w:r w:rsidRPr="002F6448">
        <w:rPr>
          <w:rFonts w:ascii="Times New Roman" w:eastAsia="Times New Roman" w:hAnsi="Times New Roman" w:cs="Times New Roman"/>
        </w:rPr>
        <w:t>These findings underscore the importance of limiting extended near tasks, particularly in urban school-aged populations.</w:t>
      </w:r>
    </w:p>
    <w:p w14:paraId="003CBFE0" w14:textId="77777777" w:rsidR="00B35726" w:rsidRPr="002F6448" w:rsidRDefault="00B35726"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 xml:space="preserve">Family history of myopia </w:t>
      </w:r>
      <w:r w:rsidR="003F6C20" w:rsidRPr="002F6448">
        <w:rPr>
          <w:rFonts w:ascii="Times New Roman" w:eastAsia="Times New Roman" w:hAnsi="Times New Roman" w:cs="Times New Roman"/>
        </w:rPr>
        <w:t>defined in this study as having at least one parent or sibling who wears</w:t>
      </w:r>
      <w:r w:rsidRPr="002F6448">
        <w:rPr>
          <w:rFonts w:ascii="Times New Roman" w:eastAsia="Times New Roman" w:hAnsi="Times New Roman" w:cs="Times New Roman"/>
        </w:rPr>
        <w:t xml:space="preserve"> spectacles for distance vision </w:t>
      </w:r>
      <w:r w:rsidR="003F6C20" w:rsidRPr="002F6448">
        <w:rPr>
          <w:rFonts w:ascii="Times New Roman" w:eastAsia="Times New Roman" w:hAnsi="Times New Roman" w:cs="Times New Roman"/>
        </w:rPr>
        <w:t>was another strong and independent predictor of myopia prog</w:t>
      </w:r>
      <w:r w:rsidR="00D25B7B" w:rsidRPr="002F6448">
        <w:rPr>
          <w:rFonts w:ascii="Times New Roman" w:eastAsia="Times New Roman" w:hAnsi="Times New Roman" w:cs="Times New Roman"/>
        </w:rPr>
        <w:t xml:space="preserve">ression. This supports the well </w:t>
      </w:r>
      <w:r w:rsidR="003F6C20" w:rsidRPr="002F6448">
        <w:rPr>
          <w:rFonts w:ascii="Times New Roman" w:eastAsia="Times New Roman" w:hAnsi="Times New Roman" w:cs="Times New Roman"/>
        </w:rPr>
        <w:t>documented role of genetic predisposition in myopia development and highlights the importance of early screening and monitoring among children with a positive family history</w:t>
      </w:r>
      <w:r w:rsidRPr="002F6448">
        <w:rPr>
          <w:rFonts w:ascii="Times New Roman" w:eastAsia="Times New Roman" w:hAnsi="Times New Roman" w:cs="Times New Roman"/>
        </w:rPr>
        <w:t xml:space="preserve"> </w:t>
      </w:r>
      <w:r w:rsidRPr="002F6448">
        <w:rPr>
          <w:rFonts w:ascii="Times New Roman" w:eastAsia="Times New Roman" w:hAnsi="Times New Roman" w:cs="Times New Roman"/>
        </w:rPr>
        <w:fldChar w:fldCharType="begin" w:fldLock="1"/>
      </w:r>
      <w:r w:rsidR="007A6441" w:rsidRPr="002F6448">
        <w:rPr>
          <w:rFonts w:ascii="Times New Roman" w:eastAsia="Times New Roman" w:hAnsi="Times New Roman" w:cs="Times New Roman"/>
        </w:rPr>
        <w:instrText>ADDIN CSL_CITATION {"citationItems":[{"id":"ITEM-1","itemData":{"DOI":"10.1167/iovs.03-1058","ISSN":"01460404","PMID":"15452048","abstract":"PURPOSE. To investigate the impact of a positive family history of high myopia on the level and onset of myopia and its ocular components. METHODS. A cross-sectional study was conducted. The participants (aged 17 to 45 years) were categorized into four groups: normal, mild, moderate, and high myopia. The age of first glasses for myopia was used as the onset of myopia. The impact of the family history on the level and the onset of myopia was quantified. Parental effect on corneal curvature (CC), anterior chamber depth (ACD), and axial length (AXL) was analyzed. RESULTS. The study included 185 normal subjects, 170 mild, 140 moderate, and 392 high myopes. Family history was strongly associated with the probands' status (P &lt; 6 × 10-12). When there was ≥1 highly myopic parent, the odds ratios (ORs) of developing mild or moderate myopia were between 2.5 and 3.7 (95% CI: 1.1-6.5) and the ORs of having high myopia were &gt; 5.5 (95% CI: 3.2-12.6). A strong association (P = 2 × 10-6) between parental myopic state and the AXL in the subjects was also found, but there was no statistical relationship for ACD or CC. There was an association between high myopia in parents and the onset of myopia in children. Siblings had a weaker association with the level of myopia and had no effect on the onset of myopia. CONCLUSIONS. This study found strong familial effects on the level and onset of myopia even after adjusting for environmental factors. The parental effect on ocular components in their offspring was primarily on AXL.","author":[{"dropping-particle":"","family":"Liang","given":"Chung Ling","non-dropping-particle":"","parse-names":false,"suffix":""},{"dropping-particle":"","family":"Yen","given":"Eugene","non-dropping-particle":"","parse-names":false,"suffix":""},{"dropping-particle":"","family":"Su","given":"Jui Yung","non-dropping-particle":"","parse-names":false,"suffix":""},{"dropping-particle":"","family":"Liu","given":"Chang","non-dropping-particle":"","parse-names":false,"suffix":""},{"dropping-particle":"","family":"Chang","given":"Tzu Yi","non-dropping-particle":"","parse-names":false,"suffix":""},{"dropping-particle":"","family":"Park","given":"Naeun","non-dropping-particle":"","parse-names":false,"suffix":""},{"dropping-particle":"","family":"Wu","given":"Ming Jin","non-dropping-particle":"","parse-names":false,"suffix":""},{"dropping-particle":"","family":"Lee","given":"Sharon","non-dropping-particle":"","parse-names":false,"suffix":""},{"dropping-particle":"","family":"Flynn","given":"John T.","non-dropping-particle":"","parse-names":false,"suffix":""},{"dropping-particle":"","family":"Juo","given":"Sub Hang Hank","non-dropping-particle":"","parse-names":false,"suffix":""}],"container-title":"Investigative Ophthalmology and Visual Science","id":"ITEM-1","issue":"10","issued":{"date-parts":[["2004"]]},"page":"3446-3452","title":"Impact of family history of high myopia on level and onset of myopia","type":"article-journal","volume":"45"},"uris":["http://www.mendeley.com/documents/?uuid=8e185c12-c6c0-436d-8ab4-6b241d50ba02"]},{"id":"ITEM-2","itemData":{"author":[{"dropping-particle":"","family":"Liao","given":"Chimei","non-dropping-particle":"","parse-names":false,"suffix":""},{"dropping-particle":"","family":"Ding","given":"Xiaohu","non-dropping-particle":"","parse-names":false,"suffix":""},{"dropping-particle":"","family":"Han","given":"Xiaotong","non-dropping-particle":"","parse-names":false,"suffix":""},{"dropping-particle":"","family":"Jiang","given":"Yu","non-dropping-particle":"","parse-names":false,"suffix":""},{"dropping-particle":"","family":"Zhang","given":"Jian","non-dropping-particle":"","parse-names":false,"suffix":""},{"dropping-particle":"","family":"Scheetz","given":"Jane","non-dropping-particle":"","parse-names":false,"suffix":""},{"dropping-particle":"","family":"He","given":"Mingguang","non-dropping-particle":"","parse-names":false,"suffix":""}],"id":"ITEM-2","issued":{"date-parts":[["2019"]]},"title":"Role of Parental Refractive Status in Myopia Progression : 12-Year Annual Observation From the Guangzhou Twin Eye Study","type":"article-journal"},"uris":["http://www.mendeley.com/documents/?uuid=91fddcb7-0811-46b7-b540-e8b395b6527b"]}],"mendeley":{"formattedCitation":"(Liang &lt;i&gt;et al.&lt;/i&gt;, 2004; Liao &lt;i&gt;et al.&lt;/i&gt;, 2019)","plainTextFormattedCitation":"(Liang et al., 2004; Liao et al., 2019)","previouslyFormattedCitation":"(Liang &lt;i&gt;et al.&lt;/i&gt;, 2004; Liao &lt;i&gt;et al.&lt;/i&gt;, 2019)"},"properties":{"noteIndex":0},"schema":"https://github.com/citation-style-language/schema/raw/master/csl-citation.json"}</w:instrText>
      </w:r>
      <w:r w:rsidRPr="002F6448">
        <w:rPr>
          <w:rFonts w:ascii="Times New Roman" w:eastAsia="Times New Roman" w:hAnsi="Times New Roman" w:cs="Times New Roman"/>
        </w:rPr>
        <w:fldChar w:fldCharType="separate"/>
      </w:r>
      <w:r w:rsidRPr="002F6448">
        <w:rPr>
          <w:rFonts w:ascii="Times New Roman" w:eastAsia="Times New Roman" w:hAnsi="Times New Roman" w:cs="Times New Roman"/>
          <w:noProof/>
        </w:rPr>
        <w:t xml:space="preserve">(Liang </w:t>
      </w:r>
      <w:r w:rsidRPr="002F6448">
        <w:rPr>
          <w:rFonts w:ascii="Times New Roman" w:eastAsia="Times New Roman" w:hAnsi="Times New Roman" w:cs="Times New Roman"/>
          <w:i/>
          <w:noProof/>
        </w:rPr>
        <w:t>et al.</w:t>
      </w:r>
      <w:r w:rsidRPr="002F6448">
        <w:rPr>
          <w:rFonts w:ascii="Times New Roman" w:eastAsia="Times New Roman" w:hAnsi="Times New Roman" w:cs="Times New Roman"/>
          <w:noProof/>
        </w:rPr>
        <w:t xml:space="preserve">, 2004; Liao </w:t>
      </w:r>
      <w:r w:rsidRPr="002F6448">
        <w:rPr>
          <w:rFonts w:ascii="Times New Roman" w:eastAsia="Times New Roman" w:hAnsi="Times New Roman" w:cs="Times New Roman"/>
          <w:i/>
          <w:noProof/>
        </w:rPr>
        <w:t>et al.</w:t>
      </w:r>
      <w:r w:rsidRPr="002F6448">
        <w:rPr>
          <w:rFonts w:ascii="Times New Roman" w:eastAsia="Times New Roman" w:hAnsi="Times New Roman" w:cs="Times New Roman"/>
          <w:noProof/>
        </w:rPr>
        <w:t>, 2019)</w:t>
      </w:r>
      <w:r w:rsidRPr="002F6448">
        <w:rPr>
          <w:rFonts w:ascii="Times New Roman" w:eastAsia="Times New Roman" w:hAnsi="Times New Roman" w:cs="Times New Roman"/>
        </w:rPr>
        <w:fldChar w:fldCharType="end"/>
      </w:r>
      <w:r w:rsidR="008A7EA2" w:rsidRPr="002F6448">
        <w:rPr>
          <w:rFonts w:ascii="Times New Roman" w:eastAsia="Times New Roman" w:hAnsi="Times New Roman" w:cs="Times New Roman"/>
        </w:rPr>
        <w:t>.</w:t>
      </w:r>
    </w:p>
    <w:p w14:paraId="3599A621" w14:textId="77777777" w:rsidR="00174EB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Although spending more than one hour outdoors per day appeared protective in unadjusted analysis</w:t>
      </w:r>
      <w:r w:rsidR="008A7EA2" w:rsidRPr="002F6448">
        <w:rPr>
          <w:rFonts w:ascii="Times New Roman" w:eastAsia="Times New Roman" w:hAnsi="Times New Roman" w:cs="Times New Roman"/>
        </w:rPr>
        <w:t xml:space="preserve"> (P=0.015)</w:t>
      </w:r>
      <w:r w:rsidRPr="002F6448">
        <w:rPr>
          <w:rFonts w:ascii="Times New Roman" w:eastAsia="Times New Roman" w:hAnsi="Times New Roman" w:cs="Times New Roman"/>
        </w:rPr>
        <w:t>, this association was not statistically significant in the adjusted model. This may be due to the limited variability in outdoor exposure among participants. A large majority (78.6%) reported spending less</w:t>
      </w:r>
      <w:r w:rsidR="008A7EA2" w:rsidRPr="002F6448">
        <w:rPr>
          <w:rFonts w:ascii="Times New Roman" w:eastAsia="Times New Roman" w:hAnsi="Times New Roman" w:cs="Times New Roman"/>
        </w:rPr>
        <w:t xml:space="preserve"> than one hour outdoors per day </w:t>
      </w:r>
      <w:r w:rsidRPr="002F6448">
        <w:rPr>
          <w:rFonts w:ascii="Times New Roman" w:eastAsia="Times New Roman" w:hAnsi="Times New Roman" w:cs="Times New Roman"/>
        </w:rPr>
        <w:t xml:space="preserve">likely below the threshold required to confer a significant protective effect, as suggested in other studies </w:t>
      </w:r>
      <w:r w:rsidR="00174EB8" w:rsidRPr="002F6448">
        <w:rPr>
          <w:rFonts w:ascii="Times New Roman" w:eastAsia="Times New Roman" w:hAnsi="Times New Roman" w:cs="Times New Roman"/>
        </w:rPr>
        <w:fldChar w:fldCharType="begin" w:fldLock="1"/>
      </w:r>
      <w:r w:rsidR="008342C7" w:rsidRPr="002F6448">
        <w:rPr>
          <w:rFonts w:ascii="Times New Roman" w:eastAsia="Times New Roman" w:hAnsi="Times New Roman" w:cs="Times New Roman"/>
        </w:rPr>
        <w:instrText>ADDIN CSL_CITATION {"citationItems":[{"id":"ITEM-1","itemData":{"ISBN":"1111111111","author":[{"dropping-particle":"","family":"Saxena","given":"Rohit","non-dropping-particle":"","parse-names":false,"suffix":""},{"dropping-particle":"","family":"Vashist","given":"Praveen","non-dropping-particle":"","parse-names":false,"suffix":""},{"dropping-particle":"","family":"Tandon","given":"Radhika","non-dropping-particle":"","parse-names":false,"suffix":""},{"dropping-particle":"","family":"Pandey","given":"Ravindra M","non-dropping-particle":"","parse-names":false,"suffix":""},{"dropping-particle":"","family":"Bhardawaj","given":"Amit","non-dropping-particle":"","parse-names":false,"suffix":""},{"dropping-particle":"","family":"Gupta","given":"Vivek","non-dropping-particle":"","parse-names":false,"suffix":""},{"dropping-particle":"","family":"Menon","given":"Vimala","non-dropping-particle":"","parse-names":false,"suffix":""}],"id":"ITEM-1","issued":{"date-parts":[["2017"]]},"page":"1-12","title":"Incidence and progression of myopia and associated factors in urban school children in Delhi : The North India Myopia Study ( NIM Study )","type":"article-journal"},"uris":["http://www.mendeley.com/documents/?uuid=8e1a8586-294b-44f3-ab2c-2ce80911937e"]},{"id":"ITEM-2","itemData":{"DOI":"10.3109/09286586.2014.988874","ISSN":"17445086","PMID":"25495661","abstract":"Purpose: To investigate the association between potential risk factors for myopia and its progression in young adult Taiwanese men. Methods: A survey of male military conscripts (aged 18-24 years) was conducted from February 2010 to March 2011 in Taiwan. Participants underwent comprehensive eye examinations, including measurements of axial length and corneal radius by optical biometry and non-cycloplegic autorefraction. Participants also provided self-reported progression of myopia and information regarding potential risk factors, including age, parental myopia, educational level, close work, outdoor activities, and urbanization. Results: Of 5145 eligible participants, 5048 (98.11%) provided refraction and questionnaire data; 2316 (45.88%) of the 5048 also had biometric measurements. The prevalence of myopia was 86.1% in this group, with a mean refractive error of -3.66 diopters (D). Of the 5048 participants, 1376 (27.3%) had experienced progression of their myopia during the past year. There were trends for a higher prevalence of myopia among older participants (p = 0.014), those with a history of parental myopia (p&lt;0.001), higher levels of education (p = 0.001), increased time spent reading (p&lt;0.001), less time outdoors (p=0.003), and higher levels of urbanization (p = 0.010). However, only parental myopia, close work, and higher urbanization levels were significantly associated with self-reported progression of myopia. Conclusion: Older age, parental myopia, higher educational level, close work, fewer outdoor activities, and higher urbanization level were associated with the prevalence of myopia in Taiwanese men.","author":[{"dropping-particle":"","family":"Lee","given":"Yin Yang","non-dropping-particle":"","parse-names":false,"suffix":""},{"dropping-particle":"","family":"Lo","given":"Chung Ting","non-dropping-particle":"","parse-names":false,"suffix":""},{"dropping-particle":"","family":"Sheu","given":"Shwu Jiuan","non-dropping-particle":"","parse-names":false,"suffix":""},{"dropping-particle":"Te","family":"Yin","given":"Li","non-dropping-particle":"","parse-names":false,"suffix":""}],"container-title":"Ophthalmic Epidemiology","id":"ITEM-2","issue":"1","issued":{"date-parts":[["2015"]]},"page":"66-73","title":"Risk factors for and progression of myopia in young Taiwanese men","type":"article-journal","volume":"22"},"uris":["http://www.mendeley.com/documents/?uuid=a684d8cb-f0b3-44e7-8b1c-92c17a7ae683"]},{"id":"ITEM-3","itemData":{"DOI":"10.1016/j.exer.2003.11.002","ISSN":"00144835","author":[{"dropping-particle":"","family":"Bron","given":"Anthony J.","non-dropping-particle":"","parse-names":false,"suffix":""},{"dropping-particle":"","family":"Paterson","given":"Christopher","non-dropping-particle":"","parse-names":false,"suffix":""},{"dropping-particle":"","family":"Cunha-Vaz","given":"José","non-dropping-particle":"","parse-names":false,"suffix":""}],"container-title":"Experimental Eye Research","id":"ITEM-3","issue":"3","issued":{"date-parts":[["2004"]]},"page":"1-11","title":"Experimental Eye Research: Editorial","type":"article-journal","volume":"78"},"uris":["http://www.mendeley.com/documents/?uuid=ebb5c5ce-dbdb-41fb-b034-ecc70889866f"]}],"mendeley":{"formattedCitation":"(Bron, Paterson and Cunha-Vaz, 2004; Lee &lt;i&gt;et al.&lt;/i&gt;, 2015; Saxena &lt;i&gt;et al.&lt;/i&gt;, 2017)","plainTextFormattedCitation":"(Bron, Paterson and Cunha-Vaz, 2004; Lee et al., 2015; Saxena et al., 2017)","previouslyFormattedCitation":"(Bron, Paterson and Cunha-Vaz, 2004; Lee &lt;i&gt;et al.&lt;/i&gt;, 2015; Saxena &lt;i&gt;et al.&lt;/i&gt;, 2017)"},"properties":{"noteIndex":0},"schema":"https://github.com/citation-style-language/schema/raw/master/csl-citation.json"}</w:instrText>
      </w:r>
      <w:r w:rsidR="00174EB8" w:rsidRPr="002F6448">
        <w:rPr>
          <w:rFonts w:ascii="Times New Roman" w:eastAsia="Times New Roman" w:hAnsi="Times New Roman" w:cs="Times New Roman"/>
        </w:rPr>
        <w:fldChar w:fldCharType="separate"/>
      </w:r>
      <w:r w:rsidR="00174EB8" w:rsidRPr="002F6448">
        <w:rPr>
          <w:rFonts w:ascii="Times New Roman" w:eastAsia="Times New Roman" w:hAnsi="Times New Roman" w:cs="Times New Roman"/>
          <w:noProof/>
        </w:rPr>
        <w:t xml:space="preserve">(Bron, Paterson and Cunha-Vaz, 2004; Lee </w:t>
      </w:r>
      <w:r w:rsidR="00174EB8" w:rsidRPr="002F6448">
        <w:rPr>
          <w:rFonts w:ascii="Times New Roman" w:eastAsia="Times New Roman" w:hAnsi="Times New Roman" w:cs="Times New Roman"/>
          <w:i/>
          <w:noProof/>
        </w:rPr>
        <w:t>et al.</w:t>
      </w:r>
      <w:r w:rsidR="00174EB8" w:rsidRPr="002F6448">
        <w:rPr>
          <w:rFonts w:ascii="Times New Roman" w:eastAsia="Times New Roman" w:hAnsi="Times New Roman" w:cs="Times New Roman"/>
          <w:noProof/>
        </w:rPr>
        <w:t xml:space="preserve">, 2015; Saxena </w:t>
      </w:r>
      <w:r w:rsidR="00174EB8" w:rsidRPr="002F6448">
        <w:rPr>
          <w:rFonts w:ascii="Times New Roman" w:eastAsia="Times New Roman" w:hAnsi="Times New Roman" w:cs="Times New Roman"/>
          <w:i/>
          <w:noProof/>
        </w:rPr>
        <w:t>et al.</w:t>
      </w:r>
      <w:r w:rsidR="00174EB8" w:rsidRPr="002F6448">
        <w:rPr>
          <w:rFonts w:ascii="Times New Roman" w:eastAsia="Times New Roman" w:hAnsi="Times New Roman" w:cs="Times New Roman"/>
          <w:noProof/>
        </w:rPr>
        <w:t>, 2017)</w:t>
      </w:r>
      <w:r w:rsidR="00174EB8" w:rsidRPr="002F6448">
        <w:rPr>
          <w:rFonts w:ascii="Times New Roman" w:eastAsia="Times New Roman" w:hAnsi="Times New Roman" w:cs="Times New Roman"/>
        </w:rPr>
        <w:fldChar w:fldCharType="end"/>
      </w:r>
      <w:r w:rsidR="00174EB8" w:rsidRPr="002F6448">
        <w:rPr>
          <w:rFonts w:ascii="Times New Roman" w:eastAsia="Times New Roman" w:hAnsi="Times New Roman" w:cs="Times New Roman"/>
        </w:rPr>
        <w:t>.</w:t>
      </w:r>
    </w:p>
    <w:p w14:paraId="62870AD7" w14:textId="77777777" w:rsidR="00C1691C" w:rsidRPr="00C1691C" w:rsidRDefault="00C1691C" w:rsidP="003F6C20">
      <w:pPr>
        <w:spacing w:before="100" w:beforeAutospacing="1" w:after="100" w:afterAutospacing="1" w:line="240" w:lineRule="auto"/>
        <w:rPr>
          <w:rFonts w:ascii="Times New Roman" w:eastAsia="Times New Roman" w:hAnsi="Times New Roman" w:cs="Times New Roman"/>
        </w:rPr>
      </w:pPr>
      <w:r w:rsidRPr="00C1691C">
        <w:rPr>
          <w:rFonts w:ascii="Times New Roman" w:eastAsia="Times New Roman" w:hAnsi="Times New Roman" w:cs="Times New Roman"/>
        </w:rPr>
        <w:t>In this study no association was found between myopia progression and the degree of myopia.</w:t>
      </w:r>
      <w:r w:rsidRPr="00C1691C">
        <w:rPr>
          <w:rFonts w:ascii="Times New Roman" w:eastAsia="Times New Roman" w:hAnsi="Times New Roman" w:cs="Times New Roman"/>
          <w:lang w:val="en-GB" w:eastAsia="en-GB"/>
        </w:rPr>
        <w:t xml:space="preserve"> Typically, higher degrees of myopia are associated with progression due to increased scleral thinning and axial elongation</w:t>
      </w:r>
      <w:r>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fldChar w:fldCharType="begin" w:fldLock="1"/>
      </w:r>
      <w:r>
        <w:rPr>
          <w:rFonts w:ascii="Times New Roman" w:eastAsia="Times New Roman" w:hAnsi="Times New Roman" w:cs="Times New Roman"/>
          <w:lang w:val="en-GB" w:eastAsia="en-GB"/>
        </w:rPr>
        <w:instrText>ADDIN CSL_CITATION {"citationItems":[{"id":"ITEM-1","itemData":{"author":[{"dropping-particle":"","family":"Kumah","given":"Ben D","non-dropping-particle":"","parse-names":false,"suffix":""},{"dropping-particle":"","family":"Ebri","given":"Anne","non-dropping-particle":"","parse-names":false,"suffix":""},{"dropping-particle":"","family":"Abdul-kabir","given":"Mohammed","non-dropping-particle":"","parse-names":false,"suffix":""},{"dropping-particle":"","family":"Ahmed","given":"Abdul-sadik","non-dropping-particle":"","parse-names":false,"suffix":""},{"dropping-particle":"","family":"Koomson","given":"Nana Ya","non-dropping-particle":"","parse-names":false,"suffix":""}],"id":"ITEM-1","issue":"12","issued":{"date-parts":[["2013"]]},"page":"1456-1461","title":"Optometry and Vision Science Volume 90 issue 12 2013 [doi 10.1097_OPX.0000000000000099] Kumah, Ben D.; Ebri, Anne; Abdul-Kabir, Mohammed; Ahmed, Abdul-S -- Refractive Error and Visual Impairment in .pdf","type":"article-journal","volume":"90"},"uris":["http://www.mendeley.com/documents/?uuid=75208e45-7b68-467f-b0a7-12a0b8f57d61"]}],"mendeley":{"formattedCitation":"(Kumah &lt;i&gt;et al.&lt;/i&gt;, 2013)","plainTextFormattedCitation":"(Kumah et al., 2013)","previouslyFormattedCitation":"(Kumah &lt;i&gt;et al.&lt;/i&gt;, 2013)"},"properties":{"noteIndex":0},"schema":"https://github.com/citation-style-language/schema/raw/master/csl-citation.json"}</w:instrText>
      </w:r>
      <w:r>
        <w:rPr>
          <w:rFonts w:ascii="Times New Roman" w:eastAsia="Times New Roman" w:hAnsi="Times New Roman" w:cs="Times New Roman"/>
          <w:lang w:val="en-GB" w:eastAsia="en-GB"/>
        </w:rPr>
        <w:fldChar w:fldCharType="separate"/>
      </w:r>
      <w:r w:rsidRPr="00C1691C">
        <w:rPr>
          <w:rFonts w:ascii="Times New Roman" w:eastAsia="Times New Roman" w:hAnsi="Times New Roman" w:cs="Times New Roman"/>
          <w:noProof/>
          <w:lang w:val="en-GB" w:eastAsia="en-GB"/>
        </w:rPr>
        <w:t xml:space="preserve">(Kumah </w:t>
      </w:r>
      <w:r w:rsidRPr="00C1691C">
        <w:rPr>
          <w:rFonts w:ascii="Times New Roman" w:eastAsia="Times New Roman" w:hAnsi="Times New Roman" w:cs="Times New Roman"/>
          <w:i/>
          <w:noProof/>
          <w:lang w:val="en-GB" w:eastAsia="en-GB"/>
        </w:rPr>
        <w:t>et al.</w:t>
      </w:r>
      <w:r w:rsidRPr="00C1691C">
        <w:rPr>
          <w:rFonts w:ascii="Times New Roman" w:eastAsia="Times New Roman" w:hAnsi="Times New Roman" w:cs="Times New Roman"/>
          <w:noProof/>
          <w:lang w:val="en-GB" w:eastAsia="en-GB"/>
        </w:rPr>
        <w:t>, 2013)</w:t>
      </w:r>
      <w:r>
        <w:rPr>
          <w:rFonts w:ascii="Times New Roman" w:eastAsia="Times New Roman" w:hAnsi="Times New Roman" w:cs="Times New Roman"/>
          <w:lang w:val="en-GB" w:eastAsia="en-GB"/>
        </w:rPr>
        <w:fldChar w:fldCharType="end"/>
      </w:r>
      <w:r w:rsidRPr="00C1691C">
        <w:rPr>
          <w:rFonts w:ascii="Times New Roman" w:eastAsia="Times New Roman" w:hAnsi="Times New Roman" w:cs="Times New Roman"/>
          <w:lang w:val="en-GB" w:eastAsia="en-GB"/>
        </w:rPr>
        <w:t>.However, in this study, a high proportion of non-spectacle wearers (84%) belonged to the low myopia group, whereas moderate and high myopia groups had greater spectacle compliance. Given that full-time spectacle wear has a protective effect against progression</w:t>
      </w:r>
      <w:r>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fldChar w:fldCharType="begin" w:fldLock="1"/>
      </w:r>
      <w:r>
        <w:rPr>
          <w:rFonts w:ascii="Times New Roman" w:eastAsia="Times New Roman" w:hAnsi="Times New Roman" w:cs="Times New Roman"/>
          <w:lang w:val="en-GB" w:eastAsia="en-GB"/>
        </w:rPr>
        <w:instrText>ADDIN CSL_CITATION {"citationItems":[{"id":"ITEM-1","itemData":{"DOI":"10.1136/bjophthalmol-2019-315258","ISSN":"14682079","PMID":"32075819","abstract":"Aim To reassess the association between near work, outdoor exposure and myopia in children through an objective approach. Methods Eighty-six children (10.13±0.48 years) were asked to wear Clouclip, a newly developed wearable device that is able to measure working distance and eye-level illuminance, for a complete week to obtain information on near work and outdoor exposure. The mean daily Clouclip wearing time was 11.72±1.14 hour. The spherical equivalent refraction was determined by cycloplegic autorefraction. Results The myopic children were found to be exposed to light intensities &gt;3000 lux (0.68±0.50 hour vs 1.02±0.53 hour, p=0.012) and &gt;5000 lux (0.42±0.35 hour vs 0.63±0.31 hour, p=0.004) for shorter durations on average each day than the non-myopic children. Additionally, the myopic children spent more time on average each day on activities at a distance of &lt;20 cm than non-myopic children (1.89±0.61 hour vs 1.52±0.77 hour, p=0.019). In the multivariate logistic analysis, the time spent with a higher light intensity (&gt;3000 lux (OR=0.27, 95% CI: 0.10 to 0.72, p=0.009); &gt;5000 lux (OR=0.11, 95% CI: 0.02 to 0.56, p=0.008)) and a working distance of &lt;20 cm (in a circumstance of &gt;3000 lux (OR=1.17, 95% CI: 1.09 to 1.86, p=0.038) or in that of &gt;5000 lux (OR=1.12, 95% CI: 1.03 to 1.77, p=0.046)) were the independent protective factors and risk factors, respectively. Conclusion The current study provides novel evidence, based on objective data, to support the association between the intensity of near work, light intensity and myopia. However, the causality and the dose-effect relationship need to be investigated further.","author":[{"dropping-particle":"","family":"Wen","given":"Longbo","non-dropping-particle":"","parse-names":false,"suffix":""},{"dropping-particle":"","family":"Cao","given":"Yingpin","non-dropping-particle":"","parse-names":false,"suffix":""},{"dropping-particle":"","family":"Cheng","given":"Qian","non-dropping-particle":"","parse-names":false,"suffix":""},{"dropping-particle":"","family":"Li","given":"Xiaoning","non-dropping-particle":"","parse-names":false,"suffix":""},{"dropping-particle":"","family":"Pan","given":"Lun","non-dropping-particle":"","parse-names":false,"suffix":""},{"dropping-particle":"","family":"Li","given":"Lei","non-dropping-particle":"","parse-names":false,"suffix":""},{"dropping-particle":"","family":"Zhu","given":"Hao Gang","non-dropping-particle":"","parse-names":false,"suffix":""},{"dropping-particle":"","family":"Lan","given":"Weizhong","non-dropping-particle":"","parse-names":false,"suffix":""},{"dropping-particle":"","family":"Yang","given":"Zhikuan","non-dropping-particle":"","parse-names":false,"suffix":""}],"container-title":"British Journal of Ophthalmology","id":"ITEM-1","issue":"11","issued":{"date-parts":[["2020"]]},"page":"1542-1547","title":"Objectively measured near work, outdoor exposure and myopia in children","type":"article-journal","volume":"104"},"uris":["http://www.mendeley.com/documents/?uuid=8d00466b-c034-40ca-a9b6-0f3b9d914cbc"]},{"id":"ITEM-2","itemData":{"author":[{"dropping-particle":"","family":"J. Bao et al","given":"","non-dropping-particle":"","parse-names":false,"suffix":""}],"id":"ITEM-2","issue":"8","issued":{"date-parts":[["2015"]]},"page":"908-915","title":"Influence of Near Tasks on Posture in Myopic","type":"article-journal","volume":"92"},"uris":["http://www.mendeley.com/documents/?uuid=3fac013d-938b-4618-aad5-35b338602363"]}],"mendeley":{"formattedCitation":"(J. Bao et al, 2015; Wen &lt;i&gt;et al.&lt;/i&gt;, 2020)","plainTextFormattedCitation":"(J. Bao et al, 2015; Wen et al., 2020)"},"properties":{"noteIndex":0},"schema":"https://github.com/citation-style-language/schema/raw/master/csl-citation.json"}</w:instrText>
      </w:r>
      <w:r>
        <w:rPr>
          <w:rFonts w:ascii="Times New Roman" w:eastAsia="Times New Roman" w:hAnsi="Times New Roman" w:cs="Times New Roman"/>
          <w:lang w:val="en-GB" w:eastAsia="en-GB"/>
        </w:rPr>
        <w:fldChar w:fldCharType="separate"/>
      </w:r>
      <w:r w:rsidRPr="00C1691C">
        <w:rPr>
          <w:rFonts w:ascii="Times New Roman" w:eastAsia="Times New Roman" w:hAnsi="Times New Roman" w:cs="Times New Roman"/>
          <w:noProof/>
          <w:lang w:val="en-GB" w:eastAsia="en-GB"/>
        </w:rPr>
        <w:t xml:space="preserve">(J. Bao et al, 2015; Wen </w:t>
      </w:r>
      <w:r w:rsidRPr="00C1691C">
        <w:rPr>
          <w:rFonts w:ascii="Times New Roman" w:eastAsia="Times New Roman" w:hAnsi="Times New Roman" w:cs="Times New Roman"/>
          <w:i/>
          <w:noProof/>
          <w:lang w:val="en-GB" w:eastAsia="en-GB"/>
        </w:rPr>
        <w:t>et al.</w:t>
      </w:r>
      <w:r w:rsidRPr="00C1691C">
        <w:rPr>
          <w:rFonts w:ascii="Times New Roman" w:eastAsia="Times New Roman" w:hAnsi="Times New Roman" w:cs="Times New Roman"/>
          <w:noProof/>
          <w:lang w:val="en-GB" w:eastAsia="en-GB"/>
        </w:rPr>
        <w:t>, 2020)</w:t>
      </w:r>
      <w:r>
        <w:rPr>
          <w:rFonts w:ascii="Times New Roman" w:eastAsia="Times New Roman" w:hAnsi="Times New Roman" w:cs="Times New Roman"/>
          <w:lang w:val="en-GB" w:eastAsia="en-GB"/>
        </w:rPr>
        <w:fldChar w:fldCharType="end"/>
      </w:r>
      <w:r w:rsidRPr="00C1691C">
        <w:rPr>
          <w:rFonts w:ascii="Times New Roman" w:eastAsia="Times New Roman" w:hAnsi="Times New Roman" w:cs="Times New Roman"/>
          <w:lang w:val="en-GB" w:eastAsia="en-GB"/>
        </w:rPr>
        <w:t>, this difference in spectacle use may explain the similar progression rates across all severity groups</w:t>
      </w:r>
    </w:p>
    <w:p w14:paraId="71B7D3F0"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Parental education was moderately high, with 52.2% of mothers having completed secondary education and 50.</w:t>
      </w:r>
      <w:r w:rsidR="006A4E0E" w:rsidRPr="002F6448">
        <w:rPr>
          <w:rFonts w:ascii="Times New Roman" w:eastAsia="Times New Roman" w:hAnsi="Times New Roman" w:cs="Times New Roman"/>
        </w:rPr>
        <w:t xml:space="preserve">7% of fathers attaining college </w:t>
      </w:r>
      <w:r w:rsidRPr="002F6448">
        <w:rPr>
          <w:rFonts w:ascii="Times New Roman" w:eastAsia="Times New Roman" w:hAnsi="Times New Roman" w:cs="Times New Roman"/>
        </w:rPr>
        <w:t>level or higher education. These figures represent an improvement compared to earlier Tanzanian data, where only 37% of mothers and 27% of fathers had achieved similar education levels</w:t>
      </w:r>
      <w:r w:rsidR="006738E6" w:rsidRPr="002F6448">
        <w:rPr>
          <w:rFonts w:ascii="Times New Roman" w:eastAsia="Times New Roman" w:hAnsi="Times New Roman" w:cs="Times New Roman"/>
        </w:rPr>
        <w:t xml:space="preserve"> </w:t>
      </w:r>
      <w:r w:rsidR="006738E6" w:rsidRPr="002F6448">
        <w:rPr>
          <w:rFonts w:ascii="Times New Roman" w:eastAsia="Times New Roman" w:hAnsi="Times New Roman" w:cs="Times New Roman"/>
        </w:rPr>
        <w:fldChar w:fldCharType="begin" w:fldLock="1"/>
      </w:r>
      <w:r w:rsidR="002768C2" w:rsidRPr="002F6448">
        <w:rPr>
          <w:rFonts w:ascii="Times New Roman" w:eastAsia="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2002)","plainTextFormattedCitation":"(Wedner et al., 2002)","previouslyFormattedCitation":"(Wedner &lt;i&gt;et al.&lt;/i&gt;, 2002)"},"properties":{"noteIndex":0},"schema":"https://github.com/citation-style-language/schema/raw/master/csl-citation.json"}</w:instrText>
      </w:r>
      <w:r w:rsidR="006738E6" w:rsidRPr="002F6448">
        <w:rPr>
          <w:rFonts w:ascii="Times New Roman" w:eastAsia="Times New Roman" w:hAnsi="Times New Roman" w:cs="Times New Roman"/>
        </w:rPr>
        <w:fldChar w:fldCharType="separate"/>
      </w:r>
      <w:r w:rsidR="006738E6" w:rsidRPr="002F6448">
        <w:rPr>
          <w:rFonts w:ascii="Times New Roman" w:eastAsia="Times New Roman" w:hAnsi="Times New Roman" w:cs="Times New Roman"/>
          <w:noProof/>
        </w:rPr>
        <w:t xml:space="preserve">(Wedner </w:t>
      </w:r>
      <w:r w:rsidR="006738E6" w:rsidRPr="002F6448">
        <w:rPr>
          <w:rFonts w:ascii="Times New Roman" w:eastAsia="Times New Roman" w:hAnsi="Times New Roman" w:cs="Times New Roman"/>
          <w:i/>
          <w:noProof/>
        </w:rPr>
        <w:t>et al.</w:t>
      </w:r>
      <w:r w:rsidR="006738E6" w:rsidRPr="002F6448">
        <w:rPr>
          <w:rFonts w:ascii="Times New Roman" w:eastAsia="Times New Roman" w:hAnsi="Times New Roman" w:cs="Times New Roman"/>
          <w:noProof/>
        </w:rPr>
        <w:t>, 2002)</w:t>
      </w:r>
      <w:r w:rsidR="006738E6"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A similar trend has been reported in Kenya</w:t>
      </w:r>
      <w:r w:rsidR="002768C2" w:rsidRPr="002F6448">
        <w:rPr>
          <w:rFonts w:ascii="Times New Roman" w:eastAsia="Times New Roman" w:hAnsi="Times New Roman" w:cs="Times New Roman"/>
        </w:rPr>
        <w:t xml:space="preserve"> </w:t>
      </w:r>
      <w:r w:rsidR="002768C2" w:rsidRPr="002F6448">
        <w:rPr>
          <w:rFonts w:ascii="Times New Roman" w:eastAsia="Times New Roman" w:hAnsi="Times New Roman" w:cs="Times New Roman"/>
        </w:rPr>
        <w:fldChar w:fldCharType="begin" w:fldLock="1"/>
      </w:r>
      <w:r w:rsidR="00E75244" w:rsidRPr="002F6448">
        <w:rPr>
          <w:rFonts w:ascii="Times New Roman" w:eastAsia="Times New Roman" w:hAnsi="Times New Roman" w:cs="Times New Roman"/>
        </w:rPr>
        <w:instrText>ADDIN CSL_CITATION {"citationItems":[{"id":"ITEM-1","itemData":{"DOI":"10.5603/oj.2022.0021","abstract":"Background: Uncorrected refractive errors (URE) present an enormous burden on children in Kenya. The study investigated factors associated with URE in school-going adolescents in Kakamega County, Kenya. Material and methods: An observational, cross-sectional study with multistage sampling was conducted with randomly selected secondary school students in forms one to four. Comprehensive clinical examinations conducted by optometrists were used to determine participants’ URE types and dioptric strength. Structured pre-validated questionnaires were administered to participants to elicit information on their sociodemographic and socioeconomic statuses. Results: A total of 165 students, aged 17.45 ± 1.44 years, with URE classified into myopia, hyperopia, and astigmatism, participated in the study. There were more males (57%) than females in this study, and most participants had astigmatism (52%). The study found no-to-weak association between predefined factors and URE. While males had decreased odds [odds ratio (OR): 0.557, 95% confidence interval (CI): 0.211–1.470] for myopia than astigmatism, the converse was true for hyperopia (OR: 1.165, 95% CI: 0.385–3.524) compared with astigmatism. Even though participants from families with lower affluence and living in rural settings had up to 18 times increased odds (OR: 18.699, 95% CI: 0.840–416.442) for myopia than astigmatism and hyperopia, significant dioptric power was less likely to be present in those with myopia (OR: 0.529, 95% CI: 0.165–1.698) and hyperopia (OR: 0.011, 95% CI: 0.001–0.192). Conclusions: URE may not be significantly associated with school-going adolescents’ sociodemographic and socioeconomic statuses. However, myopia and astigmatism are increasingly likely to be present among participants from families with lower affluence and living in rural settings.","author":[{"dropping-particle":"","family":"Okenwa-Vincent","given":"Emmanuel E.","non-dropping-particle":"","parse-names":false,"suffix":""},{"dropping-particle":"","family":"Naidoo","given":"Jyoti","non-dropping-particle":"","parse-names":false,"suffix":""},{"dropping-particle":"","family":"Clarke-Farr","given":"Peter","non-dropping-particle":"","parse-names":false,"suffix":""}],"container-title":"Ophthalmology Journal","id":"ITEM-1","issue":"0","issued":{"date-parts":[["2022"]]},"page":"152-162","title":"Factors associated with uncorrected refractive errors in school-going adolescents in Kakamega County, Kenya","type":"article-journal","volume":"7"},"uris":["http://www.mendeley.com/documents/?uuid=7c7269f4-5c7c-4ec2-af4d-34315f8338f1"]}],"mendeley":{"formattedCitation":"(Okenwa-Vincent, Naidoo and Clarke-Farr, 2022)","plainTextFormattedCitation":"(Okenwa-Vincent, Naidoo and Clarke-Farr, 2022)","previouslyFormattedCitation":"(Okenwa-Vincent, Naidoo and Clarke-Farr, 2022)"},"properties":{"noteIndex":0},"schema":"https://github.com/citation-style-language/schema/raw/master/csl-citation.json"}</w:instrText>
      </w:r>
      <w:r w:rsidR="002768C2" w:rsidRPr="002F6448">
        <w:rPr>
          <w:rFonts w:ascii="Times New Roman" w:eastAsia="Times New Roman" w:hAnsi="Times New Roman" w:cs="Times New Roman"/>
        </w:rPr>
        <w:fldChar w:fldCharType="separate"/>
      </w:r>
      <w:r w:rsidR="002768C2" w:rsidRPr="002F6448">
        <w:rPr>
          <w:rFonts w:ascii="Times New Roman" w:eastAsia="Times New Roman" w:hAnsi="Times New Roman" w:cs="Times New Roman"/>
          <w:noProof/>
        </w:rPr>
        <w:t>(Okenwa-Vincent, Naidoo and Clarke-Farr, 2022)</w:t>
      </w:r>
      <w:r w:rsidR="002768C2"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Higher parental education may create more academically intensive home environments, potentially inc</w:t>
      </w:r>
      <w:r w:rsidR="00E75244" w:rsidRPr="002F6448">
        <w:rPr>
          <w:rFonts w:ascii="Times New Roman" w:eastAsia="Times New Roman" w:hAnsi="Times New Roman" w:cs="Times New Roman"/>
        </w:rPr>
        <w:t xml:space="preserve">reasing time spent on near work </w:t>
      </w:r>
      <w:r w:rsidRPr="002F6448">
        <w:rPr>
          <w:rFonts w:ascii="Times New Roman" w:eastAsia="Times New Roman" w:hAnsi="Times New Roman" w:cs="Times New Roman"/>
        </w:rPr>
        <w:t>a known risk factor for myopia progression</w:t>
      </w:r>
      <w:r w:rsidR="00E75244" w:rsidRPr="002F6448">
        <w:rPr>
          <w:rFonts w:ascii="Times New Roman" w:eastAsia="Times New Roman" w:hAnsi="Times New Roman" w:cs="Times New Roman"/>
        </w:rPr>
        <w:t xml:space="preserve"> </w:t>
      </w:r>
      <w:r w:rsidR="00E75244" w:rsidRPr="002F6448">
        <w:rPr>
          <w:rFonts w:ascii="Times New Roman" w:eastAsia="Times New Roman" w:hAnsi="Times New Roman" w:cs="Times New Roman"/>
        </w:rPr>
        <w:fldChar w:fldCharType="begin" w:fldLock="1"/>
      </w:r>
      <w:r w:rsidR="00174EB8" w:rsidRPr="002F6448">
        <w:rPr>
          <w:rFonts w:ascii="Times New Roman" w:eastAsia="Times New Roman" w:hAnsi="Times New Roman" w:cs="Times New Roman"/>
        </w:rPr>
        <w:instrText>ADDIN CSL_CITATION {"citationItems":[{"id":"ITEM-1","itemData":{"DOI":"10.1097/OPX.0b013e31822171ad","ISSN":"10405488","PMID":"21642891","abstract":"Purpose.: To investigate refractive error, especially myopia, in parents of myopic children and its association with education and occupation. Methods.: Six hundred twenty-seven parents (n = 375 mothers and 252 fathers) of the 469 myopic 6- to &lt;12-year-old children enrolled in COMET provided refraction data as well as answered questions about their education and occupation. Eighty-five percent of the refractions were obtained by non-cycloplegic autorefraction (Nidek ARK 700A), and 15% were obtained from the most recent prescription. Results.: The mean age ± SD of the parents was 44.26 ± 5.81 years, and their mean spherical equivalent refraction was -2.34 ± 2.94 D. Parents with higher education (college degree or greater) had significantly more myopia (-2.97 ± 2.98 D) than parents with lower education (-1.72 ± 2.76 D). The odds of being myopic were significantly higher in the higher education group (multivariate odds ratio = 2.12, 95% confidence interval = 1.41 to 3.19). Mean myopia also differed significantly by occupation, with parents in white collar jobs (-2.87 ± 3.10 D) significantly more myopic than those in blue collar jobs (-1.21 ± 2.02 D) by 1.66 D (p &lt; 0.001). The odds of being myopic between the two occupation groups were of borderline significance (multivariate odds ratio = 1.61, 95% confidence interval = 0.999 to 2.60). Conclusions.: The parents of myopic children participating in a clinical trial of lenses to slow the progression of myopia had a high prevalence of myopia that was associated with their level of education and to a lesser extent with their choice of occupation. To our knowledge, this is the first account of refractive errors, education, and occupation in parents of a large group of myopic children. Copyright © 2011 American Academy of Optometry.","author":[{"dropping-particle":"","family":"Gwiazda","given":"Jane","non-dropping-particle":"","parse-names":false,"suffix":""},{"dropping-particle":"","family":"Deng","given":"Li","non-dropping-particle":"","parse-names":false,"suffix":""},{"dropping-particle":"","family":"Dias","given":"Lynette","non-dropping-particle":"","parse-names":false,"suffix":""},{"dropping-particle":"","family":"Marsh-Tootle","given":"Wendy","non-dropping-particle":"","parse-names":false,"suffix":""}],"container-title":"Optometry and Vision Science","id":"ITEM-1","issue":"9","issued":{"date-parts":[["2011"]]},"page":"1045-1053","title":"Association of education and occupation with myopia in COMET parents","type":"article-journal","volume":"88"},"uris":["http://www.mendeley.com/documents/?uuid=89fb0a0d-a0cb-4c78-8d6e-f0d5f99e1cc5"]}],"mendeley":{"formattedCitation":"(Gwiazda &lt;i&gt;et al.&lt;/i&gt;, 2011)","plainTextFormattedCitation":"(Gwiazda et al., 2011)","previouslyFormattedCitation":"(Gwiazda &lt;i&gt;et al.&lt;/i&gt;, 2011)"},"properties":{"noteIndex":0},"schema":"https://github.com/citation-style-language/schema/raw/master/csl-citation.json"}</w:instrText>
      </w:r>
      <w:r w:rsidR="00E75244" w:rsidRPr="002F6448">
        <w:rPr>
          <w:rFonts w:ascii="Times New Roman" w:eastAsia="Times New Roman" w:hAnsi="Times New Roman" w:cs="Times New Roman"/>
        </w:rPr>
        <w:fldChar w:fldCharType="separate"/>
      </w:r>
      <w:r w:rsidR="00E75244" w:rsidRPr="002F6448">
        <w:rPr>
          <w:rFonts w:ascii="Times New Roman" w:eastAsia="Times New Roman" w:hAnsi="Times New Roman" w:cs="Times New Roman"/>
          <w:noProof/>
        </w:rPr>
        <w:t xml:space="preserve">(Gwiazda </w:t>
      </w:r>
      <w:r w:rsidR="00E75244" w:rsidRPr="002F6448">
        <w:rPr>
          <w:rFonts w:ascii="Times New Roman" w:eastAsia="Times New Roman" w:hAnsi="Times New Roman" w:cs="Times New Roman"/>
          <w:i/>
          <w:noProof/>
        </w:rPr>
        <w:t>et al.</w:t>
      </w:r>
      <w:r w:rsidR="00E75244" w:rsidRPr="002F6448">
        <w:rPr>
          <w:rFonts w:ascii="Times New Roman" w:eastAsia="Times New Roman" w:hAnsi="Times New Roman" w:cs="Times New Roman"/>
          <w:noProof/>
        </w:rPr>
        <w:t>, 2011)</w:t>
      </w:r>
      <w:r w:rsidR="00E75244"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w:t>
      </w:r>
    </w:p>
    <w:p w14:paraId="344A855D" w14:textId="77777777" w:rsidR="003F6C20" w:rsidRPr="002F6448" w:rsidRDefault="003F6C20" w:rsidP="003F6C20">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rPr>
        <w:t>The prevalence of screen exp</w:t>
      </w:r>
      <w:r w:rsidR="00127EF2" w:rsidRPr="002F6448">
        <w:rPr>
          <w:rFonts w:ascii="Times New Roman" w:eastAsia="Times New Roman" w:hAnsi="Times New Roman" w:cs="Times New Roman"/>
        </w:rPr>
        <w:t>osure was also high, with all</w:t>
      </w:r>
      <w:r w:rsidRPr="002F6448">
        <w:rPr>
          <w:rFonts w:ascii="Times New Roman" w:eastAsia="Times New Roman" w:hAnsi="Times New Roman" w:cs="Times New Roman"/>
        </w:rPr>
        <w:t xml:space="preserve"> participants reporting access to a television and 45.8% viewing it from less than two meters away. Additionally, 35.3% of children owned mobile phones, tablets, or computers. These rates far exceed those reported in earlier Tanzanian studies</w:t>
      </w:r>
      <w:r w:rsidR="005A5FF5" w:rsidRPr="002F6448">
        <w:rPr>
          <w:rFonts w:ascii="Times New Roman" w:eastAsia="Times New Roman" w:hAnsi="Times New Roman" w:cs="Times New Roman"/>
        </w:rPr>
        <w:t xml:space="preserve"> </w:t>
      </w:r>
      <w:r w:rsidR="005A5FF5" w:rsidRPr="002F6448">
        <w:rPr>
          <w:rFonts w:ascii="Times New Roman" w:eastAsia="Times New Roman" w:hAnsi="Times New Roman" w:cs="Times New Roman"/>
        </w:rPr>
        <w:fldChar w:fldCharType="begin" w:fldLock="1"/>
      </w:r>
      <w:r w:rsidR="005A5FF5" w:rsidRPr="002F6448">
        <w:rPr>
          <w:rFonts w:ascii="Times New Roman" w:eastAsia="Times New Roman" w:hAnsi="Times New Roman" w:cs="Times New Roman"/>
        </w:rPr>
        <w:instrText>ADDIN CSL_CITATION {"citationItems":[{"id":"ITEM-1","itemData":{"DOI":"10.1136/bjo.86.11.1200","ISSN":"00071161","PMID":"12386067","abstract":"Background/aims: The prevalence of significant refractive errors and other eye diseases was measured in 2511 secondary school students aged 11-27 years in Mwanza City, Tanzania. Risk factors for myopia were explored. Methods: A questionnaire assessed the students' socioeconomic background and exposure to near work followed by visual acuity assessment and a full eye examination. Non-cycloplegic objective and subjective refraction was done on all participants with visual acuity of worse than 6/12 in either eye without an obvious cause. Results: 154 (6.1%) students had significant refractive errors. Myopia was the leading refractive error (5.6%). Amblyopia (0.4%), strabismus (0.2%), and other treatable eye disorders were uncommon. Only 30.3% of students with significant refractive errors wore spectacles before the survey. Age, sex, ethnicity, father's educational status, and a family history of siblings with spectacles were significant independent risk factors for myopia. Conclusion: The prevalence of uncorrected significant refractive errors is high enough to justify a regular school eye screening programme in secondary schools in Tanzania. Risk factors for myopia are similar to those reported in European, North-American, and Asian populations.","author":[{"dropping-particle":"","family":"Wedner","given":"S. H.","non-dropping-particle":"","parse-names":false,"suffix":""},{"dropping-particle":"","family":"Ross","given":"D. A.","non-dropping-particle":"","parse-names":false,"suffix":""},{"dropping-particle":"","family":"Todd","given":"J.","non-dropping-particle":"","parse-names":false,"suffix":""},{"dropping-particle":"","family":"Anemona","given":"A.","non-dropping-particle":"","parse-names":false,"suffix":""},{"dropping-particle":"","family":"Balira","given":"R.","non-dropping-particle":"","parse-names":false,"suffix":""},{"dropping-particle":"","family":"Foster","given":"A.","non-dropping-particle":"","parse-names":false,"suffix":""}],"container-title":"British Journal of Ophthalmology","id":"ITEM-1","issue":"11","issued":{"date-parts":[["2002"]]},"page":"1200-1206","title":"Myopia in secondary school students in Mwanza City, Tanzania: The need for a national screening programme","type":"article-journal","volume":"86"},"uris":["http://www.mendeley.com/documents/?uuid=1d889f71-9a92-4e56-918a-80320e8e9e9a"]}],"mendeley":{"formattedCitation":"(Wedner &lt;i&gt;et al.&lt;/i&gt;, 2002)","plainTextFormattedCitation":"(Wedner et al., 2002)","previouslyFormattedCitation":"(Wedner &lt;i&gt;et al.&lt;/i&gt;, 2002)"},"properties":{"noteIndex":0},"schema":"https://github.com/citation-style-language/schema/raw/master/csl-citation.json"}</w:instrText>
      </w:r>
      <w:r w:rsidR="005A5FF5" w:rsidRPr="002F6448">
        <w:rPr>
          <w:rFonts w:ascii="Times New Roman" w:eastAsia="Times New Roman" w:hAnsi="Times New Roman" w:cs="Times New Roman"/>
        </w:rPr>
        <w:fldChar w:fldCharType="separate"/>
      </w:r>
      <w:r w:rsidR="005A5FF5" w:rsidRPr="002F6448">
        <w:rPr>
          <w:rFonts w:ascii="Times New Roman" w:eastAsia="Times New Roman" w:hAnsi="Times New Roman" w:cs="Times New Roman"/>
          <w:noProof/>
        </w:rPr>
        <w:t xml:space="preserve">(Wedner </w:t>
      </w:r>
      <w:r w:rsidR="005A5FF5" w:rsidRPr="002F6448">
        <w:rPr>
          <w:rFonts w:ascii="Times New Roman" w:eastAsia="Times New Roman" w:hAnsi="Times New Roman" w:cs="Times New Roman"/>
          <w:i/>
          <w:noProof/>
        </w:rPr>
        <w:t>et al.</w:t>
      </w:r>
      <w:r w:rsidR="005A5FF5" w:rsidRPr="002F6448">
        <w:rPr>
          <w:rFonts w:ascii="Times New Roman" w:eastAsia="Times New Roman" w:hAnsi="Times New Roman" w:cs="Times New Roman"/>
          <w:noProof/>
        </w:rPr>
        <w:t>, 2002)</w:t>
      </w:r>
      <w:r w:rsidR="005A5FF5"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 where 67% had access to television and only 9.7% to computers. This rising trend in digital screen use highlights the importance of educating both parents and children about healthy visual habits to mitigate risk</w:t>
      </w:r>
      <w:r w:rsidR="008342C7" w:rsidRPr="002F6448">
        <w:rPr>
          <w:rFonts w:ascii="Times New Roman" w:eastAsia="Times New Roman" w:hAnsi="Times New Roman" w:cs="Times New Roman"/>
        </w:rPr>
        <w:t xml:space="preserve"> </w:t>
      </w:r>
      <w:r w:rsidR="008342C7" w:rsidRPr="002F6448">
        <w:rPr>
          <w:rFonts w:ascii="Times New Roman" w:eastAsia="Times New Roman" w:hAnsi="Times New Roman" w:cs="Times New Roman"/>
        </w:rPr>
        <w:fldChar w:fldCharType="begin" w:fldLock="1"/>
      </w:r>
      <w:r w:rsidR="00881150" w:rsidRPr="002F6448">
        <w:rPr>
          <w:rFonts w:ascii="Times New Roman" w:eastAsia="Times New Roman" w:hAnsi="Times New Roman" w:cs="Times New Roman"/>
        </w:rPr>
        <w:instrText>ADDIN CSL_CITATION {"citationItems":[{"id":"ITEM-1","itemData":{"DOI":"10.1001/jamaophthalmol.2020.6239","ISSN":"21686173","PMID":"33443542","abstract":"Importance: Time spent in outdoor activities has decreased owing to home confinement for the coronavirus disease 2019 (COVID-19) pandemic. Concerns have been raised about whether home confinement may have worsened the burden of myopia owing to substantially decreased time spent outdoors and increased screen time at home. Objective: To investigate the refractive changes and prevalence of myopia in school-aged children during the COVID-19 home confinement. Design, Setting, and Participants: A prospective cross-sectional study using school-based photoscreenings in 123535 children aged 6 to 13 years from 10 elementary schools in Feicheng, China, was conducted. The study was performed during 6 consecutive years (2015-2020). Data were analyzed in July 2020. Exposures: Noncycloplegic photorefraction was examined using a photoscreener device. Main Outcomes and Measures: The spherical equivalent refraction was recorded for each child and the prevalence of myopia for each age group during each year was calculated. The mean spherical equivalent refraction and prevalence of myopia were compared between 2020 (after home confinement) and the previous 5 years for each age group. Results: Of the 123535 children included in the study, 64335 (52.1%) were boys. A total of 194904 test results (389808 eyes) were included in the analysis. A substantial myopic shift (approximately -0.3 diopters [D]) was found in the 2020 school-based photoscreenings compared with previous years (2015-2019) for younger children aged 6 (-0.32 D), 7 (-0.28 D), and 8 (-0.29 D) years. The prevalence of myopia in the 2020 photoscreenings was higher than the highest prevalence of myopia within 2015-2019 for children aged 6 (21.5% vs 5.7%), 7 (26.2% vs 16.2%), and 8 (37.2% vs 27.7%) years. The differences in spherical equivalent refraction and the prevalence of myopia between 2020 and previous years were minimal in children aged 9 to 13 years. Conclusions and Relevance: Home confinement during the COVID-19 pandemic appeared to be associated with a significant myopic shift for children aged 6 to 8 years according to 2020 school-based photoscreenings. However, numerous limitations warrant caution in the interpretation of these associations, including use of noncycloplegic refractions and lack of orthokeratology history or ocular biometry data. Younger children's refractive status may be more sensitive to environmental changes than older ages, given the younger children are in a critical period for the …","author":[{"dropping-particle":"","family":"Wang","given":"Jiaxing","non-dropping-particle":"","parse-names":false,"suffix":""},{"dropping-particle":"","family":"Li","given":"Ying","non-dropping-particle":"","parse-names":false,"suffix":""},{"dropping-particle":"","family":"Musch","given":"David C.","non-dropping-particle":"","parse-names":false,"suffix":""},{"dropping-particle":"","family":"Wei","given":"Nan","non-dropping-particle":"","parse-names":false,"suffix":""},{"dropping-particle":"","family":"Qi","given":"Xiaoli","non-dropping-particle":"","parse-names":false,"suffix":""},{"dropping-particle":"","family":"Ding","given":"Gang","non-dropping-particle":"","parse-names":false,"suffix":""},{"dropping-particle":"","family":"Li","given":"Xue","non-dropping-particle":"","parse-names":false,"suffix":""},{"dropping-particle":"","family":"Li","given":"Jing","non-dropping-particle":"","parse-names":false,"suffix":""},{"dropping-particle":"","family":"Song","given":"Linlin","non-dropping-particle":"","parse-names":false,"suffix":""},{"dropping-particle":"","family":"Zhang","given":"Ying","non-dropping-particle":"","parse-names":false,"suffix":""},{"dropping-particle":"","family":"Ning","given":"Yuxian","non-dropping-particle":"","parse-names":false,"suffix":""},{"dropping-particle":"","family":"Zeng","given":"Xiaoyu","non-dropping-particle":"","parse-names":false,"suffix":""},{"dropping-particle":"","family":"Hua","given":"Ning","non-dropping-particle":"","parse-names":false,"suffix":""},{"dropping-particle":"","family":"Li","given":"Shuo","non-dropping-particle":"","parse-names":false,"suffix":""},{"dropping-particle":"","family":"Qian","given":"Xuehan","non-dropping-particle":"","parse-names":false,"suffix":""}],"container-title":"JAMA Ophthalmology","id":"ITEM-1","issue":"3","issued":{"date-parts":[["2021"]]},"page":"293-300","title":"Progression of Myopia in School-Aged Children after COVID-19 Home Confinement","type":"article-journal","volume":"139"},"uris":["http://www.mendeley.com/documents/?uuid=aaa156a0-834a-472b-b1c2-773505d61107"]}],"mendeley":{"formattedCitation":"(Wang &lt;i&gt;et al.&lt;/i&gt;, 2021)","plainTextFormattedCitation":"(Wang et al., 2021)","previouslyFormattedCitation":"(Wang &lt;i&gt;et al.&lt;/i&gt;, 2021)"},"properties":{"noteIndex":0},"schema":"https://github.com/citation-style-language/schema/raw/master/csl-citation.json"}</w:instrText>
      </w:r>
      <w:r w:rsidR="008342C7" w:rsidRPr="002F6448">
        <w:rPr>
          <w:rFonts w:ascii="Times New Roman" w:eastAsia="Times New Roman" w:hAnsi="Times New Roman" w:cs="Times New Roman"/>
        </w:rPr>
        <w:fldChar w:fldCharType="separate"/>
      </w:r>
      <w:r w:rsidR="00881150" w:rsidRPr="002F6448">
        <w:rPr>
          <w:rFonts w:ascii="Times New Roman" w:eastAsia="Times New Roman" w:hAnsi="Times New Roman" w:cs="Times New Roman"/>
          <w:noProof/>
        </w:rPr>
        <w:t xml:space="preserve">(Wang </w:t>
      </w:r>
      <w:r w:rsidR="00881150" w:rsidRPr="002F6448">
        <w:rPr>
          <w:rFonts w:ascii="Times New Roman" w:eastAsia="Times New Roman" w:hAnsi="Times New Roman" w:cs="Times New Roman"/>
          <w:i/>
          <w:noProof/>
        </w:rPr>
        <w:t>et al.</w:t>
      </w:r>
      <w:r w:rsidR="00881150" w:rsidRPr="002F6448">
        <w:rPr>
          <w:rFonts w:ascii="Times New Roman" w:eastAsia="Times New Roman" w:hAnsi="Times New Roman" w:cs="Times New Roman"/>
          <w:noProof/>
        </w:rPr>
        <w:t>, 2021)</w:t>
      </w:r>
      <w:r w:rsidR="008342C7" w:rsidRPr="002F6448">
        <w:rPr>
          <w:rFonts w:ascii="Times New Roman" w:eastAsia="Times New Roman" w:hAnsi="Times New Roman" w:cs="Times New Roman"/>
        </w:rPr>
        <w:fldChar w:fldCharType="end"/>
      </w:r>
      <w:r w:rsidRPr="002F6448">
        <w:rPr>
          <w:rFonts w:ascii="Times New Roman" w:eastAsia="Times New Roman" w:hAnsi="Times New Roman" w:cs="Times New Roman"/>
        </w:rPr>
        <w:t>.</w:t>
      </w:r>
    </w:p>
    <w:p w14:paraId="29EB1F45" w14:textId="77777777" w:rsidR="00B2109E" w:rsidRPr="002F6448" w:rsidRDefault="00B2109E" w:rsidP="003F6C20">
      <w:pPr>
        <w:spacing w:before="100" w:beforeAutospacing="1" w:after="100" w:afterAutospacing="1" w:line="240" w:lineRule="auto"/>
        <w:rPr>
          <w:rFonts w:ascii="Times New Roman" w:eastAsia="Times New Roman" w:hAnsi="Times New Roman" w:cs="Times New Roman"/>
        </w:rPr>
      </w:pPr>
    </w:p>
    <w:p w14:paraId="3C1B75C7" w14:textId="77777777" w:rsidR="00B2109E" w:rsidRPr="002F6448"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lastRenderedPageBreak/>
        <w:t>Strengths and Limitations</w:t>
      </w:r>
    </w:p>
    <w:p w14:paraId="048239B9" w14:textId="77777777" w:rsidR="00B2109E" w:rsidRPr="002F6448"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 xml:space="preserve">This study provides valuable data on the rate and determinants of myopia progression among children attending KCMC, serving as a foundation for future interventions. The use of objective rather than subjective refraction methods enhanced the accuracy and reliability of measurements. Several strategies were employed to minimize bias: recall bias was reduced through the use of short recall periods, a structured and pretested questionnaire, parental or caregiver verification of responses, and face to face interviews; non-response bias was mitigated by including participants who had previously visited the hospital and were therefore more likely to return. Nonetheless, the </w:t>
      </w:r>
      <w:proofErr w:type="gramStart"/>
      <w:r w:rsidRPr="002F6448">
        <w:rPr>
          <w:rFonts w:ascii="Times New Roman" w:hAnsi="Times New Roman" w:cs="Times New Roman"/>
        </w:rPr>
        <w:t>cross sectional</w:t>
      </w:r>
      <w:proofErr w:type="gramEnd"/>
      <w:r w:rsidRPr="002F6448">
        <w:rPr>
          <w:rFonts w:ascii="Times New Roman" w:hAnsi="Times New Roman" w:cs="Times New Roman"/>
        </w:rPr>
        <w:t xml:space="preserve"> design and single-center setting may limit the generalizability of the findings</w:t>
      </w:r>
      <w:r w:rsidRPr="002F6448">
        <w:rPr>
          <w:rFonts w:ascii="Times New Roman" w:eastAsia="Times New Roman" w:hAnsi="Times New Roman" w:cs="Times New Roman"/>
        </w:rPr>
        <w:t>.</w:t>
      </w:r>
    </w:p>
    <w:p w14:paraId="12ED2D4D" w14:textId="77777777" w:rsidR="00B2109E" w:rsidRPr="002F6448"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t>Conclusion</w:t>
      </w:r>
    </w:p>
    <w:p w14:paraId="2FEF9434" w14:textId="77777777" w:rsidR="00E15ABC" w:rsidRPr="002F6448" w:rsidRDefault="00E15ABC"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hAnsi="Times New Roman" w:cs="Times New Roman"/>
        </w:rPr>
        <w:t>This study highlights a substantial burden of myopia progression among children attending the KCMC Pediat</w:t>
      </w:r>
      <w:r w:rsidR="00773D1E" w:rsidRPr="002F6448">
        <w:rPr>
          <w:rFonts w:ascii="Times New Roman" w:hAnsi="Times New Roman" w:cs="Times New Roman"/>
        </w:rPr>
        <w:t xml:space="preserve">ric Eye Clinic, with nearly two </w:t>
      </w:r>
      <w:r w:rsidRPr="002F6448">
        <w:rPr>
          <w:rFonts w:ascii="Times New Roman" w:hAnsi="Times New Roman" w:cs="Times New Roman"/>
        </w:rPr>
        <w:t>thirds of participants showing</w:t>
      </w:r>
      <w:r w:rsidR="00773D1E" w:rsidRPr="002F6448">
        <w:rPr>
          <w:rFonts w:ascii="Times New Roman" w:hAnsi="Times New Roman" w:cs="Times New Roman"/>
        </w:rPr>
        <w:t xml:space="preserve"> myopia progression</w:t>
      </w:r>
      <w:r w:rsidRPr="002F6448">
        <w:rPr>
          <w:rFonts w:ascii="Times New Roman" w:hAnsi="Times New Roman" w:cs="Times New Roman"/>
        </w:rPr>
        <w:t>. Independent predictors of progression included younger age, prolonged near work, close television viewing distance, and a positive family history of myopia. Although othe</w:t>
      </w:r>
      <w:r w:rsidR="00A63162" w:rsidRPr="002F6448">
        <w:rPr>
          <w:rFonts w:ascii="Times New Roman" w:hAnsi="Times New Roman" w:cs="Times New Roman"/>
        </w:rPr>
        <w:t xml:space="preserve">r factors such as spectacle non </w:t>
      </w:r>
      <w:r w:rsidRPr="002F6448">
        <w:rPr>
          <w:rFonts w:ascii="Times New Roman" w:hAnsi="Times New Roman" w:cs="Times New Roman"/>
        </w:rPr>
        <w:t>wear and mobile device use were significant in unadjusted models, they did not retain significance after adjustment suggesting potential confounding or indirect associations through related behaviors such as near work or reduced outdoor activity</w:t>
      </w:r>
      <w:r w:rsidRPr="002F6448">
        <w:t>.</w:t>
      </w:r>
    </w:p>
    <w:p w14:paraId="15154F55" w14:textId="77777777" w:rsidR="00B2109E" w:rsidRDefault="00B2109E" w:rsidP="00B2109E">
      <w:pPr>
        <w:spacing w:before="100" w:beforeAutospacing="1" w:after="100" w:afterAutospacing="1" w:line="240" w:lineRule="auto"/>
        <w:rPr>
          <w:rFonts w:ascii="Times New Roman" w:eastAsia="Times New Roman" w:hAnsi="Times New Roman" w:cs="Times New Roman"/>
        </w:rPr>
      </w:pPr>
      <w:r w:rsidRPr="002F6448">
        <w:rPr>
          <w:rFonts w:ascii="Times New Roman" w:eastAsia="Times New Roman" w:hAnsi="Times New Roman" w:cs="Times New Roman"/>
          <w:b/>
          <w:bCs/>
        </w:rPr>
        <w:t>Recommendations</w:t>
      </w:r>
      <w:r w:rsidRPr="002F6448">
        <w:rPr>
          <w:rFonts w:ascii="Times New Roman" w:eastAsia="Times New Roman" w:hAnsi="Times New Roman" w:cs="Times New Roman"/>
        </w:rPr>
        <w:br/>
        <w:t xml:space="preserve">Educational initiatives should target caregivers to improve awareness of modifiable risk factors, including screen time and near work habits. Consistent spectacle wear should be encouraged. Clinicians should explore </w:t>
      </w:r>
      <w:proofErr w:type="gramStart"/>
      <w:r w:rsidRPr="002F6448">
        <w:rPr>
          <w:rFonts w:ascii="Times New Roman" w:eastAsia="Times New Roman" w:hAnsi="Times New Roman" w:cs="Times New Roman"/>
        </w:rPr>
        <w:t>evidence based</w:t>
      </w:r>
      <w:proofErr w:type="gramEnd"/>
      <w:r w:rsidRPr="002F6448">
        <w:rPr>
          <w:rFonts w:ascii="Times New Roman" w:eastAsia="Times New Roman" w:hAnsi="Times New Roman" w:cs="Times New Roman"/>
        </w:rPr>
        <w:t xml:space="preserve"> interventions such as low dose atropine and myopia control lenses. Policymakers are urged to support school screening programs and access to affordable eye care. Further </w:t>
      </w:r>
      <w:proofErr w:type="gramStart"/>
      <w:r w:rsidRPr="002F6448">
        <w:rPr>
          <w:rFonts w:ascii="Times New Roman" w:eastAsia="Times New Roman" w:hAnsi="Times New Roman" w:cs="Times New Roman"/>
        </w:rPr>
        <w:t>large scale</w:t>
      </w:r>
      <w:proofErr w:type="gramEnd"/>
      <w:r w:rsidRPr="002F6448">
        <w:rPr>
          <w:rFonts w:ascii="Times New Roman" w:eastAsia="Times New Roman" w:hAnsi="Times New Roman" w:cs="Times New Roman"/>
        </w:rPr>
        <w:t xml:space="preserve"> community studies are needed to support region specific strategies.</w:t>
      </w:r>
    </w:p>
    <w:p w14:paraId="09D0834D" w14:textId="77777777" w:rsidR="00CA0482" w:rsidRDefault="00CA0482" w:rsidP="00B2109E">
      <w:pPr>
        <w:spacing w:before="100" w:beforeAutospacing="1" w:after="100" w:afterAutospacing="1" w:line="240" w:lineRule="auto"/>
        <w:rPr>
          <w:rFonts w:ascii="Times New Roman" w:eastAsia="Times New Roman" w:hAnsi="Times New Roman" w:cs="Times New Roman"/>
        </w:rPr>
      </w:pPr>
    </w:p>
    <w:p w14:paraId="75010650" w14:textId="77777777" w:rsidR="00CA0482" w:rsidRPr="00CA0482" w:rsidRDefault="00CA0482" w:rsidP="00CA0482">
      <w:pPr>
        <w:spacing w:before="100" w:beforeAutospacing="1" w:after="100" w:afterAutospacing="1" w:line="240" w:lineRule="auto"/>
        <w:rPr>
          <w:rFonts w:ascii="Times New Roman" w:eastAsia="Times New Roman" w:hAnsi="Times New Roman" w:cs="Times New Roman"/>
        </w:rPr>
      </w:pPr>
      <w:r w:rsidRPr="00CA0482">
        <w:rPr>
          <w:rFonts w:ascii="Times New Roman" w:eastAsia="Times New Roman" w:hAnsi="Times New Roman" w:cs="Times New Roman"/>
        </w:rPr>
        <w:t>COMPETING INTERESTS DISCLAIMER:</w:t>
      </w:r>
    </w:p>
    <w:p w14:paraId="6BFB2D62" w14:textId="435C12F1" w:rsidR="00CA0482" w:rsidRPr="002F6448" w:rsidRDefault="00CA0482" w:rsidP="00CA0482">
      <w:pPr>
        <w:spacing w:before="100" w:beforeAutospacing="1" w:after="100" w:afterAutospacing="1" w:line="240" w:lineRule="auto"/>
        <w:rPr>
          <w:rFonts w:ascii="Times New Roman" w:eastAsia="Times New Roman" w:hAnsi="Times New Roman" w:cs="Times New Roman"/>
        </w:rPr>
      </w:pPr>
      <w:r w:rsidRPr="00CA0482">
        <w:rPr>
          <w:rFonts w:ascii="Times New Roman" w:eastAsia="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D912B72" w14:textId="77777777" w:rsidR="00B2109E" w:rsidRPr="002F6448" w:rsidRDefault="00B2109E" w:rsidP="003F6C20">
      <w:pPr>
        <w:spacing w:before="100" w:beforeAutospacing="1" w:after="100" w:afterAutospacing="1" w:line="240" w:lineRule="auto"/>
        <w:rPr>
          <w:rFonts w:ascii="Times New Roman" w:eastAsia="Times New Roman" w:hAnsi="Times New Roman" w:cs="Times New Roman"/>
        </w:rPr>
      </w:pPr>
    </w:p>
    <w:p w14:paraId="753C9DC3" w14:textId="77777777" w:rsidR="003F6C20" w:rsidRPr="009B06F9" w:rsidRDefault="003F6C20" w:rsidP="00FC4A95">
      <w:pPr>
        <w:spacing w:before="100" w:beforeAutospacing="1" w:after="100" w:afterAutospacing="1" w:line="240" w:lineRule="auto"/>
        <w:rPr>
          <w:rFonts w:ascii="Times New Roman" w:eastAsia="Times New Roman" w:hAnsi="Times New Roman" w:cs="Times New Roman"/>
        </w:rPr>
      </w:pPr>
    </w:p>
    <w:p w14:paraId="317D2AAA" w14:textId="77777777" w:rsidR="007D1CD9" w:rsidRPr="009B06F9" w:rsidRDefault="00B2109E" w:rsidP="00FC4A95">
      <w:pPr>
        <w:spacing w:before="100" w:beforeAutospacing="1" w:after="100" w:afterAutospacing="1" w:line="240" w:lineRule="auto"/>
        <w:rPr>
          <w:rFonts w:ascii="Times New Roman" w:eastAsia="Times New Roman" w:hAnsi="Times New Roman" w:cs="Times New Roman"/>
          <w:b/>
        </w:rPr>
      </w:pPr>
      <w:r>
        <w:rPr>
          <w:rFonts w:ascii="Times New Roman" w:eastAsia="Times New Roman" w:hAnsi="Times New Roman" w:cs="Times New Roman"/>
          <w:b/>
        </w:rPr>
        <w:t>REF</w:t>
      </w:r>
      <w:r w:rsidR="007D1CD9" w:rsidRPr="009B06F9">
        <w:rPr>
          <w:rFonts w:ascii="Times New Roman" w:eastAsia="Times New Roman" w:hAnsi="Times New Roman" w:cs="Times New Roman"/>
          <w:b/>
        </w:rPr>
        <w:t>ERENCES:</w:t>
      </w:r>
    </w:p>
    <w:p w14:paraId="29DA9A18" w14:textId="77777777" w:rsidR="00C1691C" w:rsidRPr="00C1691C" w:rsidRDefault="007D1CD9" w:rsidP="00C1691C">
      <w:pPr>
        <w:widowControl w:val="0"/>
        <w:autoSpaceDE w:val="0"/>
        <w:autoSpaceDN w:val="0"/>
        <w:adjustRightInd w:val="0"/>
        <w:spacing w:before="100" w:after="100" w:line="240" w:lineRule="auto"/>
        <w:rPr>
          <w:rFonts w:ascii="Times New Roman" w:hAnsi="Times New Roman" w:cs="Times New Roman"/>
          <w:noProof/>
          <w:szCs w:val="24"/>
        </w:rPr>
      </w:pPr>
      <w:r w:rsidRPr="009B06F9">
        <w:rPr>
          <w:rFonts w:ascii="Times New Roman" w:eastAsia="Times New Roman" w:hAnsi="Times New Roman" w:cs="Times New Roman"/>
        </w:rPr>
        <w:fldChar w:fldCharType="begin" w:fldLock="1"/>
      </w:r>
      <w:r w:rsidRPr="009B06F9">
        <w:rPr>
          <w:rFonts w:ascii="Times New Roman" w:eastAsia="Times New Roman" w:hAnsi="Times New Roman" w:cs="Times New Roman"/>
        </w:rPr>
        <w:instrText xml:space="preserve">ADDIN Mendeley Bibliography CSL_BIBLIOGRAPHY </w:instrText>
      </w:r>
      <w:r w:rsidRPr="009B06F9">
        <w:rPr>
          <w:rFonts w:ascii="Times New Roman" w:eastAsia="Times New Roman" w:hAnsi="Times New Roman" w:cs="Times New Roman"/>
        </w:rPr>
        <w:fldChar w:fldCharType="separate"/>
      </w:r>
      <w:r w:rsidR="00C1691C" w:rsidRPr="00C1691C">
        <w:rPr>
          <w:rFonts w:ascii="Times New Roman" w:hAnsi="Times New Roman" w:cs="Times New Roman"/>
          <w:noProof/>
          <w:szCs w:val="24"/>
        </w:rPr>
        <w:t xml:space="preserve">Allen, P.M. </w:t>
      </w:r>
      <w:r w:rsidR="00C1691C" w:rsidRPr="00C1691C">
        <w:rPr>
          <w:rFonts w:ascii="Times New Roman" w:hAnsi="Times New Roman" w:cs="Times New Roman"/>
          <w:i/>
          <w:iCs/>
          <w:noProof/>
          <w:szCs w:val="24"/>
        </w:rPr>
        <w:t>et al.</w:t>
      </w:r>
      <w:r w:rsidR="00C1691C" w:rsidRPr="00C1691C">
        <w:rPr>
          <w:rFonts w:ascii="Times New Roman" w:hAnsi="Times New Roman" w:cs="Times New Roman"/>
          <w:noProof/>
          <w:szCs w:val="24"/>
        </w:rPr>
        <w:t xml:space="preserve"> (2013) ‘A randomised clinical trial to assess the effect of a dual treatment on myopia progression: The Cambridge Anti-Myopia Study’, </w:t>
      </w:r>
      <w:r w:rsidR="00C1691C" w:rsidRPr="00C1691C">
        <w:rPr>
          <w:rFonts w:ascii="Times New Roman" w:hAnsi="Times New Roman" w:cs="Times New Roman"/>
          <w:i/>
          <w:iCs/>
          <w:noProof/>
          <w:szCs w:val="24"/>
        </w:rPr>
        <w:t>Ophthalmic and Physiological Optics</w:t>
      </w:r>
      <w:r w:rsidR="00C1691C" w:rsidRPr="00C1691C">
        <w:rPr>
          <w:rFonts w:ascii="Times New Roman" w:hAnsi="Times New Roman" w:cs="Times New Roman"/>
          <w:noProof/>
          <w:szCs w:val="24"/>
        </w:rPr>
        <w:t>, 33(3), pp. 267–276. Available at: https://doi.org/10.1111/opo.12035.</w:t>
      </w:r>
    </w:p>
    <w:p w14:paraId="4256587F"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Bron, A.J., Paterson, C. and Cunha-Vaz, J. (2004) ‘Experimental Eye Research: Editorial’, </w:t>
      </w:r>
      <w:r w:rsidRPr="00C1691C">
        <w:rPr>
          <w:rFonts w:ascii="Times New Roman" w:hAnsi="Times New Roman" w:cs="Times New Roman"/>
          <w:i/>
          <w:iCs/>
          <w:noProof/>
          <w:szCs w:val="24"/>
        </w:rPr>
        <w:t>Experimental Eye Research</w:t>
      </w:r>
      <w:r w:rsidRPr="00C1691C">
        <w:rPr>
          <w:rFonts w:ascii="Times New Roman" w:hAnsi="Times New Roman" w:cs="Times New Roman"/>
          <w:noProof/>
          <w:szCs w:val="24"/>
        </w:rPr>
        <w:t>, 78(3), pp. 1–11. Available at: https://doi.org/10.1016/j.exer.2003.11.002.</w:t>
      </w:r>
    </w:p>
    <w:p w14:paraId="058DC87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Cooper, J. and Tkatchenko, A. V (2018) ‘A Review of Current Concepts of the Etiology and Treatment of Myopia’, 44(4). Available at: https://doi.org/10.1097/ICL.0000000000000499.</w:t>
      </w:r>
    </w:p>
    <w:p w14:paraId="2B4F7BC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Flitcroft, D.I.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(2019) ‘IMI – Defining and classifying myopia: A proposed set of standards for clinical and epidemiologic studies’,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60(3), pp. M20–M30. Available at: https://doi.org/10.1167/iovs.18-25957.</w:t>
      </w:r>
    </w:p>
    <w:p w14:paraId="234B79C0"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lastRenderedPageBreak/>
        <w:t>Fricke, T.R. and Flanagan, J. (2019) ‘Myopia : a growing epidemic’, (January), pp. 27–28.</w:t>
      </w:r>
    </w:p>
    <w:p w14:paraId="218A7E0A"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Graddipneurosci, K.A.R. (2018) ‘C L I N I C A L A N D E X P E R I M E N TA L Myopia : is the nature-nurture debate fi nally over ?’, pp. 1–15. Available at: https://doi.org/10.1111/cxo.12845.</w:t>
      </w:r>
    </w:p>
    <w:p w14:paraId="5911FD74"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Grzybowski, A.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(2020) ‘</w:t>
      </w:r>
      <w:r w:rsidRPr="00C1691C">
        <w:rPr>
          <w:rFonts w:ascii="Times New Roman" w:eastAsia="MS Gothic" w:hAnsi="Times New Roman" w:cs="Times New Roman" w:hint="eastAsia"/>
          <w:noProof/>
          <w:szCs w:val="24"/>
        </w:rPr>
        <w:t>全球。儿童。近</w:t>
      </w:r>
      <w:r w:rsidRPr="00C1691C">
        <w:rPr>
          <w:rFonts w:ascii="Times New Roman" w:eastAsia="Microsoft JhengHei" w:hAnsi="Times New Roman" w:cs="Times New Roman" w:hint="eastAsia"/>
          <w:noProof/>
          <w:szCs w:val="24"/>
        </w:rPr>
        <w:t>视发病率。</w:t>
      </w:r>
      <w:r w:rsidRPr="00C1691C">
        <w:rPr>
          <w:rFonts w:ascii="Times New Roman" w:hAnsi="Times New Roman" w:cs="Times New Roman"/>
          <w:noProof/>
          <w:szCs w:val="24"/>
        </w:rPr>
        <w:t xml:space="preserve">’, </w:t>
      </w:r>
      <w:r w:rsidRPr="00C1691C">
        <w:rPr>
          <w:rFonts w:ascii="Times New Roman" w:hAnsi="Times New Roman" w:cs="Times New Roman"/>
          <w:i/>
          <w:iCs/>
          <w:noProof/>
          <w:szCs w:val="24"/>
        </w:rPr>
        <w:t>BMC ophthalmology</w:t>
      </w:r>
      <w:r w:rsidRPr="00C1691C">
        <w:rPr>
          <w:rFonts w:ascii="Times New Roman" w:hAnsi="Times New Roman" w:cs="Times New Roman"/>
          <w:noProof/>
          <w:szCs w:val="24"/>
        </w:rPr>
        <w:t>, 20(1), p. 27. Available at: https://doi.org/10.1186/s12886-019-1220-0%0AREVIEW.</w:t>
      </w:r>
    </w:p>
    <w:p w14:paraId="22353158"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Gwiazda, J.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(2011) ‘Association of education and occupation with myopia in COMET parents’, </w:t>
      </w:r>
      <w:r w:rsidRPr="00C1691C">
        <w:rPr>
          <w:rFonts w:ascii="Times New Roman" w:hAnsi="Times New Roman" w:cs="Times New Roman"/>
          <w:i/>
          <w:iCs/>
          <w:noProof/>
          <w:szCs w:val="24"/>
        </w:rPr>
        <w:t>Optometry and Vision Science</w:t>
      </w:r>
      <w:r w:rsidRPr="00C1691C">
        <w:rPr>
          <w:rFonts w:ascii="Times New Roman" w:hAnsi="Times New Roman" w:cs="Times New Roman"/>
          <w:noProof/>
          <w:szCs w:val="24"/>
        </w:rPr>
        <w:t>, 88(9), pp. 1045–1053. Available at: https://doi.org/10.1097/OPX.0b013e31822171ad.</w:t>
      </w:r>
    </w:p>
    <w:p w14:paraId="6DB2CD84"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Holden, B.A.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(2016) ‘Global Prevalence of Myopia and High Myopia and Temporal Trends from 2000 through 2050’, </w:t>
      </w:r>
      <w:r w:rsidRPr="00C1691C">
        <w:rPr>
          <w:rFonts w:ascii="Times New Roman" w:hAnsi="Times New Roman" w:cs="Times New Roman"/>
          <w:i/>
          <w:iCs/>
          <w:noProof/>
          <w:szCs w:val="24"/>
        </w:rPr>
        <w:t>Ophthalmology</w:t>
      </w:r>
      <w:r w:rsidRPr="00C1691C">
        <w:rPr>
          <w:rFonts w:ascii="Times New Roman" w:hAnsi="Times New Roman" w:cs="Times New Roman"/>
          <w:noProof/>
          <w:szCs w:val="24"/>
        </w:rPr>
        <w:t>, 123(5), pp. 1036–1042. Available at: https://doi.org/10.1016/j.ophtha.2016.01.006.</w:t>
      </w:r>
    </w:p>
    <w:p w14:paraId="7F8324E7"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Hsu, C.C.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(2016) ‘Prevalence and risk factors for myopia in second-grade primary school children in Taipei: A population-based study’, </w:t>
      </w:r>
      <w:r w:rsidRPr="00C1691C">
        <w:rPr>
          <w:rFonts w:ascii="Times New Roman" w:hAnsi="Times New Roman" w:cs="Times New Roman"/>
          <w:i/>
          <w:iCs/>
          <w:noProof/>
          <w:szCs w:val="24"/>
        </w:rPr>
        <w:t>Journal of the Chinese Medical Association</w:t>
      </w:r>
      <w:r w:rsidRPr="00C1691C">
        <w:rPr>
          <w:rFonts w:ascii="Times New Roman" w:hAnsi="Times New Roman" w:cs="Times New Roman"/>
          <w:noProof/>
          <w:szCs w:val="24"/>
        </w:rPr>
        <w:t>, 79(11), pp. 625–632. Available at: https://doi.org/10.1016/j.jcma.2016.02.011.</w:t>
      </w:r>
    </w:p>
    <w:p w14:paraId="652BBE1B"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Hsu, C.C.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(2017) ‘Risk factors for myopia progression in second-grade primary school children in Taipei: A population-based cohort study’, </w:t>
      </w:r>
      <w:r w:rsidRPr="00C1691C">
        <w:rPr>
          <w:rFonts w:ascii="Times New Roman" w:hAnsi="Times New Roman" w:cs="Times New Roman"/>
          <w:i/>
          <w:iCs/>
          <w:noProof/>
          <w:szCs w:val="24"/>
        </w:rPr>
        <w:t>British Journal of Ophthalmology</w:t>
      </w:r>
      <w:r w:rsidRPr="00C1691C">
        <w:rPr>
          <w:rFonts w:ascii="Times New Roman" w:hAnsi="Times New Roman" w:cs="Times New Roman"/>
          <w:noProof/>
          <w:szCs w:val="24"/>
        </w:rPr>
        <w:t>, 101(12), pp. 1611–1617. Available at: https://doi.org/10.1136/bjophthalmol-2016-309299.</w:t>
      </w:r>
    </w:p>
    <w:p w14:paraId="5A290C51"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Huang, P.C.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(2020) ‘Protective behaviours of near work and time outdoors in myopia prevalence and progression in myopic children: A 2-year prospective population study’, </w:t>
      </w:r>
      <w:r w:rsidRPr="00C1691C">
        <w:rPr>
          <w:rFonts w:ascii="Times New Roman" w:hAnsi="Times New Roman" w:cs="Times New Roman"/>
          <w:i/>
          <w:iCs/>
          <w:noProof/>
          <w:szCs w:val="24"/>
        </w:rPr>
        <w:t>British Journal of Ophthalmology</w:t>
      </w:r>
      <w:r w:rsidRPr="00C1691C">
        <w:rPr>
          <w:rFonts w:ascii="Times New Roman" w:hAnsi="Times New Roman" w:cs="Times New Roman"/>
          <w:noProof/>
          <w:szCs w:val="24"/>
        </w:rPr>
        <w:t>, 104(7), pp. 956–961. Available at: https://doi.org/10.1136/bjophthalmol-2019-314101.</w:t>
      </w:r>
    </w:p>
    <w:p w14:paraId="73CA5896"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Hyman, L.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(2005) ‘Relationship of Age, Sex, and Ethnicity With Myopia Progression and Axial Elongation in the Correction of Myopia Evaluation Trial’, 123(July).</w:t>
      </w:r>
    </w:p>
    <w:p w14:paraId="34B5788A"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Ip, J.M.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(2008) ‘Role of near work in myopia: Findings in a sample of Australian school children’,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49(7), pp. 2903–2910. Available at: https://doi.org/10.1167/iovs.07-0804.</w:t>
      </w:r>
    </w:p>
    <w:p w14:paraId="30DE1E53"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J. Bao et al (2015) ‘Influence of Near Tasks on Posture in Myopic’, 92(8), pp. 908–915.</w:t>
      </w:r>
    </w:p>
    <w:p w14:paraId="543E27F9"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Jones-Jordan, L.A.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(2012) ‘Time outdoors, visual activity, and myopia progression in juvenile-onset myopes’,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53(11), pp. 7169–7175. Available at: https://doi.org/10.1167/iovs.11-8336.</w:t>
      </w:r>
    </w:p>
    <w:p w14:paraId="6F9062C8"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Kobia-Acquah, E.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(2022) ‘Regional variations and temporal trends of childhood myopia prevalence in Africa: A systematic review and meta-analysis’, </w:t>
      </w:r>
      <w:r w:rsidRPr="00C1691C">
        <w:rPr>
          <w:rFonts w:ascii="Times New Roman" w:hAnsi="Times New Roman" w:cs="Times New Roman"/>
          <w:i/>
          <w:iCs/>
          <w:noProof/>
          <w:szCs w:val="24"/>
        </w:rPr>
        <w:t>Ophthalmic and Physiological Optics</w:t>
      </w:r>
      <w:r w:rsidRPr="00C1691C">
        <w:rPr>
          <w:rFonts w:ascii="Times New Roman" w:hAnsi="Times New Roman" w:cs="Times New Roman"/>
          <w:noProof/>
          <w:szCs w:val="24"/>
        </w:rPr>
        <w:t>, 42(6), pp. 1232–1252. Available at: https://doi.org/10.1111/opo.13035.</w:t>
      </w:r>
    </w:p>
    <w:p w14:paraId="112A7F01"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Koomson, N.Y.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(2016) ‘Relationship between reduced accommodative lag and myopia progression’, </w:t>
      </w:r>
      <w:r w:rsidRPr="00C1691C">
        <w:rPr>
          <w:rFonts w:ascii="Times New Roman" w:hAnsi="Times New Roman" w:cs="Times New Roman"/>
          <w:i/>
          <w:iCs/>
          <w:noProof/>
          <w:szCs w:val="24"/>
        </w:rPr>
        <w:t>Optometry and Vision Science</w:t>
      </w:r>
      <w:r w:rsidRPr="00C1691C">
        <w:rPr>
          <w:rFonts w:ascii="Times New Roman" w:hAnsi="Times New Roman" w:cs="Times New Roman"/>
          <w:noProof/>
          <w:szCs w:val="24"/>
        </w:rPr>
        <w:t>, 93(7), pp. 683–691. Available at: https://doi.org/10.1097/OPX.0000000000000867.</w:t>
      </w:r>
    </w:p>
    <w:p w14:paraId="26571604"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Kumah, B.D.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(2013) ‘Optometry and Vision Science Volume 90 issue 12 2013 [doi 10.1097_OPX.0000000000000099] Kumah, Ben D.; Ebri, Anne; Abdul-Kabir, Mohammed; Ahmed, Abdul-S -- Refractive Error and Visual Impairment in .pdf’, 90(12), pp. 1456–1461.</w:t>
      </w:r>
    </w:p>
    <w:p w14:paraId="75F46A5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Kumar, P.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(2020) ‘Myopia progression varies with age and severity of myopia’, pp. 1–9. Available at: https://doi.org/10.1371/journal.pone.0241759.</w:t>
      </w:r>
    </w:p>
    <w:p w14:paraId="3C9FC7F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Kyei, S.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(2024) ‘Dynamics of Myopia Progression in Ghana—Evidence From Clinical Practice: A Retrospective Cohort Study’, </w:t>
      </w:r>
      <w:r w:rsidRPr="00C1691C">
        <w:rPr>
          <w:rFonts w:ascii="Times New Roman" w:hAnsi="Times New Roman" w:cs="Times New Roman"/>
          <w:i/>
          <w:iCs/>
          <w:noProof/>
          <w:szCs w:val="24"/>
        </w:rPr>
        <w:t>Health Science Reports</w:t>
      </w:r>
      <w:r w:rsidRPr="00C1691C">
        <w:rPr>
          <w:rFonts w:ascii="Times New Roman" w:hAnsi="Times New Roman" w:cs="Times New Roman"/>
          <w:noProof/>
          <w:szCs w:val="24"/>
        </w:rPr>
        <w:t>, 7(12), pp. 1–10. Available at: https://doi.org/10.1002/hsr2.70273.</w:t>
      </w:r>
    </w:p>
    <w:p w14:paraId="58C66801"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Lee, Y.Y.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(2015) ‘Risk factors for and progression of myopia in young Taiwanese men’, </w:t>
      </w:r>
      <w:r w:rsidRPr="00C1691C">
        <w:rPr>
          <w:rFonts w:ascii="Times New Roman" w:hAnsi="Times New Roman" w:cs="Times New Roman"/>
          <w:i/>
          <w:iCs/>
          <w:noProof/>
          <w:szCs w:val="24"/>
        </w:rPr>
        <w:t>Ophthalmic Epidemiology</w:t>
      </w:r>
      <w:r w:rsidRPr="00C1691C">
        <w:rPr>
          <w:rFonts w:ascii="Times New Roman" w:hAnsi="Times New Roman" w:cs="Times New Roman"/>
          <w:noProof/>
          <w:szCs w:val="24"/>
        </w:rPr>
        <w:t>, 22(1), pp. 66–73. Available at: https://doi.org/10.3109/09286586.2014.988874.</w:t>
      </w:r>
    </w:p>
    <w:p w14:paraId="4E90C714"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lastRenderedPageBreak/>
        <w:t xml:space="preserve">Liang, C.L.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(2004) ‘Impact of family history of high myopia on level and onset of myopia’,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45(10), pp. 3446–3452. Available at: https://doi.org/10.1167/iovs.03-1058.</w:t>
      </w:r>
    </w:p>
    <w:p w14:paraId="23322681"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Liao, 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(2019) ‘Role of Parental Refractive Status in Myopia Progression : 12-Year Annual Observation From the Guangzhou Twin Eye Study’.</w:t>
      </w:r>
    </w:p>
    <w:p w14:paraId="55FBED57"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Liu, J.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(2021) ‘Adolescent Vision Health During the Outbreak of COVID-19 : Association Between Digital Screen Use and Myopia Progression’, 9(May), pp. 1–7. Available at: https://doi.org/10.3389/fped.2021.662984.</w:t>
      </w:r>
    </w:p>
    <w:p w14:paraId="3CCD1193"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Marin-Castaño, M.E.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(2003) ‘Regulation of estrogen receptors and MMP-2 expression by estrogens in human retinal pigment epithelium’,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44(1), pp. 50–59. Available at: https://doi.org/10.1167/iovs.01-1276.</w:t>
      </w:r>
    </w:p>
    <w:p w14:paraId="22280E9E"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Moore, M.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(2024) ‘Myopia progression patterns among paediatric patients in a clinical setting’, </w:t>
      </w:r>
      <w:r w:rsidRPr="00C1691C">
        <w:rPr>
          <w:rFonts w:ascii="Times New Roman" w:hAnsi="Times New Roman" w:cs="Times New Roman"/>
          <w:i/>
          <w:iCs/>
          <w:noProof/>
          <w:szCs w:val="24"/>
        </w:rPr>
        <w:t>Ophthalmic and Physiological Optics</w:t>
      </w:r>
      <w:r w:rsidRPr="00C1691C">
        <w:rPr>
          <w:rFonts w:ascii="Times New Roman" w:hAnsi="Times New Roman" w:cs="Times New Roman"/>
          <w:noProof/>
          <w:szCs w:val="24"/>
        </w:rPr>
        <w:t>, 44(2), pp. 258–269. Available at: https://doi.org/10.1111/opo.13259.</w:t>
      </w:r>
    </w:p>
    <w:p w14:paraId="75C5918C"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Nouraeinejad, A. (2022) ‘Urbanization as a factor for myopia progression’, </w:t>
      </w:r>
      <w:r w:rsidRPr="00C1691C">
        <w:rPr>
          <w:rFonts w:ascii="Times New Roman" w:hAnsi="Times New Roman" w:cs="Times New Roman"/>
          <w:i/>
          <w:iCs/>
          <w:noProof/>
          <w:szCs w:val="24"/>
        </w:rPr>
        <w:t>Klinika Oczna</w:t>
      </w:r>
      <w:r w:rsidRPr="00C1691C">
        <w:rPr>
          <w:rFonts w:ascii="Times New Roman" w:hAnsi="Times New Roman" w:cs="Times New Roman"/>
          <w:noProof/>
          <w:szCs w:val="24"/>
        </w:rPr>
        <w:t>, 124(2), pp. 124–125. Available at: https://doi.org/10.5114/ko.2022.116834.</w:t>
      </w:r>
    </w:p>
    <w:p w14:paraId="376D930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Okenwa-Vincent, E.E., Naidoo, J. and Clarke-Farr, P. (2022) ‘Factors associated with uncorrected refractive errors in school-going adolescents in Kakamega County, Kenya’, </w:t>
      </w:r>
      <w:r w:rsidRPr="00C1691C">
        <w:rPr>
          <w:rFonts w:ascii="Times New Roman" w:hAnsi="Times New Roman" w:cs="Times New Roman"/>
          <w:i/>
          <w:iCs/>
          <w:noProof/>
          <w:szCs w:val="24"/>
        </w:rPr>
        <w:t>Ophthalmology Journal</w:t>
      </w:r>
      <w:r w:rsidRPr="00C1691C">
        <w:rPr>
          <w:rFonts w:ascii="Times New Roman" w:hAnsi="Times New Roman" w:cs="Times New Roman"/>
          <w:noProof/>
          <w:szCs w:val="24"/>
        </w:rPr>
        <w:t>, 7(0), pp. 152–162. Available at: https://doi.org/10.5603/oj.2022.0021.</w:t>
      </w:r>
    </w:p>
    <w:p w14:paraId="01AD83FB"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Saxena, R.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(2017) ‘Incidence and progression of myopia and associated factors in urban school children in Delhi : The North India Myopia Study ( NIM Study )’, pp. 1–12.</w:t>
      </w:r>
    </w:p>
    <w:p w14:paraId="78ACD5E6"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Shih, Y.F.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(2010) ‘Comparing myopic progression of urban and rural Taiwanese schoolchildren’, </w:t>
      </w:r>
      <w:r w:rsidRPr="00C1691C">
        <w:rPr>
          <w:rFonts w:ascii="Times New Roman" w:hAnsi="Times New Roman" w:cs="Times New Roman"/>
          <w:i/>
          <w:iCs/>
          <w:noProof/>
          <w:szCs w:val="24"/>
        </w:rPr>
        <w:t>Japanese Journal of Ophthalmology</w:t>
      </w:r>
      <w:r w:rsidRPr="00C1691C">
        <w:rPr>
          <w:rFonts w:ascii="Times New Roman" w:hAnsi="Times New Roman" w:cs="Times New Roman"/>
          <w:noProof/>
          <w:szCs w:val="24"/>
        </w:rPr>
        <w:t>, 54(5), pp. 446–451. Available at: https://doi.org/10.1007/s10384-010-0860-7.</w:t>
      </w:r>
    </w:p>
    <w:p w14:paraId="1996CEB9"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Sinshaw, A.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(2021) ‘Prevalence and associated factors of myopia among school children in Bahir Dar city ’, 51, pp. 14–18. Available at: https://doi.org/10.1371/journal.pone.0248936.</w:t>
      </w:r>
    </w:p>
    <w:p w14:paraId="4985447B"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Thibos, L.N.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(2013) ‘Spherical aberration and the sign of defocus’, </w:t>
      </w:r>
      <w:r w:rsidRPr="00C1691C">
        <w:rPr>
          <w:rFonts w:ascii="Times New Roman" w:hAnsi="Times New Roman" w:cs="Times New Roman"/>
          <w:i/>
          <w:iCs/>
          <w:noProof/>
          <w:szCs w:val="24"/>
        </w:rPr>
        <w:t>Optometry and Vision Science</w:t>
      </w:r>
      <w:r w:rsidRPr="00C1691C">
        <w:rPr>
          <w:rFonts w:ascii="Times New Roman" w:hAnsi="Times New Roman" w:cs="Times New Roman"/>
          <w:noProof/>
          <w:szCs w:val="24"/>
        </w:rPr>
        <w:t>, 90(11), pp. 1284–1291. Available at: https://doi.org/10.1097/OPX.0000000000000040.</w:t>
      </w:r>
    </w:p>
    <w:p w14:paraId="18A10225"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Tricard, D.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(2022) ‘Progression of myopia in children and teenagers : a nationwide longitudinal study’, pp. 1104–1109. Available at: https://doi.org/10.1136/bjophthalmol-2020-318256.</w:t>
      </w:r>
    </w:p>
    <w:p w14:paraId="73DC08A6"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Wang, J.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(2021) ‘Progression of Myopia in School-Aged Children after COVID-19 Home Confinement’, </w:t>
      </w:r>
      <w:r w:rsidRPr="00C1691C">
        <w:rPr>
          <w:rFonts w:ascii="Times New Roman" w:hAnsi="Times New Roman" w:cs="Times New Roman"/>
          <w:i/>
          <w:iCs/>
          <w:noProof/>
          <w:szCs w:val="24"/>
        </w:rPr>
        <w:t>JAMA Ophthalmology</w:t>
      </w:r>
      <w:r w:rsidRPr="00C1691C">
        <w:rPr>
          <w:rFonts w:ascii="Times New Roman" w:hAnsi="Times New Roman" w:cs="Times New Roman"/>
          <w:noProof/>
          <w:szCs w:val="24"/>
        </w:rPr>
        <w:t>, 139(3), pp. 293–300. Available at: https://doi.org/10.1001/jamaophthalmol.2020.6239.</w:t>
      </w:r>
    </w:p>
    <w:p w14:paraId="5B44C5E2"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Wedner, S.H.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(2002) ‘Myopia in secondary school students in Mwanza City, Tanzania: The need for a national screening programme’, </w:t>
      </w:r>
      <w:r w:rsidRPr="00C1691C">
        <w:rPr>
          <w:rFonts w:ascii="Times New Roman" w:hAnsi="Times New Roman" w:cs="Times New Roman"/>
          <w:i/>
          <w:iCs/>
          <w:noProof/>
          <w:szCs w:val="24"/>
        </w:rPr>
        <w:t>British Journal of Ophthalmology</w:t>
      </w:r>
      <w:r w:rsidRPr="00C1691C">
        <w:rPr>
          <w:rFonts w:ascii="Times New Roman" w:hAnsi="Times New Roman" w:cs="Times New Roman"/>
          <w:noProof/>
          <w:szCs w:val="24"/>
        </w:rPr>
        <w:t>, 86(11), pp. 1200–1206. Available at: https://doi.org/10.1136/bjo.86.11.1200.</w:t>
      </w:r>
    </w:p>
    <w:p w14:paraId="7868596C"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Wen, L.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(2020) ‘Objectively measured near work, outdoor exposure and myopia in children’, </w:t>
      </w:r>
      <w:r w:rsidRPr="00C1691C">
        <w:rPr>
          <w:rFonts w:ascii="Times New Roman" w:hAnsi="Times New Roman" w:cs="Times New Roman"/>
          <w:i/>
          <w:iCs/>
          <w:noProof/>
          <w:szCs w:val="24"/>
        </w:rPr>
        <w:t>British Journal of Ophthalmology</w:t>
      </w:r>
      <w:r w:rsidRPr="00C1691C">
        <w:rPr>
          <w:rFonts w:ascii="Times New Roman" w:hAnsi="Times New Roman" w:cs="Times New Roman"/>
          <w:noProof/>
          <w:szCs w:val="24"/>
        </w:rPr>
        <w:t>, 104(11), pp. 1542–1547. Available at: https://doi.org/10.1136/bjophthalmol-2019-315258.</w:t>
      </w:r>
    </w:p>
    <w:p w14:paraId="563B7AC5"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Wicaksana, A. and Rachman, T. (2018) </w:t>
      </w:r>
      <w:r w:rsidRPr="00C1691C">
        <w:rPr>
          <w:rFonts w:ascii="MS Gothic" w:hAnsi="MS Gothic" w:cs="MS Gothic"/>
          <w:i/>
          <w:iCs/>
          <w:noProof/>
          <w:szCs w:val="24"/>
        </w:rPr>
        <w:t>済無</w:t>
      </w:r>
      <w:r w:rsidRPr="00C1691C">
        <w:rPr>
          <w:rFonts w:ascii="Times New Roman" w:hAnsi="Times New Roman" w:cs="Times New Roman"/>
          <w:i/>
          <w:iCs/>
          <w:noProof/>
          <w:szCs w:val="24"/>
        </w:rPr>
        <w:t>No Title No Title No Title</w:t>
      </w:r>
      <w:r w:rsidRPr="00C1691C">
        <w:rPr>
          <w:rFonts w:ascii="Times New Roman" w:hAnsi="Times New Roman" w:cs="Times New Roman"/>
          <w:noProof/>
          <w:szCs w:val="24"/>
        </w:rPr>
        <w:t xml:space="preserve">, </w:t>
      </w:r>
      <w:r w:rsidRPr="00C1691C">
        <w:rPr>
          <w:rFonts w:ascii="Times New Roman" w:hAnsi="Times New Roman" w:cs="Times New Roman"/>
          <w:i/>
          <w:iCs/>
          <w:noProof/>
          <w:szCs w:val="24"/>
        </w:rPr>
        <w:t>Angewandte Chemie International Edition, 6(11), 951–952.</w:t>
      </w:r>
      <w:r w:rsidRPr="00C1691C">
        <w:rPr>
          <w:rFonts w:ascii="Times New Roman" w:hAnsi="Times New Roman" w:cs="Times New Roman"/>
          <w:noProof/>
          <w:szCs w:val="24"/>
        </w:rPr>
        <w:t xml:space="preserve"> Available at: https://medium.com/@arifwicaksanaa/pengertian-use-case-a7e576e1b6bf.</w:t>
      </w:r>
    </w:p>
    <w:p w14:paraId="42E1BF31"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Wong, K. and Dahlmann-Noor, A. (2020) ‘Myopia and its progression in children in London, UK: a retrospective evaluation’, </w:t>
      </w:r>
      <w:r w:rsidRPr="00C1691C">
        <w:rPr>
          <w:rFonts w:ascii="Times New Roman" w:hAnsi="Times New Roman" w:cs="Times New Roman"/>
          <w:i/>
          <w:iCs/>
          <w:noProof/>
          <w:szCs w:val="24"/>
        </w:rPr>
        <w:t>Journal of Optometry</w:t>
      </w:r>
      <w:r w:rsidRPr="00C1691C">
        <w:rPr>
          <w:rFonts w:ascii="Times New Roman" w:hAnsi="Times New Roman" w:cs="Times New Roman"/>
          <w:noProof/>
          <w:szCs w:val="24"/>
        </w:rPr>
        <w:t>, 13(3), pp. 146–154. Available at: https://doi.org/10.1016/j.optom.2019.06.002.</w:t>
      </w:r>
    </w:p>
    <w:p w14:paraId="69709CA8"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Wong, T.Y.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(2014) ‘Epidemiology and Disease Burden of Pathologic Myopia and Myopic Choroidal Neovascularization: An Evidence-Based Systematic Review’, </w:t>
      </w:r>
      <w:r w:rsidRPr="00C1691C">
        <w:rPr>
          <w:rFonts w:ascii="Times New Roman" w:hAnsi="Times New Roman" w:cs="Times New Roman"/>
          <w:i/>
          <w:iCs/>
          <w:noProof/>
          <w:szCs w:val="24"/>
        </w:rPr>
        <w:t>American Journal of Ophthalmology</w:t>
      </w:r>
      <w:r w:rsidRPr="00C1691C">
        <w:rPr>
          <w:rFonts w:ascii="Times New Roman" w:hAnsi="Times New Roman" w:cs="Times New Roman"/>
          <w:noProof/>
          <w:szCs w:val="24"/>
        </w:rPr>
        <w:t>, 157(1), p. 9–25.e</w:t>
      </w:r>
      <w:bookmarkStart w:id="2" w:name="_GoBack"/>
      <w:bookmarkEnd w:id="2"/>
      <w:r w:rsidRPr="00C1691C">
        <w:rPr>
          <w:rFonts w:ascii="Times New Roman" w:hAnsi="Times New Roman" w:cs="Times New Roman"/>
          <w:noProof/>
          <w:szCs w:val="24"/>
        </w:rPr>
        <w:t>12. Available at: https://doi.org/10.1016/j.ajo.2013.08.010.</w:t>
      </w:r>
    </w:p>
    <w:p w14:paraId="2036BB6A"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lastRenderedPageBreak/>
        <w:t xml:space="preserve">Wu, P.C.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(2013) ‘Outdoor activity during class recess reduces myopia onset and progression in school children’, </w:t>
      </w:r>
      <w:r w:rsidRPr="00C1691C">
        <w:rPr>
          <w:rFonts w:ascii="Times New Roman" w:hAnsi="Times New Roman" w:cs="Times New Roman"/>
          <w:i/>
          <w:iCs/>
          <w:noProof/>
          <w:szCs w:val="24"/>
        </w:rPr>
        <w:t>Ophthalmology</w:t>
      </w:r>
      <w:r w:rsidRPr="00C1691C">
        <w:rPr>
          <w:rFonts w:ascii="Times New Roman" w:hAnsi="Times New Roman" w:cs="Times New Roman"/>
          <w:noProof/>
          <w:szCs w:val="24"/>
        </w:rPr>
        <w:t>, 120(5), pp. 1080–1085. Available at: https://doi.org/10.1016/j.ophtha.2012.11.009.</w:t>
      </w:r>
    </w:p>
    <w:p w14:paraId="6EC097F0"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szCs w:val="24"/>
        </w:rPr>
      </w:pPr>
      <w:r w:rsidRPr="00C1691C">
        <w:rPr>
          <w:rFonts w:ascii="Times New Roman" w:hAnsi="Times New Roman" w:cs="Times New Roman"/>
          <w:noProof/>
          <w:szCs w:val="24"/>
        </w:rPr>
        <w:t xml:space="preserve">Wu, P.C.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(2018) ‘Myopia Prevention and Outdoor Light Intensity in a School-Based Cluster Randomized Trial’, </w:t>
      </w:r>
      <w:r w:rsidRPr="00C1691C">
        <w:rPr>
          <w:rFonts w:ascii="Times New Roman" w:hAnsi="Times New Roman" w:cs="Times New Roman"/>
          <w:i/>
          <w:iCs/>
          <w:noProof/>
          <w:szCs w:val="24"/>
        </w:rPr>
        <w:t>Ophthalmology</w:t>
      </w:r>
      <w:r w:rsidRPr="00C1691C">
        <w:rPr>
          <w:rFonts w:ascii="Times New Roman" w:hAnsi="Times New Roman" w:cs="Times New Roman"/>
          <w:noProof/>
          <w:szCs w:val="24"/>
        </w:rPr>
        <w:t>, 125(8), pp. 1239–1250. Available at: https://doi.org/10.1016/j.ophtha.2017.12.011.</w:t>
      </w:r>
    </w:p>
    <w:p w14:paraId="6D91C87F" w14:textId="77777777" w:rsidR="00C1691C" w:rsidRPr="00C1691C" w:rsidRDefault="00C1691C" w:rsidP="00C1691C">
      <w:pPr>
        <w:widowControl w:val="0"/>
        <w:autoSpaceDE w:val="0"/>
        <w:autoSpaceDN w:val="0"/>
        <w:adjustRightInd w:val="0"/>
        <w:spacing w:before="100" w:after="100" w:line="240" w:lineRule="auto"/>
        <w:rPr>
          <w:rFonts w:ascii="Times New Roman" w:hAnsi="Times New Roman" w:cs="Times New Roman"/>
          <w:noProof/>
        </w:rPr>
      </w:pPr>
      <w:r w:rsidRPr="00C1691C">
        <w:rPr>
          <w:rFonts w:ascii="Times New Roman" w:hAnsi="Times New Roman" w:cs="Times New Roman"/>
          <w:noProof/>
          <w:szCs w:val="24"/>
        </w:rPr>
        <w:t xml:space="preserve">Yao, L. </w:t>
      </w:r>
      <w:r w:rsidRPr="00C1691C">
        <w:rPr>
          <w:rFonts w:ascii="Times New Roman" w:hAnsi="Times New Roman" w:cs="Times New Roman"/>
          <w:i/>
          <w:iCs/>
          <w:noProof/>
          <w:szCs w:val="24"/>
        </w:rPr>
        <w:t>et al.</w:t>
      </w:r>
      <w:r w:rsidRPr="00C1691C">
        <w:rPr>
          <w:rFonts w:ascii="Times New Roman" w:hAnsi="Times New Roman" w:cs="Times New Roman"/>
          <w:noProof/>
          <w:szCs w:val="24"/>
        </w:rPr>
        <w:t xml:space="preserve"> (2019) ‘Refractive change and incidence of myopia among a group of highly selected senior high school students in China: A prospective study in an aviation cadet prerecruitment class’, </w:t>
      </w:r>
      <w:r w:rsidRPr="00C1691C">
        <w:rPr>
          <w:rFonts w:ascii="Times New Roman" w:hAnsi="Times New Roman" w:cs="Times New Roman"/>
          <w:i/>
          <w:iCs/>
          <w:noProof/>
          <w:szCs w:val="24"/>
        </w:rPr>
        <w:t>Investigative Ophthalmology and Visual Science</w:t>
      </w:r>
      <w:r w:rsidRPr="00C1691C">
        <w:rPr>
          <w:rFonts w:ascii="Times New Roman" w:hAnsi="Times New Roman" w:cs="Times New Roman"/>
          <w:noProof/>
          <w:szCs w:val="24"/>
        </w:rPr>
        <w:t>, 60(5), pp. 1344–1352. Available at: https://doi.org/10.1167/iovs.17-23506.</w:t>
      </w:r>
    </w:p>
    <w:p w14:paraId="0CC5A926" w14:textId="77777777" w:rsidR="007D1CD9" w:rsidRPr="00570AA4" w:rsidRDefault="007D1CD9" w:rsidP="00FC4A95">
      <w:pPr>
        <w:spacing w:before="100" w:beforeAutospacing="1" w:after="100" w:afterAutospacing="1" w:line="240" w:lineRule="auto"/>
        <w:rPr>
          <w:rFonts w:ascii="Times New Roman" w:eastAsia="Times New Roman" w:hAnsi="Times New Roman" w:cs="Times New Roman"/>
        </w:rPr>
      </w:pPr>
      <w:r w:rsidRPr="009B06F9">
        <w:rPr>
          <w:rFonts w:ascii="Times New Roman" w:eastAsia="Times New Roman" w:hAnsi="Times New Roman" w:cs="Times New Roman"/>
        </w:rPr>
        <w:fldChar w:fldCharType="end"/>
      </w:r>
    </w:p>
    <w:p w14:paraId="15F6D7C5" w14:textId="77777777" w:rsidR="00FD52CB" w:rsidRPr="00570AA4" w:rsidRDefault="00FD52CB" w:rsidP="00E40AEC">
      <w:pPr>
        <w:rPr>
          <w:rFonts w:ascii="Times New Roman" w:hAnsi="Times New Roman" w:cs="Times New Roman"/>
        </w:rPr>
      </w:pPr>
    </w:p>
    <w:sectPr w:rsidR="00FD52CB" w:rsidRPr="00570A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11CE" w14:textId="77777777" w:rsidR="00ED04DE" w:rsidRDefault="00ED04DE" w:rsidP="00FF0BD3">
      <w:pPr>
        <w:spacing w:after="0" w:line="240" w:lineRule="auto"/>
      </w:pPr>
      <w:r>
        <w:separator/>
      </w:r>
    </w:p>
  </w:endnote>
  <w:endnote w:type="continuationSeparator" w:id="0">
    <w:p w14:paraId="596CB672" w14:textId="77777777" w:rsidR="00ED04DE" w:rsidRDefault="00ED04DE" w:rsidP="00F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2B6F" w14:textId="77777777" w:rsidR="00513E8C" w:rsidRDefault="00513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C1023" w14:textId="77777777" w:rsidR="00513E8C" w:rsidRDefault="00513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0ED9" w14:textId="77777777" w:rsidR="00513E8C" w:rsidRDefault="0051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22C5" w14:textId="77777777" w:rsidR="00ED04DE" w:rsidRDefault="00ED04DE" w:rsidP="00FF0BD3">
      <w:pPr>
        <w:spacing w:after="0" w:line="240" w:lineRule="auto"/>
      </w:pPr>
      <w:r>
        <w:separator/>
      </w:r>
    </w:p>
  </w:footnote>
  <w:footnote w:type="continuationSeparator" w:id="0">
    <w:p w14:paraId="746D8F0F" w14:textId="77777777" w:rsidR="00ED04DE" w:rsidRDefault="00ED04DE" w:rsidP="00FF0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2005" w14:textId="0A69A8CE" w:rsidR="00513E8C" w:rsidRDefault="00513E8C">
    <w:pPr>
      <w:pStyle w:val="Header"/>
    </w:pPr>
    <w:r>
      <w:rPr>
        <w:noProof/>
      </w:rPr>
      <w:pict w14:anchorId="3FC1D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B2DC" w14:textId="2DFD1E24" w:rsidR="00513E8C" w:rsidRDefault="00513E8C">
    <w:pPr>
      <w:pStyle w:val="Header"/>
    </w:pPr>
    <w:r>
      <w:rPr>
        <w:noProof/>
      </w:rPr>
      <w:pict w14:anchorId="78960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DAB9" w14:textId="0CD02E96" w:rsidR="00513E8C" w:rsidRDefault="00513E8C">
    <w:pPr>
      <w:pStyle w:val="Header"/>
    </w:pPr>
    <w:r>
      <w:rPr>
        <w:noProof/>
      </w:rPr>
      <w:pict w14:anchorId="1078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67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FF1"/>
    <w:multiLevelType w:val="multilevel"/>
    <w:tmpl w:val="9A44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098E"/>
    <w:multiLevelType w:val="hybridMultilevel"/>
    <w:tmpl w:val="844A7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7B54"/>
    <w:multiLevelType w:val="multilevel"/>
    <w:tmpl w:val="43D22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B1BC2"/>
    <w:multiLevelType w:val="multilevel"/>
    <w:tmpl w:val="43326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B344C"/>
    <w:multiLevelType w:val="multilevel"/>
    <w:tmpl w:val="118C7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44DAB"/>
    <w:multiLevelType w:val="hybridMultilevel"/>
    <w:tmpl w:val="C5DAC236"/>
    <w:lvl w:ilvl="0" w:tplc="448C094C">
      <w:start w:val="1"/>
      <w:numFmt w:val="bullet"/>
      <w:lvlText w:val="•"/>
      <w:lvlJc w:val="left"/>
      <w:pPr>
        <w:tabs>
          <w:tab w:val="num" w:pos="720"/>
        </w:tabs>
        <w:ind w:left="720" w:hanging="360"/>
      </w:pPr>
      <w:rPr>
        <w:rFonts w:ascii="Arial" w:hAnsi="Arial" w:hint="default"/>
      </w:rPr>
    </w:lvl>
    <w:lvl w:ilvl="1" w:tplc="1F541D6E">
      <w:start w:val="378"/>
      <w:numFmt w:val="bullet"/>
      <w:lvlText w:val=""/>
      <w:lvlJc w:val="left"/>
      <w:pPr>
        <w:tabs>
          <w:tab w:val="num" w:pos="1440"/>
        </w:tabs>
        <w:ind w:left="1440" w:hanging="360"/>
      </w:pPr>
      <w:rPr>
        <w:rFonts w:ascii="Wingdings" w:hAnsi="Wingdings" w:hint="default"/>
      </w:rPr>
    </w:lvl>
    <w:lvl w:ilvl="2" w:tplc="55841EF6" w:tentative="1">
      <w:start w:val="1"/>
      <w:numFmt w:val="bullet"/>
      <w:lvlText w:val="•"/>
      <w:lvlJc w:val="left"/>
      <w:pPr>
        <w:tabs>
          <w:tab w:val="num" w:pos="2160"/>
        </w:tabs>
        <w:ind w:left="2160" w:hanging="360"/>
      </w:pPr>
      <w:rPr>
        <w:rFonts w:ascii="Arial" w:hAnsi="Arial" w:hint="default"/>
      </w:rPr>
    </w:lvl>
    <w:lvl w:ilvl="3" w:tplc="1C62298A" w:tentative="1">
      <w:start w:val="1"/>
      <w:numFmt w:val="bullet"/>
      <w:lvlText w:val="•"/>
      <w:lvlJc w:val="left"/>
      <w:pPr>
        <w:tabs>
          <w:tab w:val="num" w:pos="2880"/>
        </w:tabs>
        <w:ind w:left="2880" w:hanging="360"/>
      </w:pPr>
      <w:rPr>
        <w:rFonts w:ascii="Arial" w:hAnsi="Arial" w:hint="default"/>
      </w:rPr>
    </w:lvl>
    <w:lvl w:ilvl="4" w:tplc="0AB66B2C" w:tentative="1">
      <w:start w:val="1"/>
      <w:numFmt w:val="bullet"/>
      <w:lvlText w:val="•"/>
      <w:lvlJc w:val="left"/>
      <w:pPr>
        <w:tabs>
          <w:tab w:val="num" w:pos="3600"/>
        </w:tabs>
        <w:ind w:left="3600" w:hanging="360"/>
      </w:pPr>
      <w:rPr>
        <w:rFonts w:ascii="Arial" w:hAnsi="Arial" w:hint="default"/>
      </w:rPr>
    </w:lvl>
    <w:lvl w:ilvl="5" w:tplc="11F686A4" w:tentative="1">
      <w:start w:val="1"/>
      <w:numFmt w:val="bullet"/>
      <w:lvlText w:val="•"/>
      <w:lvlJc w:val="left"/>
      <w:pPr>
        <w:tabs>
          <w:tab w:val="num" w:pos="4320"/>
        </w:tabs>
        <w:ind w:left="4320" w:hanging="360"/>
      </w:pPr>
      <w:rPr>
        <w:rFonts w:ascii="Arial" w:hAnsi="Arial" w:hint="default"/>
      </w:rPr>
    </w:lvl>
    <w:lvl w:ilvl="6" w:tplc="AFE433DC" w:tentative="1">
      <w:start w:val="1"/>
      <w:numFmt w:val="bullet"/>
      <w:lvlText w:val="•"/>
      <w:lvlJc w:val="left"/>
      <w:pPr>
        <w:tabs>
          <w:tab w:val="num" w:pos="5040"/>
        </w:tabs>
        <w:ind w:left="5040" w:hanging="360"/>
      </w:pPr>
      <w:rPr>
        <w:rFonts w:ascii="Arial" w:hAnsi="Arial" w:hint="default"/>
      </w:rPr>
    </w:lvl>
    <w:lvl w:ilvl="7" w:tplc="0C5A57F4" w:tentative="1">
      <w:start w:val="1"/>
      <w:numFmt w:val="bullet"/>
      <w:lvlText w:val="•"/>
      <w:lvlJc w:val="left"/>
      <w:pPr>
        <w:tabs>
          <w:tab w:val="num" w:pos="5760"/>
        </w:tabs>
        <w:ind w:left="5760" w:hanging="360"/>
      </w:pPr>
      <w:rPr>
        <w:rFonts w:ascii="Arial" w:hAnsi="Arial" w:hint="default"/>
      </w:rPr>
    </w:lvl>
    <w:lvl w:ilvl="8" w:tplc="B1A23A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1803FC"/>
    <w:multiLevelType w:val="multilevel"/>
    <w:tmpl w:val="07244E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A986014"/>
    <w:multiLevelType w:val="hybridMultilevel"/>
    <w:tmpl w:val="4608FB48"/>
    <w:lvl w:ilvl="0" w:tplc="879A9E40">
      <w:start w:val="1"/>
      <w:numFmt w:val="bullet"/>
      <w:lvlText w:val="•"/>
      <w:lvlJc w:val="left"/>
      <w:pPr>
        <w:tabs>
          <w:tab w:val="num" w:pos="720"/>
        </w:tabs>
        <w:ind w:left="720" w:hanging="360"/>
      </w:pPr>
      <w:rPr>
        <w:rFonts w:ascii="Arial" w:hAnsi="Arial" w:hint="default"/>
      </w:rPr>
    </w:lvl>
    <w:lvl w:ilvl="1" w:tplc="6616C19A" w:tentative="1">
      <w:start w:val="1"/>
      <w:numFmt w:val="bullet"/>
      <w:lvlText w:val="•"/>
      <w:lvlJc w:val="left"/>
      <w:pPr>
        <w:tabs>
          <w:tab w:val="num" w:pos="1440"/>
        </w:tabs>
        <w:ind w:left="1440" w:hanging="360"/>
      </w:pPr>
      <w:rPr>
        <w:rFonts w:ascii="Arial" w:hAnsi="Arial" w:hint="default"/>
      </w:rPr>
    </w:lvl>
    <w:lvl w:ilvl="2" w:tplc="C7BE5E42" w:tentative="1">
      <w:start w:val="1"/>
      <w:numFmt w:val="bullet"/>
      <w:lvlText w:val="•"/>
      <w:lvlJc w:val="left"/>
      <w:pPr>
        <w:tabs>
          <w:tab w:val="num" w:pos="2160"/>
        </w:tabs>
        <w:ind w:left="2160" w:hanging="360"/>
      </w:pPr>
      <w:rPr>
        <w:rFonts w:ascii="Arial" w:hAnsi="Arial" w:hint="default"/>
      </w:rPr>
    </w:lvl>
    <w:lvl w:ilvl="3" w:tplc="809C7CBC" w:tentative="1">
      <w:start w:val="1"/>
      <w:numFmt w:val="bullet"/>
      <w:lvlText w:val="•"/>
      <w:lvlJc w:val="left"/>
      <w:pPr>
        <w:tabs>
          <w:tab w:val="num" w:pos="2880"/>
        </w:tabs>
        <w:ind w:left="2880" w:hanging="360"/>
      </w:pPr>
      <w:rPr>
        <w:rFonts w:ascii="Arial" w:hAnsi="Arial" w:hint="default"/>
      </w:rPr>
    </w:lvl>
    <w:lvl w:ilvl="4" w:tplc="DF623D92" w:tentative="1">
      <w:start w:val="1"/>
      <w:numFmt w:val="bullet"/>
      <w:lvlText w:val="•"/>
      <w:lvlJc w:val="left"/>
      <w:pPr>
        <w:tabs>
          <w:tab w:val="num" w:pos="3600"/>
        </w:tabs>
        <w:ind w:left="3600" w:hanging="360"/>
      </w:pPr>
      <w:rPr>
        <w:rFonts w:ascii="Arial" w:hAnsi="Arial" w:hint="default"/>
      </w:rPr>
    </w:lvl>
    <w:lvl w:ilvl="5" w:tplc="8BA83C72" w:tentative="1">
      <w:start w:val="1"/>
      <w:numFmt w:val="bullet"/>
      <w:lvlText w:val="•"/>
      <w:lvlJc w:val="left"/>
      <w:pPr>
        <w:tabs>
          <w:tab w:val="num" w:pos="4320"/>
        </w:tabs>
        <w:ind w:left="4320" w:hanging="360"/>
      </w:pPr>
      <w:rPr>
        <w:rFonts w:ascii="Arial" w:hAnsi="Arial" w:hint="default"/>
      </w:rPr>
    </w:lvl>
    <w:lvl w:ilvl="6" w:tplc="332C70B0" w:tentative="1">
      <w:start w:val="1"/>
      <w:numFmt w:val="bullet"/>
      <w:lvlText w:val="•"/>
      <w:lvlJc w:val="left"/>
      <w:pPr>
        <w:tabs>
          <w:tab w:val="num" w:pos="5040"/>
        </w:tabs>
        <w:ind w:left="5040" w:hanging="360"/>
      </w:pPr>
      <w:rPr>
        <w:rFonts w:ascii="Arial" w:hAnsi="Arial" w:hint="default"/>
      </w:rPr>
    </w:lvl>
    <w:lvl w:ilvl="7" w:tplc="9056994A" w:tentative="1">
      <w:start w:val="1"/>
      <w:numFmt w:val="bullet"/>
      <w:lvlText w:val="•"/>
      <w:lvlJc w:val="left"/>
      <w:pPr>
        <w:tabs>
          <w:tab w:val="num" w:pos="5760"/>
        </w:tabs>
        <w:ind w:left="5760" w:hanging="360"/>
      </w:pPr>
      <w:rPr>
        <w:rFonts w:ascii="Arial" w:hAnsi="Arial" w:hint="default"/>
      </w:rPr>
    </w:lvl>
    <w:lvl w:ilvl="8" w:tplc="33FA6A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F06A84"/>
    <w:multiLevelType w:val="multilevel"/>
    <w:tmpl w:val="0C348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B2D4E"/>
    <w:multiLevelType w:val="hybridMultilevel"/>
    <w:tmpl w:val="66901198"/>
    <w:lvl w:ilvl="0" w:tplc="759A335A">
      <w:start w:val="1"/>
      <w:numFmt w:val="bullet"/>
      <w:lvlText w:val=""/>
      <w:lvlJc w:val="left"/>
      <w:pPr>
        <w:tabs>
          <w:tab w:val="num" w:pos="720"/>
        </w:tabs>
        <w:ind w:left="720" w:hanging="360"/>
      </w:pPr>
      <w:rPr>
        <w:rFonts w:ascii="Wingdings" w:hAnsi="Wingdings" w:hint="default"/>
      </w:rPr>
    </w:lvl>
    <w:lvl w:ilvl="1" w:tplc="492EFFF4" w:tentative="1">
      <w:start w:val="1"/>
      <w:numFmt w:val="bullet"/>
      <w:lvlText w:val=""/>
      <w:lvlJc w:val="left"/>
      <w:pPr>
        <w:tabs>
          <w:tab w:val="num" w:pos="1440"/>
        </w:tabs>
        <w:ind w:left="1440" w:hanging="360"/>
      </w:pPr>
      <w:rPr>
        <w:rFonts w:ascii="Wingdings" w:hAnsi="Wingdings" w:hint="default"/>
      </w:rPr>
    </w:lvl>
    <w:lvl w:ilvl="2" w:tplc="D08E903A" w:tentative="1">
      <w:start w:val="1"/>
      <w:numFmt w:val="bullet"/>
      <w:lvlText w:val=""/>
      <w:lvlJc w:val="left"/>
      <w:pPr>
        <w:tabs>
          <w:tab w:val="num" w:pos="2160"/>
        </w:tabs>
        <w:ind w:left="2160" w:hanging="360"/>
      </w:pPr>
      <w:rPr>
        <w:rFonts w:ascii="Wingdings" w:hAnsi="Wingdings" w:hint="default"/>
      </w:rPr>
    </w:lvl>
    <w:lvl w:ilvl="3" w:tplc="6D246D2E" w:tentative="1">
      <w:start w:val="1"/>
      <w:numFmt w:val="bullet"/>
      <w:lvlText w:val=""/>
      <w:lvlJc w:val="left"/>
      <w:pPr>
        <w:tabs>
          <w:tab w:val="num" w:pos="2880"/>
        </w:tabs>
        <w:ind w:left="2880" w:hanging="360"/>
      </w:pPr>
      <w:rPr>
        <w:rFonts w:ascii="Wingdings" w:hAnsi="Wingdings" w:hint="default"/>
      </w:rPr>
    </w:lvl>
    <w:lvl w:ilvl="4" w:tplc="EFA4F54A" w:tentative="1">
      <w:start w:val="1"/>
      <w:numFmt w:val="bullet"/>
      <w:lvlText w:val=""/>
      <w:lvlJc w:val="left"/>
      <w:pPr>
        <w:tabs>
          <w:tab w:val="num" w:pos="3600"/>
        </w:tabs>
        <w:ind w:left="3600" w:hanging="360"/>
      </w:pPr>
      <w:rPr>
        <w:rFonts w:ascii="Wingdings" w:hAnsi="Wingdings" w:hint="default"/>
      </w:rPr>
    </w:lvl>
    <w:lvl w:ilvl="5" w:tplc="B36CE67C" w:tentative="1">
      <w:start w:val="1"/>
      <w:numFmt w:val="bullet"/>
      <w:lvlText w:val=""/>
      <w:lvlJc w:val="left"/>
      <w:pPr>
        <w:tabs>
          <w:tab w:val="num" w:pos="4320"/>
        </w:tabs>
        <w:ind w:left="4320" w:hanging="360"/>
      </w:pPr>
      <w:rPr>
        <w:rFonts w:ascii="Wingdings" w:hAnsi="Wingdings" w:hint="default"/>
      </w:rPr>
    </w:lvl>
    <w:lvl w:ilvl="6" w:tplc="CF72F2BA" w:tentative="1">
      <w:start w:val="1"/>
      <w:numFmt w:val="bullet"/>
      <w:lvlText w:val=""/>
      <w:lvlJc w:val="left"/>
      <w:pPr>
        <w:tabs>
          <w:tab w:val="num" w:pos="5040"/>
        </w:tabs>
        <w:ind w:left="5040" w:hanging="360"/>
      </w:pPr>
      <w:rPr>
        <w:rFonts w:ascii="Wingdings" w:hAnsi="Wingdings" w:hint="default"/>
      </w:rPr>
    </w:lvl>
    <w:lvl w:ilvl="7" w:tplc="544C4648" w:tentative="1">
      <w:start w:val="1"/>
      <w:numFmt w:val="bullet"/>
      <w:lvlText w:val=""/>
      <w:lvlJc w:val="left"/>
      <w:pPr>
        <w:tabs>
          <w:tab w:val="num" w:pos="5760"/>
        </w:tabs>
        <w:ind w:left="5760" w:hanging="360"/>
      </w:pPr>
      <w:rPr>
        <w:rFonts w:ascii="Wingdings" w:hAnsi="Wingdings" w:hint="default"/>
      </w:rPr>
    </w:lvl>
    <w:lvl w:ilvl="8" w:tplc="88AE1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D2F33"/>
    <w:multiLevelType w:val="hybridMultilevel"/>
    <w:tmpl w:val="DB5E33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D296E31"/>
    <w:multiLevelType w:val="hybridMultilevel"/>
    <w:tmpl w:val="17707118"/>
    <w:lvl w:ilvl="0" w:tplc="0A36FD28">
      <w:start w:val="1"/>
      <w:numFmt w:val="bullet"/>
      <w:lvlText w:val="•"/>
      <w:lvlJc w:val="left"/>
      <w:pPr>
        <w:tabs>
          <w:tab w:val="num" w:pos="720"/>
        </w:tabs>
        <w:ind w:left="720" w:hanging="360"/>
      </w:pPr>
      <w:rPr>
        <w:rFonts w:ascii="Arial" w:hAnsi="Arial" w:hint="default"/>
      </w:rPr>
    </w:lvl>
    <w:lvl w:ilvl="1" w:tplc="7BA26846" w:tentative="1">
      <w:start w:val="1"/>
      <w:numFmt w:val="bullet"/>
      <w:lvlText w:val="•"/>
      <w:lvlJc w:val="left"/>
      <w:pPr>
        <w:tabs>
          <w:tab w:val="num" w:pos="1440"/>
        </w:tabs>
        <w:ind w:left="1440" w:hanging="360"/>
      </w:pPr>
      <w:rPr>
        <w:rFonts w:ascii="Arial" w:hAnsi="Arial" w:hint="default"/>
      </w:rPr>
    </w:lvl>
    <w:lvl w:ilvl="2" w:tplc="B1A2026A" w:tentative="1">
      <w:start w:val="1"/>
      <w:numFmt w:val="bullet"/>
      <w:lvlText w:val="•"/>
      <w:lvlJc w:val="left"/>
      <w:pPr>
        <w:tabs>
          <w:tab w:val="num" w:pos="2160"/>
        </w:tabs>
        <w:ind w:left="2160" w:hanging="360"/>
      </w:pPr>
      <w:rPr>
        <w:rFonts w:ascii="Arial" w:hAnsi="Arial" w:hint="default"/>
      </w:rPr>
    </w:lvl>
    <w:lvl w:ilvl="3" w:tplc="E1F61D22" w:tentative="1">
      <w:start w:val="1"/>
      <w:numFmt w:val="bullet"/>
      <w:lvlText w:val="•"/>
      <w:lvlJc w:val="left"/>
      <w:pPr>
        <w:tabs>
          <w:tab w:val="num" w:pos="2880"/>
        </w:tabs>
        <w:ind w:left="2880" w:hanging="360"/>
      </w:pPr>
      <w:rPr>
        <w:rFonts w:ascii="Arial" w:hAnsi="Arial" w:hint="default"/>
      </w:rPr>
    </w:lvl>
    <w:lvl w:ilvl="4" w:tplc="F89E9296" w:tentative="1">
      <w:start w:val="1"/>
      <w:numFmt w:val="bullet"/>
      <w:lvlText w:val="•"/>
      <w:lvlJc w:val="left"/>
      <w:pPr>
        <w:tabs>
          <w:tab w:val="num" w:pos="3600"/>
        </w:tabs>
        <w:ind w:left="3600" w:hanging="360"/>
      </w:pPr>
      <w:rPr>
        <w:rFonts w:ascii="Arial" w:hAnsi="Arial" w:hint="default"/>
      </w:rPr>
    </w:lvl>
    <w:lvl w:ilvl="5" w:tplc="100C2268" w:tentative="1">
      <w:start w:val="1"/>
      <w:numFmt w:val="bullet"/>
      <w:lvlText w:val="•"/>
      <w:lvlJc w:val="left"/>
      <w:pPr>
        <w:tabs>
          <w:tab w:val="num" w:pos="4320"/>
        </w:tabs>
        <w:ind w:left="4320" w:hanging="360"/>
      </w:pPr>
      <w:rPr>
        <w:rFonts w:ascii="Arial" w:hAnsi="Arial" w:hint="default"/>
      </w:rPr>
    </w:lvl>
    <w:lvl w:ilvl="6" w:tplc="42DA262E" w:tentative="1">
      <w:start w:val="1"/>
      <w:numFmt w:val="bullet"/>
      <w:lvlText w:val="•"/>
      <w:lvlJc w:val="left"/>
      <w:pPr>
        <w:tabs>
          <w:tab w:val="num" w:pos="5040"/>
        </w:tabs>
        <w:ind w:left="5040" w:hanging="360"/>
      </w:pPr>
      <w:rPr>
        <w:rFonts w:ascii="Arial" w:hAnsi="Arial" w:hint="default"/>
      </w:rPr>
    </w:lvl>
    <w:lvl w:ilvl="7" w:tplc="F7342EFC" w:tentative="1">
      <w:start w:val="1"/>
      <w:numFmt w:val="bullet"/>
      <w:lvlText w:val="•"/>
      <w:lvlJc w:val="left"/>
      <w:pPr>
        <w:tabs>
          <w:tab w:val="num" w:pos="5760"/>
        </w:tabs>
        <w:ind w:left="5760" w:hanging="360"/>
      </w:pPr>
      <w:rPr>
        <w:rFonts w:ascii="Arial" w:hAnsi="Arial" w:hint="default"/>
      </w:rPr>
    </w:lvl>
    <w:lvl w:ilvl="8" w:tplc="E89E7A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74416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23F121E"/>
    <w:multiLevelType w:val="multilevel"/>
    <w:tmpl w:val="746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A031C"/>
    <w:multiLevelType w:val="multilevel"/>
    <w:tmpl w:val="E49257D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A1C241A"/>
    <w:multiLevelType w:val="hybridMultilevel"/>
    <w:tmpl w:val="617080AE"/>
    <w:lvl w:ilvl="0" w:tplc="328E0158">
      <w:start w:val="1"/>
      <w:numFmt w:val="bullet"/>
      <w:lvlText w:val="•"/>
      <w:lvlJc w:val="left"/>
      <w:pPr>
        <w:tabs>
          <w:tab w:val="num" w:pos="720"/>
        </w:tabs>
        <w:ind w:left="720" w:hanging="360"/>
      </w:pPr>
      <w:rPr>
        <w:rFonts w:ascii="Arial" w:hAnsi="Arial" w:hint="default"/>
      </w:rPr>
    </w:lvl>
    <w:lvl w:ilvl="1" w:tplc="C9D221C2">
      <w:start w:val="1"/>
      <w:numFmt w:val="bullet"/>
      <w:lvlText w:val="•"/>
      <w:lvlJc w:val="left"/>
      <w:pPr>
        <w:tabs>
          <w:tab w:val="num" w:pos="1440"/>
        </w:tabs>
        <w:ind w:left="1440" w:hanging="360"/>
      </w:pPr>
      <w:rPr>
        <w:rFonts w:ascii="Arial" w:hAnsi="Arial" w:hint="default"/>
      </w:rPr>
    </w:lvl>
    <w:lvl w:ilvl="2" w:tplc="91EA4502" w:tentative="1">
      <w:start w:val="1"/>
      <w:numFmt w:val="bullet"/>
      <w:lvlText w:val="•"/>
      <w:lvlJc w:val="left"/>
      <w:pPr>
        <w:tabs>
          <w:tab w:val="num" w:pos="2160"/>
        </w:tabs>
        <w:ind w:left="2160" w:hanging="360"/>
      </w:pPr>
      <w:rPr>
        <w:rFonts w:ascii="Arial" w:hAnsi="Arial" w:hint="default"/>
      </w:rPr>
    </w:lvl>
    <w:lvl w:ilvl="3" w:tplc="D47AC3C8" w:tentative="1">
      <w:start w:val="1"/>
      <w:numFmt w:val="bullet"/>
      <w:lvlText w:val="•"/>
      <w:lvlJc w:val="left"/>
      <w:pPr>
        <w:tabs>
          <w:tab w:val="num" w:pos="2880"/>
        </w:tabs>
        <w:ind w:left="2880" w:hanging="360"/>
      </w:pPr>
      <w:rPr>
        <w:rFonts w:ascii="Arial" w:hAnsi="Arial" w:hint="default"/>
      </w:rPr>
    </w:lvl>
    <w:lvl w:ilvl="4" w:tplc="54DE610C" w:tentative="1">
      <w:start w:val="1"/>
      <w:numFmt w:val="bullet"/>
      <w:lvlText w:val="•"/>
      <w:lvlJc w:val="left"/>
      <w:pPr>
        <w:tabs>
          <w:tab w:val="num" w:pos="3600"/>
        </w:tabs>
        <w:ind w:left="3600" w:hanging="360"/>
      </w:pPr>
      <w:rPr>
        <w:rFonts w:ascii="Arial" w:hAnsi="Arial" w:hint="default"/>
      </w:rPr>
    </w:lvl>
    <w:lvl w:ilvl="5" w:tplc="9D484EA0" w:tentative="1">
      <w:start w:val="1"/>
      <w:numFmt w:val="bullet"/>
      <w:lvlText w:val="•"/>
      <w:lvlJc w:val="left"/>
      <w:pPr>
        <w:tabs>
          <w:tab w:val="num" w:pos="4320"/>
        </w:tabs>
        <w:ind w:left="4320" w:hanging="360"/>
      </w:pPr>
      <w:rPr>
        <w:rFonts w:ascii="Arial" w:hAnsi="Arial" w:hint="default"/>
      </w:rPr>
    </w:lvl>
    <w:lvl w:ilvl="6" w:tplc="B24EE76A" w:tentative="1">
      <w:start w:val="1"/>
      <w:numFmt w:val="bullet"/>
      <w:lvlText w:val="•"/>
      <w:lvlJc w:val="left"/>
      <w:pPr>
        <w:tabs>
          <w:tab w:val="num" w:pos="5040"/>
        </w:tabs>
        <w:ind w:left="5040" w:hanging="360"/>
      </w:pPr>
      <w:rPr>
        <w:rFonts w:ascii="Arial" w:hAnsi="Arial" w:hint="default"/>
      </w:rPr>
    </w:lvl>
    <w:lvl w:ilvl="7" w:tplc="6A7473E0" w:tentative="1">
      <w:start w:val="1"/>
      <w:numFmt w:val="bullet"/>
      <w:lvlText w:val="•"/>
      <w:lvlJc w:val="left"/>
      <w:pPr>
        <w:tabs>
          <w:tab w:val="num" w:pos="5760"/>
        </w:tabs>
        <w:ind w:left="5760" w:hanging="360"/>
      </w:pPr>
      <w:rPr>
        <w:rFonts w:ascii="Arial" w:hAnsi="Arial" w:hint="default"/>
      </w:rPr>
    </w:lvl>
    <w:lvl w:ilvl="8" w:tplc="E26E35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705B3"/>
    <w:multiLevelType w:val="hybridMultilevel"/>
    <w:tmpl w:val="8F1A55D4"/>
    <w:lvl w:ilvl="0" w:tplc="2E9EF1C4">
      <w:start w:val="1"/>
      <w:numFmt w:val="bullet"/>
      <w:lvlText w:val="•"/>
      <w:lvlJc w:val="left"/>
      <w:pPr>
        <w:tabs>
          <w:tab w:val="num" w:pos="720"/>
        </w:tabs>
        <w:ind w:left="720" w:hanging="360"/>
      </w:pPr>
      <w:rPr>
        <w:rFonts w:ascii="Arial" w:hAnsi="Arial" w:hint="default"/>
      </w:rPr>
    </w:lvl>
    <w:lvl w:ilvl="1" w:tplc="9E5464B2" w:tentative="1">
      <w:start w:val="1"/>
      <w:numFmt w:val="bullet"/>
      <w:lvlText w:val="•"/>
      <w:lvlJc w:val="left"/>
      <w:pPr>
        <w:tabs>
          <w:tab w:val="num" w:pos="1440"/>
        </w:tabs>
        <w:ind w:left="1440" w:hanging="360"/>
      </w:pPr>
      <w:rPr>
        <w:rFonts w:ascii="Arial" w:hAnsi="Arial" w:hint="default"/>
      </w:rPr>
    </w:lvl>
    <w:lvl w:ilvl="2" w:tplc="61CC3FE2" w:tentative="1">
      <w:start w:val="1"/>
      <w:numFmt w:val="bullet"/>
      <w:lvlText w:val="•"/>
      <w:lvlJc w:val="left"/>
      <w:pPr>
        <w:tabs>
          <w:tab w:val="num" w:pos="2160"/>
        </w:tabs>
        <w:ind w:left="2160" w:hanging="360"/>
      </w:pPr>
      <w:rPr>
        <w:rFonts w:ascii="Arial" w:hAnsi="Arial" w:hint="default"/>
      </w:rPr>
    </w:lvl>
    <w:lvl w:ilvl="3" w:tplc="3B28BF32" w:tentative="1">
      <w:start w:val="1"/>
      <w:numFmt w:val="bullet"/>
      <w:lvlText w:val="•"/>
      <w:lvlJc w:val="left"/>
      <w:pPr>
        <w:tabs>
          <w:tab w:val="num" w:pos="2880"/>
        </w:tabs>
        <w:ind w:left="2880" w:hanging="360"/>
      </w:pPr>
      <w:rPr>
        <w:rFonts w:ascii="Arial" w:hAnsi="Arial" w:hint="default"/>
      </w:rPr>
    </w:lvl>
    <w:lvl w:ilvl="4" w:tplc="83781E68" w:tentative="1">
      <w:start w:val="1"/>
      <w:numFmt w:val="bullet"/>
      <w:lvlText w:val="•"/>
      <w:lvlJc w:val="left"/>
      <w:pPr>
        <w:tabs>
          <w:tab w:val="num" w:pos="3600"/>
        </w:tabs>
        <w:ind w:left="3600" w:hanging="360"/>
      </w:pPr>
      <w:rPr>
        <w:rFonts w:ascii="Arial" w:hAnsi="Arial" w:hint="default"/>
      </w:rPr>
    </w:lvl>
    <w:lvl w:ilvl="5" w:tplc="DA1E7216" w:tentative="1">
      <w:start w:val="1"/>
      <w:numFmt w:val="bullet"/>
      <w:lvlText w:val="•"/>
      <w:lvlJc w:val="left"/>
      <w:pPr>
        <w:tabs>
          <w:tab w:val="num" w:pos="4320"/>
        </w:tabs>
        <w:ind w:left="4320" w:hanging="360"/>
      </w:pPr>
      <w:rPr>
        <w:rFonts w:ascii="Arial" w:hAnsi="Arial" w:hint="default"/>
      </w:rPr>
    </w:lvl>
    <w:lvl w:ilvl="6" w:tplc="4AB2DEE0" w:tentative="1">
      <w:start w:val="1"/>
      <w:numFmt w:val="bullet"/>
      <w:lvlText w:val="•"/>
      <w:lvlJc w:val="left"/>
      <w:pPr>
        <w:tabs>
          <w:tab w:val="num" w:pos="5040"/>
        </w:tabs>
        <w:ind w:left="5040" w:hanging="360"/>
      </w:pPr>
      <w:rPr>
        <w:rFonts w:ascii="Arial" w:hAnsi="Arial" w:hint="default"/>
      </w:rPr>
    </w:lvl>
    <w:lvl w:ilvl="7" w:tplc="C9648F2C" w:tentative="1">
      <w:start w:val="1"/>
      <w:numFmt w:val="bullet"/>
      <w:lvlText w:val="•"/>
      <w:lvlJc w:val="left"/>
      <w:pPr>
        <w:tabs>
          <w:tab w:val="num" w:pos="5760"/>
        </w:tabs>
        <w:ind w:left="5760" w:hanging="360"/>
      </w:pPr>
      <w:rPr>
        <w:rFonts w:ascii="Arial" w:hAnsi="Arial" w:hint="default"/>
      </w:rPr>
    </w:lvl>
    <w:lvl w:ilvl="8" w:tplc="2528B5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E60143"/>
    <w:multiLevelType w:val="hybridMultilevel"/>
    <w:tmpl w:val="139C90DC"/>
    <w:lvl w:ilvl="0" w:tplc="C0B6A006">
      <w:start w:val="1"/>
      <w:numFmt w:val="bullet"/>
      <w:lvlText w:val="•"/>
      <w:lvlJc w:val="left"/>
      <w:pPr>
        <w:tabs>
          <w:tab w:val="num" w:pos="720"/>
        </w:tabs>
        <w:ind w:left="720" w:hanging="360"/>
      </w:pPr>
      <w:rPr>
        <w:rFonts w:ascii="Arial" w:hAnsi="Arial" w:hint="default"/>
      </w:rPr>
    </w:lvl>
    <w:lvl w:ilvl="1" w:tplc="85DE34A4" w:tentative="1">
      <w:start w:val="1"/>
      <w:numFmt w:val="bullet"/>
      <w:lvlText w:val="•"/>
      <w:lvlJc w:val="left"/>
      <w:pPr>
        <w:tabs>
          <w:tab w:val="num" w:pos="1440"/>
        </w:tabs>
        <w:ind w:left="1440" w:hanging="360"/>
      </w:pPr>
      <w:rPr>
        <w:rFonts w:ascii="Arial" w:hAnsi="Arial" w:hint="default"/>
      </w:rPr>
    </w:lvl>
    <w:lvl w:ilvl="2" w:tplc="E58CF32C" w:tentative="1">
      <w:start w:val="1"/>
      <w:numFmt w:val="bullet"/>
      <w:lvlText w:val="•"/>
      <w:lvlJc w:val="left"/>
      <w:pPr>
        <w:tabs>
          <w:tab w:val="num" w:pos="2160"/>
        </w:tabs>
        <w:ind w:left="2160" w:hanging="360"/>
      </w:pPr>
      <w:rPr>
        <w:rFonts w:ascii="Arial" w:hAnsi="Arial" w:hint="default"/>
      </w:rPr>
    </w:lvl>
    <w:lvl w:ilvl="3" w:tplc="6BAC2F3C" w:tentative="1">
      <w:start w:val="1"/>
      <w:numFmt w:val="bullet"/>
      <w:lvlText w:val="•"/>
      <w:lvlJc w:val="left"/>
      <w:pPr>
        <w:tabs>
          <w:tab w:val="num" w:pos="2880"/>
        </w:tabs>
        <w:ind w:left="2880" w:hanging="360"/>
      </w:pPr>
      <w:rPr>
        <w:rFonts w:ascii="Arial" w:hAnsi="Arial" w:hint="default"/>
      </w:rPr>
    </w:lvl>
    <w:lvl w:ilvl="4" w:tplc="6F325206" w:tentative="1">
      <w:start w:val="1"/>
      <w:numFmt w:val="bullet"/>
      <w:lvlText w:val="•"/>
      <w:lvlJc w:val="left"/>
      <w:pPr>
        <w:tabs>
          <w:tab w:val="num" w:pos="3600"/>
        </w:tabs>
        <w:ind w:left="3600" w:hanging="360"/>
      </w:pPr>
      <w:rPr>
        <w:rFonts w:ascii="Arial" w:hAnsi="Arial" w:hint="default"/>
      </w:rPr>
    </w:lvl>
    <w:lvl w:ilvl="5" w:tplc="02D85BB2" w:tentative="1">
      <w:start w:val="1"/>
      <w:numFmt w:val="bullet"/>
      <w:lvlText w:val="•"/>
      <w:lvlJc w:val="left"/>
      <w:pPr>
        <w:tabs>
          <w:tab w:val="num" w:pos="4320"/>
        </w:tabs>
        <w:ind w:left="4320" w:hanging="360"/>
      </w:pPr>
      <w:rPr>
        <w:rFonts w:ascii="Arial" w:hAnsi="Arial" w:hint="default"/>
      </w:rPr>
    </w:lvl>
    <w:lvl w:ilvl="6" w:tplc="3AEE092E" w:tentative="1">
      <w:start w:val="1"/>
      <w:numFmt w:val="bullet"/>
      <w:lvlText w:val="•"/>
      <w:lvlJc w:val="left"/>
      <w:pPr>
        <w:tabs>
          <w:tab w:val="num" w:pos="5040"/>
        </w:tabs>
        <w:ind w:left="5040" w:hanging="360"/>
      </w:pPr>
      <w:rPr>
        <w:rFonts w:ascii="Arial" w:hAnsi="Arial" w:hint="default"/>
      </w:rPr>
    </w:lvl>
    <w:lvl w:ilvl="7" w:tplc="9F506880" w:tentative="1">
      <w:start w:val="1"/>
      <w:numFmt w:val="bullet"/>
      <w:lvlText w:val="•"/>
      <w:lvlJc w:val="left"/>
      <w:pPr>
        <w:tabs>
          <w:tab w:val="num" w:pos="5760"/>
        </w:tabs>
        <w:ind w:left="5760" w:hanging="360"/>
      </w:pPr>
      <w:rPr>
        <w:rFonts w:ascii="Arial" w:hAnsi="Arial" w:hint="default"/>
      </w:rPr>
    </w:lvl>
    <w:lvl w:ilvl="8" w:tplc="59BC01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B12FD0"/>
    <w:multiLevelType w:val="multilevel"/>
    <w:tmpl w:val="118C7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66592"/>
    <w:multiLevelType w:val="multilevel"/>
    <w:tmpl w:val="CC7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53A51"/>
    <w:multiLevelType w:val="multilevel"/>
    <w:tmpl w:val="DE04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6A31C8"/>
    <w:multiLevelType w:val="multilevel"/>
    <w:tmpl w:val="00786C26"/>
    <w:lvl w:ilvl="0">
      <w:start w:val="1"/>
      <w:numFmt w:val="low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6EB43F2"/>
    <w:multiLevelType w:val="hybridMultilevel"/>
    <w:tmpl w:val="BF085180"/>
    <w:lvl w:ilvl="0" w:tplc="0409001B">
      <w:start w:val="1"/>
      <w:numFmt w:val="lowerRoman"/>
      <w:lvlText w:val="%1."/>
      <w:lvlJc w:val="right"/>
      <w:pPr>
        <w:tabs>
          <w:tab w:val="num" w:pos="720"/>
        </w:tabs>
        <w:ind w:left="720" w:hanging="360"/>
      </w:pPr>
    </w:lvl>
    <w:lvl w:ilvl="1" w:tplc="452C0616" w:tentative="1">
      <w:start w:val="1"/>
      <w:numFmt w:val="decimal"/>
      <w:lvlText w:val="%2."/>
      <w:lvlJc w:val="left"/>
      <w:pPr>
        <w:tabs>
          <w:tab w:val="num" w:pos="1440"/>
        </w:tabs>
        <w:ind w:left="1440" w:hanging="360"/>
      </w:pPr>
    </w:lvl>
    <w:lvl w:ilvl="2" w:tplc="E4BCC700" w:tentative="1">
      <w:start w:val="1"/>
      <w:numFmt w:val="decimal"/>
      <w:lvlText w:val="%3."/>
      <w:lvlJc w:val="left"/>
      <w:pPr>
        <w:tabs>
          <w:tab w:val="num" w:pos="2160"/>
        </w:tabs>
        <w:ind w:left="2160" w:hanging="360"/>
      </w:pPr>
    </w:lvl>
    <w:lvl w:ilvl="3" w:tplc="E8EE8BE8" w:tentative="1">
      <w:start w:val="1"/>
      <w:numFmt w:val="decimal"/>
      <w:lvlText w:val="%4."/>
      <w:lvlJc w:val="left"/>
      <w:pPr>
        <w:tabs>
          <w:tab w:val="num" w:pos="2880"/>
        </w:tabs>
        <w:ind w:left="2880" w:hanging="360"/>
      </w:pPr>
    </w:lvl>
    <w:lvl w:ilvl="4" w:tplc="BE7298BC" w:tentative="1">
      <w:start w:val="1"/>
      <w:numFmt w:val="decimal"/>
      <w:lvlText w:val="%5."/>
      <w:lvlJc w:val="left"/>
      <w:pPr>
        <w:tabs>
          <w:tab w:val="num" w:pos="3600"/>
        </w:tabs>
        <w:ind w:left="3600" w:hanging="360"/>
      </w:pPr>
    </w:lvl>
    <w:lvl w:ilvl="5" w:tplc="D1066FBE" w:tentative="1">
      <w:start w:val="1"/>
      <w:numFmt w:val="decimal"/>
      <w:lvlText w:val="%6."/>
      <w:lvlJc w:val="left"/>
      <w:pPr>
        <w:tabs>
          <w:tab w:val="num" w:pos="4320"/>
        </w:tabs>
        <w:ind w:left="4320" w:hanging="360"/>
      </w:pPr>
    </w:lvl>
    <w:lvl w:ilvl="6" w:tplc="6D6C2FDC" w:tentative="1">
      <w:start w:val="1"/>
      <w:numFmt w:val="decimal"/>
      <w:lvlText w:val="%7."/>
      <w:lvlJc w:val="left"/>
      <w:pPr>
        <w:tabs>
          <w:tab w:val="num" w:pos="5040"/>
        </w:tabs>
        <w:ind w:left="5040" w:hanging="360"/>
      </w:pPr>
    </w:lvl>
    <w:lvl w:ilvl="7" w:tplc="751E814E" w:tentative="1">
      <w:start w:val="1"/>
      <w:numFmt w:val="decimal"/>
      <w:lvlText w:val="%8."/>
      <w:lvlJc w:val="left"/>
      <w:pPr>
        <w:tabs>
          <w:tab w:val="num" w:pos="5760"/>
        </w:tabs>
        <w:ind w:left="5760" w:hanging="360"/>
      </w:pPr>
    </w:lvl>
    <w:lvl w:ilvl="8" w:tplc="FB966DF6" w:tentative="1">
      <w:start w:val="1"/>
      <w:numFmt w:val="decimal"/>
      <w:lvlText w:val="%9."/>
      <w:lvlJc w:val="left"/>
      <w:pPr>
        <w:tabs>
          <w:tab w:val="num" w:pos="6480"/>
        </w:tabs>
        <w:ind w:left="6480" w:hanging="360"/>
      </w:pPr>
    </w:lvl>
  </w:abstractNum>
  <w:abstractNum w:abstractNumId="23" w15:restartNumberingAfterBreak="0">
    <w:nsid w:val="5758018C"/>
    <w:multiLevelType w:val="hybridMultilevel"/>
    <w:tmpl w:val="108E5C12"/>
    <w:lvl w:ilvl="0" w:tplc="9574074A">
      <w:start w:val="1"/>
      <w:numFmt w:val="bullet"/>
      <w:lvlText w:val="•"/>
      <w:lvlJc w:val="left"/>
      <w:pPr>
        <w:tabs>
          <w:tab w:val="num" w:pos="720"/>
        </w:tabs>
        <w:ind w:left="720" w:hanging="360"/>
      </w:pPr>
      <w:rPr>
        <w:rFonts w:ascii="Arial" w:hAnsi="Arial" w:hint="default"/>
      </w:rPr>
    </w:lvl>
    <w:lvl w:ilvl="1" w:tplc="16506742" w:tentative="1">
      <w:start w:val="1"/>
      <w:numFmt w:val="bullet"/>
      <w:lvlText w:val="•"/>
      <w:lvlJc w:val="left"/>
      <w:pPr>
        <w:tabs>
          <w:tab w:val="num" w:pos="1440"/>
        </w:tabs>
        <w:ind w:left="1440" w:hanging="360"/>
      </w:pPr>
      <w:rPr>
        <w:rFonts w:ascii="Arial" w:hAnsi="Arial" w:hint="default"/>
      </w:rPr>
    </w:lvl>
    <w:lvl w:ilvl="2" w:tplc="CA8616F6" w:tentative="1">
      <w:start w:val="1"/>
      <w:numFmt w:val="bullet"/>
      <w:lvlText w:val="•"/>
      <w:lvlJc w:val="left"/>
      <w:pPr>
        <w:tabs>
          <w:tab w:val="num" w:pos="2160"/>
        </w:tabs>
        <w:ind w:left="2160" w:hanging="360"/>
      </w:pPr>
      <w:rPr>
        <w:rFonts w:ascii="Arial" w:hAnsi="Arial" w:hint="default"/>
      </w:rPr>
    </w:lvl>
    <w:lvl w:ilvl="3" w:tplc="194A79BA" w:tentative="1">
      <w:start w:val="1"/>
      <w:numFmt w:val="bullet"/>
      <w:lvlText w:val="•"/>
      <w:lvlJc w:val="left"/>
      <w:pPr>
        <w:tabs>
          <w:tab w:val="num" w:pos="2880"/>
        </w:tabs>
        <w:ind w:left="2880" w:hanging="360"/>
      </w:pPr>
      <w:rPr>
        <w:rFonts w:ascii="Arial" w:hAnsi="Arial" w:hint="default"/>
      </w:rPr>
    </w:lvl>
    <w:lvl w:ilvl="4" w:tplc="72CEAC9E" w:tentative="1">
      <w:start w:val="1"/>
      <w:numFmt w:val="bullet"/>
      <w:lvlText w:val="•"/>
      <w:lvlJc w:val="left"/>
      <w:pPr>
        <w:tabs>
          <w:tab w:val="num" w:pos="3600"/>
        </w:tabs>
        <w:ind w:left="3600" w:hanging="360"/>
      </w:pPr>
      <w:rPr>
        <w:rFonts w:ascii="Arial" w:hAnsi="Arial" w:hint="default"/>
      </w:rPr>
    </w:lvl>
    <w:lvl w:ilvl="5" w:tplc="D5EA15C4" w:tentative="1">
      <w:start w:val="1"/>
      <w:numFmt w:val="bullet"/>
      <w:lvlText w:val="•"/>
      <w:lvlJc w:val="left"/>
      <w:pPr>
        <w:tabs>
          <w:tab w:val="num" w:pos="4320"/>
        </w:tabs>
        <w:ind w:left="4320" w:hanging="360"/>
      </w:pPr>
      <w:rPr>
        <w:rFonts w:ascii="Arial" w:hAnsi="Arial" w:hint="default"/>
      </w:rPr>
    </w:lvl>
    <w:lvl w:ilvl="6" w:tplc="6EB0F75E" w:tentative="1">
      <w:start w:val="1"/>
      <w:numFmt w:val="bullet"/>
      <w:lvlText w:val="•"/>
      <w:lvlJc w:val="left"/>
      <w:pPr>
        <w:tabs>
          <w:tab w:val="num" w:pos="5040"/>
        </w:tabs>
        <w:ind w:left="5040" w:hanging="360"/>
      </w:pPr>
      <w:rPr>
        <w:rFonts w:ascii="Arial" w:hAnsi="Arial" w:hint="default"/>
      </w:rPr>
    </w:lvl>
    <w:lvl w:ilvl="7" w:tplc="9C169AB8" w:tentative="1">
      <w:start w:val="1"/>
      <w:numFmt w:val="bullet"/>
      <w:lvlText w:val="•"/>
      <w:lvlJc w:val="left"/>
      <w:pPr>
        <w:tabs>
          <w:tab w:val="num" w:pos="5760"/>
        </w:tabs>
        <w:ind w:left="5760" w:hanging="360"/>
      </w:pPr>
      <w:rPr>
        <w:rFonts w:ascii="Arial" w:hAnsi="Arial" w:hint="default"/>
      </w:rPr>
    </w:lvl>
    <w:lvl w:ilvl="8" w:tplc="19844C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D22EFC"/>
    <w:multiLevelType w:val="multilevel"/>
    <w:tmpl w:val="6254B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C113CD0"/>
    <w:multiLevelType w:val="hybridMultilevel"/>
    <w:tmpl w:val="8FFC574A"/>
    <w:lvl w:ilvl="0" w:tplc="2098BA56">
      <w:start w:val="1"/>
      <w:numFmt w:val="bullet"/>
      <w:lvlText w:val="•"/>
      <w:lvlJc w:val="left"/>
      <w:pPr>
        <w:tabs>
          <w:tab w:val="num" w:pos="720"/>
        </w:tabs>
        <w:ind w:left="720" w:hanging="360"/>
      </w:pPr>
      <w:rPr>
        <w:rFonts w:ascii="Arial" w:hAnsi="Arial" w:hint="default"/>
      </w:rPr>
    </w:lvl>
    <w:lvl w:ilvl="1" w:tplc="16982008" w:tentative="1">
      <w:start w:val="1"/>
      <w:numFmt w:val="bullet"/>
      <w:lvlText w:val="•"/>
      <w:lvlJc w:val="left"/>
      <w:pPr>
        <w:tabs>
          <w:tab w:val="num" w:pos="1440"/>
        </w:tabs>
        <w:ind w:left="1440" w:hanging="360"/>
      </w:pPr>
      <w:rPr>
        <w:rFonts w:ascii="Arial" w:hAnsi="Arial" w:hint="default"/>
      </w:rPr>
    </w:lvl>
    <w:lvl w:ilvl="2" w:tplc="5B58A984" w:tentative="1">
      <w:start w:val="1"/>
      <w:numFmt w:val="bullet"/>
      <w:lvlText w:val="•"/>
      <w:lvlJc w:val="left"/>
      <w:pPr>
        <w:tabs>
          <w:tab w:val="num" w:pos="2160"/>
        </w:tabs>
        <w:ind w:left="2160" w:hanging="360"/>
      </w:pPr>
      <w:rPr>
        <w:rFonts w:ascii="Arial" w:hAnsi="Arial" w:hint="default"/>
      </w:rPr>
    </w:lvl>
    <w:lvl w:ilvl="3" w:tplc="965495A0" w:tentative="1">
      <w:start w:val="1"/>
      <w:numFmt w:val="bullet"/>
      <w:lvlText w:val="•"/>
      <w:lvlJc w:val="left"/>
      <w:pPr>
        <w:tabs>
          <w:tab w:val="num" w:pos="2880"/>
        </w:tabs>
        <w:ind w:left="2880" w:hanging="360"/>
      </w:pPr>
      <w:rPr>
        <w:rFonts w:ascii="Arial" w:hAnsi="Arial" w:hint="default"/>
      </w:rPr>
    </w:lvl>
    <w:lvl w:ilvl="4" w:tplc="C1DA7EA8" w:tentative="1">
      <w:start w:val="1"/>
      <w:numFmt w:val="bullet"/>
      <w:lvlText w:val="•"/>
      <w:lvlJc w:val="left"/>
      <w:pPr>
        <w:tabs>
          <w:tab w:val="num" w:pos="3600"/>
        </w:tabs>
        <w:ind w:left="3600" w:hanging="360"/>
      </w:pPr>
      <w:rPr>
        <w:rFonts w:ascii="Arial" w:hAnsi="Arial" w:hint="default"/>
      </w:rPr>
    </w:lvl>
    <w:lvl w:ilvl="5" w:tplc="64BAA698" w:tentative="1">
      <w:start w:val="1"/>
      <w:numFmt w:val="bullet"/>
      <w:lvlText w:val="•"/>
      <w:lvlJc w:val="left"/>
      <w:pPr>
        <w:tabs>
          <w:tab w:val="num" w:pos="4320"/>
        </w:tabs>
        <w:ind w:left="4320" w:hanging="360"/>
      </w:pPr>
      <w:rPr>
        <w:rFonts w:ascii="Arial" w:hAnsi="Arial" w:hint="default"/>
      </w:rPr>
    </w:lvl>
    <w:lvl w:ilvl="6" w:tplc="9FB67AE6" w:tentative="1">
      <w:start w:val="1"/>
      <w:numFmt w:val="bullet"/>
      <w:lvlText w:val="•"/>
      <w:lvlJc w:val="left"/>
      <w:pPr>
        <w:tabs>
          <w:tab w:val="num" w:pos="5040"/>
        </w:tabs>
        <w:ind w:left="5040" w:hanging="360"/>
      </w:pPr>
      <w:rPr>
        <w:rFonts w:ascii="Arial" w:hAnsi="Arial" w:hint="default"/>
      </w:rPr>
    </w:lvl>
    <w:lvl w:ilvl="7" w:tplc="2B4C7C0E" w:tentative="1">
      <w:start w:val="1"/>
      <w:numFmt w:val="bullet"/>
      <w:lvlText w:val="•"/>
      <w:lvlJc w:val="left"/>
      <w:pPr>
        <w:tabs>
          <w:tab w:val="num" w:pos="5760"/>
        </w:tabs>
        <w:ind w:left="5760" w:hanging="360"/>
      </w:pPr>
      <w:rPr>
        <w:rFonts w:ascii="Arial" w:hAnsi="Arial" w:hint="default"/>
      </w:rPr>
    </w:lvl>
    <w:lvl w:ilvl="8" w:tplc="A3265B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AD65AA"/>
    <w:multiLevelType w:val="multilevel"/>
    <w:tmpl w:val="FDAECA3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BCA6DE8"/>
    <w:multiLevelType w:val="hybridMultilevel"/>
    <w:tmpl w:val="4CF6056E"/>
    <w:lvl w:ilvl="0" w:tplc="0409001B">
      <w:start w:val="1"/>
      <w:numFmt w:val="lowerRoman"/>
      <w:lvlText w:val="%1."/>
      <w:lvlJc w:val="right"/>
      <w:pPr>
        <w:tabs>
          <w:tab w:val="num" w:pos="720"/>
        </w:tabs>
        <w:ind w:left="720" w:hanging="360"/>
      </w:pPr>
    </w:lvl>
    <w:lvl w:ilvl="1" w:tplc="DA40430C" w:tentative="1">
      <w:start w:val="1"/>
      <w:numFmt w:val="decimal"/>
      <w:lvlText w:val="%2."/>
      <w:lvlJc w:val="left"/>
      <w:pPr>
        <w:tabs>
          <w:tab w:val="num" w:pos="1440"/>
        </w:tabs>
        <w:ind w:left="1440" w:hanging="360"/>
      </w:pPr>
    </w:lvl>
    <w:lvl w:ilvl="2" w:tplc="7916CF7C" w:tentative="1">
      <w:start w:val="1"/>
      <w:numFmt w:val="decimal"/>
      <w:lvlText w:val="%3."/>
      <w:lvlJc w:val="left"/>
      <w:pPr>
        <w:tabs>
          <w:tab w:val="num" w:pos="2160"/>
        </w:tabs>
        <w:ind w:left="2160" w:hanging="360"/>
      </w:pPr>
    </w:lvl>
    <w:lvl w:ilvl="3" w:tplc="6186B524" w:tentative="1">
      <w:start w:val="1"/>
      <w:numFmt w:val="decimal"/>
      <w:lvlText w:val="%4."/>
      <w:lvlJc w:val="left"/>
      <w:pPr>
        <w:tabs>
          <w:tab w:val="num" w:pos="2880"/>
        </w:tabs>
        <w:ind w:left="2880" w:hanging="360"/>
      </w:pPr>
    </w:lvl>
    <w:lvl w:ilvl="4" w:tplc="B6DA6482" w:tentative="1">
      <w:start w:val="1"/>
      <w:numFmt w:val="decimal"/>
      <w:lvlText w:val="%5."/>
      <w:lvlJc w:val="left"/>
      <w:pPr>
        <w:tabs>
          <w:tab w:val="num" w:pos="3600"/>
        </w:tabs>
        <w:ind w:left="3600" w:hanging="360"/>
      </w:pPr>
    </w:lvl>
    <w:lvl w:ilvl="5" w:tplc="26A841EA" w:tentative="1">
      <w:start w:val="1"/>
      <w:numFmt w:val="decimal"/>
      <w:lvlText w:val="%6."/>
      <w:lvlJc w:val="left"/>
      <w:pPr>
        <w:tabs>
          <w:tab w:val="num" w:pos="4320"/>
        </w:tabs>
        <w:ind w:left="4320" w:hanging="360"/>
      </w:pPr>
    </w:lvl>
    <w:lvl w:ilvl="6" w:tplc="2854A280" w:tentative="1">
      <w:start w:val="1"/>
      <w:numFmt w:val="decimal"/>
      <w:lvlText w:val="%7."/>
      <w:lvlJc w:val="left"/>
      <w:pPr>
        <w:tabs>
          <w:tab w:val="num" w:pos="5040"/>
        </w:tabs>
        <w:ind w:left="5040" w:hanging="360"/>
      </w:pPr>
    </w:lvl>
    <w:lvl w:ilvl="7" w:tplc="88FEDDB6" w:tentative="1">
      <w:start w:val="1"/>
      <w:numFmt w:val="decimal"/>
      <w:lvlText w:val="%8."/>
      <w:lvlJc w:val="left"/>
      <w:pPr>
        <w:tabs>
          <w:tab w:val="num" w:pos="5760"/>
        </w:tabs>
        <w:ind w:left="5760" w:hanging="360"/>
      </w:pPr>
    </w:lvl>
    <w:lvl w:ilvl="8" w:tplc="0802789E" w:tentative="1">
      <w:start w:val="1"/>
      <w:numFmt w:val="decimal"/>
      <w:lvlText w:val="%9."/>
      <w:lvlJc w:val="left"/>
      <w:pPr>
        <w:tabs>
          <w:tab w:val="num" w:pos="6480"/>
        </w:tabs>
        <w:ind w:left="6480" w:hanging="360"/>
      </w:pPr>
    </w:lvl>
  </w:abstractNum>
  <w:abstractNum w:abstractNumId="28" w15:restartNumberingAfterBreak="0">
    <w:nsid w:val="6EB61D14"/>
    <w:multiLevelType w:val="multilevel"/>
    <w:tmpl w:val="591272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82150C"/>
    <w:multiLevelType w:val="multilevel"/>
    <w:tmpl w:val="4FC22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8C447D"/>
    <w:multiLevelType w:val="hybridMultilevel"/>
    <w:tmpl w:val="600E79E6"/>
    <w:lvl w:ilvl="0" w:tplc="DEE44F02">
      <w:start w:val="1"/>
      <w:numFmt w:val="bullet"/>
      <w:lvlText w:val="•"/>
      <w:lvlJc w:val="left"/>
      <w:pPr>
        <w:tabs>
          <w:tab w:val="num" w:pos="720"/>
        </w:tabs>
        <w:ind w:left="720" w:hanging="360"/>
      </w:pPr>
      <w:rPr>
        <w:rFonts w:ascii="Arial" w:hAnsi="Arial" w:hint="default"/>
      </w:rPr>
    </w:lvl>
    <w:lvl w:ilvl="1" w:tplc="87B81624" w:tentative="1">
      <w:start w:val="1"/>
      <w:numFmt w:val="bullet"/>
      <w:lvlText w:val="•"/>
      <w:lvlJc w:val="left"/>
      <w:pPr>
        <w:tabs>
          <w:tab w:val="num" w:pos="1440"/>
        </w:tabs>
        <w:ind w:left="1440" w:hanging="360"/>
      </w:pPr>
      <w:rPr>
        <w:rFonts w:ascii="Arial" w:hAnsi="Arial" w:hint="default"/>
      </w:rPr>
    </w:lvl>
    <w:lvl w:ilvl="2" w:tplc="BED46382" w:tentative="1">
      <w:start w:val="1"/>
      <w:numFmt w:val="bullet"/>
      <w:lvlText w:val="•"/>
      <w:lvlJc w:val="left"/>
      <w:pPr>
        <w:tabs>
          <w:tab w:val="num" w:pos="2160"/>
        </w:tabs>
        <w:ind w:left="2160" w:hanging="360"/>
      </w:pPr>
      <w:rPr>
        <w:rFonts w:ascii="Arial" w:hAnsi="Arial" w:hint="default"/>
      </w:rPr>
    </w:lvl>
    <w:lvl w:ilvl="3" w:tplc="E7D8FC26" w:tentative="1">
      <w:start w:val="1"/>
      <w:numFmt w:val="bullet"/>
      <w:lvlText w:val="•"/>
      <w:lvlJc w:val="left"/>
      <w:pPr>
        <w:tabs>
          <w:tab w:val="num" w:pos="2880"/>
        </w:tabs>
        <w:ind w:left="2880" w:hanging="360"/>
      </w:pPr>
      <w:rPr>
        <w:rFonts w:ascii="Arial" w:hAnsi="Arial" w:hint="default"/>
      </w:rPr>
    </w:lvl>
    <w:lvl w:ilvl="4" w:tplc="D160DF42" w:tentative="1">
      <w:start w:val="1"/>
      <w:numFmt w:val="bullet"/>
      <w:lvlText w:val="•"/>
      <w:lvlJc w:val="left"/>
      <w:pPr>
        <w:tabs>
          <w:tab w:val="num" w:pos="3600"/>
        </w:tabs>
        <w:ind w:left="3600" w:hanging="360"/>
      </w:pPr>
      <w:rPr>
        <w:rFonts w:ascii="Arial" w:hAnsi="Arial" w:hint="default"/>
      </w:rPr>
    </w:lvl>
    <w:lvl w:ilvl="5" w:tplc="808E336E" w:tentative="1">
      <w:start w:val="1"/>
      <w:numFmt w:val="bullet"/>
      <w:lvlText w:val="•"/>
      <w:lvlJc w:val="left"/>
      <w:pPr>
        <w:tabs>
          <w:tab w:val="num" w:pos="4320"/>
        </w:tabs>
        <w:ind w:left="4320" w:hanging="360"/>
      </w:pPr>
      <w:rPr>
        <w:rFonts w:ascii="Arial" w:hAnsi="Arial" w:hint="default"/>
      </w:rPr>
    </w:lvl>
    <w:lvl w:ilvl="6" w:tplc="8072FC3E" w:tentative="1">
      <w:start w:val="1"/>
      <w:numFmt w:val="bullet"/>
      <w:lvlText w:val="•"/>
      <w:lvlJc w:val="left"/>
      <w:pPr>
        <w:tabs>
          <w:tab w:val="num" w:pos="5040"/>
        </w:tabs>
        <w:ind w:left="5040" w:hanging="360"/>
      </w:pPr>
      <w:rPr>
        <w:rFonts w:ascii="Arial" w:hAnsi="Arial" w:hint="default"/>
      </w:rPr>
    </w:lvl>
    <w:lvl w:ilvl="7" w:tplc="7D9642F0" w:tentative="1">
      <w:start w:val="1"/>
      <w:numFmt w:val="bullet"/>
      <w:lvlText w:val="•"/>
      <w:lvlJc w:val="left"/>
      <w:pPr>
        <w:tabs>
          <w:tab w:val="num" w:pos="5760"/>
        </w:tabs>
        <w:ind w:left="5760" w:hanging="360"/>
      </w:pPr>
      <w:rPr>
        <w:rFonts w:ascii="Arial" w:hAnsi="Arial" w:hint="default"/>
      </w:rPr>
    </w:lvl>
    <w:lvl w:ilvl="8" w:tplc="588099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677520"/>
    <w:multiLevelType w:val="multilevel"/>
    <w:tmpl w:val="16E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E07D9"/>
    <w:multiLevelType w:val="hybridMultilevel"/>
    <w:tmpl w:val="4E5A2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37458"/>
    <w:multiLevelType w:val="multilevel"/>
    <w:tmpl w:val="50F4F6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E8F06A6"/>
    <w:multiLevelType w:val="multilevel"/>
    <w:tmpl w:val="6DF8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3"/>
  </w:num>
  <w:num w:numId="3">
    <w:abstractNumId w:val="11"/>
  </w:num>
  <w:num w:numId="4">
    <w:abstractNumId w:val="15"/>
  </w:num>
  <w:num w:numId="5">
    <w:abstractNumId w:val="16"/>
  </w:num>
  <w:num w:numId="6">
    <w:abstractNumId w:val="5"/>
  </w:num>
  <w:num w:numId="7">
    <w:abstractNumId w:val="25"/>
  </w:num>
  <w:num w:numId="8">
    <w:abstractNumId w:val="7"/>
  </w:num>
  <w:num w:numId="9">
    <w:abstractNumId w:val="30"/>
  </w:num>
  <w:num w:numId="10">
    <w:abstractNumId w:val="12"/>
  </w:num>
  <w:num w:numId="11">
    <w:abstractNumId w:val="6"/>
  </w:num>
  <w:num w:numId="12">
    <w:abstractNumId w:val="9"/>
  </w:num>
  <w:num w:numId="13">
    <w:abstractNumId w:val="21"/>
  </w:num>
  <w:num w:numId="14">
    <w:abstractNumId w:val="27"/>
  </w:num>
  <w:num w:numId="15">
    <w:abstractNumId w:val="22"/>
  </w:num>
  <w:num w:numId="16">
    <w:abstractNumId w:val="1"/>
  </w:num>
  <w:num w:numId="17">
    <w:abstractNumId w:val="29"/>
  </w:num>
  <w:num w:numId="18">
    <w:abstractNumId w:val="33"/>
  </w:num>
  <w:num w:numId="19">
    <w:abstractNumId w:val="24"/>
  </w:num>
  <w:num w:numId="20">
    <w:abstractNumId w:val="13"/>
  </w:num>
  <w:num w:numId="21">
    <w:abstractNumId w:val="19"/>
  </w:num>
  <w:num w:numId="22">
    <w:abstractNumId w:val="3"/>
  </w:num>
  <w:num w:numId="23">
    <w:abstractNumId w:val="31"/>
  </w:num>
  <w:num w:numId="24">
    <w:abstractNumId w:val="32"/>
  </w:num>
  <w:num w:numId="25">
    <w:abstractNumId w:val="34"/>
  </w:num>
  <w:num w:numId="26">
    <w:abstractNumId w:val="0"/>
  </w:num>
  <w:num w:numId="27">
    <w:abstractNumId w:val="20"/>
  </w:num>
  <w:num w:numId="28">
    <w:abstractNumId w:val="8"/>
  </w:num>
  <w:num w:numId="29">
    <w:abstractNumId w:val="18"/>
  </w:num>
  <w:num w:numId="30">
    <w:abstractNumId w:val="2"/>
  </w:num>
  <w:num w:numId="31">
    <w:abstractNumId w:val="4"/>
  </w:num>
  <w:num w:numId="32">
    <w:abstractNumId w:val="14"/>
  </w:num>
  <w:num w:numId="33">
    <w:abstractNumId w:val="12"/>
    <w:lvlOverride w:ilvl="0">
      <w:startOverride w:val="3"/>
    </w:lvlOverride>
    <w:lvlOverride w:ilvl="1"/>
  </w:num>
  <w:num w:numId="34">
    <w:abstractNumId w:val="12"/>
    <w:lvlOverride w:ilvl="0">
      <w:startOverride w:val="3"/>
    </w:lvlOverride>
    <w:lvlOverride w:ilvl="1">
      <w:startOverride w:val="6"/>
    </w:lvlOverride>
  </w:num>
  <w:num w:numId="35">
    <w:abstractNumId w:val="12"/>
    <w:lvlOverride w:ilvl="0">
      <w:startOverride w:val="3"/>
    </w:lvlOverride>
    <w:lvlOverride w:ilvl="1">
      <w:startOverride w:val="5"/>
    </w:lvlOverride>
  </w:num>
  <w:num w:numId="36">
    <w:abstractNumId w:val="12"/>
    <w:lvlOverride w:ilvl="0">
      <w:startOverride w:val="3"/>
    </w:lvlOverride>
    <w:lvlOverride w:ilvl="1">
      <w:startOverride w:val="5"/>
    </w:lvlOverride>
    <w:lvlOverride w:ilvl="2">
      <w:startOverride w:val="2"/>
    </w:lvlOverride>
  </w:num>
  <w:num w:numId="37">
    <w:abstractNumId w:val="26"/>
  </w:num>
  <w:num w:numId="38">
    <w:abstractNumId w:val="2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73A"/>
    <w:rsid w:val="000007DD"/>
    <w:rsid w:val="00005E1C"/>
    <w:rsid w:val="00007919"/>
    <w:rsid w:val="00017E4B"/>
    <w:rsid w:val="0004563C"/>
    <w:rsid w:val="00047469"/>
    <w:rsid w:val="00047698"/>
    <w:rsid w:val="00052F57"/>
    <w:rsid w:val="00060E3F"/>
    <w:rsid w:val="00066CB3"/>
    <w:rsid w:val="000A7E83"/>
    <w:rsid w:val="000C2E9D"/>
    <w:rsid w:val="000C3BA0"/>
    <w:rsid w:val="000E0BE4"/>
    <w:rsid w:val="000E0CBF"/>
    <w:rsid w:val="000E24E4"/>
    <w:rsid w:val="000E3F48"/>
    <w:rsid w:val="000F6221"/>
    <w:rsid w:val="0010328A"/>
    <w:rsid w:val="00127EF2"/>
    <w:rsid w:val="00130501"/>
    <w:rsid w:val="001321D8"/>
    <w:rsid w:val="00133857"/>
    <w:rsid w:val="00136BDE"/>
    <w:rsid w:val="00157056"/>
    <w:rsid w:val="0017350B"/>
    <w:rsid w:val="00174EB8"/>
    <w:rsid w:val="0017607A"/>
    <w:rsid w:val="00181A77"/>
    <w:rsid w:val="00186A98"/>
    <w:rsid w:val="001943BF"/>
    <w:rsid w:val="001A252D"/>
    <w:rsid w:val="001A335D"/>
    <w:rsid w:val="001B0D8E"/>
    <w:rsid w:val="001B56E0"/>
    <w:rsid w:val="001C6D7F"/>
    <w:rsid w:val="001D572C"/>
    <w:rsid w:val="001E38B4"/>
    <w:rsid w:val="001E65E5"/>
    <w:rsid w:val="001F7531"/>
    <w:rsid w:val="0020691C"/>
    <w:rsid w:val="00213101"/>
    <w:rsid w:val="00216190"/>
    <w:rsid w:val="00221760"/>
    <w:rsid w:val="0023666E"/>
    <w:rsid w:val="00237385"/>
    <w:rsid w:val="00253B0A"/>
    <w:rsid w:val="002600B4"/>
    <w:rsid w:val="00260653"/>
    <w:rsid w:val="002765AF"/>
    <w:rsid w:val="002768C2"/>
    <w:rsid w:val="00293B0A"/>
    <w:rsid w:val="00293BBA"/>
    <w:rsid w:val="002A134F"/>
    <w:rsid w:val="002A7BBB"/>
    <w:rsid w:val="002B09FB"/>
    <w:rsid w:val="002B6F16"/>
    <w:rsid w:val="002D2C48"/>
    <w:rsid w:val="002E4A01"/>
    <w:rsid w:val="002F3A6C"/>
    <w:rsid w:val="002F6448"/>
    <w:rsid w:val="003234C4"/>
    <w:rsid w:val="00327134"/>
    <w:rsid w:val="0032781D"/>
    <w:rsid w:val="00342AF1"/>
    <w:rsid w:val="003441D9"/>
    <w:rsid w:val="00344E76"/>
    <w:rsid w:val="003579F8"/>
    <w:rsid w:val="00360EEC"/>
    <w:rsid w:val="003711A7"/>
    <w:rsid w:val="003716AD"/>
    <w:rsid w:val="00383595"/>
    <w:rsid w:val="00387E05"/>
    <w:rsid w:val="003C0E6C"/>
    <w:rsid w:val="003C470D"/>
    <w:rsid w:val="003E416D"/>
    <w:rsid w:val="003E5F7A"/>
    <w:rsid w:val="003F4E64"/>
    <w:rsid w:val="003F6C20"/>
    <w:rsid w:val="00411326"/>
    <w:rsid w:val="004149E3"/>
    <w:rsid w:val="00426459"/>
    <w:rsid w:val="00433157"/>
    <w:rsid w:val="00457F96"/>
    <w:rsid w:val="0046337A"/>
    <w:rsid w:val="0047204C"/>
    <w:rsid w:val="00490228"/>
    <w:rsid w:val="00494713"/>
    <w:rsid w:val="004A008F"/>
    <w:rsid w:val="004B341E"/>
    <w:rsid w:val="004B3825"/>
    <w:rsid w:val="004B6B37"/>
    <w:rsid w:val="004C4467"/>
    <w:rsid w:val="004D0848"/>
    <w:rsid w:val="004D1C4D"/>
    <w:rsid w:val="004E335C"/>
    <w:rsid w:val="004E3720"/>
    <w:rsid w:val="00513E8C"/>
    <w:rsid w:val="00524003"/>
    <w:rsid w:val="00524C04"/>
    <w:rsid w:val="0053014A"/>
    <w:rsid w:val="00530169"/>
    <w:rsid w:val="00532520"/>
    <w:rsid w:val="00536D89"/>
    <w:rsid w:val="00550B87"/>
    <w:rsid w:val="00551AB3"/>
    <w:rsid w:val="00553814"/>
    <w:rsid w:val="00557F5B"/>
    <w:rsid w:val="005647FC"/>
    <w:rsid w:val="005653F0"/>
    <w:rsid w:val="00565A2D"/>
    <w:rsid w:val="00570AA4"/>
    <w:rsid w:val="00577DCE"/>
    <w:rsid w:val="00583680"/>
    <w:rsid w:val="00586F25"/>
    <w:rsid w:val="00592A30"/>
    <w:rsid w:val="00592F86"/>
    <w:rsid w:val="00595EED"/>
    <w:rsid w:val="0059640F"/>
    <w:rsid w:val="005A2F35"/>
    <w:rsid w:val="005A5FF5"/>
    <w:rsid w:val="005B470C"/>
    <w:rsid w:val="005B49EA"/>
    <w:rsid w:val="005B5553"/>
    <w:rsid w:val="005C0027"/>
    <w:rsid w:val="005C5082"/>
    <w:rsid w:val="005D0918"/>
    <w:rsid w:val="005D616E"/>
    <w:rsid w:val="005E286C"/>
    <w:rsid w:val="005F43CE"/>
    <w:rsid w:val="005F786F"/>
    <w:rsid w:val="00601A21"/>
    <w:rsid w:val="00606F7D"/>
    <w:rsid w:val="00611343"/>
    <w:rsid w:val="00634759"/>
    <w:rsid w:val="00635184"/>
    <w:rsid w:val="00635783"/>
    <w:rsid w:val="00636596"/>
    <w:rsid w:val="006421C9"/>
    <w:rsid w:val="00650E1F"/>
    <w:rsid w:val="006667EE"/>
    <w:rsid w:val="006738E6"/>
    <w:rsid w:val="006A0A71"/>
    <w:rsid w:val="006A2524"/>
    <w:rsid w:val="006A4E0E"/>
    <w:rsid w:val="006C2C79"/>
    <w:rsid w:val="006C6511"/>
    <w:rsid w:val="006D0EFB"/>
    <w:rsid w:val="006D3E9B"/>
    <w:rsid w:val="00717E04"/>
    <w:rsid w:val="00744817"/>
    <w:rsid w:val="007476A8"/>
    <w:rsid w:val="00753A18"/>
    <w:rsid w:val="0076611A"/>
    <w:rsid w:val="007713C4"/>
    <w:rsid w:val="00773D1E"/>
    <w:rsid w:val="00777A11"/>
    <w:rsid w:val="0079675D"/>
    <w:rsid w:val="007A6441"/>
    <w:rsid w:val="007B2D35"/>
    <w:rsid w:val="007B67DC"/>
    <w:rsid w:val="007D1CD9"/>
    <w:rsid w:val="007D5DA7"/>
    <w:rsid w:val="007F405E"/>
    <w:rsid w:val="007F535F"/>
    <w:rsid w:val="00802410"/>
    <w:rsid w:val="008037E3"/>
    <w:rsid w:val="00804836"/>
    <w:rsid w:val="00815271"/>
    <w:rsid w:val="00816D9B"/>
    <w:rsid w:val="008226A6"/>
    <w:rsid w:val="008342C7"/>
    <w:rsid w:val="00841A58"/>
    <w:rsid w:val="00850B99"/>
    <w:rsid w:val="00855A3C"/>
    <w:rsid w:val="008635D7"/>
    <w:rsid w:val="0086653C"/>
    <w:rsid w:val="00881150"/>
    <w:rsid w:val="00887F45"/>
    <w:rsid w:val="008916C7"/>
    <w:rsid w:val="00892366"/>
    <w:rsid w:val="00894A37"/>
    <w:rsid w:val="00895BFE"/>
    <w:rsid w:val="0089678F"/>
    <w:rsid w:val="008A604C"/>
    <w:rsid w:val="008A7EA2"/>
    <w:rsid w:val="008B1766"/>
    <w:rsid w:val="008B2E04"/>
    <w:rsid w:val="008B326B"/>
    <w:rsid w:val="008B3D7E"/>
    <w:rsid w:val="008B514C"/>
    <w:rsid w:val="008D2C50"/>
    <w:rsid w:val="008D3A5F"/>
    <w:rsid w:val="008E0BA8"/>
    <w:rsid w:val="008E60B4"/>
    <w:rsid w:val="008E7BA8"/>
    <w:rsid w:val="008F4ABE"/>
    <w:rsid w:val="009020B6"/>
    <w:rsid w:val="00910489"/>
    <w:rsid w:val="00911157"/>
    <w:rsid w:val="00917B0E"/>
    <w:rsid w:val="00920E96"/>
    <w:rsid w:val="009253A6"/>
    <w:rsid w:val="00937866"/>
    <w:rsid w:val="00937EB8"/>
    <w:rsid w:val="009444F0"/>
    <w:rsid w:val="009529E2"/>
    <w:rsid w:val="009539B4"/>
    <w:rsid w:val="009544CF"/>
    <w:rsid w:val="0096410D"/>
    <w:rsid w:val="00977311"/>
    <w:rsid w:val="009935A0"/>
    <w:rsid w:val="009A0C05"/>
    <w:rsid w:val="009A0D5E"/>
    <w:rsid w:val="009B06F9"/>
    <w:rsid w:val="009D22AB"/>
    <w:rsid w:val="009D51EF"/>
    <w:rsid w:val="009E2C0B"/>
    <w:rsid w:val="009E6B15"/>
    <w:rsid w:val="009F3667"/>
    <w:rsid w:val="009F412E"/>
    <w:rsid w:val="00A15818"/>
    <w:rsid w:val="00A16404"/>
    <w:rsid w:val="00A233D6"/>
    <w:rsid w:val="00A235D1"/>
    <w:rsid w:val="00A25BB2"/>
    <w:rsid w:val="00A36A51"/>
    <w:rsid w:val="00A40C18"/>
    <w:rsid w:val="00A5163F"/>
    <w:rsid w:val="00A529D4"/>
    <w:rsid w:val="00A53C08"/>
    <w:rsid w:val="00A63162"/>
    <w:rsid w:val="00A66372"/>
    <w:rsid w:val="00A84BF0"/>
    <w:rsid w:val="00A86006"/>
    <w:rsid w:val="00A865A6"/>
    <w:rsid w:val="00A91CCE"/>
    <w:rsid w:val="00AB1399"/>
    <w:rsid w:val="00AC61C6"/>
    <w:rsid w:val="00AE5831"/>
    <w:rsid w:val="00AE5F8B"/>
    <w:rsid w:val="00AF1AB5"/>
    <w:rsid w:val="00B1303A"/>
    <w:rsid w:val="00B13808"/>
    <w:rsid w:val="00B145FD"/>
    <w:rsid w:val="00B17D56"/>
    <w:rsid w:val="00B2109E"/>
    <w:rsid w:val="00B21EDB"/>
    <w:rsid w:val="00B2615B"/>
    <w:rsid w:val="00B35726"/>
    <w:rsid w:val="00B40393"/>
    <w:rsid w:val="00B554D0"/>
    <w:rsid w:val="00B57B79"/>
    <w:rsid w:val="00B85233"/>
    <w:rsid w:val="00BA30DA"/>
    <w:rsid w:val="00BB0194"/>
    <w:rsid w:val="00BB3FF4"/>
    <w:rsid w:val="00BC22B3"/>
    <w:rsid w:val="00BC6EF7"/>
    <w:rsid w:val="00BD44B4"/>
    <w:rsid w:val="00BD5753"/>
    <w:rsid w:val="00BD6F5F"/>
    <w:rsid w:val="00BE0ABF"/>
    <w:rsid w:val="00BE428A"/>
    <w:rsid w:val="00BE6707"/>
    <w:rsid w:val="00BF232D"/>
    <w:rsid w:val="00BF6F7F"/>
    <w:rsid w:val="00C027DF"/>
    <w:rsid w:val="00C076CF"/>
    <w:rsid w:val="00C106F8"/>
    <w:rsid w:val="00C1174B"/>
    <w:rsid w:val="00C1691C"/>
    <w:rsid w:val="00C17868"/>
    <w:rsid w:val="00C2493C"/>
    <w:rsid w:val="00C43DD4"/>
    <w:rsid w:val="00C454BA"/>
    <w:rsid w:val="00C45620"/>
    <w:rsid w:val="00C45D18"/>
    <w:rsid w:val="00C6173A"/>
    <w:rsid w:val="00C655AB"/>
    <w:rsid w:val="00C6768B"/>
    <w:rsid w:val="00C92CB9"/>
    <w:rsid w:val="00CA0482"/>
    <w:rsid w:val="00CA44D2"/>
    <w:rsid w:val="00CB1EF2"/>
    <w:rsid w:val="00CC0C01"/>
    <w:rsid w:val="00CC37BF"/>
    <w:rsid w:val="00CD597B"/>
    <w:rsid w:val="00CE06D2"/>
    <w:rsid w:val="00CE6F90"/>
    <w:rsid w:val="00D2319E"/>
    <w:rsid w:val="00D240CC"/>
    <w:rsid w:val="00D2431F"/>
    <w:rsid w:val="00D25B7B"/>
    <w:rsid w:val="00D26B67"/>
    <w:rsid w:val="00D378AD"/>
    <w:rsid w:val="00D4277C"/>
    <w:rsid w:val="00D451F3"/>
    <w:rsid w:val="00D45D93"/>
    <w:rsid w:val="00D60F89"/>
    <w:rsid w:val="00D659F6"/>
    <w:rsid w:val="00D70080"/>
    <w:rsid w:val="00D714D4"/>
    <w:rsid w:val="00D7372B"/>
    <w:rsid w:val="00D747B7"/>
    <w:rsid w:val="00D8683F"/>
    <w:rsid w:val="00DA0D72"/>
    <w:rsid w:val="00DA0DA4"/>
    <w:rsid w:val="00DA6CB9"/>
    <w:rsid w:val="00DC2DE1"/>
    <w:rsid w:val="00E00C8B"/>
    <w:rsid w:val="00E01BF2"/>
    <w:rsid w:val="00E04ACC"/>
    <w:rsid w:val="00E0555F"/>
    <w:rsid w:val="00E07377"/>
    <w:rsid w:val="00E15ABC"/>
    <w:rsid w:val="00E15BEC"/>
    <w:rsid w:val="00E40AEC"/>
    <w:rsid w:val="00E41CE5"/>
    <w:rsid w:val="00E43DB2"/>
    <w:rsid w:val="00E50B6E"/>
    <w:rsid w:val="00E624B0"/>
    <w:rsid w:val="00E75244"/>
    <w:rsid w:val="00E83DC5"/>
    <w:rsid w:val="00EA24C4"/>
    <w:rsid w:val="00EC014D"/>
    <w:rsid w:val="00ED04DE"/>
    <w:rsid w:val="00EE0C81"/>
    <w:rsid w:val="00EE1B94"/>
    <w:rsid w:val="00EF0BC8"/>
    <w:rsid w:val="00EF2FC2"/>
    <w:rsid w:val="00EF4ED1"/>
    <w:rsid w:val="00F014E7"/>
    <w:rsid w:val="00F02500"/>
    <w:rsid w:val="00F07592"/>
    <w:rsid w:val="00F37EF2"/>
    <w:rsid w:val="00F41302"/>
    <w:rsid w:val="00F42C26"/>
    <w:rsid w:val="00F63296"/>
    <w:rsid w:val="00F74608"/>
    <w:rsid w:val="00F82FC5"/>
    <w:rsid w:val="00F879C8"/>
    <w:rsid w:val="00F939C5"/>
    <w:rsid w:val="00F9401E"/>
    <w:rsid w:val="00FA0D13"/>
    <w:rsid w:val="00FA0D59"/>
    <w:rsid w:val="00FA1F7A"/>
    <w:rsid w:val="00FB0369"/>
    <w:rsid w:val="00FB24E4"/>
    <w:rsid w:val="00FC4A95"/>
    <w:rsid w:val="00FD52CB"/>
    <w:rsid w:val="00FD54F8"/>
    <w:rsid w:val="00FF0BD3"/>
    <w:rsid w:val="00FF1734"/>
    <w:rsid w:val="00FF1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D127D"/>
  <w15:docId w15:val="{6ECBABFA-A5DE-4233-A7EE-6A03A51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73A"/>
    <w:pPr>
      <w:spacing w:after="160" w:line="259" w:lineRule="auto"/>
    </w:pPr>
    <w:rPr>
      <w:lang w:val="en-US"/>
    </w:rPr>
  </w:style>
  <w:style w:type="paragraph" w:styleId="Heading1">
    <w:name w:val="heading 1"/>
    <w:basedOn w:val="Normal"/>
    <w:next w:val="Normal"/>
    <w:link w:val="Heading1Char"/>
    <w:uiPriority w:val="9"/>
    <w:qFormat/>
    <w:rsid w:val="000E3F48"/>
    <w:pPr>
      <w:keepNext/>
      <w:keepLines/>
      <w:spacing w:after="0" w:line="360" w:lineRule="auto"/>
      <w:ind w:left="432" w:hanging="432"/>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0E3F48"/>
    <w:pPr>
      <w:keepNext/>
      <w:keepLines/>
      <w:spacing w:before="40" w:after="0" w:line="360" w:lineRule="auto"/>
      <w:ind w:left="576" w:hanging="576"/>
      <w:jc w:val="both"/>
      <w:outlineLvl w:val="1"/>
    </w:pPr>
    <w:rPr>
      <w:rFonts w:ascii="Times New Roman" w:eastAsiaTheme="majorEastAsia" w:hAnsi="Times New Roman" w:cs="Times New Roman"/>
      <w:b/>
      <w:sz w:val="24"/>
      <w:szCs w:val="24"/>
    </w:rPr>
  </w:style>
  <w:style w:type="paragraph" w:styleId="Heading3">
    <w:name w:val="heading 3"/>
    <w:basedOn w:val="Heading2"/>
    <w:next w:val="Normal"/>
    <w:link w:val="Heading3Char"/>
    <w:uiPriority w:val="9"/>
    <w:unhideWhenUsed/>
    <w:qFormat/>
    <w:rsid w:val="000E3F48"/>
    <w:pPr>
      <w:outlineLvl w:val="2"/>
    </w:pPr>
  </w:style>
  <w:style w:type="paragraph" w:styleId="Heading4">
    <w:name w:val="heading 4"/>
    <w:basedOn w:val="Normal"/>
    <w:next w:val="Normal"/>
    <w:link w:val="Heading4Char"/>
    <w:uiPriority w:val="9"/>
    <w:semiHidden/>
    <w:unhideWhenUsed/>
    <w:qFormat/>
    <w:rsid w:val="000E3F48"/>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E3F48"/>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3F48"/>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3F48"/>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3F4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F4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73A"/>
    <w:rPr>
      <w:color w:val="0000FF"/>
      <w:u w:val="single"/>
    </w:rPr>
  </w:style>
  <w:style w:type="paragraph" w:customStyle="1" w:styleId="p1">
    <w:name w:val="p1"/>
    <w:basedOn w:val="Normal"/>
    <w:rsid w:val="0004769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s1">
    <w:name w:val="s1"/>
    <w:basedOn w:val="DefaultParagraphFont"/>
    <w:rsid w:val="00047698"/>
  </w:style>
  <w:style w:type="character" w:customStyle="1" w:styleId="s2">
    <w:name w:val="s2"/>
    <w:basedOn w:val="DefaultParagraphFont"/>
    <w:rsid w:val="00047698"/>
  </w:style>
  <w:style w:type="paragraph" w:customStyle="1" w:styleId="p2">
    <w:name w:val="p2"/>
    <w:basedOn w:val="Normal"/>
    <w:rsid w:val="00047698"/>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NormalWeb">
    <w:name w:val="Normal (Web)"/>
    <w:basedOn w:val="Normal"/>
    <w:uiPriority w:val="99"/>
    <w:unhideWhenUsed/>
    <w:rsid w:val="007D5D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D5DA7"/>
    <w:rPr>
      <w:b/>
      <w:bCs/>
    </w:rPr>
  </w:style>
  <w:style w:type="character" w:customStyle="1" w:styleId="Heading1Char">
    <w:name w:val="Heading 1 Char"/>
    <w:basedOn w:val="DefaultParagraphFont"/>
    <w:link w:val="Heading1"/>
    <w:uiPriority w:val="9"/>
    <w:rsid w:val="000E3F48"/>
    <w:rPr>
      <w:rFonts w:ascii="Times New Roman" w:eastAsiaTheme="majorEastAsia" w:hAnsi="Times New Roman" w:cs="Times New Roman"/>
      <w:b/>
      <w:sz w:val="24"/>
      <w:szCs w:val="24"/>
      <w:lang w:val="en-US"/>
    </w:rPr>
  </w:style>
  <w:style w:type="character" w:customStyle="1" w:styleId="Heading2Char">
    <w:name w:val="Heading 2 Char"/>
    <w:basedOn w:val="DefaultParagraphFont"/>
    <w:link w:val="Heading2"/>
    <w:uiPriority w:val="9"/>
    <w:rsid w:val="000E3F48"/>
    <w:rPr>
      <w:rFonts w:ascii="Times New Roman" w:eastAsiaTheme="majorEastAsia" w:hAnsi="Times New Roman" w:cs="Times New Roman"/>
      <w:b/>
      <w:sz w:val="24"/>
      <w:szCs w:val="24"/>
      <w:lang w:val="en-US"/>
    </w:rPr>
  </w:style>
  <w:style w:type="character" w:customStyle="1" w:styleId="Heading3Char">
    <w:name w:val="Heading 3 Char"/>
    <w:basedOn w:val="DefaultParagraphFont"/>
    <w:link w:val="Heading3"/>
    <w:uiPriority w:val="9"/>
    <w:rsid w:val="000E3F48"/>
    <w:rPr>
      <w:rFonts w:ascii="Times New Roman" w:eastAsiaTheme="majorEastAsia" w:hAnsi="Times New Roman" w:cs="Times New Roman"/>
      <w:b/>
      <w:sz w:val="24"/>
      <w:szCs w:val="24"/>
      <w:lang w:val="en-US"/>
    </w:rPr>
  </w:style>
  <w:style w:type="character" w:customStyle="1" w:styleId="Heading4Char">
    <w:name w:val="Heading 4 Char"/>
    <w:basedOn w:val="DefaultParagraphFont"/>
    <w:link w:val="Heading4"/>
    <w:uiPriority w:val="9"/>
    <w:semiHidden/>
    <w:rsid w:val="000E3F4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0E3F48"/>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0E3F48"/>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0E3F48"/>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0E3F4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E3F48"/>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0E3F48"/>
    <w:pPr>
      <w:ind w:left="720"/>
      <w:contextualSpacing/>
    </w:pPr>
  </w:style>
  <w:style w:type="table" w:styleId="TableGrid">
    <w:name w:val="Table Grid"/>
    <w:basedOn w:val="TableNormal"/>
    <w:uiPriority w:val="39"/>
    <w:rsid w:val="000E3F48"/>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3F48"/>
    <w:rPr>
      <w:sz w:val="16"/>
      <w:szCs w:val="16"/>
    </w:rPr>
  </w:style>
  <w:style w:type="paragraph" w:styleId="CommentText">
    <w:name w:val="annotation text"/>
    <w:basedOn w:val="Normal"/>
    <w:link w:val="CommentTextChar"/>
    <w:uiPriority w:val="99"/>
    <w:unhideWhenUsed/>
    <w:rsid w:val="000E3F48"/>
    <w:pPr>
      <w:spacing w:line="240" w:lineRule="auto"/>
    </w:pPr>
    <w:rPr>
      <w:sz w:val="20"/>
      <w:szCs w:val="20"/>
    </w:rPr>
  </w:style>
  <w:style w:type="character" w:customStyle="1" w:styleId="CommentTextChar">
    <w:name w:val="Comment Text Char"/>
    <w:basedOn w:val="DefaultParagraphFont"/>
    <w:link w:val="CommentText"/>
    <w:uiPriority w:val="99"/>
    <w:rsid w:val="000E3F48"/>
    <w:rPr>
      <w:sz w:val="20"/>
      <w:szCs w:val="20"/>
      <w:lang w:val="en-US"/>
    </w:rPr>
  </w:style>
  <w:style w:type="paragraph" w:styleId="CommentSubject">
    <w:name w:val="annotation subject"/>
    <w:basedOn w:val="CommentText"/>
    <w:next w:val="CommentText"/>
    <w:link w:val="CommentSubjectChar"/>
    <w:uiPriority w:val="99"/>
    <w:semiHidden/>
    <w:unhideWhenUsed/>
    <w:rsid w:val="000E3F48"/>
    <w:rPr>
      <w:b/>
      <w:bCs/>
    </w:rPr>
  </w:style>
  <w:style w:type="character" w:customStyle="1" w:styleId="CommentSubjectChar">
    <w:name w:val="Comment Subject Char"/>
    <w:basedOn w:val="CommentTextChar"/>
    <w:link w:val="CommentSubject"/>
    <w:uiPriority w:val="99"/>
    <w:semiHidden/>
    <w:rsid w:val="000E3F48"/>
    <w:rPr>
      <w:b/>
      <w:bCs/>
      <w:sz w:val="20"/>
      <w:szCs w:val="20"/>
      <w:lang w:val="en-US"/>
    </w:rPr>
  </w:style>
  <w:style w:type="paragraph" w:styleId="Revision">
    <w:name w:val="Revision"/>
    <w:hidden/>
    <w:uiPriority w:val="99"/>
    <w:semiHidden/>
    <w:rsid w:val="000E3F48"/>
    <w:pPr>
      <w:spacing w:after="0" w:line="240" w:lineRule="auto"/>
    </w:pPr>
    <w:rPr>
      <w:lang w:val="en-US"/>
    </w:rPr>
  </w:style>
  <w:style w:type="paragraph" w:styleId="BalloonText">
    <w:name w:val="Balloon Text"/>
    <w:basedOn w:val="Normal"/>
    <w:link w:val="BalloonTextChar"/>
    <w:uiPriority w:val="99"/>
    <w:semiHidden/>
    <w:unhideWhenUsed/>
    <w:rsid w:val="000E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48"/>
    <w:rPr>
      <w:rFonts w:ascii="Segoe UI" w:hAnsi="Segoe UI" w:cs="Segoe UI"/>
      <w:sz w:val="18"/>
      <w:szCs w:val="18"/>
      <w:lang w:val="en-US"/>
    </w:rPr>
  </w:style>
  <w:style w:type="paragraph" w:styleId="Header">
    <w:name w:val="header"/>
    <w:basedOn w:val="Normal"/>
    <w:link w:val="HeaderChar"/>
    <w:uiPriority w:val="99"/>
    <w:unhideWhenUsed/>
    <w:rsid w:val="000E3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48"/>
    <w:rPr>
      <w:lang w:val="en-US"/>
    </w:rPr>
  </w:style>
  <w:style w:type="paragraph" w:styleId="Footer">
    <w:name w:val="footer"/>
    <w:basedOn w:val="Normal"/>
    <w:link w:val="FooterChar"/>
    <w:uiPriority w:val="99"/>
    <w:unhideWhenUsed/>
    <w:rsid w:val="000E3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48"/>
    <w:rPr>
      <w:lang w:val="en-US"/>
    </w:rPr>
  </w:style>
  <w:style w:type="paragraph" w:styleId="NoSpacing">
    <w:name w:val="No Spacing"/>
    <w:uiPriority w:val="1"/>
    <w:qFormat/>
    <w:rsid w:val="000E3F48"/>
    <w:pPr>
      <w:spacing w:after="0" w:line="240" w:lineRule="auto"/>
    </w:pPr>
    <w:rPr>
      <w:lang w:val="en-US"/>
    </w:rPr>
  </w:style>
  <w:style w:type="paragraph" w:styleId="TOCHeading">
    <w:name w:val="TOC Heading"/>
    <w:basedOn w:val="Heading1"/>
    <w:next w:val="Normal"/>
    <w:uiPriority w:val="39"/>
    <w:unhideWhenUsed/>
    <w:qFormat/>
    <w:rsid w:val="000E3F48"/>
    <w:pPr>
      <w:ind w:left="0" w:firstLine="0"/>
      <w:outlineLvl w:val="9"/>
    </w:pPr>
  </w:style>
  <w:style w:type="paragraph" w:styleId="TOC1">
    <w:name w:val="toc 1"/>
    <w:basedOn w:val="Normal"/>
    <w:next w:val="Normal"/>
    <w:autoRedefine/>
    <w:uiPriority w:val="39"/>
    <w:unhideWhenUsed/>
    <w:rsid w:val="000E3F48"/>
    <w:pPr>
      <w:tabs>
        <w:tab w:val="right" w:leader="dot" w:pos="9350"/>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0E3F48"/>
    <w:pPr>
      <w:spacing w:after="100"/>
      <w:ind w:left="220"/>
    </w:pPr>
  </w:style>
  <w:style w:type="paragraph" w:styleId="TOC3">
    <w:name w:val="toc 3"/>
    <w:basedOn w:val="Normal"/>
    <w:next w:val="Normal"/>
    <w:autoRedefine/>
    <w:uiPriority w:val="39"/>
    <w:unhideWhenUsed/>
    <w:rsid w:val="000E3F48"/>
    <w:pPr>
      <w:spacing w:after="100"/>
      <w:ind w:left="440"/>
    </w:pPr>
  </w:style>
  <w:style w:type="paragraph" w:styleId="Caption">
    <w:name w:val="caption"/>
    <w:basedOn w:val="Normal"/>
    <w:next w:val="Normal"/>
    <w:uiPriority w:val="35"/>
    <w:unhideWhenUsed/>
    <w:qFormat/>
    <w:rsid w:val="000E3F48"/>
    <w:pPr>
      <w:spacing w:before="240" w:after="0" w:line="360" w:lineRule="auto"/>
      <w:ind w:left="1134" w:hanging="1134"/>
    </w:pPr>
    <w:rPr>
      <w:rFonts w:ascii="Times New Roman" w:hAnsi="Times New Roman" w:cs="Times New Roman"/>
      <w:b/>
      <w:bCs/>
      <w:sz w:val="24"/>
      <w:szCs w:val="18"/>
    </w:rPr>
  </w:style>
  <w:style w:type="table" w:customStyle="1" w:styleId="TableGridLight1">
    <w:name w:val="Table Grid Light1"/>
    <w:basedOn w:val="TableNormal"/>
    <w:uiPriority w:val="40"/>
    <w:rsid w:val="000E3F48"/>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0E3F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0E3F48"/>
    <w:pPr>
      <w:spacing w:after="0" w:line="240" w:lineRule="auto"/>
      <w:jc w:val="center"/>
    </w:pPr>
    <w:rPr>
      <w:rFonts w:ascii="Verdana" w:eastAsia="Times New Roman" w:hAnsi="Verdana" w:cs="Times New Roman"/>
      <w:b/>
      <w:sz w:val="20"/>
      <w:szCs w:val="20"/>
      <w:lang w:val="en-GB"/>
    </w:rPr>
  </w:style>
  <w:style w:type="character" w:customStyle="1" w:styleId="BodyText2Char">
    <w:name w:val="Body Text 2 Char"/>
    <w:basedOn w:val="DefaultParagraphFont"/>
    <w:link w:val="BodyText2"/>
    <w:semiHidden/>
    <w:rsid w:val="000E3F48"/>
    <w:rPr>
      <w:rFonts w:ascii="Verdana" w:eastAsia="Times New Roman" w:hAnsi="Verdana" w:cs="Times New Roman"/>
      <w:b/>
      <w:sz w:val="20"/>
      <w:szCs w:val="20"/>
    </w:rPr>
  </w:style>
  <w:style w:type="paragraph" w:styleId="TableofFigures">
    <w:name w:val="table of figures"/>
    <w:basedOn w:val="Normal"/>
    <w:next w:val="Normal"/>
    <w:uiPriority w:val="99"/>
    <w:unhideWhenUsed/>
    <w:rsid w:val="000E3F48"/>
    <w:pPr>
      <w:spacing w:after="0"/>
    </w:pPr>
  </w:style>
  <w:style w:type="character" w:styleId="Emphasis">
    <w:name w:val="Emphasis"/>
    <w:basedOn w:val="DefaultParagraphFont"/>
    <w:uiPriority w:val="20"/>
    <w:qFormat/>
    <w:rsid w:val="001D572C"/>
    <w:rPr>
      <w:i/>
      <w:iCs/>
    </w:rPr>
  </w:style>
  <w:style w:type="character" w:styleId="UnresolvedMention">
    <w:name w:val="Unresolved Mention"/>
    <w:basedOn w:val="DefaultParagraphFont"/>
    <w:uiPriority w:val="99"/>
    <w:semiHidden/>
    <w:unhideWhenUsed/>
    <w:rsid w:val="00CA4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0120">
      <w:bodyDiv w:val="1"/>
      <w:marLeft w:val="0"/>
      <w:marRight w:val="0"/>
      <w:marTop w:val="0"/>
      <w:marBottom w:val="0"/>
      <w:divBdr>
        <w:top w:val="none" w:sz="0" w:space="0" w:color="auto"/>
        <w:left w:val="none" w:sz="0" w:space="0" w:color="auto"/>
        <w:bottom w:val="none" w:sz="0" w:space="0" w:color="auto"/>
        <w:right w:val="none" w:sz="0" w:space="0" w:color="auto"/>
      </w:divBdr>
    </w:div>
    <w:div w:id="217130021">
      <w:bodyDiv w:val="1"/>
      <w:marLeft w:val="0"/>
      <w:marRight w:val="0"/>
      <w:marTop w:val="0"/>
      <w:marBottom w:val="0"/>
      <w:divBdr>
        <w:top w:val="none" w:sz="0" w:space="0" w:color="auto"/>
        <w:left w:val="none" w:sz="0" w:space="0" w:color="auto"/>
        <w:bottom w:val="none" w:sz="0" w:space="0" w:color="auto"/>
        <w:right w:val="none" w:sz="0" w:space="0" w:color="auto"/>
      </w:divBdr>
    </w:div>
    <w:div w:id="301230673">
      <w:bodyDiv w:val="1"/>
      <w:marLeft w:val="0"/>
      <w:marRight w:val="0"/>
      <w:marTop w:val="0"/>
      <w:marBottom w:val="0"/>
      <w:divBdr>
        <w:top w:val="none" w:sz="0" w:space="0" w:color="auto"/>
        <w:left w:val="none" w:sz="0" w:space="0" w:color="auto"/>
        <w:bottom w:val="none" w:sz="0" w:space="0" w:color="auto"/>
        <w:right w:val="none" w:sz="0" w:space="0" w:color="auto"/>
      </w:divBdr>
    </w:div>
    <w:div w:id="313066219">
      <w:bodyDiv w:val="1"/>
      <w:marLeft w:val="0"/>
      <w:marRight w:val="0"/>
      <w:marTop w:val="0"/>
      <w:marBottom w:val="0"/>
      <w:divBdr>
        <w:top w:val="none" w:sz="0" w:space="0" w:color="auto"/>
        <w:left w:val="none" w:sz="0" w:space="0" w:color="auto"/>
        <w:bottom w:val="none" w:sz="0" w:space="0" w:color="auto"/>
        <w:right w:val="none" w:sz="0" w:space="0" w:color="auto"/>
      </w:divBdr>
      <w:divsChild>
        <w:div w:id="1448309081">
          <w:marLeft w:val="360"/>
          <w:marRight w:val="0"/>
          <w:marTop w:val="200"/>
          <w:marBottom w:val="0"/>
          <w:divBdr>
            <w:top w:val="none" w:sz="0" w:space="0" w:color="auto"/>
            <w:left w:val="none" w:sz="0" w:space="0" w:color="auto"/>
            <w:bottom w:val="none" w:sz="0" w:space="0" w:color="auto"/>
            <w:right w:val="none" w:sz="0" w:space="0" w:color="auto"/>
          </w:divBdr>
        </w:div>
        <w:div w:id="1587955000">
          <w:marLeft w:val="360"/>
          <w:marRight w:val="0"/>
          <w:marTop w:val="200"/>
          <w:marBottom w:val="0"/>
          <w:divBdr>
            <w:top w:val="none" w:sz="0" w:space="0" w:color="auto"/>
            <w:left w:val="none" w:sz="0" w:space="0" w:color="auto"/>
            <w:bottom w:val="none" w:sz="0" w:space="0" w:color="auto"/>
            <w:right w:val="none" w:sz="0" w:space="0" w:color="auto"/>
          </w:divBdr>
        </w:div>
      </w:divsChild>
    </w:div>
    <w:div w:id="437992882">
      <w:bodyDiv w:val="1"/>
      <w:marLeft w:val="0"/>
      <w:marRight w:val="0"/>
      <w:marTop w:val="0"/>
      <w:marBottom w:val="0"/>
      <w:divBdr>
        <w:top w:val="none" w:sz="0" w:space="0" w:color="auto"/>
        <w:left w:val="none" w:sz="0" w:space="0" w:color="auto"/>
        <w:bottom w:val="none" w:sz="0" w:space="0" w:color="auto"/>
        <w:right w:val="none" w:sz="0" w:space="0" w:color="auto"/>
      </w:divBdr>
    </w:div>
    <w:div w:id="445000168">
      <w:bodyDiv w:val="1"/>
      <w:marLeft w:val="0"/>
      <w:marRight w:val="0"/>
      <w:marTop w:val="0"/>
      <w:marBottom w:val="0"/>
      <w:divBdr>
        <w:top w:val="none" w:sz="0" w:space="0" w:color="auto"/>
        <w:left w:val="none" w:sz="0" w:space="0" w:color="auto"/>
        <w:bottom w:val="none" w:sz="0" w:space="0" w:color="auto"/>
        <w:right w:val="none" w:sz="0" w:space="0" w:color="auto"/>
      </w:divBdr>
    </w:div>
    <w:div w:id="554127454">
      <w:bodyDiv w:val="1"/>
      <w:marLeft w:val="0"/>
      <w:marRight w:val="0"/>
      <w:marTop w:val="0"/>
      <w:marBottom w:val="0"/>
      <w:divBdr>
        <w:top w:val="none" w:sz="0" w:space="0" w:color="auto"/>
        <w:left w:val="none" w:sz="0" w:space="0" w:color="auto"/>
        <w:bottom w:val="none" w:sz="0" w:space="0" w:color="auto"/>
        <w:right w:val="none" w:sz="0" w:space="0" w:color="auto"/>
      </w:divBdr>
      <w:divsChild>
        <w:div w:id="1160079159">
          <w:marLeft w:val="360"/>
          <w:marRight w:val="0"/>
          <w:marTop w:val="200"/>
          <w:marBottom w:val="0"/>
          <w:divBdr>
            <w:top w:val="none" w:sz="0" w:space="0" w:color="auto"/>
            <w:left w:val="none" w:sz="0" w:space="0" w:color="auto"/>
            <w:bottom w:val="none" w:sz="0" w:space="0" w:color="auto"/>
            <w:right w:val="none" w:sz="0" w:space="0" w:color="auto"/>
          </w:divBdr>
        </w:div>
        <w:div w:id="2004235166">
          <w:marLeft w:val="360"/>
          <w:marRight w:val="0"/>
          <w:marTop w:val="200"/>
          <w:marBottom w:val="0"/>
          <w:divBdr>
            <w:top w:val="none" w:sz="0" w:space="0" w:color="auto"/>
            <w:left w:val="none" w:sz="0" w:space="0" w:color="auto"/>
            <w:bottom w:val="none" w:sz="0" w:space="0" w:color="auto"/>
            <w:right w:val="none" w:sz="0" w:space="0" w:color="auto"/>
          </w:divBdr>
        </w:div>
        <w:div w:id="500856537">
          <w:marLeft w:val="360"/>
          <w:marRight w:val="0"/>
          <w:marTop w:val="200"/>
          <w:marBottom w:val="0"/>
          <w:divBdr>
            <w:top w:val="none" w:sz="0" w:space="0" w:color="auto"/>
            <w:left w:val="none" w:sz="0" w:space="0" w:color="auto"/>
            <w:bottom w:val="none" w:sz="0" w:space="0" w:color="auto"/>
            <w:right w:val="none" w:sz="0" w:space="0" w:color="auto"/>
          </w:divBdr>
        </w:div>
      </w:divsChild>
    </w:div>
    <w:div w:id="665208823">
      <w:bodyDiv w:val="1"/>
      <w:marLeft w:val="0"/>
      <w:marRight w:val="0"/>
      <w:marTop w:val="0"/>
      <w:marBottom w:val="0"/>
      <w:divBdr>
        <w:top w:val="none" w:sz="0" w:space="0" w:color="auto"/>
        <w:left w:val="none" w:sz="0" w:space="0" w:color="auto"/>
        <w:bottom w:val="none" w:sz="0" w:space="0" w:color="auto"/>
        <w:right w:val="none" w:sz="0" w:space="0" w:color="auto"/>
      </w:divBdr>
      <w:divsChild>
        <w:div w:id="208349331">
          <w:marLeft w:val="360"/>
          <w:marRight w:val="0"/>
          <w:marTop w:val="200"/>
          <w:marBottom w:val="0"/>
          <w:divBdr>
            <w:top w:val="none" w:sz="0" w:space="0" w:color="auto"/>
            <w:left w:val="none" w:sz="0" w:space="0" w:color="auto"/>
            <w:bottom w:val="none" w:sz="0" w:space="0" w:color="auto"/>
            <w:right w:val="none" w:sz="0" w:space="0" w:color="auto"/>
          </w:divBdr>
        </w:div>
        <w:div w:id="765881770">
          <w:marLeft w:val="360"/>
          <w:marRight w:val="0"/>
          <w:marTop w:val="200"/>
          <w:marBottom w:val="0"/>
          <w:divBdr>
            <w:top w:val="none" w:sz="0" w:space="0" w:color="auto"/>
            <w:left w:val="none" w:sz="0" w:space="0" w:color="auto"/>
            <w:bottom w:val="none" w:sz="0" w:space="0" w:color="auto"/>
            <w:right w:val="none" w:sz="0" w:space="0" w:color="auto"/>
          </w:divBdr>
        </w:div>
        <w:div w:id="868180599">
          <w:marLeft w:val="360"/>
          <w:marRight w:val="0"/>
          <w:marTop w:val="200"/>
          <w:marBottom w:val="0"/>
          <w:divBdr>
            <w:top w:val="none" w:sz="0" w:space="0" w:color="auto"/>
            <w:left w:val="none" w:sz="0" w:space="0" w:color="auto"/>
            <w:bottom w:val="none" w:sz="0" w:space="0" w:color="auto"/>
            <w:right w:val="none" w:sz="0" w:space="0" w:color="auto"/>
          </w:divBdr>
        </w:div>
      </w:divsChild>
    </w:div>
    <w:div w:id="913322982">
      <w:bodyDiv w:val="1"/>
      <w:marLeft w:val="0"/>
      <w:marRight w:val="0"/>
      <w:marTop w:val="0"/>
      <w:marBottom w:val="0"/>
      <w:divBdr>
        <w:top w:val="none" w:sz="0" w:space="0" w:color="auto"/>
        <w:left w:val="none" w:sz="0" w:space="0" w:color="auto"/>
        <w:bottom w:val="none" w:sz="0" w:space="0" w:color="auto"/>
        <w:right w:val="none" w:sz="0" w:space="0" w:color="auto"/>
      </w:divBdr>
      <w:divsChild>
        <w:div w:id="394161228">
          <w:marLeft w:val="360"/>
          <w:marRight w:val="0"/>
          <w:marTop w:val="200"/>
          <w:marBottom w:val="0"/>
          <w:divBdr>
            <w:top w:val="none" w:sz="0" w:space="0" w:color="auto"/>
            <w:left w:val="none" w:sz="0" w:space="0" w:color="auto"/>
            <w:bottom w:val="none" w:sz="0" w:space="0" w:color="auto"/>
            <w:right w:val="none" w:sz="0" w:space="0" w:color="auto"/>
          </w:divBdr>
        </w:div>
        <w:div w:id="1607811248">
          <w:marLeft w:val="360"/>
          <w:marRight w:val="0"/>
          <w:marTop w:val="200"/>
          <w:marBottom w:val="0"/>
          <w:divBdr>
            <w:top w:val="none" w:sz="0" w:space="0" w:color="auto"/>
            <w:left w:val="none" w:sz="0" w:space="0" w:color="auto"/>
            <w:bottom w:val="none" w:sz="0" w:space="0" w:color="auto"/>
            <w:right w:val="none" w:sz="0" w:space="0" w:color="auto"/>
          </w:divBdr>
        </w:div>
      </w:divsChild>
    </w:div>
    <w:div w:id="978071341">
      <w:bodyDiv w:val="1"/>
      <w:marLeft w:val="0"/>
      <w:marRight w:val="0"/>
      <w:marTop w:val="0"/>
      <w:marBottom w:val="0"/>
      <w:divBdr>
        <w:top w:val="none" w:sz="0" w:space="0" w:color="auto"/>
        <w:left w:val="none" w:sz="0" w:space="0" w:color="auto"/>
        <w:bottom w:val="none" w:sz="0" w:space="0" w:color="auto"/>
        <w:right w:val="none" w:sz="0" w:space="0" w:color="auto"/>
      </w:divBdr>
      <w:divsChild>
        <w:div w:id="1088310108">
          <w:marLeft w:val="360"/>
          <w:marRight w:val="0"/>
          <w:marTop w:val="200"/>
          <w:marBottom w:val="0"/>
          <w:divBdr>
            <w:top w:val="none" w:sz="0" w:space="0" w:color="auto"/>
            <w:left w:val="none" w:sz="0" w:space="0" w:color="auto"/>
            <w:bottom w:val="none" w:sz="0" w:space="0" w:color="auto"/>
            <w:right w:val="none" w:sz="0" w:space="0" w:color="auto"/>
          </w:divBdr>
        </w:div>
        <w:div w:id="1078358732">
          <w:marLeft w:val="1080"/>
          <w:marRight w:val="0"/>
          <w:marTop w:val="100"/>
          <w:marBottom w:val="0"/>
          <w:divBdr>
            <w:top w:val="none" w:sz="0" w:space="0" w:color="auto"/>
            <w:left w:val="none" w:sz="0" w:space="0" w:color="auto"/>
            <w:bottom w:val="none" w:sz="0" w:space="0" w:color="auto"/>
            <w:right w:val="none" w:sz="0" w:space="0" w:color="auto"/>
          </w:divBdr>
        </w:div>
        <w:div w:id="1399131014">
          <w:marLeft w:val="1080"/>
          <w:marRight w:val="0"/>
          <w:marTop w:val="100"/>
          <w:marBottom w:val="0"/>
          <w:divBdr>
            <w:top w:val="none" w:sz="0" w:space="0" w:color="auto"/>
            <w:left w:val="none" w:sz="0" w:space="0" w:color="auto"/>
            <w:bottom w:val="none" w:sz="0" w:space="0" w:color="auto"/>
            <w:right w:val="none" w:sz="0" w:space="0" w:color="auto"/>
          </w:divBdr>
        </w:div>
        <w:div w:id="1936589095">
          <w:marLeft w:val="1080"/>
          <w:marRight w:val="0"/>
          <w:marTop w:val="100"/>
          <w:marBottom w:val="0"/>
          <w:divBdr>
            <w:top w:val="none" w:sz="0" w:space="0" w:color="auto"/>
            <w:left w:val="none" w:sz="0" w:space="0" w:color="auto"/>
            <w:bottom w:val="none" w:sz="0" w:space="0" w:color="auto"/>
            <w:right w:val="none" w:sz="0" w:space="0" w:color="auto"/>
          </w:divBdr>
        </w:div>
      </w:divsChild>
    </w:div>
    <w:div w:id="1089618803">
      <w:bodyDiv w:val="1"/>
      <w:marLeft w:val="0"/>
      <w:marRight w:val="0"/>
      <w:marTop w:val="0"/>
      <w:marBottom w:val="0"/>
      <w:divBdr>
        <w:top w:val="none" w:sz="0" w:space="0" w:color="auto"/>
        <w:left w:val="none" w:sz="0" w:space="0" w:color="auto"/>
        <w:bottom w:val="none" w:sz="0" w:space="0" w:color="auto"/>
        <w:right w:val="none" w:sz="0" w:space="0" w:color="auto"/>
      </w:divBdr>
      <w:divsChild>
        <w:div w:id="1949853948">
          <w:marLeft w:val="360"/>
          <w:marRight w:val="0"/>
          <w:marTop w:val="200"/>
          <w:marBottom w:val="0"/>
          <w:divBdr>
            <w:top w:val="none" w:sz="0" w:space="0" w:color="auto"/>
            <w:left w:val="none" w:sz="0" w:space="0" w:color="auto"/>
            <w:bottom w:val="none" w:sz="0" w:space="0" w:color="auto"/>
            <w:right w:val="none" w:sz="0" w:space="0" w:color="auto"/>
          </w:divBdr>
        </w:div>
        <w:div w:id="752899700">
          <w:marLeft w:val="360"/>
          <w:marRight w:val="0"/>
          <w:marTop w:val="200"/>
          <w:marBottom w:val="0"/>
          <w:divBdr>
            <w:top w:val="none" w:sz="0" w:space="0" w:color="auto"/>
            <w:left w:val="none" w:sz="0" w:space="0" w:color="auto"/>
            <w:bottom w:val="none" w:sz="0" w:space="0" w:color="auto"/>
            <w:right w:val="none" w:sz="0" w:space="0" w:color="auto"/>
          </w:divBdr>
        </w:div>
      </w:divsChild>
    </w:div>
    <w:div w:id="1389457095">
      <w:bodyDiv w:val="1"/>
      <w:marLeft w:val="0"/>
      <w:marRight w:val="0"/>
      <w:marTop w:val="0"/>
      <w:marBottom w:val="0"/>
      <w:divBdr>
        <w:top w:val="none" w:sz="0" w:space="0" w:color="auto"/>
        <w:left w:val="none" w:sz="0" w:space="0" w:color="auto"/>
        <w:bottom w:val="none" w:sz="0" w:space="0" w:color="auto"/>
        <w:right w:val="none" w:sz="0" w:space="0" w:color="auto"/>
      </w:divBdr>
    </w:div>
    <w:div w:id="1399093316">
      <w:bodyDiv w:val="1"/>
      <w:marLeft w:val="0"/>
      <w:marRight w:val="0"/>
      <w:marTop w:val="0"/>
      <w:marBottom w:val="0"/>
      <w:divBdr>
        <w:top w:val="none" w:sz="0" w:space="0" w:color="auto"/>
        <w:left w:val="none" w:sz="0" w:space="0" w:color="auto"/>
        <w:bottom w:val="none" w:sz="0" w:space="0" w:color="auto"/>
        <w:right w:val="none" w:sz="0" w:space="0" w:color="auto"/>
      </w:divBdr>
    </w:div>
    <w:div w:id="1641764406">
      <w:bodyDiv w:val="1"/>
      <w:marLeft w:val="0"/>
      <w:marRight w:val="0"/>
      <w:marTop w:val="0"/>
      <w:marBottom w:val="0"/>
      <w:divBdr>
        <w:top w:val="none" w:sz="0" w:space="0" w:color="auto"/>
        <w:left w:val="none" w:sz="0" w:space="0" w:color="auto"/>
        <w:bottom w:val="none" w:sz="0" w:space="0" w:color="auto"/>
        <w:right w:val="none" w:sz="0" w:space="0" w:color="auto"/>
      </w:divBdr>
      <w:divsChild>
        <w:div w:id="883753331">
          <w:marLeft w:val="360"/>
          <w:marRight w:val="0"/>
          <w:marTop w:val="200"/>
          <w:marBottom w:val="0"/>
          <w:divBdr>
            <w:top w:val="none" w:sz="0" w:space="0" w:color="auto"/>
            <w:left w:val="none" w:sz="0" w:space="0" w:color="auto"/>
            <w:bottom w:val="none" w:sz="0" w:space="0" w:color="auto"/>
            <w:right w:val="none" w:sz="0" w:space="0" w:color="auto"/>
          </w:divBdr>
        </w:div>
        <w:div w:id="392696839">
          <w:marLeft w:val="360"/>
          <w:marRight w:val="0"/>
          <w:marTop w:val="200"/>
          <w:marBottom w:val="0"/>
          <w:divBdr>
            <w:top w:val="none" w:sz="0" w:space="0" w:color="auto"/>
            <w:left w:val="none" w:sz="0" w:space="0" w:color="auto"/>
            <w:bottom w:val="none" w:sz="0" w:space="0" w:color="auto"/>
            <w:right w:val="none" w:sz="0" w:space="0" w:color="auto"/>
          </w:divBdr>
        </w:div>
      </w:divsChild>
    </w:div>
    <w:div w:id="1841309916">
      <w:bodyDiv w:val="1"/>
      <w:marLeft w:val="0"/>
      <w:marRight w:val="0"/>
      <w:marTop w:val="0"/>
      <w:marBottom w:val="0"/>
      <w:divBdr>
        <w:top w:val="none" w:sz="0" w:space="0" w:color="auto"/>
        <w:left w:val="none" w:sz="0" w:space="0" w:color="auto"/>
        <w:bottom w:val="none" w:sz="0" w:space="0" w:color="auto"/>
        <w:right w:val="none" w:sz="0" w:space="0" w:color="auto"/>
      </w:divBdr>
    </w:div>
    <w:div w:id="1871871151">
      <w:bodyDiv w:val="1"/>
      <w:marLeft w:val="0"/>
      <w:marRight w:val="0"/>
      <w:marTop w:val="0"/>
      <w:marBottom w:val="0"/>
      <w:divBdr>
        <w:top w:val="none" w:sz="0" w:space="0" w:color="auto"/>
        <w:left w:val="none" w:sz="0" w:space="0" w:color="auto"/>
        <w:bottom w:val="none" w:sz="0" w:space="0" w:color="auto"/>
        <w:right w:val="none" w:sz="0" w:space="0" w:color="auto"/>
      </w:divBdr>
    </w:div>
    <w:div w:id="1883905988">
      <w:bodyDiv w:val="1"/>
      <w:marLeft w:val="0"/>
      <w:marRight w:val="0"/>
      <w:marTop w:val="0"/>
      <w:marBottom w:val="0"/>
      <w:divBdr>
        <w:top w:val="none" w:sz="0" w:space="0" w:color="auto"/>
        <w:left w:val="none" w:sz="0" w:space="0" w:color="auto"/>
        <w:bottom w:val="none" w:sz="0" w:space="0" w:color="auto"/>
        <w:right w:val="none" w:sz="0" w:space="0" w:color="auto"/>
      </w:divBdr>
    </w:div>
    <w:div w:id="1913612411">
      <w:bodyDiv w:val="1"/>
      <w:marLeft w:val="0"/>
      <w:marRight w:val="0"/>
      <w:marTop w:val="0"/>
      <w:marBottom w:val="0"/>
      <w:divBdr>
        <w:top w:val="none" w:sz="0" w:space="0" w:color="auto"/>
        <w:left w:val="none" w:sz="0" w:space="0" w:color="auto"/>
        <w:bottom w:val="none" w:sz="0" w:space="0" w:color="auto"/>
        <w:right w:val="none" w:sz="0" w:space="0" w:color="auto"/>
      </w:divBdr>
    </w:div>
    <w:div w:id="2089421072">
      <w:bodyDiv w:val="1"/>
      <w:marLeft w:val="0"/>
      <w:marRight w:val="0"/>
      <w:marTop w:val="0"/>
      <w:marBottom w:val="0"/>
      <w:divBdr>
        <w:top w:val="none" w:sz="0" w:space="0" w:color="auto"/>
        <w:left w:val="none" w:sz="0" w:space="0" w:color="auto"/>
        <w:bottom w:val="none" w:sz="0" w:space="0" w:color="auto"/>
        <w:right w:val="none" w:sz="0" w:space="0" w:color="auto"/>
      </w:divBdr>
      <w:divsChild>
        <w:div w:id="791092334">
          <w:marLeft w:val="360"/>
          <w:marRight w:val="0"/>
          <w:marTop w:val="200"/>
          <w:marBottom w:val="0"/>
          <w:divBdr>
            <w:top w:val="none" w:sz="0" w:space="0" w:color="auto"/>
            <w:left w:val="none" w:sz="0" w:space="0" w:color="auto"/>
            <w:bottom w:val="none" w:sz="0" w:space="0" w:color="auto"/>
            <w:right w:val="none" w:sz="0" w:space="0" w:color="auto"/>
          </w:divBdr>
        </w:div>
        <w:div w:id="66147698">
          <w:marLeft w:val="360"/>
          <w:marRight w:val="0"/>
          <w:marTop w:val="200"/>
          <w:marBottom w:val="0"/>
          <w:divBdr>
            <w:top w:val="none" w:sz="0" w:space="0" w:color="auto"/>
            <w:left w:val="none" w:sz="0" w:space="0" w:color="auto"/>
            <w:bottom w:val="none" w:sz="0" w:space="0" w:color="auto"/>
            <w:right w:val="none" w:sz="0" w:space="0" w:color="auto"/>
          </w:divBdr>
        </w:div>
        <w:div w:id="1293051432">
          <w:marLeft w:val="360"/>
          <w:marRight w:val="0"/>
          <w:marTop w:val="200"/>
          <w:marBottom w:val="0"/>
          <w:divBdr>
            <w:top w:val="none" w:sz="0" w:space="0" w:color="auto"/>
            <w:left w:val="none" w:sz="0" w:space="0" w:color="auto"/>
            <w:bottom w:val="none" w:sz="0" w:space="0" w:color="auto"/>
            <w:right w:val="none" w:sz="0" w:space="0" w:color="auto"/>
          </w:divBdr>
        </w:div>
        <w:div w:id="1585186850">
          <w:marLeft w:val="360"/>
          <w:marRight w:val="0"/>
          <w:marTop w:val="200"/>
          <w:marBottom w:val="0"/>
          <w:divBdr>
            <w:top w:val="none" w:sz="0" w:space="0" w:color="auto"/>
            <w:left w:val="none" w:sz="0" w:space="0" w:color="auto"/>
            <w:bottom w:val="none" w:sz="0" w:space="0" w:color="auto"/>
            <w:right w:val="none" w:sz="0" w:space="0" w:color="auto"/>
          </w:divBdr>
        </w:div>
      </w:divsChild>
    </w:div>
    <w:div w:id="2102335753">
      <w:bodyDiv w:val="1"/>
      <w:marLeft w:val="0"/>
      <w:marRight w:val="0"/>
      <w:marTop w:val="0"/>
      <w:marBottom w:val="0"/>
      <w:divBdr>
        <w:top w:val="none" w:sz="0" w:space="0" w:color="auto"/>
        <w:left w:val="none" w:sz="0" w:space="0" w:color="auto"/>
        <w:bottom w:val="none" w:sz="0" w:space="0" w:color="auto"/>
        <w:right w:val="none" w:sz="0" w:space="0" w:color="auto"/>
      </w:divBdr>
    </w:div>
    <w:div w:id="2106222599">
      <w:bodyDiv w:val="1"/>
      <w:marLeft w:val="0"/>
      <w:marRight w:val="0"/>
      <w:marTop w:val="0"/>
      <w:marBottom w:val="0"/>
      <w:divBdr>
        <w:top w:val="none" w:sz="0" w:space="0" w:color="auto"/>
        <w:left w:val="none" w:sz="0" w:space="0" w:color="auto"/>
        <w:bottom w:val="none" w:sz="0" w:space="0" w:color="auto"/>
        <w:right w:val="none" w:sz="0" w:space="0" w:color="auto"/>
      </w:divBdr>
      <w:divsChild>
        <w:div w:id="408617383">
          <w:marLeft w:val="360"/>
          <w:marRight w:val="0"/>
          <w:marTop w:val="200"/>
          <w:marBottom w:val="0"/>
          <w:divBdr>
            <w:top w:val="none" w:sz="0" w:space="0" w:color="auto"/>
            <w:left w:val="none" w:sz="0" w:space="0" w:color="auto"/>
            <w:bottom w:val="none" w:sz="0" w:space="0" w:color="auto"/>
            <w:right w:val="none" w:sz="0" w:space="0" w:color="auto"/>
          </w:divBdr>
        </w:div>
        <w:div w:id="1748115954">
          <w:marLeft w:val="360"/>
          <w:marRight w:val="0"/>
          <w:marTop w:val="200"/>
          <w:marBottom w:val="0"/>
          <w:divBdr>
            <w:top w:val="none" w:sz="0" w:space="0" w:color="auto"/>
            <w:left w:val="none" w:sz="0" w:space="0" w:color="auto"/>
            <w:bottom w:val="none" w:sz="0" w:space="0" w:color="auto"/>
            <w:right w:val="none" w:sz="0" w:space="0" w:color="auto"/>
          </w:divBdr>
        </w:div>
        <w:div w:id="1951549803">
          <w:marLeft w:val="360"/>
          <w:marRight w:val="0"/>
          <w:marTop w:val="200"/>
          <w:marBottom w:val="0"/>
          <w:divBdr>
            <w:top w:val="none" w:sz="0" w:space="0" w:color="auto"/>
            <w:left w:val="none" w:sz="0" w:space="0" w:color="auto"/>
            <w:bottom w:val="none" w:sz="0" w:space="0" w:color="auto"/>
            <w:right w:val="none" w:sz="0" w:space="0" w:color="auto"/>
          </w:divBdr>
        </w:div>
        <w:div w:id="16682399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E46A-AF0F-448E-B21A-C38179A3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15</Pages>
  <Words>29085</Words>
  <Characters>165791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335</cp:revision>
  <dcterms:created xsi:type="dcterms:W3CDTF">2025-05-28T10:39:00Z</dcterms:created>
  <dcterms:modified xsi:type="dcterms:W3CDTF">2025-07-02T11:35:00Z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e4a14d3a-5204-387f-8a9a-7440c22cdf5a</vt:lpwstr>
  </property>
  <property fmtid="{D5CDD505-2E9C-101B-9397-08002B2CF9AE}" pid="24" name="Mendeley Citation Style_1">
    <vt:lpwstr>http://www.zotero.org/styles/harvard1</vt:lpwstr>
  </property>
</Properties>
</file>